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5.xml" ContentType="application/vnd.openxmlformats-officedocument.drawingml.chartshapes+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3.xml" ContentType="application/vnd.openxmlformats-officedocument.drawingml.chart+xml"/>
  <Override PartName="/word/charts/style25.xml" ContentType="application/vnd.ms-office.chartstyle+xml"/>
  <Override PartName="/word/charts/colors25.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2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header15.xml" ContentType="application/vnd.openxmlformats-officedocument.wordprocessingml.header+xml"/>
  <Override PartName="/word/charts/chart26.xml" ContentType="application/vnd.openxmlformats-officedocument.drawingml.chart+xml"/>
  <Override PartName="/word/charts/style28.xml" ContentType="application/vnd.ms-office.chartstyle+xml"/>
  <Override PartName="/word/charts/colors28.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AEC52" w14:textId="5E3BFA11" w:rsidR="008767C8" w:rsidRDefault="008767C8" w:rsidP="008767C8">
      <w:pPr>
        <w:jc w:val="center"/>
        <w:rPr>
          <w:rFonts w:cs="Arial"/>
          <w:b/>
          <w:bCs/>
          <w:sz w:val="40"/>
          <w:szCs w:val="40"/>
        </w:rPr>
      </w:pPr>
      <w:bookmarkStart w:id="0" w:name="_Hlk9255092"/>
      <w:bookmarkStart w:id="1" w:name="_Hlk499042447"/>
      <w:bookmarkEnd w:id="0"/>
      <w:r>
        <w:rPr>
          <w:noProof/>
          <w:sz w:val="22"/>
        </w:rPr>
        <w:drawing>
          <wp:anchor distT="0" distB="0" distL="114300" distR="114300" simplePos="0" relativeHeight="249662464" behindDoc="0" locked="0" layoutInCell="1" allowOverlap="1" wp14:anchorId="1595B26E" wp14:editId="69182478">
            <wp:simplePos x="0" y="0"/>
            <wp:positionH relativeFrom="column">
              <wp:posOffset>1348740</wp:posOffset>
            </wp:positionH>
            <wp:positionV relativeFrom="paragraph">
              <wp:posOffset>81280</wp:posOffset>
            </wp:positionV>
            <wp:extent cx="3036570" cy="1104265"/>
            <wp:effectExtent l="0" t="0" r="0" b="63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pic:spPr>
                </pic:pic>
              </a:graphicData>
            </a:graphic>
            <wp14:sizeRelH relativeFrom="page">
              <wp14:pctWidth>0</wp14:pctWidth>
            </wp14:sizeRelH>
            <wp14:sizeRelV relativeFrom="page">
              <wp14:pctHeight>0</wp14:pctHeight>
            </wp14:sizeRelV>
          </wp:anchor>
        </w:drawing>
      </w:r>
    </w:p>
    <w:p w14:paraId="1178CEC6" w14:textId="77777777" w:rsidR="008767C8" w:rsidRDefault="008767C8" w:rsidP="008767C8">
      <w:pPr>
        <w:jc w:val="center"/>
        <w:rPr>
          <w:rFonts w:cs="Arial"/>
          <w:b/>
          <w:bCs/>
          <w:sz w:val="28"/>
          <w:szCs w:val="40"/>
        </w:rPr>
      </w:pPr>
    </w:p>
    <w:p w14:paraId="62A13242" w14:textId="77777777" w:rsidR="008767C8" w:rsidRDefault="008767C8" w:rsidP="008767C8">
      <w:pPr>
        <w:jc w:val="center"/>
        <w:rPr>
          <w:rFonts w:cs="Arial"/>
          <w:b/>
          <w:bCs/>
          <w:sz w:val="28"/>
          <w:szCs w:val="40"/>
        </w:rPr>
      </w:pPr>
    </w:p>
    <w:p w14:paraId="5D11EDE2" w14:textId="77777777" w:rsidR="008767C8" w:rsidRDefault="008767C8" w:rsidP="008767C8">
      <w:pPr>
        <w:jc w:val="center"/>
        <w:rPr>
          <w:rFonts w:cs="Arial"/>
          <w:b/>
          <w:bCs/>
          <w:sz w:val="28"/>
          <w:szCs w:val="40"/>
        </w:rPr>
      </w:pPr>
    </w:p>
    <w:p w14:paraId="13DFE420" w14:textId="77777777" w:rsidR="008767C8" w:rsidRDefault="008767C8" w:rsidP="008767C8">
      <w:pPr>
        <w:jc w:val="center"/>
        <w:rPr>
          <w:rFonts w:cs="Arial"/>
          <w:b/>
          <w:bCs/>
          <w:sz w:val="28"/>
          <w:szCs w:val="40"/>
        </w:rPr>
      </w:pPr>
    </w:p>
    <w:p w14:paraId="0F3F5E1E" w14:textId="03F7AD6F" w:rsidR="008767C8" w:rsidRDefault="008767C8" w:rsidP="008767C8">
      <w:pPr>
        <w:jc w:val="center"/>
        <w:rPr>
          <w:rFonts w:cs="Arial"/>
          <w:b/>
          <w:bCs/>
          <w:sz w:val="40"/>
          <w:szCs w:val="40"/>
        </w:rPr>
      </w:pPr>
      <w:r>
        <w:rPr>
          <w:rFonts w:cs="Arial"/>
          <w:b/>
          <w:bCs/>
          <w:sz w:val="40"/>
          <w:szCs w:val="40"/>
        </w:rPr>
        <w:t xml:space="preserve">Young people’s beliefs about </w:t>
      </w:r>
      <w:r w:rsidR="00EE5C58">
        <w:rPr>
          <w:rFonts w:cs="Arial"/>
          <w:b/>
          <w:bCs/>
          <w:sz w:val="40"/>
          <w:szCs w:val="40"/>
        </w:rPr>
        <w:t>new</w:t>
      </w:r>
      <w:r>
        <w:rPr>
          <w:rFonts w:cs="Arial"/>
          <w:b/>
          <w:bCs/>
          <w:sz w:val="40"/>
          <w:szCs w:val="40"/>
        </w:rPr>
        <w:t xml:space="preserve"> psychoactive substances known as ‘legal highs’</w:t>
      </w:r>
    </w:p>
    <w:p w14:paraId="29FEB9AE" w14:textId="77777777" w:rsidR="00841434" w:rsidRDefault="00841434" w:rsidP="008767C8">
      <w:pPr>
        <w:jc w:val="center"/>
        <w:rPr>
          <w:rFonts w:cs="Arial"/>
          <w:b/>
          <w:bCs/>
          <w:sz w:val="40"/>
          <w:szCs w:val="40"/>
        </w:rPr>
      </w:pPr>
    </w:p>
    <w:p w14:paraId="737F4C98" w14:textId="4EF1B6CD" w:rsidR="00841434" w:rsidRDefault="00841434" w:rsidP="008767C8">
      <w:pPr>
        <w:jc w:val="center"/>
        <w:rPr>
          <w:rFonts w:cs="Arial"/>
          <w:b/>
          <w:bCs/>
          <w:sz w:val="40"/>
          <w:szCs w:val="40"/>
        </w:rPr>
      </w:pPr>
      <w:r>
        <w:rPr>
          <w:rFonts w:cs="Arial"/>
          <w:b/>
          <w:bCs/>
          <w:sz w:val="40"/>
          <w:szCs w:val="40"/>
        </w:rPr>
        <w:t>Volume 1: Main Thesis</w:t>
      </w:r>
    </w:p>
    <w:p w14:paraId="0D0A6B1C" w14:textId="77777777" w:rsidR="008767C8" w:rsidRDefault="008767C8" w:rsidP="008767C8">
      <w:pPr>
        <w:jc w:val="center"/>
        <w:rPr>
          <w:rFonts w:cs="Arial"/>
          <w:b/>
          <w:bCs/>
          <w:sz w:val="40"/>
          <w:szCs w:val="40"/>
        </w:rPr>
      </w:pPr>
    </w:p>
    <w:p w14:paraId="63BBCC37" w14:textId="77777777" w:rsidR="008767C8" w:rsidRDefault="008767C8" w:rsidP="008767C8">
      <w:pPr>
        <w:jc w:val="center"/>
        <w:rPr>
          <w:rFonts w:cs="Arial"/>
          <w:b/>
          <w:bCs/>
          <w:sz w:val="20"/>
          <w:szCs w:val="28"/>
        </w:rPr>
      </w:pPr>
      <w:r>
        <w:rPr>
          <w:rFonts w:cs="Arial"/>
          <w:b/>
          <w:bCs/>
          <w:sz w:val="28"/>
          <w:szCs w:val="40"/>
        </w:rPr>
        <w:t xml:space="preserve">Emily Charlotte Gagnon </w:t>
      </w:r>
      <w:r>
        <w:rPr>
          <w:rFonts w:cs="Arial"/>
          <w:b/>
          <w:bCs/>
          <w:sz w:val="20"/>
          <w:szCs w:val="28"/>
        </w:rPr>
        <w:t>BSc. MSc.</w:t>
      </w:r>
    </w:p>
    <w:p w14:paraId="369638EA" w14:textId="77777777" w:rsidR="008767C8" w:rsidRDefault="008767C8" w:rsidP="008767C8">
      <w:pPr>
        <w:jc w:val="center"/>
        <w:rPr>
          <w:rFonts w:cs="Arial"/>
          <w:b/>
          <w:bCs/>
          <w:sz w:val="28"/>
          <w:szCs w:val="28"/>
        </w:rPr>
      </w:pPr>
    </w:p>
    <w:p w14:paraId="3C12482B" w14:textId="77777777" w:rsidR="008767C8" w:rsidRDefault="008767C8" w:rsidP="008767C8">
      <w:pPr>
        <w:jc w:val="center"/>
        <w:rPr>
          <w:rFonts w:cs="Arial"/>
          <w:b/>
          <w:bCs/>
          <w:sz w:val="28"/>
          <w:szCs w:val="28"/>
        </w:rPr>
      </w:pPr>
      <w:bookmarkStart w:id="2" w:name="_GoBack"/>
      <w:bookmarkEnd w:id="2"/>
    </w:p>
    <w:p w14:paraId="24676753" w14:textId="77777777" w:rsidR="008767C8" w:rsidRDefault="008767C8" w:rsidP="008767C8">
      <w:pPr>
        <w:jc w:val="center"/>
        <w:rPr>
          <w:rFonts w:cs="Arial"/>
          <w:b/>
          <w:bCs/>
          <w:sz w:val="28"/>
          <w:szCs w:val="28"/>
        </w:rPr>
      </w:pPr>
    </w:p>
    <w:p w14:paraId="2DF39C7E" w14:textId="77777777" w:rsidR="008767C8" w:rsidRDefault="008767C8" w:rsidP="008767C8">
      <w:pPr>
        <w:jc w:val="center"/>
        <w:rPr>
          <w:rFonts w:cs="Arial"/>
          <w:b/>
          <w:bCs/>
          <w:sz w:val="28"/>
          <w:szCs w:val="28"/>
        </w:rPr>
      </w:pPr>
    </w:p>
    <w:p w14:paraId="75C7503B" w14:textId="77777777" w:rsidR="008767C8" w:rsidRDefault="008767C8" w:rsidP="008767C8">
      <w:pPr>
        <w:jc w:val="center"/>
        <w:rPr>
          <w:rFonts w:cs="Arial"/>
          <w:b/>
          <w:bCs/>
          <w:sz w:val="28"/>
          <w:szCs w:val="28"/>
        </w:rPr>
      </w:pPr>
    </w:p>
    <w:p w14:paraId="7A5DEC0E" w14:textId="77777777" w:rsidR="008767C8" w:rsidRDefault="008767C8" w:rsidP="008767C8">
      <w:pPr>
        <w:jc w:val="center"/>
        <w:rPr>
          <w:rFonts w:cs="Arial"/>
          <w:b/>
          <w:bCs/>
          <w:sz w:val="28"/>
          <w:szCs w:val="28"/>
        </w:rPr>
      </w:pPr>
    </w:p>
    <w:p w14:paraId="0035C269" w14:textId="77777777" w:rsidR="008767C8" w:rsidRDefault="008767C8" w:rsidP="008767C8">
      <w:pPr>
        <w:jc w:val="center"/>
        <w:rPr>
          <w:rFonts w:cs="Arial"/>
          <w:b/>
          <w:bCs/>
          <w:sz w:val="28"/>
          <w:szCs w:val="28"/>
        </w:rPr>
      </w:pPr>
    </w:p>
    <w:p w14:paraId="296FEA39" w14:textId="77777777" w:rsidR="008767C8" w:rsidRDefault="008767C8" w:rsidP="008767C8">
      <w:pPr>
        <w:tabs>
          <w:tab w:val="left" w:pos="513"/>
          <w:tab w:val="center" w:pos="4513"/>
        </w:tabs>
        <w:rPr>
          <w:rFonts w:cs="Arial"/>
          <w:b/>
          <w:bCs/>
          <w:sz w:val="28"/>
          <w:szCs w:val="28"/>
        </w:rPr>
      </w:pPr>
      <w:r>
        <w:rPr>
          <w:rFonts w:cs="Arial"/>
          <w:b/>
          <w:bCs/>
          <w:sz w:val="28"/>
          <w:szCs w:val="28"/>
        </w:rPr>
        <w:tab/>
      </w:r>
      <w:r>
        <w:rPr>
          <w:rFonts w:cs="Arial"/>
          <w:b/>
          <w:bCs/>
          <w:sz w:val="28"/>
          <w:szCs w:val="28"/>
        </w:rPr>
        <w:tab/>
        <w:t>Submitted for the Degree of Doctor of Philosophy</w:t>
      </w:r>
    </w:p>
    <w:p w14:paraId="45794967" w14:textId="77777777" w:rsidR="008767C8" w:rsidRDefault="008767C8" w:rsidP="008767C8">
      <w:pPr>
        <w:jc w:val="center"/>
        <w:rPr>
          <w:rFonts w:cs="Arial"/>
          <w:b/>
          <w:bCs/>
          <w:sz w:val="28"/>
          <w:szCs w:val="28"/>
        </w:rPr>
      </w:pPr>
    </w:p>
    <w:p w14:paraId="5901BB39" w14:textId="77777777" w:rsidR="008767C8" w:rsidRDefault="008767C8" w:rsidP="008767C8">
      <w:pPr>
        <w:jc w:val="center"/>
        <w:rPr>
          <w:rFonts w:cs="Arial"/>
          <w:b/>
          <w:bCs/>
          <w:sz w:val="28"/>
          <w:szCs w:val="28"/>
        </w:rPr>
      </w:pPr>
      <w:r>
        <w:rPr>
          <w:rFonts w:cs="Arial"/>
          <w:b/>
          <w:bCs/>
          <w:sz w:val="28"/>
          <w:szCs w:val="28"/>
        </w:rPr>
        <w:t>University of Sheffield</w:t>
      </w:r>
    </w:p>
    <w:p w14:paraId="32786C80" w14:textId="77777777" w:rsidR="008767C8" w:rsidRDefault="008767C8" w:rsidP="008767C8">
      <w:pPr>
        <w:jc w:val="center"/>
        <w:rPr>
          <w:rFonts w:cs="Arial"/>
          <w:b/>
          <w:bCs/>
          <w:sz w:val="28"/>
          <w:szCs w:val="28"/>
        </w:rPr>
      </w:pPr>
      <w:r>
        <w:rPr>
          <w:rFonts w:cs="Arial"/>
          <w:b/>
          <w:bCs/>
          <w:sz w:val="28"/>
          <w:szCs w:val="28"/>
        </w:rPr>
        <w:t>School of Psychology</w:t>
      </w:r>
    </w:p>
    <w:p w14:paraId="68E10F89" w14:textId="77777777" w:rsidR="00EC5E7E" w:rsidRDefault="008767C8" w:rsidP="00EC5E7E">
      <w:pPr>
        <w:jc w:val="center"/>
        <w:rPr>
          <w:rFonts w:cs="Arial"/>
          <w:b/>
          <w:bCs/>
          <w:sz w:val="28"/>
          <w:szCs w:val="28"/>
        </w:rPr>
        <w:sectPr w:rsidR="00EC5E7E" w:rsidSect="00841434">
          <w:headerReference w:type="first" r:id="rId9"/>
          <w:footerReference w:type="first" r:id="rId10"/>
          <w:pgSz w:w="11906" w:h="16838"/>
          <w:pgMar w:top="1440" w:right="1440" w:bottom="1440" w:left="1440" w:header="708" w:footer="708" w:gutter="0"/>
          <w:pgNumType w:fmt="lowerRoman"/>
          <w:cols w:space="708"/>
          <w:docGrid w:linePitch="360"/>
        </w:sectPr>
      </w:pPr>
      <w:r>
        <w:rPr>
          <w:rFonts w:cs="Arial"/>
          <w:b/>
          <w:bCs/>
          <w:sz w:val="28"/>
          <w:szCs w:val="28"/>
        </w:rPr>
        <w:t>May 201</w:t>
      </w:r>
      <w:r w:rsidR="00EC5E7E">
        <w:rPr>
          <w:rFonts w:cs="Arial"/>
          <w:b/>
          <w:bCs/>
          <w:sz w:val="28"/>
          <w:szCs w:val="28"/>
        </w:rPr>
        <w:t>9</w:t>
      </w:r>
    </w:p>
    <w:p w14:paraId="3B2AFFD5" w14:textId="77777777" w:rsidR="005A7BA5" w:rsidRDefault="005A7BA5" w:rsidP="00EC5E7E">
      <w:pPr>
        <w:jc w:val="center"/>
        <w:rPr>
          <w:rFonts w:cs="Arial"/>
          <w:b/>
          <w:bCs/>
          <w:sz w:val="28"/>
          <w:szCs w:val="28"/>
        </w:rPr>
      </w:pPr>
    </w:p>
    <w:p w14:paraId="11FE10A4" w14:textId="77777777" w:rsidR="005A7BA5" w:rsidRDefault="005A7BA5" w:rsidP="00EC5E7E">
      <w:pPr>
        <w:jc w:val="center"/>
        <w:rPr>
          <w:rFonts w:cs="Arial"/>
          <w:b/>
          <w:bCs/>
          <w:sz w:val="28"/>
          <w:szCs w:val="28"/>
        </w:rPr>
      </w:pPr>
    </w:p>
    <w:p w14:paraId="2514A73D" w14:textId="77777777" w:rsidR="005A7BA5" w:rsidRDefault="005A7BA5" w:rsidP="00EC5E7E">
      <w:pPr>
        <w:jc w:val="center"/>
        <w:rPr>
          <w:rFonts w:cs="Arial"/>
          <w:b/>
          <w:bCs/>
          <w:sz w:val="28"/>
          <w:szCs w:val="28"/>
        </w:rPr>
      </w:pPr>
    </w:p>
    <w:p w14:paraId="29298EBA" w14:textId="77777777" w:rsidR="005A7BA5" w:rsidRDefault="005A7BA5" w:rsidP="00EC5E7E">
      <w:pPr>
        <w:jc w:val="center"/>
        <w:rPr>
          <w:rFonts w:cs="Arial"/>
          <w:b/>
          <w:bCs/>
          <w:sz w:val="28"/>
          <w:szCs w:val="28"/>
        </w:rPr>
      </w:pPr>
    </w:p>
    <w:p w14:paraId="75A642E2" w14:textId="77777777" w:rsidR="005A7BA5" w:rsidRDefault="005A7BA5" w:rsidP="00EC5E7E">
      <w:pPr>
        <w:jc w:val="center"/>
        <w:rPr>
          <w:rFonts w:cs="Arial"/>
          <w:b/>
          <w:bCs/>
          <w:sz w:val="28"/>
          <w:szCs w:val="28"/>
        </w:rPr>
      </w:pPr>
    </w:p>
    <w:p w14:paraId="4AA7CD7B" w14:textId="77777777" w:rsidR="005A7BA5" w:rsidRDefault="005A7BA5" w:rsidP="00EC5E7E">
      <w:pPr>
        <w:jc w:val="center"/>
        <w:rPr>
          <w:rFonts w:cs="Arial"/>
          <w:b/>
          <w:bCs/>
          <w:sz w:val="28"/>
          <w:szCs w:val="28"/>
        </w:rPr>
      </w:pPr>
    </w:p>
    <w:p w14:paraId="0EE7D09A" w14:textId="77777777" w:rsidR="005A7BA5" w:rsidRDefault="005A7BA5" w:rsidP="00EC5E7E">
      <w:pPr>
        <w:jc w:val="center"/>
        <w:rPr>
          <w:rFonts w:cs="Arial"/>
          <w:b/>
          <w:bCs/>
          <w:sz w:val="28"/>
          <w:szCs w:val="28"/>
        </w:rPr>
      </w:pPr>
    </w:p>
    <w:p w14:paraId="42F1BF8E" w14:textId="77777777" w:rsidR="005A7BA5" w:rsidRDefault="005A7BA5" w:rsidP="00EE0FE9">
      <w:pPr>
        <w:jc w:val="center"/>
      </w:pPr>
      <w:r w:rsidRPr="005A7BA5">
        <w:t>[This page intentionally blank]</w:t>
      </w:r>
    </w:p>
    <w:p w14:paraId="43FF45E1" w14:textId="54EDD42E" w:rsidR="00EE0FE9" w:rsidRPr="005A7BA5" w:rsidRDefault="00EE0FE9" w:rsidP="00EC5E7E">
      <w:pPr>
        <w:jc w:val="center"/>
        <w:rPr>
          <w:rFonts w:cs="Arial"/>
          <w:bCs/>
          <w:sz w:val="28"/>
          <w:szCs w:val="28"/>
        </w:rPr>
        <w:sectPr w:rsidR="00EE0FE9" w:rsidRPr="005A7BA5" w:rsidSect="00841434">
          <w:headerReference w:type="default" r:id="rId11"/>
          <w:pgSz w:w="11906" w:h="16838"/>
          <w:pgMar w:top="1440" w:right="1440" w:bottom="1440" w:left="1440" w:header="708" w:footer="708" w:gutter="0"/>
          <w:pgNumType w:fmt="lowerRoman"/>
          <w:cols w:space="708"/>
          <w:docGrid w:linePitch="360"/>
        </w:sectPr>
      </w:pPr>
    </w:p>
    <w:p w14:paraId="4F083F63" w14:textId="555BF628" w:rsidR="008767C8" w:rsidRDefault="008767C8" w:rsidP="00EC5E7E">
      <w:pPr>
        <w:jc w:val="center"/>
        <w:rPr>
          <w:rFonts w:cs="Arial"/>
          <w:b/>
          <w:bCs/>
          <w:sz w:val="28"/>
          <w:szCs w:val="28"/>
        </w:rPr>
      </w:pPr>
    </w:p>
    <w:p w14:paraId="37044F3D" w14:textId="4816CB2E" w:rsidR="008767C8" w:rsidRDefault="008767C8">
      <w:pPr>
        <w:rPr>
          <w:rFonts w:cs="Arial"/>
          <w:b/>
          <w:bCs/>
          <w:sz w:val="28"/>
          <w:szCs w:val="28"/>
        </w:rPr>
      </w:pPr>
    </w:p>
    <w:p w14:paraId="2D7D893D" w14:textId="77777777" w:rsidR="00B11F7B" w:rsidRDefault="00B11F7B">
      <w:pPr>
        <w:rPr>
          <w:b/>
          <w:bCs/>
          <w:sz w:val="28"/>
          <w:szCs w:val="32"/>
        </w:rPr>
      </w:pPr>
    </w:p>
    <w:p w14:paraId="34F43338" w14:textId="628A222A" w:rsidR="008767C8" w:rsidRDefault="008767C8" w:rsidP="008767C8">
      <w:pPr>
        <w:pStyle w:val="Nonumberheading"/>
      </w:pPr>
      <w:bookmarkStart w:id="3" w:name="_Toc9182703"/>
      <w:bookmarkStart w:id="4" w:name="_Toc35892479"/>
      <w:r>
        <w:t>Declaration</w:t>
      </w:r>
      <w:bookmarkEnd w:id="3"/>
      <w:bookmarkEnd w:id="4"/>
    </w:p>
    <w:p w14:paraId="3A51BCDC" w14:textId="049B1C2B" w:rsidR="00E61F16" w:rsidRDefault="00E61F16" w:rsidP="00D32DCC">
      <w:pPr>
        <w:spacing w:line="480" w:lineRule="auto"/>
        <w:rPr>
          <w:lang w:eastAsia="en-GB"/>
        </w:rPr>
      </w:pPr>
      <w:r w:rsidRPr="00E61F16">
        <w:rPr>
          <w:lang w:eastAsia="en-GB"/>
        </w:rPr>
        <w:t>The work submitted in this thesis is the result of my own investigation, except where otherwise stated. It has not been submitted for any other degree, nor has it been submitted to any other institution. </w:t>
      </w:r>
    </w:p>
    <w:p w14:paraId="4D944EEC" w14:textId="48AD6175" w:rsidR="00E61F16" w:rsidRPr="00E61F16" w:rsidRDefault="00E61F16" w:rsidP="00D32DCC">
      <w:pPr>
        <w:spacing w:line="480" w:lineRule="auto"/>
        <w:rPr>
          <w:rFonts w:ascii="Calibri" w:hAnsi="Calibri" w:cs="Calibri"/>
          <w:sz w:val="22"/>
          <w:lang w:eastAsia="en-GB"/>
        </w:rPr>
      </w:pPr>
      <w:r>
        <w:rPr>
          <w:lang w:eastAsia="en-GB"/>
        </w:rPr>
        <w:t>Emily C Gagnon.</w:t>
      </w:r>
    </w:p>
    <w:p w14:paraId="74F8305B" w14:textId="77777777" w:rsidR="008767C8" w:rsidRPr="00E61F16" w:rsidRDefault="008767C8" w:rsidP="008767C8">
      <w:pPr>
        <w:pStyle w:val="Nonumberheading"/>
        <w:rPr>
          <w:b w:val="0"/>
        </w:rPr>
      </w:pPr>
    </w:p>
    <w:p w14:paraId="46896E06" w14:textId="77777777" w:rsidR="008767C8" w:rsidRDefault="008767C8">
      <w:pPr>
        <w:rPr>
          <w:b/>
          <w:bCs/>
          <w:sz w:val="28"/>
          <w:szCs w:val="32"/>
        </w:rPr>
      </w:pPr>
      <w:r>
        <w:br w:type="page"/>
      </w:r>
    </w:p>
    <w:p w14:paraId="40CD991C" w14:textId="77777777" w:rsidR="005A7BA5" w:rsidRDefault="005A7BA5" w:rsidP="005A7BA5">
      <w:pPr>
        <w:pStyle w:val="Nonumberheading"/>
        <w:sectPr w:rsidR="005A7BA5" w:rsidSect="00841434">
          <w:pgSz w:w="11906" w:h="16838"/>
          <w:pgMar w:top="1440" w:right="1440" w:bottom="1440" w:left="1440" w:header="708" w:footer="708" w:gutter="0"/>
          <w:pgNumType w:fmt="lowerRoman"/>
          <w:cols w:space="708"/>
          <w:docGrid w:linePitch="360"/>
        </w:sectPr>
      </w:pPr>
      <w:bookmarkStart w:id="5" w:name="_Toc9182704"/>
    </w:p>
    <w:p w14:paraId="55575C9E" w14:textId="77777777" w:rsidR="005A7BA5" w:rsidRDefault="005A7BA5" w:rsidP="005A7BA5">
      <w:pPr>
        <w:jc w:val="center"/>
        <w:rPr>
          <w:rFonts w:cs="Arial"/>
          <w:b/>
          <w:bCs/>
          <w:sz w:val="28"/>
          <w:szCs w:val="28"/>
        </w:rPr>
      </w:pPr>
    </w:p>
    <w:p w14:paraId="13890260" w14:textId="77777777" w:rsidR="005A7BA5" w:rsidRDefault="005A7BA5" w:rsidP="005A7BA5">
      <w:pPr>
        <w:jc w:val="center"/>
        <w:rPr>
          <w:rFonts w:cs="Arial"/>
          <w:b/>
          <w:bCs/>
          <w:sz w:val="28"/>
          <w:szCs w:val="28"/>
        </w:rPr>
      </w:pPr>
    </w:p>
    <w:p w14:paraId="0A2CE2B6" w14:textId="77777777" w:rsidR="005A7BA5" w:rsidRDefault="005A7BA5" w:rsidP="005A7BA5">
      <w:pPr>
        <w:jc w:val="center"/>
        <w:rPr>
          <w:rFonts w:cs="Arial"/>
          <w:b/>
          <w:bCs/>
          <w:sz w:val="28"/>
          <w:szCs w:val="28"/>
        </w:rPr>
      </w:pPr>
    </w:p>
    <w:p w14:paraId="77021EAE" w14:textId="77777777" w:rsidR="005A7BA5" w:rsidRDefault="005A7BA5" w:rsidP="005A7BA5">
      <w:pPr>
        <w:jc w:val="center"/>
        <w:rPr>
          <w:rFonts w:cs="Arial"/>
          <w:b/>
          <w:bCs/>
          <w:sz w:val="28"/>
          <w:szCs w:val="28"/>
        </w:rPr>
      </w:pPr>
    </w:p>
    <w:p w14:paraId="275FECC1" w14:textId="77777777" w:rsidR="005A7BA5" w:rsidRDefault="005A7BA5" w:rsidP="005A7BA5">
      <w:pPr>
        <w:jc w:val="center"/>
        <w:rPr>
          <w:rFonts w:cs="Arial"/>
          <w:b/>
          <w:bCs/>
          <w:sz w:val="28"/>
          <w:szCs w:val="28"/>
        </w:rPr>
      </w:pPr>
    </w:p>
    <w:p w14:paraId="260A5F30" w14:textId="77777777" w:rsidR="005A7BA5" w:rsidRDefault="005A7BA5" w:rsidP="005A7BA5">
      <w:pPr>
        <w:jc w:val="center"/>
        <w:rPr>
          <w:rFonts w:cs="Arial"/>
          <w:b/>
          <w:bCs/>
          <w:sz w:val="28"/>
          <w:szCs w:val="28"/>
        </w:rPr>
      </w:pPr>
    </w:p>
    <w:p w14:paraId="76F27B51" w14:textId="77777777" w:rsidR="005A7BA5" w:rsidRDefault="005A7BA5" w:rsidP="005A7BA5">
      <w:pPr>
        <w:jc w:val="center"/>
        <w:rPr>
          <w:rFonts w:cs="Arial"/>
          <w:b/>
          <w:bCs/>
          <w:sz w:val="28"/>
          <w:szCs w:val="28"/>
        </w:rPr>
      </w:pPr>
    </w:p>
    <w:p w14:paraId="4A0FA5C5" w14:textId="4F71CC2F" w:rsidR="005A7BA5" w:rsidRPr="005A7BA5" w:rsidRDefault="005A7BA5" w:rsidP="00EE0FE9">
      <w:pPr>
        <w:jc w:val="center"/>
        <w:rPr>
          <w:b/>
        </w:rPr>
        <w:sectPr w:rsidR="005A7BA5" w:rsidRPr="005A7BA5" w:rsidSect="00841434">
          <w:pgSz w:w="11906" w:h="16838"/>
          <w:pgMar w:top="1440" w:right="1440" w:bottom="1440" w:left="1440" w:header="708" w:footer="708" w:gutter="0"/>
          <w:pgNumType w:fmt="lowerRoman"/>
          <w:cols w:space="708"/>
          <w:docGrid w:linePitch="360"/>
        </w:sectPr>
      </w:pPr>
      <w:r w:rsidRPr="00EE0FE9">
        <w:t>[This page intentionally blank]</w:t>
      </w:r>
    </w:p>
    <w:p w14:paraId="175DC63C" w14:textId="5F151660" w:rsidR="008767C8" w:rsidRDefault="008767C8" w:rsidP="005A7BA5">
      <w:pPr>
        <w:pStyle w:val="Nonumberheading"/>
      </w:pPr>
      <w:bookmarkStart w:id="6" w:name="_Toc35892480"/>
      <w:r w:rsidRPr="0033479F">
        <w:lastRenderedPageBreak/>
        <w:t>Abstract</w:t>
      </w:r>
      <w:bookmarkEnd w:id="5"/>
      <w:bookmarkEnd w:id="6"/>
    </w:p>
    <w:p w14:paraId="09F8CF7D" w14:textId="77777777" w:rsidR="00857B18" w:rsidRPr="00D606E4" w:rsidRDefault="00857B18" w:rsidP="00857B18">
      <w:pPr>
        <w:spacing w:line="480" w:lineRule="auto"/>
        <w:rPr>
          <w:szCs w:val="24"/>
        </w:rPr>
      </w:pPr>
      <w:r w:rsidRPr="00D606E4">
        <w:rPr>
          <w:b/>
          <w:szCs w:val="24"/>
        </w:rPr>
        <w:t>Background</w:t>
      </w:r>
      <w:r w:rsidRPr="00D606E4">
        <w:rPr>
          <w:szCs w:val="24"/>
        </w:rPr>
        <w:t xml:space="preserve">: The impact of new psychoactive substances (NPS), also known as legal highs, on UK drug markets is a serious health concern. Young people are thought to be especially at risk of underestimating dangers of </w:t>
      </w:r>
      <w:r>
        <w:rPr>
          <w:szCs w:val="24"/>
        </w:rPr>
        <w:t xml:space="preserve">NPS </w:t>
      </w:r>
      <w:r w:rsidRPr="00D606E4">
        <w:rPr>
          <w:szCs w:val="24"/>
        </w:rPr>
        <w:t>use due to the association of the term legal highs with perceptions of safety. However, in the UK, few studies have</w:t>
      </w:r>
      <w:r>
        <w:rPr>
          <w:szCs w:val="24"/>
        </w:rPr>
        <w:t xml:space="preserve"> focused</w:t>
      </w:r>
      <w:r w:rsidRPr="00D606E4">
        <w:rPr>
          <w:szCs w:val="24"/>
        </w:rPr>
        <w:t xml:space="preserve"> exclusively </w:t>
      </w:r>
      <w:r>
        <w:rPr>
          <w:szCs w:val="24"/>
        </w:rPr>
        <w:t>on</w:t>
      </w:r>
      <w:r w:rsidRPr="00D606E4">
        <w:rPr>
          <w:szCs w:val="24"/>
        </w:rPr>
        <w:t xml:space="preserve"> young people’s </w:t>
      </w:r>
      <w:r>
        <w:rPr>
          <w:szCs w:val="24"/>
        </w:rPr>
        <w:t>perceptions of</w:t>
      </w:r>
      <w:r w:rsidRPr="00D606E4">
        <w:rPr>
          <w:szCs w:val="24"/>
        </w:rPr>
        <w:t xml:space="preserve"> NPS and there is </w:t>
      </w:r>
      <w:r>
        <w:rPr>
          <w:szCs w:val="24"/>
        </w:rPr>
        <w:t>no</w:t>
      </w:r>
      <w:r w:rsidRPr="00D606E4">
        <w:rPr>
          <w:szCs w:val="24"/>
        </w:rPr>
        <w:t xml:space="preserve"> evidence on the effectiveness of interventions addressing young people’s NPS use.</w:t>
      </w:r>
    </w:p>
    <w:p w14:paraId="293CAD0D" w14:textId="77777777" w:rsidR="00857B18" w:rsidRPr="00D606E4" w:rsidRDefault="00857B18" w:rsidP="00857B18">
      <w:pPr>
        <w:spacing w:line="480" w:lineRule="auto"/>
        <w:rPr>
          <w:szCs w:val="24"/>
        </w:rPr>
      </w:pPr>
      <w:r w:rsidRPr="00FC61F9">
        <w:rPr>
          <w:b/>
          <w:szCs w:val="24"/>
        </w:rPr>
        <w:t>Aim</w:t>
      </w:r>
      <w:r w:rsidRPr="00D606E4">
        <w:rPr>
          <w:szCs w:val="24"/>
        </w:rPr>
        <w:t>: This thesis aims to inform the development of interventions that seek to address young people’s use of NPS. The research explore</w:t>
      </w:r>
      <w:r>
        <w:rPr>
          <w:szCs w:val="24"/>
        </w:rPr>
        <w:t>s</w:t>
      </w:r>
      <w:r w:rsidRPr="00D606E4">
        <w:rPr>
          <w:szCs w:val="24"/>
        </w:rPr>
        <w:t xml:space="preserve"> young people’s beliefs, reasons and motives for using and not using NPS with the </w:t>
      </w:r>
      <w:r>
        <w:rPr>
          <w:szCs w:val="24"/>
        </w:rPr>
        <w:t>aim</w:t>
      </w:r>
      <w:r w:rsidRPr="00D606E4">
        <w:rPr>
          <w:szCs w:val="24"/>
        </w:rPr>
        <w:t xml:space="preserve"> of linking their </w:t>
      </w:r>
      <w:r>
        <w:rPr>
          <w:szCs w:val="24"/>
        </w:rPr>
        <w:t>beliefs about NPS</w:t>
      </w:r>
      <w:r w:rsidRPr="00D606E4">
        <w:rPr>
          <w:szCs w:val="24"/>
        </w:rPr>
        <w:t xml:space="preserve"> with theoretical frameworks suitable for use in interventions. As the research took place across the period when the Psychoactive Substances Act </w:t>
      </w:r>
      <w:r>
        <w:rPr>
          <w:szCs w:val="24"/>
        </w:rPr>
        <w:t xml:space="preserve">(PS Act) </w:t>
      </w:r>
      <w:r w:rsidRPr="00D606E4">
        <w:rPr>
          <w:szCs w:val="24"/>
        </w:rPr>
        <w:t>was implemented</w:t>
      </w:r>
      <w:r>
        <w:rPr>
          <w:szCs w:val="24"/>
        </w:rPr>
        <w:t xml:space="preserve">, the </w:t>
      </w:r>
      <w:r w:rsidRPr="00D606E4">
        <w:rPr>
          <w:szCs w:val="24"/>
        </w:rPr>
        <w:t xml:space="preserve">extent to which </w:t>
      </w:r>
      <w:r>
        <w:rPr>
          <w:szCs w:val="24"/>
        </w:rPr>
        <w:t xml:space="preserve">its </w:t>
      </w:r>
      <w:r w:rsidRPr="00D606E4">
        <w:rPr>
          <w:szCs w:val="24"/>
        </w:rPr>
        <w:t>implementation affected young people’s perceptions about NPS</w:t>
      </w:r>
      <w:r>
        <w:rPr>
          <w:szCs w:val="24"/>
        </w:rPr>
        <w:t xml:space="preserve"> is also examined</w:t>
      </w:r>
      <w:r w:rsidRPr="00D606E4">
        <w:rPr>
          <w:szCs w:val="24"/>
        </w:rPr>
        <w:t>.</w:t>
      </w:r>
    </w:p>
    <w:p w14:paraId="17C79FDF" w14:textId="77777777" w:rsidR="00857B18" w:rsidRPr="00D606E4" w:rsidRDefault="00857B18" w:rsidP="00857B18">
      <w:pPr>
        <w:spacing w:line="480" w:lineRule="auto"/>
        <w:rPr>
          <w:szCs w:val="24"/>
        </w:rPr>
      </w:pPr>
      <w:r w:rsidRPr="00FC61F9">
        <w:rPr>
          <w:b/>
          <w:szCs w:val="24"/>
        </w:rPr>
        <w:t>Methods</w:t>
      </w:r>
      <w:r w:rsidRPr="00D606E4">
        <w:rPr>
          <w:szCs w:val="24"/>
        </w:rPr>
        <w:t>: Th</w:t>
      </w:r>
      <w:r>
        <w:rPr>
          <w:szCs w:val="24"/>
        </w:rPr>
        <w:t>re</w:t>
      </w:r>
      <w:r w:rsidRPr="00D606E4">
        <w:rPr>
          <w:szCs w:val="24"/>
        </w:rPr>
        <w:t xml:space="preserve">e qualitative studies </w:t>
      </w:r>
      <w:r>
        <w:rPr>
          <w:szCs w:val="24"/>
        </w:rPr>
        <w:t xml:space="preserve">were conducted </w:t>
      </w:r>
      <w:r w:rsidRPr="00D606E4">
        <w:rPr>
          <w:szCs w:val="24"/>
        </w:rPr>
        <w:t xml:space="preserve">to </w:t>
      </w:r>
      <w:r>
        <w:rPr>
          <w:szCs w:val="24"/>
        </w:rPr>
        <w:t>explore</w:t>
      </w:r>
      <w:r w:rsidRPr="00D606E4">
        <w:rPr>
          <w:szCs w:val="24"/>
        </w:rPr>
        <w:t xml:space="preserve"> young people’s </w:t>
      </w:r>
      <w:r>
        <w:rPr>
          <w:szCs w:val="24"/>
        </w:rPr>
        <w:t>perceptions of</w:t>
      </w:r>
      <w:r w:rsidRPr="00D606E4">
        <w:rPr>
          <w:szCs w:val="24"/>
        </w:rPr>
        <w:t xml:space="preserve"> NPS</w:t>
      </w:r>
      <w:r>
        <w:rPr>
          <w:szCs w:val="24"/>
        </w:rPr>
        <w:t xml:space="preserve">, </w:t>
      </w:r>
      <w:r w:rsidRPr="00D606E4">
        <w:rPr>
          <w:szCs w:val="24"/>
        </w:rPr>
        <w:t xml:space="preserve">the acceptability of potential intervention approaches, and to compare differences in their beliefs about NPS before and after the </w:t>
      </w:r>
      <w:r>
        <w:rPr>
          <w:szCs w:val="24"/>
        </w:rPr>
        <w:t xml:space="preserve">introduction of the </w:t>
      </w:r>
      <w:r w:rsidRPr="00D606E4">
        <w:rPr>
          <w:szCs w:val="24"/>
        </w:rPr>
        <w:t>PS</w:t>
      </w:r>
      <w:r>
        <w:rPr>
          <w:szCs w:val="24"/>
        </w:rPr>
        <w:t xml:space="preserve"> Act.</w:t>
      </w:r>
    </w:p>
    <w:p w14:paraId="604CE0D0" w14:textId="77777777" w:rsidR="00857B18" w:rsidRPr="00D606E4" w:rsidRDefault="00857B18" w:rsidP="00857B18">
      <w:pPr>
        <w:spacing w:line="480" w:lineRule="auto"/>
        <w:rPr>
          <w:szCs w:val="24"/>
        </w:rPr>
      </w:pPr>
      <w:r w:rsidRPr="008D614C">
        <w:rPr>
          <w:b/>
          <w:szCs w:val="24"/>
        </w:rPr>
        <w:t>Results</w:t>
      </w:r>
      <w:r>
        <w:rPr>
          <w:szCs w:val="24"/>
        </w:rPr>
        <w:t xml:space="preserve">: Findings showed that young people’s NPS use and non-use were related to multiple motivations that are well described by extended versions of the Theory of Planned Behaviour. Pre-and post-ban comparisons indicated that young people’s perceptions of NPS appeared to be linked with the increased visibility of problematic NPS use in marginalised populations. </w:t>
      </w:r>
    </w:p>
    <w:p w14:paraId="00596B40" w14:textId="77777777" w:rsidR="00857B18" w:rsidRPr="00D606E4" w:rsidRDefault="00857B18" w:rsidP="00857B18">
      <w:pPr>
        <w:spacing w:line="480" w:lineRule="auto"/>
        <w:rPr>
          <w:szCs w:val="24"/>
        </w:rPr>
      </w:pPr>
      <w:r w:rsidRPr="008D614C">
        <w:rPr>
          <w:b/>
          <w:szCs w:val="24"/>
        </w:rPr>
        <w:t>Conclusion</w:t>
      </w:r>
      <w:r>
        <w:rPr>
          <w:szCs w:val="24"/>
        </w:rPr>
        <w:t>: The thesis concludes that</w:t>
      </w:r>
      <w:r w:rsidRPr="002751D6">
        <w:rPr>
          <w:szCs w:val="24"/>
        </w:rPr>
        <w:t xml:space="preserve"> social cognition theories offer potential for </w:t>
      </w:r>
      <w:r>
        <w:rPr>
          <w:szCs w:val="24"/>
        </w:rPr>
        <w:t xml:space="preserve">supporting the development of effective </w:t>
      </w:r>
      <w:r w:rsidRPr="002751D6">
        <w:rPr>
          <w:szCs w:val="24"/>
        </w:rPr>
        <w:t>interventions</w:t>
      </w:r>
      <w:r>
        <w:rPr>
          <w:szCs w:val="24"/>
        </w:rPr>
        <w:t>,</w:t>
      </w:r>
      <w:r w:rsidRPr="002751D6">
        <w:rPr>
          <w:szCs w:val="24"/>
        </w:rPr>
        <w:t xml:space="preserve"> when used as part of a wider prevention strategy that </w:t>
      </w:r>
      <w:r>
        <w:rPr>
          <w:szCs w:val="24"/>
        </w:rPr>
        <w:t xml:space="preserve">remains sensitive to social inequalities and </w:t>
      </w:r>
      <w:r w:rsidRPr="002751D6">
        <w:rPr>
          <w:szCs w:val="24"/>
        </w:rPr>
        <w:t>adopt</w:t>
      </w:r>
      <w:r>
        <w:rPr>
          <w:szCs w:val="24"/>
        </w:rPr>
        <w:t>s</w:t>
      </w:r>
      <w:r w:rsidRPr="002751D6">
        <w:rPr>
          <w:szCs w:val="24"/>
        </w:rPr>
        <w:t xml:space="preserve"> a systems perspective</w:t>
      </w:r>
      <w:r>
        <w:rPr>
          <w:szCs w:val="24"/>
        </w:rPr>
        <w:t xml:space="preserve"> which </w:t>
      </w:r>
      <w:r w:rsidRPr="002751D6">
        <w:rPr>
          <w:szCs w:val="24"/>
        </w:rPr>
        <w:t>tak</w:t>
      </w:r>
      <w:r>
        <w:rPr>
          <w:szCs w:val="24"/>
        </w:rPr>
        <w:t>es</w:t>
      </w:r>
      <w:r w:rsidRPr="002751D6">
        <w:rPr>
          <w:szCs w:val="24"/>
        </w:rPr>
        <w:t xml:space="preserve"> into account wider contextual factors</w:t>
      </w:r>
      <w:r>
        <w:t xml:space="preserve">. </w:t>
      </w:r>
    </w:p>
    <w:p w14:paraId="006C897C" w14:textId="77777777" w:rsidR="005A7BA5" w:rsidRDefault="005A7BA5" w:rsidP="00841434">
      <w:pPr>
        <w:pStyle w:val="Heading1"/>
        <w:numPr>
          <w:ilvl w:val="0"/>
          <w:numId w:val="0"/>
        </w:numPr>
        <w:spacing w:before="0" w:after="100" w:afterAutospacing="1" w:line="480" w:lineRule="auto"/>
        <w:ind w:left="432" w:hanging="432"/>
        <w:rPr>
          <w:szCs w:val="32"/>
        </w:rPr>
        <w:sectPr w:rsidR="005A7BA5" w:rsidSect="00841434">
          <w:pgSz w:w="11906" w:h="16838"/>
          <w:pgMar w:top="1440" w:right="1440" w:bottom="1440" w:left="1440" w:header="708" w:footer="708" w:gutter="0"/>
          <w:pgNumType w:fmt="lowerRoman"/>
          <w:cols w:space="708"/>
          <w:docGrid w:linePitch="360"/>
        </w:sectPr>
      </w:pPr>
    </w:p>
    <w:p w14:paraId="5305D0D5" w14:textId="77777777" w:rsidR="005A7BA5" w:rsidRDefault="005A7BA5" w:rsidP="005A7BA5">
      <w:pPr>
        <w:jc w:val="center"/>
        <w:rPr>
          <w:rFonts w:cs="Arial"/>
          <w:b/>
          <w:bCs/>
          <w:sz w:val="28"/>
          <w:szCs w:val="28"/>
        </w:rPr>
      </w:pPr>
    </w:p>
    <w:p w14:paraId="212965B4" w14:textId="77777777" w:rsidR="005A7BA5" w:rsidRDefault="005A7BA5" w:rsidP="005A7BA5">
      <w:pPr>
        <w:jc w:val="center"/>
        <w:rPr>
          <w:rFonts w:cs="Arial"/>
          <w:b/>
          <w:bCs/>
          <w:sz w:val="28"/>
          <w:szCs w:val="28"/>
        </w:rPr>
      </w:pPr>
    </w:p>
    <w:p w14:paraId="4C2F7A90" w14:textId="77777777" w:rsidR="005A7BA5" w:rsidRDefault="005A7BA5" w:rsidP="005A7BA5">
      <w:pPr>
        <w:jc w:val="center"/>
        <w:rPr>
          <w:rFonts w:cs="Arial"/>
          <w:b/>
          <w:bCs/>
          <w:sz w:val="28"/>
          <w:szCs w:val="28"/>
        </w:rPr>
      </w:pPr>
    </w:p>
    <w:p w14:paraId="547DCDCA" w14:textId="77777777" w:rsidR="005A7BA5" w:rsidRDefault="005A7BA5" w:rsidP="005A7BA5">
      <w:pPr>
        <w:jc w:val="center"/>
        <w:rPr>
          <w:rFonts w:cs="Arial"/>
          <w:b/>
          <w:bCs/>
          <w:sz w:val="28"/>
          <w:szCs w:val="28"/>
        </w:rPr>
      </w:pPr>
    </w:p>
    <w:p w14:paraId="794C924D" w14:textId="77777777" w:rsidR="005A7BA5" w:rsidRDefault="005A7BA5" w:rsidP="005A7BA5">
      <w:pPr>
        <w:jc w:val="center"/>
        <w:rPr>
          <w:rFonts w:cs="Arial"/>
          <w:b/>
          <w:bCs/>
          <w:sz w:val="28"/>
          <w:szCs w:val="28"/>
        </w:rPr>
      </w:pPr>
    </w:p>
    <w:p w14:paraId="09957E99" w14:textId="77777777" w:rsidR="005A7BA5" w:rsidRDefault="005A7BA5" w:rsidP="005A7BA5">
      <w:pPr>
        <w:jc w:val="center"/>
        <w:rPr>
          <w:rFonts w:cs="Arial"/>
          <w:b/>
          <w:bCs/>
          <w:sz w:val="28"/>
          <w:szCs w:val="28"/>
        </w:rPr>
      </w:pPr>
    </w:p>
    <w:p w14:paraId="47267957" w14:textId="77777777" w:rsidR="005A7BA5" w:rsidRDefault="005A7BA5" w:rsidP="005A7BA5">
      <w:pPr>
        <w:jc w:val="center"/>
        <w:rPr>
          <w:rFonts w:cs="Arial"/>
          <w:b/>
          <w:bCs/>
          <w:sz w:val="28"/>
          <w:szCs w:val="28"/>
        </w:rPr>
      </w:pPr>
    </w:p>
    <w:p w14:paraId="1941F430" w14:textId="2A09DC91" w:rsidR="005A7BA5" w:rsidRPr="00EE0FE9" w:rsidRDefault="005A7BA5" w:rsidP="00EE0FE9">
      <w:pPr>
        <w:jc w:val="center"/>
      </w:pPr>
      <w:r w:rsidRPr="00EE0FE9">
        <w:t>[This page intentionally blank]</w:t>
      </w:r>
    </w:p>
    <w:p w14:paraId="7B785946" w14:textId="77777777" w:rsidR="005A7BA5" w:rsidRDefault="005A7BA5" w:rsidP="005A7BA5"/>
    <w:p w14:paraId="49CC655C" w14:textId="1241A58A" w:rsidR="005A7BA5" w:rsidRPr="005A7BA5" w:rsidRDefault="005A7BA5" w:rsidP="005A7BA5">
      <w:pPr>
        <w:sectPr w:rsidR="005A7BA5" w:rsidRPr="005A7BA5" w:rsidSect="00841434">
          <w:pgSz w:w="11906" w:h="16838"/>
          <w:pgMar w:top="1440" w:right="1440" w:bottom="1440" w:left="1440" w:header="708" w:footer="708" w:gutter="0"/>
          <w:pgNumType w:fmt="lowerRoman"/>
          <w:cols w:space="708"/>
          <w:docGrid w:linePitch="360"/>
        </w:sectPr>
      </w:pPr>
    </w:p>
    <w:p w14:paraId="50BB9922" w14:textId="00090518" w:rsidR="00841434" w:rsidRDefault="00841434" w:rsidP="00841434">
      <w:pPr>
        <w:pStyle w:val="Heading1"/>
        <w:numPr>
          <w:ilvl w:val="0"/>
          <w:numId w:val="0"/>
        </w:numPr>
        <w:spacing w:before="0" w:after="100" w:afterAutospacing="1" w:line="480" w:lineRule="auto"/>
        <w:ind w:left="432" w:hanging="432"/>
        <w:rPr>
          <w:szCs w:val="32"/>
        </w:rPr>
      </w:pPr>
      <w:bookmarkStart w:id="7" w:name="_Toc9182710"/>
      <w:bookmarkStart w:id="8" w:name="_Toc35892481"/>
      <w:r w:rsidRPr="00D15CD9">
        <w:rPr>
          <w:szCs w:val="32"/>
        </w:rPr>
        <w:t>Acknowledgements</w:t>
      </w:r>
      <w:bookmarkEnd w:id="7"/>
      <w:bookmarkEnd w:id="8"/>
    </w:p>
    <w:p w14:paraId="485E946D" w14:textId="77777777" w:rsidR="0043018A" w:rsidRDefault="0043018A" w:rsidP="0043018A">
      <w:pPr>
        <w:spacing w:line="480" w:lineRule="auto"/>
        <w:rPr>
          <w:szCs w:val="24"/>
        </w:rPr>
      </w:pPr>
      <w:r>
        <w:rPr>
          <w:szCs w:val="24"/>
        </w:rPr>
        <w:t xml:space="preserve">Firstly, I would like to express my deepest thanks to my supervisors, Professor Paul Norman, Dr Jilly Gibson and Dr Fuschia Sirois for their encouragement, advice and support, and their immense patience and kindness. Particular thanks to Professor Norman, whose thoughtfulness and optimism has been greatly appreciated.  </w:t>
      </w:r>
    </w:p>
    <w:p w14:paraId="6F71008C" w14:textId="77777777" w:rsidR="0043018A" w:rsidRDefault="0043018A" w:rsidP="0043018A">
      <w:pPr>
        <w:spacing w:line="480" w:lineRule="auto"/>
        <w:rPr>
          <w:szCs w:val="24"/>
        </w:rPr>
      </w:pPr>
      <w:r>
        <w:rPr>
          <w:szCs w:val="24"/>
        </w:rPr>
        <w:t xml:space="preserve">I would like to thank also the community groups and young people involved in the research, without whom none of this would have been possible. The insight and compassion of the young people has been both humbling and inspiring, I wish them all the best in their endeavours. </w:t>
      </w:r>
    </w:p>
    <w:p w14:paraId="5D2EEABA" w14:textId="77777777" w:rsidR="0043018A" w:rsidRDefault="0043018A" w:rsidP="0043018A">
      <w:pPr>
        <w:spacing w:line="480" w:lineRule="auto"/>
        <w:rPr>
          <w:szCs w:val="24"/>
        </w:rPr>
      </w:pPr>
      <w:r>
        <w:rPr>
          <w:szCs w:val="24"/>
        </w:rPr>
        <w:t xml:space="preserve">To my partner Jack Pilsel, a huge thank you for his love and unwavering support. His quiet strength in the face of the inevitable stresses of a PhD has made me appreciate him more than I ever imagined possible. Thanks also to my brother Peter Gagnon and partner Emily Escott for their encouragement to keep going, and of course to Elin, whose smiles and giggles have been the very best tonic when the days seemed long. </w:t>
      </w:r>
    </w:p>
    <w:p w14:paraId="6BEFC2C0" w14:textId="2DFB74F3" w:rsidR="0043018A" w:rsidRDefault="0043018A" w:rsidP="0043018A">
      <w:pPr>
        <w:spacing w:line="480" w:lineRule="auto"/>
        <w:rPr>
          <w:szCs w:val="24"/>
        </w:rPr>
      </w:pPr>
      <w:r>
        <w:rPr>
          <w:szCs w:val="24"/>
        </w:rPr>
        <w:t>I must thank also the friends and colleagues who have give</w:t>
      </w:r>
      <w:r w:rsidR="00595C48">
        <w:rPr>
          <w:szCs w:val="24"/>
        </w:rPr>
        <w:t>n</w:t>
      </w:r>
      <w:r>
        <w:rPr>
          <w:szCs w:val="24"/>
        </w:rPr>
        <w:t xml:space="preserve"> me so much support, advice and care. Special thanks go to Mary Carr, always offering sanctuary and wisdom, to Bridget Cotter for being there just when I needed her, and to Claire Gregory and all at Holly Hagg, a true inspiration. Also, a warm thank you to Gemma Critchley whose friendship has been truly sustaining and delightful. </w:t>
      </w:r>
    </w:p>
    <w:p w14:paraId="680F3024" w14:textId="77777777" w:rsidR="0043018A" w:rsidRPr="00D606E4" w:rsidRDefault="0043018A" w:rsidP="0043018A">
      <w:pPr>
        <w:spacing w:line="480" w:lineRule="auto"/>
        <w:rPr>
          <w:szCs w:val="24"/>
        </w:rPr>
      </w:pPr>
      <w:r>
        <w:rPr>
          <w:szCs w:val="24"/>
        </w:rPr>
        <w:t xml:space="preserve">And lastly, I wish to dedicate this thesis to my parents, Anthony Gagnon and Svanhild Gagnon, who I simply cannot thank enough for their support. Their relentless encouragement and care has been simply incredible. Thank you. </w:t>
      </w:r>
    </w:p>
    <w:p w14:paraId="75150C55" w14:textId="77777777" w:rsidR="00251F39" w:rsidRPr="00251F39" w:rsidRDefault="00251F39" w:rsidP="00251F39"/>
    <w:p w14:paraId="515F3816" w14:textId="77777777" w:rsidR="00841434" w:rsidRDefault="00841434" w:rsidP="00841434">
      <w:pPr>
        <w:sectPr w:rsidR="00841434" w:rsidSect="00841434">
          <w:pgSz w:w="11906" w:h="16838"/>
          <w:pgMar w:top="1440" w:right="1440" w:bottom="1440" w:left="1440" w:header="708" w:footer="708" w:gutter="0"/>
          <w:pgNumType w:fmt="lowerRoman"/>
          <w:cols w:space="708"/>
          <w:docGrid w:linePitch="360"/>
        </w:sectPr>
      </w:pPr>
    </w:p>
    <w:p w14:paraId="542339D8" w14:textId="77777777" w:rsidR="005A7BA5" w:rsidRDefault="005A7BA5" w:rsidP="005A7BA5">
      <w:pPr>
        <w:jc w:val="center"/>
        <w:rPr>
          <w:rFonts w:cs="Arial"/>
          <w:b/>
          <w:bCs/>
          <w:sz w:val="28"/>
          <w:szCs w:val="28"/>
        </w:rPr>
      </w:pPr>
      <w:bookmarkStart w:id="9" w:name="_Toc9182711"/>
    </w:p>
    <w:p w14:paraId="666F0056" w14:textId="77777777" w:rsidR="005A7BA5" w:rsidRDefault="005A7BA5" w:rsidP="005A7BA5">
      <w:pPr>
        <w:jc w:val="center"/>
        <w:rPr>
          <w:rFonts w:cs="Arial"/>
          <w:b/>
          <w:bCs/>
          <w:sz w:val="28"/>
          <w:szCs w:val="28"/>
        </w:rPr>
      </w:pPr>
    </w:p>
    <w:p w14:paraId="4B6CE086" w14:textId="77777777" w:rsidR="005A7BA5" w:rsidRDefault="005A7BA5" w:rsidP="005A7BA5">
      <w:pPr>
        <w:jc w:val="center"/>
        <w:rPr>
          <w:rFonts w:cs="Arial"/>
          <w:b/>
          <w:bCs/>
          <w:sz w:val="28"/>
          <w:szCs w:val="28"/>
        </w:rPr>
      </w:pPr>
    </w:p>
    <w:p w14:paraId="2AEE4322" w14:textId="77777777" w:rsidR="005A7BA5" w:rsidRDefault="005A7BA5" w:rsidP="005A7BA5">
      <w:pPr>
        <w:jc w:val="center"/>
        <w:rPr>
          <w:rFonts w:cs="Arial"/>
          <w:b/>
          <w:bCs/>
          <w:sz w:val="28"/>
          <w:szCs w:val="28"/>
        </w:rPr>
      </w:pPr>
    </w:p>
    <w:p w14:paraId="119229A6" w14:textId="77777777" w:rsidR="005A7BA5" w:rsidRDefault="005A7BA5" w:rsidP="005A7BA5">
      <w:pPr>
        <w:jc w:val="center"/>
        <w:rPr>
          <w:rFonts w:cs="Arial"/>
          <w:b/>
          <w:bCs/>
          <w:sz w:val="28"/>
          <w:szCs w:val="28"/>
        </w:rPr>
      </w:pPr>
    </w:p>
    <w:p w14:paraId="2F5484EC" w14:textId="77777777" w:rsidR="005A7BA5" w:rsidRDefault="005A7BA5" w:rsidP="005A7BA5">
      <w:pPr>
        <w:jc w:val="center"/>
        <w:rPr>
          <w:rFonts w:cs="Arial"/>
          <w:b/>
          <w:bCs/>
          <w:sz w:val="28"/>
          <w:szCs w:val="28"/>
        </w:rPr>
      </w:pPr>
    </w:p>
    <w:p w14:paraId="587C0D60" w14:textId="77777777" w:rsidR="005A7BA5" w:rsidRDefault="005A7BA5" w:rsidP="005A7BA5">
      <w:pPr>
        <w:jc w:val="center"/>
        <w:rPr>
          <w:rFonts w:cs="Arial"/>
          <w:b/>
          <w:bCs/>
          <w:sz w:val="28"/>
          <w:szCs w:val="28"/>
        </w:rPr>
      </w:pPr>
    </w:p>
    <w:p w14:paraId="035513E1" w14:textId="07751950" w:rsidR="005A7BA5" w:rsidRPr="00EE0FE9" w:rsidRDefault="005A7BA5" w:rsidP="00EE0FE9">
      <w:pPr>
        <w:jc w:val="center"/>
      </w:pPr>
      <w:r w:rsidRPr="00EE0FE9">
        <w:t>[This page intentionally blank]</w:t>
      </w:r>
    </w:p>
    <w:p w14:paraId="4C422710" w14:textId="20E16E66" w:rsidR="005A7BA5" w:rsidRPr="005A7BA5" w:rsidRDefault="005A7BA5" w:rsidP="005A7BA5">
      <w:pPr>
        <w:sectPr w:rsidR="005A7BA5" w:rsidRPr="005A7BA5" w:rsidSect="00841434">
          <w:pgSz w:w="11906" w:h="16838"/>
          <w:pgMar w:top="1440" w:right="1440" w:bottom="1440" w:left="1440" w:header="708" w:footer="708" w:gutter="0"/>
          <w:pgNumType w:fmt="lowerRoman"/>
          <w:cols w:space="708"/>
          <w:docGrid w:linePitch="360"/>
        </w:sectPr>
      </w:pPr>
    </w:p>
    <w:p w14:paraId="4D908454" w14:textId="44A6B91E" w:rsidR="00841434" w:rsidRPr="00D15CD9" w:rsidRDefault="00841434" w:rsidP="00841434">
      <w:pPr>
        <w:pStyle w:val="Heading1"/>
        <w:numPr>
          <w:ilvl w:val="0"/>
          <w:numId w:val="0"/>
        </w:numPr>
        <w:ind w:left="432"/>
        <w:rPr>
          <w:szCs w:val="32"/>
        </w:rPr>
      </w:pPr>
      <w:bookmarkStart w:id="10" w:name="_Toc35892482"/>
      <w:r w:rsidRPr="00D15CD9">
        <w:rPr>
          <w:szCs w:val="32"/>
        </w:rPr>
        <w:t>Table of Contents</w:t>
      </w:r>
      <w:bookmarkEnd w:id="9"/>
      <w:bookmarkEnd w:id="10"/>
    </w:p>
    <w:sdt>
      <w:sdtPr>
        <w:rPr>
          <w:rFonts w:ascii="Times New Roman" w:eastAsia="Times New Roman" w:hAnsi="Times New Roman" w:cs="Times New Roman"/>
          <w:b w:val="0"/>
          <w:bCs w:val="0"/>
          <w:color w:val="000000" w:themeColor="text1"/>
          <w:sz w:val="24"/>
          <w:szCs w:val="22"/>
          <w:lang w:val="en-GB" w:eastAsia="zh-CN"/>
        </w:rPr>
        <w:id w:val="-2008277141"/>
        <w:docPartObj>
          <w:docPartGallery w:val="Table of Contents"/>
          <w:docPartUnique/>
        </w:docPartObj>
      </w:sdtPr>
      <w:sdtEndPr>
        <w:rPr>
          <w:noProof/>
          <w:color w:val="auto"/>
        </w:rPr>
      </w:sdtEndPr>
      <w:sdtContent>
        <w:p w14:paraId="6CD64201" w14:textId="4D7FDC30" w:rsidR="00716691" w:rsidRPr="007F285B" w:rsidRDefault="00597221" w:rsidP="00597221">
          <w:pPr>
            <w:pStyle w:val="TOCHeading"/>
            <w:jc w:val="left"/>
            <w:rPr>
              <w:rFonts w:ascii="Times New Roman" w:hAnsi="Times New Roman" w:cs="Times New Roman"/>
              <w:color w:val="000000" w:themeColor="text1"/>
            </w:rPr>
          </w:pPr>
          <w:r w:rsidRPr="007F285B">
            <w:rPr>
              <w:rFonts w:ascii="Times New Roman" w:hAnsi="Times New Roman" w:cs="Times New Roman"/>
              <w:color w:val="000000" w:themeColor="text1"/>
            </w:rPr>
            <w:t>Volume 1: Main Thesis</w:t>
          </w:r>
        </w:p>
        <w:p w14:paraId="3D2F0B95" w14:textId="77777777" w:rsidR="00597221" w:rsidRPr="00597221" w:rsidRDefault="00597221" w:rsidP="00597221">
          <w:pPr>
            <w:rPr>
              <w:lang w:val="en-US" w:eastAsia="en-US"/>
            </w:rPr>
          </w:pPr>
        </w:p>
        <w:p w14:paraId="34F93369" w14:textId="2F3B1F93" w:rsidR="00777EE0" w:rsidRDefault="00716691">
          <w:pPr>
            <w:pStyle w:val="TOC1"/>
            <w:rPr>
              <w:rFonts w:asciiTheme="minorHAnsi" w:eastAsiaTheme="minorEastAsia" w:hAnsiTheme="minorHAnsi" w:cstheme="minorBidi"/>
              <w:b w:val="0"/>
              <w:bCs w:val="0"/>
              <w:noProof/>
              <w:sz w:val="22"/>
              <w:szCs w:val="22"/>
              <w:lang w:eastAsia="en-GB"/>
            </w:rPr>
          </w:pPr>
          <w:r>
            <w:fldChar w:fldCharType="begin"/>
          </w:r>
          <w:r>
            <w:instrText xml:space="preserve"> TOC \o "1-3" \h \z \u </w:instrText>
          </w:r>
          <w:r>
            <w:fldChar w:fldCharType="separate"/>
          </w:r>
          <w:hyperlink w:anchor="_Toc35892479" w:history="1">
            <w:r w:rsidR="00777EE0" w:rsidRPr="00C53B84">
              <w:rPr>
                <w:rStyle w:val="Hyperlink"/>
                <w:noProof/>
              </w:rPr>
              <w:t>Declaration</w:t>
            </w:r>
            <w:r w:rsidR="00777EE0">
              <w:rPr>
                <w:noProof/>
                <w:webHidden/>
              </w:rPr>
              <w:tab/>
            </w:r>
            <w:r w:rsidR="00777EE0">
              <w:rPr>
                <w:noProof/>
                <w:webHidden/>
              </w:rPr>
              <w:fldChar w:fldCharType="begin"/>
            </w:r>
            <w:r w:rsidR="00777EE0">
              <w:rPr>
                <w:noProof/>
                <w:webHidden/>
              </w:rPr>
              <w:instrText xml:space="preserve"> PAGEREF _Toc35892479 \h </w:instrText>
            </w:r>
            <w:r w:rsidR="00777EE0">
              <w:rPr>
                <w:noProof/>
                <w:webHidden/>
              </w:rPr>
            </w:r>
            <w:r w:rsidR="00777EE0">
              <w:rPr>
                <w:noProof/>
                <w:webHidden/>
              </w:rPr>
              <w:fldChar w:fldCharType="separate"/>
            </w:r>
            <w:r w:rsidR="0026579C">
              <w:rPr>
                <w:noProof/>
                <w:webHidden/>
              </w:rPr>
              <w:t>iii</w:t>
            </w:r>
            <w:r w:rsidR="00777EE0">
              <w:rPr>
                <w:noProof/>
                <w:webHidden/>
              </w:rPr>
              <w:fldChar w:fldCharType="end"/>
            </w:r>
          </w:hyperlink>
        </w:p>
        <w:p w14:paraId="5736078E" w14:textId="7DE3EDCF" w:rsidR="00777EE0" w:rsidRDefault="00251E9C">
          <w:pPr>
            <w:pStyle w:val="TOC1"/>
            <w:rPr>
              <w:rFonts w:asciiTheme="minorHAnsi" w:eastAsiaTheme="minorEastAsia" w:hAnsiTheme="minorHAnsi" w:cstheme="minorBidi"/>
              <w:b w:val="0"/>
              <w:bCs w:val="0"/>
              <w:noProof/>
              <w:sz w:val="22"/>
              <w:szCs w:val="22"/>
              <w:lang w:eastAsia="en-GB"/>
            </w:rPr>
          </w:pPr>
          <w:hyperlink w:anchor="_Toc35892480" w:history="1">
            <w:r w:rsidR="00777EE0" w:rsidRPr="00C53B84">
              <w:rPr>
                <w:rStyle w:val="Hyperlink"/>
                <w:noProof/>
              </w:rPr>
              <w:t>Abstract</w:t>
            </w:r>
            <w:r w:rsidR="00777EE0">
              <w:rPr>
                <w:noProof/>
                <w:webHidden/>
              </w:rPr>
              <w:tab/>
            </w:r>
            <w:r w:rsidR="00777EE0">
              <w:rPr>
                <w:noProof/>
                <w:webHidden/>
              </w:rPr>
              <w:fldChar w:fldCharType="begin"/>
            </w:r>
            <w:r w:rsidR="00777EE0">
              <w:rPr>
                <w:noProof/>
                <w:webHidden/>
              </w:rPr>
              <w:instrText xml:space="preserve"> PAGEREF _Toc35892480 \h </w:instrText>
            </w:r>
            <w:r w:rsidR="00777EE0">
              <w:rPr>
                <w:noProof/>
                <w:webHidden/>
              </w:rPr>
            </w:r>
            <w:r w:rsidR="00777EE0">
              <w:rPr>
                <w:noProof/>
                <w:webHidden/>
              </w:rPr>
              <w:fldChar w:fldCharType="separate"/>
            </w:r>
            <w:r w:rsidR="0026579C">
              <w:rPr>
                <w:noProof/>
                <w:webHidden/>
              </w:rPr>
              <w:t>v</w:t>
            </w:r>
            <w:r w:rsidR="00777EE0">
              <w:rPr>
                <w:noProof/>
                <w:webHidden/>
              </w:rPr>
              <w:fldChar w:fldCharType="end"/>
            </w:r>
          </w:hyperlink>
        </w:p>
        <w:p w14:paraId="4ECCA635" w14:textId="7167A260" w:rsidR="00777EE0" w:rsidRDefault="00251E9C">
          <w:pPr>
            <w:pStyle w:val="TOC1"/>
            <w:rPr>
              <w:rFonts w:asciiTheme="minorHAnsi" w:eastAsiaTheme="minorEastAsia" w:hAnsiTheme="minorHAnsi" w:cstheme="minorBidi"/>
              <w:b w:val="0"/>
              <w:bCs w:val="0"/>
              <w:noProof/>
              <w:sz w:val="22"/>
              <w:szCs w:val="22"/>
              <w:lang w:eastAsia="en-GB"/>
            </w:rPr>
          </w:pPr>
          <w:hyperlink w:anchor="_Toc35892481" w:history="1">
            <w:r w:rsidR="00777EE0" w:rsidRPr="00C53B84">
              <w:rPr>
                <w:rStyle w:val="Hyperlink"/>
                <w:noProof/>
              </w:rPr>
              <w:t>Acknowledgements</w:t>
            </w:r>
            <w:r w:rsidR="00777EE0">
              <w:rPr>
                <w:noProof/>
                <w:webHidden/>
              </w:rPr>
              <w:tab/>
            </w:r>
            <w:r w:rsidR="00777EE0">
              <w:rPr>
                <w:noProof/>
                <w:webHidden/>
              </w:rPr>
              <w:fldChar w:fldCharType="begin"/>
            </w:r>
            <w:r w:rsidR="00777EE0">
              <w:rPr>
                <w:noProof/>
                <w:webHidden/>
              </w:rPr>
              <w:instrText xml:space="preserve"> PAGEREF _Toc35892481 \h </w:instrText>
            </w:r>
            <w:r w:rsidR="00777EE0">
              <w:rPr>
                <w:noProof/>
                <w:webHidden/>
              </w:rPr>
            </w:r>
            <w:r w:rsidR="00777EE0">
              <w:rPr>
                <w:noProof/>
                <w:webHidden/>
              </w:rPr>
              <w:fldChar w:fldCharType="separate"/>
            </w:r>
            <w:r w:rsidR="0026579C">
              <w:rPr>
                <w:noProof/>
                <w:webHidden/>
              </w:rPr>
              <w:t>vii</w:t>
            </w:r>
            <w:r w:rsidR="00777EE0">
              <w:rPr>
                <w:noProof/>
                <w:webHidden/>
              </w:rPr>
              <w:fldChar w:fldCharType="end"/>
            </w:r>
          </w:hyperlink>
        </w:p>
        <w:p w14:paraId="1C110E02" w14:textId="6DB030FA" w:rsidR="00777EE0" w:rsidRDefault="00251E9C">
          <w:pPr>
            <w:pStyle w:val="TOC1"/>
            <w:rPr>
              <w:rFonts w:asciiTheme="minorHAnsi" w:eastAsiaTheme="minorEastAsia" w:hAnsiTheme="minorHAnsi" w:cstheme="minorBidi"/>
              <w:b w:val="0"/>
              <w:bCs w:val="0"/>
              <w:noProof/>
              <w:sz w:val="22"/>
              <w:szCs w:val="22"/>
              <w:lang w:eastAsia="en-GB"/>
            </w:rPr>
          </w:pPr>
          <w:hyperlink w:anchor="_Toc35892482" w:history="1">
            <w:r w:rsidR="00777EE0" w:rsidRPr="00C53B84">
              <w:rPr>
                <w:rStyle w:val="Hyperlink"/>
                <w:noProof/>
              </w:rPr>
              <w:t>Table of Contents</w:t>
            </w:r>
            <w:r w:rsidR="00777EE0">
              <w:rPr>
                <w:noProof/>
                <w:webHidden/>
              </w:rPr>
              <w:tab/>
            </w:r>
            <w:r w:rsidR="00777EE0">
              <w:rPr>
                <w:noProof/>
                <w:webHidden/>
              </w:rPr>
              <w:fldChar w:fldCharType="begin"/>
            </w:r>
            <w:r w:rsidR="00777EE0">
              <w:rPr>
                <w:noProof/>
                <w:webHidden/>
              </w:rPr>
              <w:instrText xml:space="preserve"> PAGEREF _Toc35892482 \h </w:instrText>
            </w:r>
            <w:r w:rsidR="00777EE0">
              <w:rPr>
                <w:noProof/>
                <w:webHidden/>
              </w:rPr>
            </w:r>
            <w:r w:rsidR="00777EE0">
              <w:rPr>
                <w:noProof/>
                <w:webHidden/>
              </w:rPr>
              <w:fldChar w:fldCharType="separate"/>
            </w:r>
            <w:r w:rsidR="0026579C">
              <w:rPr>
                <w:noProof/>
                <w:webHidden/>
              </w:rPr>
              <w:t>ix</w:t>
            </w:r>
            <w:r w:rsidR="00777EE0">
              <w:rPr>
                <w:noProof/>
                <w:webHidden/>
              </w:rPr>
              <w:fldChar w:fldCharType="end"/>
            </w:r>
          </w:hyperlink>
        </w:p>
        <w:p w14:paraId="55531288" w14:textId="792C6D07" w:rsidR="00777EE0" w:rsidRDefault="00251E9C">
          <w:pPr>
            <w:pStyle w:val="TOC1"/>
            <w:rPr>
              <w:rFonts w:asciiTheme="minorHAnsi" w:eastAsiaTheme="minorEastAsia" w:hAnsiTheme="minorHAnsi" w:cstheme="minorBidi"/>
              <w:b w:val="0"/>
              <w:bCs w:val="0"/>
              <w:noProof/>
              <w:sz w:val="22"/>
              <w:szCs w:val="22"/>
              <w:lang w:eastAsia="en-GB"/>
            </w:rPr>
          </w:pPr>
          <w:hyperlink w:anchor="_Toc35892483" w:history="1">
            <w:r w:rsidR="00777EE0" w:rsidRPr="00C53B84">
              <w:rPr>
                <w:rStyle w:val="Hyperlink"/>
                <w:rFonts w:asciiTheme="majorBidi" w:hAnsiTheme="majorBidi" w:cstheme="majorBidi"/>
                <w:noProof/>
              </w:rPr>
              <w:t>List of Tables</w:t>
            </w:r>
            <w:r w:rsidR="00777EE0">
              <w:rPr>
                <w:noProof/>
                <w:webHidden/>
              </w:rPr>
              <w:tab/>
            </w:r>
            <w:r w:rsidR="00777EE0">
              <w:rPr>
                <w:noProof/>
                <w:webHidden/>
              </w:rPr>
              <w:fldChar w:fldCharType="begin"/>
            </w:r>
            <w:r w:rsidR="00777EE0">
              <w:rPr>
                <w:noProof/>
                <w:webHidden/>
              </w:rPr>
              <w:instrText xml:space="preserve"> PAGEREF _Toc35892483 \h </w:instrText>
            </w:r>
            <w:r w:rsidR="00777EE0">
              <w:rPr>
                <w:noProof/>
                <w:webHidden/>
              </w:rPr>
            </w:r>
            <w:r w:rsidR="00777EE0">
              <w:rPr>
                <w:noProof/>
                <w:webHidden/>
              </w:rPr>
              <w:fldChar w:fldCharType="separate"/>
            </w:r>
            <w:r w:rsidR="0026579C">
              <w:rPr>
                <w:noProof/>
                <w:webHidden/>
              </w:rPr>
              <w:t>xxii</w:t>
            </w:r>
            <w:r w:rsidR="00777EE0">
              <w:rPr>
                <w:noProof/>
                <w:webHidden/>
              </w:rPr>
              <w:fldChar w:fldCharType="end"/>
            </w:r>
          </w:hyperlink>
        </w:p>
        <w:p w14:paraId="6EFAC0E6" w14:textId="49EA70C0" w:rsidR="00777EE0" w:rsidRDefault="00251E9C">
          <w:pPr>
            <w:pStyle w:val="TOC1"/>
            <w:rPr>
              <w:rFonts w:asciiTheme="minorHAnsi" w:eastAsiaTheme="minorEastAsia" w:hAnsiTheme="minorHAnsi" w:cstheme="minorBidi"/>
              <w:b w:val="0"/>
              <w:bCs w:val="0"/>
              <w:noProof/>
              <w:sz w:val="22"/>
              <w:szCs w:val="22"/>
              <w:lang w:eastAsia="en-GB"/>
            </w:rPr>
          </w:pPr>
          <w:hyperlink w:anchor="_Toc35892484" w:history="1">
            <w:r w:rsidR="00777EE0" w:rsidRPr="00C53B84">
              <w:rPr>
                <w:rStyle w:val="Hyperlink"/>
                <w:noProof/>
              </w:rPr>
              <w:t>List of Figures</w:t>
            </w:r>
            <w:r w:rsidR="00777EE0">
              <w:rPr>
                <w:noProof/>
                <w:webHidden/>
              </w:rPr>
              <w:tab/>
            </w:r>
            <w:r w:rsidR="00777EE0">
              <w:rPr>
                <w:noProof/>
                <w:webHidden/>
              </w:rPr>
              <w:fldChar w:fldCharType="begin"/>
            </w:r>
            <w:r w:rsidR="00777EE0">
              <w:rPr>
                <w:noProof/>
                <w:webHidden/>
              </w:rPr>
              <w:instrText xml:space="preserve"> PAGEREF _Toc35892484 \h </w:instrText>
            </w:r>
            <w:r w:rsidR="00777EE0">
              <w:rPr>
                <w:noProof/>
                <w:webHidden/>
              </w:rPr>
            </w:r>
            <w:r w:rsidR="00777EE0">
              <w:rPr>
                <w:noProof/>
                <w:webHidden/>
              </w:rPr>
              <w:fldChar w:fldCharType="separate"/>
            </w:r>
            <w:r w:rsidR="0026579C">
              <w:rPr>
                <w:noProof/>
                <w:webHidden/>
              </w:rPr>
              <w:t>xxiv</w:t>
            </w:r>
            <w:r w:rsidR="00777EE0">
              <w:rPr>
                <w:noProof/>
                <w:webHidden/>
              </w:rPr>
              <w:fldChar w:fldCharType="end"/>
            </w:r>
          </w:hyperlink>
        </w:p>
        <w:p w14:paraId="24C71B10" w14:textId="53C0CF7C" w:rsidR="00777EE0" w:rsidRDefault="00251E9C">
          <w:pPr>
            <w:pStyle w:val="TOC1"/>
            <w:rPr>
              <w:rFonts w:asciiTheme="minorHAnsi" w:eastAsiaTheme="minorEastAsia" w:hAnsiTheme="minorHAnsi" w:cstheme="minorBidi"/>
              <w:b w:val="0"/>
              <w:bCs w:val="0"/>
              <w:noProof/>
              <w:sz w:val="22"/>
              <w:szCs w:val="22"/>
              <w:lang w:eastAsia="en-GB"/>
            </w:rPr>
          </w:pPr>
          <w:hyperlink w:anchor="_Toc35892485" w:history="1">
            <w:r w:rsidR="00777EE0" w:rsidRPr="00C53B84">
              <w:rPr>
                <w:rStyle w:val="Hyperlink"/>
                <w:noProof/>
              </w:rPr>
              <w:t>List of Abbreviations</w:t>
            </w:r>
            <w:r w:rsidR="00777EE0">
              <w:rPr>
                <w:noProof/>
                <w:webHidden/>
              </w:rPr>
              <w:tab/>
            </w:r>
            <w:r w:rsidR="00777EE0">
              <w:rPr>
                <w:noProof/>
                <w:webHidden/>
              </w:rPr>
              <w:fldChar w:fldCharType="begin"/>
            </w:r>
            <w:r w:rsidR="00777EE0">
              <w:rPr>
                <w:noProof/>
                <w:webHidden/>
              </w:rPr>
              <w:instrText xml:space="preserve"> PAGEREF _Toc35892485 \h </w:instrText>
            </w:r>
            <w:r w:rsidR="00777EE0">
              <w:rPr>
                <w:noProof/>
                <w:webHidden/>
              </w:rPr>
            </w:r>
            <w:r w:rsidR="00777EE0">
              <w:rPr>
                <w:noProof/>
                <w:webHidden/>
              </w:rPr>
              <w:fldChar w:fldCharType="separate"/>
            </w:r>
            <w:r w:rsidR="0026579C">
              <w:rPr>
                <w:noProof/>
                <w:webHidden/>
              </w:rPr>
              <w:t>xxvi</w:t>
            </w:r>
            <w:r w:rsidR="00777EE0">
              <w:rPr>
                <w:noProof/>
                <w:webHidden/>
              </w:rPr>
              <w:fldChar w:fldCharType="end"/>
            </w:r>
          </w:hyperlink>
        </w:p>
        <w:p w14:paraId="0565F0AF" w14:textId="2DA1A1F0"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486" w:history="1">
            <w:r w:rsidR="00777EE0" w:rsidRPr="00C53B84">
              <w:rPr>
                <w:rStyle w:val="Hyperlink"/>
                <w:noProof/>
              </w:rPr>
              <w:t>Chapter 1</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_Toc35892486 \h </w:instrText>
            </w:r>
            <w:r w:rsidR="00777EE0">
              <w:rPr>
                <w:noProof/>
                <w:webHidden/>
              </w:rPr>
            </w:r>
            <w:r w:rsidR="00777EE0">
              <w:rPr>
                <w:noProof/>
                <w:webHidden/>
              </w:rPr>
              <w:fldChar w:fldCharType="separate"/>
            </w:r>
            <w:r w:rsidR="0026579C">
              <w:rPr>
                <w:noProof/>
                <w:webHidden/>
              </w:rPr>
              <w:t>1</w:t>
            </w:r>
            <w:r w:rsidR="00777EE0">
              <w:rPr>
                <w:noProof/>
                <w:webHidden/>
              </w:rPr>
              <w:fldChar w:fldCharType="end"/>
            </w:r>
          </w:hyperlink>
        </w:p>
        <w:p w14:paraId="32CF2212" w14:textId="7FDC6800"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87" w:history="1">
            <w:r w:rsidR="00777EE0" w:rsidRPr="00C53B84">
              <w:rPr>
                <w:rStyle w:val="Hyperlink"/>
                <w:noProof/>
              </w:rPr>
              <w:t>1.1</w:t>
            </w:r>
            <w:r w:rsidR="00777EE0">
              <w:rPr>
                <w:rFonts w:asciiTheme="minorHAnsi" w:eastAsiaTheme="minorEastAsia" w:hAnsiTheme="minorHAnsi" w:cstheme="minorBidi"/>
                <w:noProof/>
                <w:sz w:val="22"/>
                <w:lang w:eastAsia="en-GB"/>
              </w:rPr>
              <w:tab/>
            </w:r>
            <w:r w:rsidR="00777EE0" w:rsidRPr="00C53B84">
              <w:rPr>
                <w:rStyle w:val="Hyperlink"/>
                <w:noProof/>
              </w:rPr>
              <w:t>Rationale</w:t>
            </w:r>
            <w:r w:rsidR="00777EE0">
              <w:rPr>
                <w:noProof/>
                <w:webHidden/>
              </w:rPr>
              <w:tab/>
            </w:r>
            <w:r w:rsidR="00777EE0">
              <w:rPr>
                <w:noProof/>
                <w:webHidden/>
              </w:rPr>
              <w:fldChar w:fldCharType="begin"/>
            </w:r>
            <w:r w:rsidR="00777EE0">
              <w:rPr>
                <w:noProof/>
                <w:webHidden/>
              </w:rPr>
              <w:instrText xml:space="preserve"> PAGEREF _Toc35892487 \h </w:instrText>
            </w:r>
            <w:r w:rsidR="00777EE0">
              <w:rPr>
                <w:noProof/>
                <w:webHidden/>
              </w:rPr>
            </w:r>
            <w:r w:rsidR="00777EE0">
              <w:rPr>
                <w:noProof/>
                <w:webHidden/>
              </w:rPr>
              <w:fldChar w:fldCharType="separate"/>
            </w:r>
            <w:r w:rsidR="0026579C">
              <w:rPr>
                <w:noProof/>
                <w:webHidden/>
              </w:rPr>
              <w:t>1</w:t>
            </w:r>
            <w:r w:rsidR="00777EE0">
              <w:rPr>
                <w:noProof/>
                <w:webHidden/>
              </w:rPr>
              <w:fldChar w:fldCharType="end"/>
            </w:r>
          </w:hyperlink>
        </w:p>
        <w:p w14:paraId="4F5AE4BB" w14:textId="0E534AB8"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88" w:history="1">
            <w:r w:rsidR="00777EE0" w:rsidRPr="00C53B84">
              <w:rPr>
                <w:rStyle w:val="Hyperlink"/>
                <w:noProof/>
              </w:rPr>
              <w:t>1.2</w:t>
            </w:r>
            <w:r w:rsidR="00777EE0">
              <w:rPr>
                <w:rFonts w:asciiTheme="minorHAnsi" w:eastAsiaTheme="minorEastAsia" w:hAnsiTheme="minorHAnsi" w:cstheme="minorBidi"/>
                <w:noProof/>
                <w:sz w:val="22"/>
                <w:lang w:eastAsia="en-GB"/>
              </w:rPr>
              <w:tab/>
            </w:r>
            <w:r w:rsidR="00777EE0" w:rsidRPr="00C53B84">
              <w:rPr>
                <w:rStyle w:val="Hyperlink"/>
                <w:noProof/>
              </w:rPr>
              <w:t>Research questions</w:t>
            </w:r>
            <w:r w:rsidR="00777EE0">
              <w:rPr>
                <w:noProof/>
                <w:webHidden/>
              </w:rPr>
              <w:tab/>
            </w:r>
            <w:r w:rsidR="00777EE0">
              <w:rPr>
                <w:noProof/>
                <w:webHidden/>
              </w:rPr>
              <w:fldChar w:fldCharType="begin"/>
            </w:r>
            <w:r w:rsidR="00777EE0">
              <w:rPr>
                <w:noProof/>
                <w:webHidden/>
              </w:rPr>
              <w:instrText xml:space="preserve"> PAGEREF _Toc35892488 \h </w:instrText>
            </w:r>
            <w:r w:rsidR="00777EE0">
              <w:rPr>
                <w:noProof/>
                <w:webHidden/>
              </w:rPr>
            </w:r>
            <w:r w:rsidR="00777EE0">
              <w:rPr>
                <w:noProof/>
                <w:webHidden/>
              </w:rPr>
              <w:fldChar w:fldCharType="separate"/>
            </w:r>
            <w:r w:rsidR="0026579C">
              <w:rPr>
                <w:noProof/>
                <w:webHidden/>
              </w:rPr>
              <w:t>6</w:t>
            </w:r>
            <w:r w:rsidR="00777EE0">
              <w:rPr>
                <w:noProof/>
                <w:webHidden/>
              </w:rPr>
              <w:fldChar w:fldCharType="end"/>
            </w:r>
          </w:hyperlink>
        </w:p>
        <w:p w14:paraId="6D05ABC1" w14:textId="644B58CC"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89" w:history="1">
            <w:r w:rsidR="00777EE0" w:rsidRPr="00C53B84">
              <w:rPr>
                <w:rStyle w:val="Hyperlink"/>
                <w:noProof/>
              </w:rPr>
              <w:t>1.3</w:t>
            </w:r>
            <w:r w:rsidR="00777EE0">
              <w:rPr>
                <w:rFonts w:asciiTheme="minorHAnsi" w:eastAsiaTheme="minorEastAsia" w:hAnsiTheme="minorHAnsi" w:cstheme="minorBidi"/>
                <w:noProof/>
                <w:sz w:val="22"/>
                <w:lang w:eastAsia="en-GB"/>
              </w:rPr>
              <w:tab/>
            </w:r>
            <w:r w:rsidR="00777EE0" w:rsidRPr="00C53B84">
              <w:rPr>
                <w:rStyle w:val="Hyperlink"/>
                <w:noProof/>
              </w:rPr>
              <w:t>Intervention guidelines</w:t>
            </w:r>
            <w:r w:rsidR="00777EE0">
              <w:rPr>
                <w:noProof/>
                <w:webHidden/>
              </w:rPr>
              <w:tab/>
            </w:r>
            <w:r w:rsidR="00777EE0">
              <w:rPr>
                <w:noProof/>
                <w:webHidden/>
              </w:rPr>
              <w:fldChar w:fldCharType="begin"/>
            </w:r>
            <w:r w:rsidR="00777EE0">
              <w:rPr>
                <w:noProof/>
                <w:webHidden/>
              </w:rPr>
              <w:instrText xml:space="preserve"> PAGEREF _Toc35892489 \h </w:instrText>
            </w:r>
            <w:r w:rsidR="00777EE0">
              <w:rPr>
                <w:noProof/>
                <w:webHidden/>
              </w:rPr>
            </w:r>
            <w:r w:rsidR="00777EE0">
              <w:rPr>
                <w:noProof/>
                <w:webHidden/>
              </w:rPr>
              <w:fldChar w:fldCharType="separate"/>
            </w:r>
            <w:r w:rsidR="0026579C">
              <w:rPr>
                <w:noProof/>
                <w:webHidden/>
              </w:rPr>
              <w:t>7</w:t>
            </w:r>
            <w:r w:rsidR="00777EE0">
              <w:rPr>
                <w:noProof/>
                <w:webHidden/>
              </w:rPr>
              <w:fldChar w:fldCharType="end"/>
            </w:r>
          </w:hyperlink>
        </w:p>
        <w:p w14:paraId="0D9AF271" w14:textId="771263B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90" w:history="1">
            <w:r w:rsidR="00777EE0" w:rsidRPr="00C53B84">
              <w:rPr>
                <w:rStyle w:val="Hyperlink"/>
                <w:noProof/>
              </w:rPr>
              <w:t>1.4</w:t>
            </w:r>
            <w:r w:rsidR="00777EE0">
              <w:rPr>
                <w:rFonts w:asciiTheme="minorHAnsi" w:eastAsiaTheme="minorEastAsia" w:hAnsiTheme="minorHAnsi" w:cstheme="minorBidi"/>
                <w:noProof/>
                <w:sz w:val="22"/>
                <w:lang w:eastAsia="en-GB"/>
              </w:rPr>
              <w:tab/>
            </w:r>
            <w:r w:rsidR="00777EE0" w:rsidRPr="00C53B84">
              <w:rPr>
                <w:rStyle w:val="Hyperlink"/>
                <w:noProof/>
              </w:rPr>
              <w:t>Important considerations for intervention development</w:t>
            </w:r>
            <w:r w:rsidR="00777EE0">
              <w:rPr>
                <w:noProof/>
                <w:webHidden/>
              </w:rPr>
              <w:tab/>
            </w:r>
            <w:r w:rsidR="00777EE0">
              <w:rPr>
                <w:noProof/>
                <w:webHidden/>
              </w:rPr>
              <w:fldChar w:fldCharType="begin"/>
            </w:r>
            <w:r w:rsidR="00777EE0">
              <w:rPr>
                <w:noProof/>
                <w:webHidden/>
              </w:rPr>
              <w:instrText xml:space="preserve"> PAGEREF _Toc35892490 \h </w:instrText>
            </w:r>
            <w:r w:rsidR="00777EE0">
              <w:rPr>
                <w:noProof/>
                <w:webHidden/>
              </w:rPr>
            </w:r>
            <w:r w:rsidR="00777EE0">
              <w:rPr>
                <w:noProof/>
                <w:webHidden/>
              </w:rPr>
              <w:fldChar w:fldCharType="separate"/>
            </w:r>
            <w:r w:rsidR="0026579C">
              <w:rPr>
                <w:noProof/>
                <w:webHidden/>
              </w:rPr>
              <w:t>8</w:t>
            </w:r>
            <w:r w:rsidR="00777EE0">
              <w:rPr>
                <w:noProof/>
                <w:webHidden/>
              </w:rPr>
              <w:fldChar w:fldCharType="end"/>
            </w:r>
          </w:hyperlink>
        </w:p>
        <w:p w14:paraId="0C539F1D" w14:textId="0D5E6182" w:rsidR="00777EE0" w:rsidRDefault="00251E9C">
          <w:pPr>
            <w:pStyle w:val="TOC3"/>
            <w:rPr>
              <w:rFonts w:asciiTheme="minorHAnsi" w:eastAsiaTheme="minorEastAsia" w:hAnsiTheme="minorHAnsi" w:cstheme="minorBidi"/>
              <w:noProof/>
              <w:sz w:val="22"/>
              <w:lang w:eastAsia="en-GB"/>
            </w:rPr>
          </w:pPr>
          <w:hyperlink w:anchor="_Toc35892491" w:history="1">
            <w:r w:rsidR="00777EE0" w:rsidRPr="00C53B84">
              <w:rPr>
                <w:rStyle w:val="Hyperlink"/>
                <w:noProof/>
              </w:rPr>
              <w:t>1.4.1</w:t>
            </w:r>
            <w:r w:rsidR="00777EE0">
              <w:rPr>
                <w:rFonts w:asciiTheme="minorHAnsi" w:eastAsiaTheme="minorEastAsia" w:hAnsiTheme="minorHAnsi" w:cstheme="minorBidi"/>
                <w:noProof/>
                <w:sz w:val="22"/>
                <w:lang w:eastAsia="en-GB"/>
              </w:rPr>
              <w:tab/>
            </w:r>
            <w:r w:rsidR="00777EE0" w:rsidRPr="00C53B84">
              <w:rPr>
                <w:rStyle w:val="Hyperlink"/>
                <w:noProof/>
              </w:rPr>
              <w:t>Equity</w:t>
            </w:r>
            <w:r w:rsidR="00777EE0">
              <w:rPr>
                <w:noProof/>
                <w:webHidden/>
              </w:rPr>
              <w:tab/>
            </w:r>
            <w:r w:rsidR="00777EE0">
              <w:rPr>
                <w:noProof/>
                <w:webHidden/>
              </w:rPr>
              <w:fldChar w:fldCharType="begin"/>
            </w:r>
            <w:r w:rsidR="00777EE0">
              <w:rPr>
                <w:noProof/>
                <w:webHidden/>
              </w:rPr>
              <w:instrText xml:space="preserve"> PAGEREF _Toc35892491 \h </w:instrText>
            </w:r>
            <w:r w:rsidR="00777EE0">
              <w:rPr>
                <w:noProof/>
                <w:webHidden/>
              </w:rPr>
            </w:r>
            <w:r w:rsidR="00777EE0">
              <w:rPr>
                <w:noProof/>
                <w:webHidden/>
              </w:rPr>
              <w:fldChar w:fldCharType="separate"/>
            </w:r>
            <w:r w:rsidR="0026579C">
              <w:rPr>
                <w:noProof/>
                <w:webHidden/>
              </w:rPr>
              <w:t>8</w:t>
            </w:r>
            <w:r w:rsidR="00777EE0">
              <w:rPr>
                <w:noProof/>
                <w:webHidden/>
              </w:rPr>
              <w:fldChar w:fldCharType="end"/>
            </w:r>
          </w:hyperlink>
        </w:p>
        <w:p w14:paraId="7F0BC8A3" w14:textId="4B35299A" w:rsidR="00777EE0" w:rsidRDefault="00251E9C">
          <w:pPr>
            <w:pStyle w:val="TOC3"/>
            <w:rPr>
              <w:rFonts w:asciiTheme="minorHAnsi" w:eastAsiaTheme="minorEastAsia" w:hAnsiTheme="minorHAnsi" w:cstheme="minorBidi"/>
              <w:noProof/>
              <w:sz w:val="22"/>
              <w:lang w:eastAsia="en-GB"/>
            </w:rPr>
          </w:pPr>
          <w:hyperlink w:anchor="_Toc35892492" w:history="1">
            <w:r w:rsidR="00777EE0" w:rsidRPr="00C53B84">
              <w:rPr>
                <w:rStyle w:val="Hyperlink"/>
                <w:noProof/>
              </w:rPr>
              <w:t>1.4.2</w:t>
            </w:r>
            <w:r w:rsidR="00777EE0">
              <w:rPr>
                <w:rFonts w:asciiTheme="minorHAnsi" w:eastAsiaTheme="minorEastAsia" w:hAnsiTheme="minorHAnsi" w:cstheme="minorBidi"/>
                <w:noProof/>
                <w:sz w:val="22"/>
                <w:lang w:eastAsia="en-GB"/>
              </w:rPr>
              <w:tab/>
            </w:r>
            <w:r w:rsidR="00777EE0" w:rsidRPr="00C53B84">
              <w:rPr>
                <w:rStyle w:val="Hyperlink"/>
                <w:noProof/>
              </w:rPr>
              <w:t>Safety</w:t>
            </w:r>
            <w:r w:rsidR="00777EE0">
              <w:rPr>
                <w:noProof/>
                <w:webHidden/>
              </w:rPr>
              <w:tab/>
            </w:r>
            <w:r w:rsidR="00777EE0">
              <w:rPr>
                <w:noProof/>
                <w:webHidden/>
              </w:rPr>
              <w:fldChar w:fldCharType="begin"/>
            </w:r>
            <w:r w:rsidR="00777EE0">
              <w:rPr>
                <w:noProof/>
                <w:webHidden/>
              </w:rPr>
              <w:instrText xml:space="preserve"> PAGEREF _Toc35892492 \h </w:instrText>
            </w:r>
            <w:r w:rsidR="00777EE0">
              <w:rPr>
                <w:noProof/>
                <w:webHidden/>
              </w:rPr>
            </w:r>
            <w:r w:rsidR="00777EE0">
              <w:rPr>
                <w:noProof/>
                <w:webHidden/>
              </w:rPr>
              <w:fldChar w:fldCharType="separate"/>
            </w:r>
            <w:r w:rsidR="0026579C">
              <w:rPr>
                <w:noProof/>
                <w:webHidden/>
              </w:rPr>
              <w:t>9</w:t>
            </w:r>
            <w:r w:rsidR="00777EE0">
              <w:rPr>
                <w:noProof/>
                <w:webHidden/>
              </w:rPr>
              <w:fldChar w:fldCharType="end"/>
            </w:r>
          </w:hyperlink>
        </w:p>
        <w:p w14:paraId="021D22C2" w14:textId="2F9078E2" w:rsidR="00777EE0" w:rsidRDefault="00251E9C">
          <w:pPr>
            <w:pStyle w:val="TOC3"/>
            <w:rPr>
              <w:rFonts w:asciiTheme="minorHAnsi" w:eastAsiaTheme="minorEastAsia" w:hAnsiTheme="minorHAnsi" w:cstheme="minorBidi"/>
              <w:noProof/>
              <w:sz w:val="22"/>
              <w:lang w:eastAsia="en-GB"/>
            </w:rPr>
          </w:pPr>
          <w:hyperlink w:anchor="_Toc35892493" w:history="1">
            <w:r w:rsidR="00777EE0" w:rsidRPr="00C53B84">
              <w:rPr>
                <w:rStyle w:val="Hyperlink"/>
                <w:noProof/>
              </w:rPr>
              <w:t>1.4.3</w:t>
            </w:r>
            <w:r w:rsidR="00777EE0">
              <w:rPr>
                <w:rFonts w:asciiTheme="minorHAnsi" w:eastAsiaTheme="minorEastAsia" w:hAnsiTheme="minorHAnsi" w:cstheme="minorBidi"/>
                <w:noProof/>
                <w:sz w:val="22"/>
                <w:lang w:eastAsia="en-GB"/>
              </w:rPr>
              <w:tab/>
            </w:r>
            <w:r w:rsidR="00777EE0" w:rsidRPr="00C53B84">
              <w:rPr>
                <w:rStyle w:val="Hyperlink"/>
                <w:noProof/>
              </w:rPr>
              <w:t>Acceptability</w:t>
            </w:r>
            <w:r w:rsidR="00777EE0">
              <w:rPr>
                <w:noProof/>
                <w:webHidden/>
              </w:rPr>
              <w:tab/>
            </w:r>
            <w:r w:rsidR="00777EE0">
              <w:rPr>
                <w:noProof/>
                <w:webHidden/>
              </w:rPr>
              <w:fldChar w:fldCharType="begin"/>
            </w:r>
            <w:r w:rsidR="00777EE0">
              <w:rPr>
                <w:noProof/>
                <w:webHidden/>
              </w:rPr>
              <w:instrText xml:space="preserve"> PAGEREF _Toc35892493 \h </w:instrText>
            </w:r>
            <w:r w:rsidR="00777EE0">
              <w:rPr>
                <w:noProof/>
                <w:webHidden/>
              </w:rPr>
            </w:r>
            <w:r w:rsidR="00777EE0">
              <w:rPr>
                <w:noProof/>
                <w:webHidden/>
              </w:rPr>
              <w:fldChar w:fldCharType="separate"/>
            </w:r>
            <w:r w:rsidR="0026579C">
              <w:rPr>
                <w:noProof/>
                <w:webHidden/>
              </w:rPr>
              <w:t>9</w:t>
            </w:r>
            <w:r w:rsidR="00777EE0">
              <w:rPr>
                <w:noProof/>
                <w:webHidden/>
              </w:rPr>
              <w:fldChar w:fldCharType="end"/>
            </w:r>
          </w:hyperlink>
        </w:p>
        <w:p w14:paraId="32CB2499" w14:textId="7062C45D" w:rsidR="00777EE0" w:rsidRDefault="00251E9C">
          <w:pPr>
            <w:pStyle w:val="TOC3"/>
            <w:rPr>
              <w:rFonts w:asciiTheme="minorHAnsi" w:eastAsiaTheme="minorEastAsia" w:hAnsiTheme="minorHAnsi" w:cstheme="minorBidi"/>
              <w:noProof/>
              <w:sz w:val="22"/>
              <w:lang w:eastAsia="en-GB"/>
            </w:rPr>
          </w:pPr>
          <w:hyperlink w:anchor="_Toc35892494" w:history="1">
            <w:r w:rsidR="00777EE0" w:rsidRPr="00C53B84">
              <w:rPr>
                <w:rStyle w:val="Hyperlink"/>
                <w:noProof/>
              </w:rPr>
              <w:t>1.4.1</w:t>
            </w:r>
            <w:r w:rsidR="00777EE0">
              <w:rPr>
                <w:rFonts w:asciiTheme="minorHAnsi" w:eastAsiaTheme="minorEastAsia" w:hAnsiTheme="minorHAnsi" w:cstheme="minorBidi"/>
                <w:noProof/>
                <w:sz w:val="22"/>
                <w:lang w:eastAsia="en-GB"/>
              </w:rPr>
              <w:tab/>
            </w:r>
            <w:r w:rsidR="00777EE0" w:rsidRPr="00C53B84">
              <w:rPr>
                <w:rStyle w:val="Hyperlink"/>
                <w:noProof/>
              </w:rPr>
              <w:t>Relevance</w:t>
            </w:r>
            <w:r w:rsidR="00777EE0">
              <w:rPr>
                <w:noProof/>
                <w:webHidden/>
              </w:rPr>
              <w:tab/>
            </w:r>
            <w:r w:rsidR="00777EE0">
              <w:rPr>
                <w:noProof/>
                <w:webHidden/>
              </w:rPr>
              <w:fldChar w:fldCharType="begin"/>
            </w:r>
            <w:r w:rsidR="00777EE0">
              <w:rPr>
                <w:noProof/>
                <w:webHidden/>
              </w:rPr>
              <w:instrText xml:space="preserve"> PAGEREF _Toc35892494 \h </w:instrText>
            </w:r>
            <w:r w:rsidR="00777EE0">
              <w:rPr>
                <w:noProof/>
                <w:webHidden/>
              </w:rPr>
            </w:r>
            <w:r w:rsidR="00777EE0">
              <w:rPr>
                <w:noProof/>
                <w:webHidden/>
              </w:rPr>
              <w:fldChar w:fldCharType="separate"/>
            </w:r>
            <w:r w:rsidR="0026579C">
              <w:rPr>
                <w:noProof/>
                <w:webHidden/>
              </w:rPr>
              <w:t>9</w:t>
            </w:r>
            <w:r w:rsidR="00777EE0">
              <w:rPr>
                <w:noProof/>
                <w:webHidden/>
              </w:rPr>
              <w:fldChar w:fldCharType="end"/>
            </w:r>
          </w:hyperlink>
        </w:p>
        <w:p w14:paraId="3647DD4C" w14:textId="53F55DDA" w:rsidR="00777EE0" w:rsidRDefault="00251E9C">
          <w:pPr>
            <w:pStyle w:val="TOC3"/>
            <w:rPr>
              <w:rFonts w:asciiTheme="minorHAnsi" w:eastAsiaTheme="minorEastAsia" w:hAnsiTheme="minorHAnsi" w:cstheme="minorBidi"/>
              <w:noProof/>
              <w:sz w:val="22"/>
              <w:lang w:eastAsia="en-GB"/>
            </w:rPr>
          </w:pPr>
          <w:hyperlink w:anchor="_Toc35892495" w:history="1">
            <w:r w:rsidR="00777EE0" w:rsidRPr="00C53B84">
              <w:rPr>
                <w:rStyle w:val="Hyperlink"/>
                <w:noProof/>
              </w:rPr>
              <w:t>1.4.2</w:t>
            </w:r>
            <w:r w:rsidR="00777EE0">
              <w:rPr>
                <w:rFonts w:asciiTheme="minorHAnsi" w:eastAsiaTheme="minorEastAsia" w:hAnsiTheme="minorHAnsi" w:cstheme="minorBidi"/>
                <w:noProof/>
                <w:sz w:val="22"/>
                <w:lang w:eastAsia="en-GB"/>
              </w:rPr>
              <w:tab/>
            </w:r>
            <w:r w:rsidR="00777EE0" w:rsidRPr="00C53B84">
              <w:rPr>
                <w:rStyle w:val="Hyperlink"/>
                <w:noProof/>
              </w:rPr>
              <w:t>Feasibility</w:t>
            </w:r>
            <w:r w:rsidR="00777EE0">
              <w:rPr>
                <w:noProof/>
                <w:webHidden/>
              </w:rPr>
              <w:tab/>
            </w:r>
            <w:r w:rsidR="00777EE0">
              <w:rPr>
                <w:noProof/>
                <w:webHidden/>
              </w:rPr>
              <w:fldChar w:fldCharType="begin"/>
            </w:r>
            <w:r w:rsidR="00777EE0">
              <w:rPr>
                <w:noProof/>
                <w:webHidden/>
              </w:rPr>
              <w:instrText xml:space="preserve"> PAGEREF _Toc35892495 \h </w:instrText>
            </w:r>
            <w:r w:rsidR="00777EE0">
              <w:rPr>
                <w:noProof/>
                <w:webHidden/>
              </w:rPr>
            </w:r>
            <w:r w:rsidR="00777EE0">
              <w:rPr>
                <w:noProof/>
                <w:webHidden/>
              </w:rPr>
              <w:fldChar w:fldCharType="separate"/>
            </w:r>
            <w:r w:rsidR="0026579C">
              <w:rPr>
                <w:noProof/>
                <w:webHidden/>
              </w:rPr>
              <w:t>10</w:t>
            </w:r>
            <w:r w:rsidR="00777EE0">
              <w:rPr>
                <w:noProof/>
                <w:webHidden/>
              </w:rPr>
              <w:fldChar w:fldCharType="end"/>
            </w:r>
          </w:hyperlink>
        </w:p>
        <w:p w14:paraId="7E0183AC" w14:textId="30EC5DB6" w:rsidR="00777EE0" w:rsidRDefault="00251E9C">
          <w:pPr>
            <w:pStyle w:val="TOC3"/>
            <w:rPr>
              <w:rFonts w:asciiTheme="minorHAnsi" w:eastAsiaTheme="minorEastAsia" w:hAnsiTheme="minorHAnsi" w:cstheme="minorBidi"/>
              <w:noProof/>
              <w:sz w:val="22"/>
              <w:lang w:eastAsia="en-GB"/>
            </w:rPr>
          </w:pPr>
          <w:hyperlink w:anchor="_Toc35892496" w:history="1">
            <w:r w:rsidR="00777EE0" w:rsidRPr="00C53B84">
              <w:rPr>
                <w:rStyle w:val="Hyperlink"/>
                <w:noProof/>
              </w:rPr>
              <w:t>1.4.3</w:t>
            </w:r>
            <w:r w:rsidR="00777EE0">
              <w:rPr>
                <w:rFonts w:asciiTheme="minorHAnsi" w:eastAsiaTheme="minorEastAsia" w:hAnsiTheme="minorHAnsi" w:cstheme="minorBidi"/>
                <w:noProof/>
                <w:sz w:val="22"/>
                <w:lang w:eastAsia="en-GB"/>
              </w:rPr>
              <w:tab/>
            </w:r>
            <w:r w:rsidR="00777EE0" w:rsidRPr="00C53B84">
              <w:rPr>
                <w:rStyle w:val="Hyperlink"/>
                <w:noProof/>
              </w:rPr>
              <w:t>Evidence-based</w:t>
            </w:r>
            <w:r w:rsidR="00777EE0">
              <w:rPr>
                <w:noProof/>
                <w:webHidden/>
              </w:rPr>
              <w:tab/>
            </w:r>
            <w:r w:rsidR="00777EE0">
              <w:rPr>
                <w:noProof/>
                <w:webHidden/>
              </w:rPr>
              <w:fldChar w:fldCharType="begin"/>
            </w:r>
            <w:r w:rsidR="00777EE0">
              <w:rPr>
                <w:noProof/>
                <w:webHidden/>
              </w:rPr>
              <w:instrText xml:space="preserve"> PAGEREF _Toc35892496 \h </w:instrText>
            </w:r>
            <w:r w:rsidR="00777EE0">
              <w:rPr>
                <w:noProof/>
                <w:webHidden/>
              </w:rPr>
            </w:r>
            <w:r w:rsidR="00777EE0">
              <w:rPr>
                <w:noProof/>
                <w:webHidden/>
              </w:rPr>
              <w:fldChar w:fldCharType="separate"/>
            </w:r>
            <w:r w:rsidR="0026579C">
              <w:rPr>
                <w:noProof/>
                <w:webHidden/>
              </w:rPr>
              <w:t>10</w:t>
            </w:r>
            <w:r w:rsidR="00777EE0">
              <w:rPr>
                <w:noProof/>
                <w:webHidden/>
              </w:rPr>
              <w:fldChar w:fldCharType="end"/>
            </w:r>
          </w:hyperlink>
        </w:p>
        <w:p w14:paraId="1B25603D" w14:textId="369A9ED9"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97" w:history="1">
            <w:r w:rsidR="00777EE0" w:rsidRPr="00C53B84">
              <w:rPr>
                <w:rStyle w:val="Hyperlink"/>
                <w:noProof/>
              </w:rPr>
              <w:t>1.5</w:t>
            </w:r>
            <w:r w:rsidR="00777EE0">
              <w:rPr>
                <w:rFonts w:asciiTheme="minorHAnsi" w:eastAsiaTheme="minorEastAsia" w:hAnsiTheme="minorHAnsi" w:cstheme="minorBidi"/>
                <w:noProof/>
                <w:sz w:val="22"/>
                <w:lang w:eastAsia="en-GB"/>
              </w:rPr>
              <w:tab/>
            </w:r>
            <w:r w:rsidR="00777EE0" w:rsidRPr="00C53B84">
              <w:rPr>
                <w:rStyle w:val="Hyperlink"/>
                <w:noProof/>
              </w:rPr>
              <w:t>Thesis overview</w:t>
            </w:r>
            <w:r w:rsidR="00777EE0">
              <w:rPr>
                <w:noProof/>
                <w:webHidden/>
              </w:rPr>
              <w:tab/>
            </w:r>
            <w:r w:rsidR="00777EE0">
              <w:rPr>
                <w:noProof/>
                <w:webHidden/>
              </w:rPr>
              <w:fldChar w:fldCharType="begin"/>
            </w:r>
            <w:r w:rsidR="00777EE0">
              <w:rPr>
                <w:noProof/>
                <w:webHidden/>
              </w:rPr>
              <w:instrText xml:space="preserve"> PAGEREF _Toc35892497 \h </w:instrText>
            </w:r>
            <w:r w:rsidR="00777EE0">
              <w:rPr>
                <w:noProof/>
                <w:webHidden/>
              </w:rPr>
            </w:r>
            <w:r w:rsidR="00777EE0">
              <w:rPr>
                <w:noProof/>
                <w:webHidden/>
              </w:rPr>
              <w:fldChar w:fldCharType="separate"/>
            </w:r>
            <w:r w:rsidR="0026579C">
              <w:rPr>
                <w:noProof/>
                <w:webHidden/>
              </w:rPr>
              <w:t>11</w:t>
            </w:r>
            <w:r w:rsidR="00777EE0">
              <w:rPr>
                <w:noProof/>
                <w:webHidden/>
              </w:rPr>
              <w:fldChar w:fldCharType="end"/>
            </w:r>
          </w:hyperlink>
        </w:p>
        <w:p w14:paraId="03E9B64B" w14:textId="1AD637DF"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498" w:history="1">
            <w:r w:rsidR="00777EE0" w:rsidRPr="00C53B84">
              <w:rPr>
                <w:rStyle w:val="Hyperlink"/>
                <w:noProof/>
                <w14:scene3d>
                  <w14:camera w14:prst="orthographicFront"/>
                  <w14:lightRig w14:rig="threePt" w14:dir="t">
                    <w14:rot w14:lat="0" w14:lon="0" w14:rev="0"/>
                  </w14:lightRig>
                </w14:scene3d>
              </w:rPr>
              <w:t>Chapter 2</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Background</w:t>
            </w:r>
            <w:r w:rsidR="00777EE0">
              <w:rPr>
                <w:noProof/>
                <w:webHidden/>
              </w:rPr>
              <w:tab/>
            </w:r>
            <w:r w:rsidR="00777EE0">
              <w:rPr>
                <w:noProof/>
                <w:webHidden/>
              </w:rPr>
              <w:fldChar w:fldCharType="begin"/>
            </w:r>
            <w:r w:rsidR="00777EE0">
              <w:rPr>
                <w:noProof/>
                <w:webHidden/>
              </w:rPr>
              <w:instrText xml:space="preserve"> PAGEREF _Toc35892498 \h </w:instrText>
            </w:r>
            <w:r w:rsidR="00777EE0">
              <w:rPr>
                <w:noProof/>
                <w:webHidden/>
              </w:rPr>
            </w:r>
            <w:r w:rsidR="00777EE0">
              <w:rPr>
                <w:noProof/>
                <w:webHidden/>
              </w:rPr>
              <w:fldChar w:fldCharType="separate"/>
            </w:r>
            <w:r w:rsidR="0026579C">
              <w:rPr>
                <w:noProof/>
                <w:webHidden/>
              </w:rPr>
              <w:t>14</w:t>
            </w:r>
            <w:r w:rsidR="00777EE0">
              <w:rPr>
                <w:noProof/>
                <w:webHidden/>
              </w:rPr>
              <w:fldChar w:fldCharType="end"/>
            </w:r>
          </w:hyperlink>
        </w:p>
        <w:p w14:paraId="3802FC37" w14:textId="16D58E6D"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499" w:history="1">
            <w:r w:rsidR="00777EE0" w:rsidRPr="00C53B84">
              <w:rPr>
                <w:rStyle w:val="Hyperlink"/>
                <w:noProof/>
              </w:rPr>
              <w:t>2.1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_Toc35892499 \h </w:instrText>
            </w:r>
            <w:r w:rsidR="00777EE0">
              <w:rPr>
                <w:noProof/>
                <w:webHidden/>
              </w:rPr>
            </w:r>
            <w:r w:rsidR="00777EE0">
              <w:rPr>
                <w:noProof/>
                <w:webHidden/>
              </w:rPr>
              <w:fldChar w:fldCharType="separate"/>
            </w:r>
            <w:r w:rsidR="0026579C">
              <w:rPr>
                <w:noProof/>
                <w:webHidden/>
              </w:rPr>
              <w:t>14</w:t>
            </w:r>
            <w:r w:rsidR="00777EE0">
              <w:rPr>
                <w:noProof/>
                <w:webHidden/>
              </w:rPr>
              <w:fldChar w:fldCharType="end"/>
            </w:r>
          </w:hyperlink>
        </w:p>
        <w:p w14:paraId="6592A0D2" w14:textId="514001DC"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00" w:history="1">
            <w:r w:rsidR="00777EE0" w:rsidRPr="00C53B84">
              <w:rPr>
                <w:rStyle w:val="Hyperlink"/>
                <w:noProof/>
              </w:rPr>
              <w:t>2.2</w:t>
            </w:r>
            <w:r w:rsidR="00777EE0">
              <w:rPr>
                <w:rFonts w:asciiTheme="minorHAnsi" w:eastAsiaTheme="minorEastAsia" w:hAnsiTheme="minorHAnsi" w:cstheme="minorBidi"/>
                <w:noProof/>
                <w:sz w:val="22"/>
                <w:lang w:eastAsia="en-GB"/>
              </w:rPr>
              <w:tab/>
            </w:r>
            <w:r w:rsidR="00777EE0" w:rsidRPr="00C53B84">
              <w:rPr>
                <w:rStyle w:val="Hyperlink"/>
                <w:noProof/>
              </w:rPr>
              <w:t>New psychoactive substances or ‘legal highs’</w:t>
            </w:r>
            <w:r w:rsidR="00777EE0">
              <w:rPr>
                <w:noProof/>
                <w:webHidden/>
              </w:rPr>
              <w:tab/>
            </w:r>
            <w:r w:rsidR="00777EE0">
              <w:rPr>
                <w:noProof/>
                <w:webHidden/>
              </w:rPr>
              <w:fldChar w:fldCharType="begin"/>
            </w:r>
            <w:r w:rsidR="00777EE0">
              <w:rPr>
                <w:noProof/>
                <w:webHidden/>
              </w:rPr>
              <w:instrText xml:space="preserve"> PAGEREF _Toc35892500 \h </w:instrText>
            </w:r>
            <w:r w:rsidR="00777EE0">
              <w:rPr>
                <w:noProof/>
                <w:webHidden/>
              </w:rPr>
            </w:r>
            <w:r w:rsidR="00777EE0">
              <w:rPr>
                <w:noProof/>
                <w:webHidden/>
              </w:rPr>
              <w:fldChar w:fldCharType="separate"/>
            </w:r>
            <w:r w:rsidR="0026579C">
              <w:rPr>
                <w:noProof/>
                <w:webHidden/>
              </w:rPr>
              <w:t>15</w:t>
            </w:r>
            <w:r w:rsidR="00777EE0">
              <w:rPr>
                <w:noProof/>
                <w:webHidden/>
              </w:rPr>
              <w:fldChar w:fldCharType="end"/>
            </w:r>
          </w:hyperlink>
        </w:p>
        <w:p w14:paraId="45308622" w14:textId="16BB1382" w:rsidR="00777EE0" w:rsidRDefault="00251E9C">
          <w:pPr>
            <w:pStyle w:val="TOC3"/>
            <w:rPr>
              <w:rFonts w:asciiTheme="minorHAnsi" w:eastAsiaTheme="minorEastAsia" w:hAnsiTheme="minorHAnsi" w:cstheme="minorBidi"/>
              <w:noProof/>
              <w:sz w:val="22"/>
              <w:lang w:eastAsia="en-GB"/>
            </w:rPr>
          </w:pPr>
          <w:hyperlink w:anchor="_Toc35892501" w:history="1">
            <w:r w:rsidR="00777EE0" w:rsidRPr="00C53B84">
              <w:rPr>
                <w:rStyle w:val="Hyperlink"/>
                <w:noProof/>
              </w:rPr>
              <w:t>2.2.1</w:t>
            </w:r>
            <w:r w:rsidR="00777EE0">
              <w:rPr>
                <w:rFonts w:asciiTheme="minorHAnsi" w:eastAsiaTheme="minorEastAsia" w:hAnsiTheme="minorHAnsi" w:cstheme="minorBidi"/>
                <w:noProof/>
                <w:sz w:val="22"/>
                <w:lang w:eastAsia="en-GB"/>
              </w:rPr>
              <w:tab/>
            </w:r>
            <w:r w:rsidR="00777EE0" w:rsidRPr="00C53B84">
              <w:rPr>
                <w:rStyle w:val="Hyperlink"/>
                <w:noProof/>
              </w:rPr>
              <w:t>Types of NPS</w:t>
            </w:r>
            <w:r w:rsidR="00777EE0">
              <w:rPr>
                <w:noProof/>
                <w:webHidden/>
              </w:rPr>
              <w:tab/>
            </w:r>
            <w:r w:rsidR="00777EE0">
              <w:rPr>
                <w:noProof/>
                <w:webHidden/>
              </w:rPr>
              <w:fldChar w:fldCharType="begin"/>
            </w:r>
            <w:r w:rsidR="00777EE0">
              <w:rPr>
                <w:noProof/>
                <w:webHidden/>
              </w:rPr>
              <w:instrText xml:space="preserve"> PAGEREF _Toc35892501 \h </w:instrText>
            </w:r>
            <w:r w:rsidR="00777EE0">
              <w:rPr>
                <w:noProof/>
                <w:webHidden/>
              </w:rPr>
            </w:r>
            <w:r w:rsidR="00777EE0">
              <w:rPr>
                <w:noProof/>
                <w:webHidden/>
              </w:rPr>
              <w:fldChar w:fldCharType="separate"/>
            </w:r>
            <w:r w:rsidR="0026579C">
              <w:rPr>
                <w:noProof/>
                <w:webHidden/>
              </w:rPr>
              <w:t>16</w:t>
            </w:r>
            <w:r w:rsidR="00777EE0">
              <w:rPr>
                <w:noProof/>
                <w:webHidden/>
              </w:rPr>
              <w:fldChar w:fldCharType="end"/>
            </w:r>
          </w:hyperlink>
        </w:p>
        <w:p w14:paraId="7196AB21" w14:textId="631083F8" w:rsidR="00777EE0" w:rsidRDefault="00251E9C">
          <w:pPr>
            <w:pStyle w:val="TOC3"/>
            <w:rPr>
              <w:rFonts w:asciiTheme="minorHAnsi" w:eastAsiaTheme="minorEastAsia" w:hAnsiTheme="minorHAnsi" w:cstheme="minorBidi"/>
              <w:noProof/>
              <w:sz w:val="22"/>
              <w:lang w:eastAsia="en-GB"/>
            </w:rPr>
          </w:pPr>
          <w:hyperlink w:anchor="_Toc35892502" w:history="1">
            <w:r w:rsidR="00777EE0" w:rsidRPr="00C53B84">
              <w:rPr>
                <w:rStyle w:val="Hyperlink"/>
                <w:noProof/>
              </w:rPr>
              <w:t>2.2.2</w:t>
            </w:r>
            <w:r w:rsidR="00777EE0">
              <w:rPr>
                <w:rFonts w:asciiTheme="minorHAnsi" w:eastAsiaTheme="minorEastAsia" w:hAnsiTheme="minorHAnsi" w:cstheme="minorBidi"/>
                <w:noProof/>
                <w:sz w:val="22"/>
                <w:lang w:eastAsia="en-GB"/>
              </w:rPr>
              <w:tab/>
            </w:r>
            <w:r w:rsidR="00777EE0" w:rsidRPr="00C53B84">
              <w:rPr>
                <w:rStyle w:val="Hyperlink"/>
                <w:noProof/>
              </w:rPr>
              <w:t>Synthetic cannabinoids</w:t>
            </w:r>
            <w:r w:rsidR="00777EE0">
              <w:rPr>
                <w:noProof/>
                <w:webHidden/>
              </w:rPr>
              <w:tab/>
            </w:r>
            <w:r w:rsidR="00777EE0">
              <w:rPr>
                <w:noProof/>
                <w:webHidden/>
              </w:rPr>
              <w:fldChar w:fldCharType="begin"/>
            </w:r>
            <w:r w:rsidR="00777EE0">
              <w:rPr>
                <w:noProof/>
                <w:webHidden/>
              </w:rPr>
              <w:instrText xml:space="preserve"> PAGEREF _Toc35892502 \h </w:instrText>
            </w:r>
            <w:r w:rsidR="00777EE0">
              <w:rPr>
                <w:noProof/>
                <w:webHidden/>
              </w:rPr>
            </w:r>
            <w:r w:rsidR="00777EE0">
              <w:rPr>
                <w:noProof/>
                <w:webHidden/>
              </w:rPr>
              <w:fldChar w:fldCharType="separate"/>
            </w:r>
            <w:r w:rsidR="0026579C">
              <w:rPr>
                <w:noProof/>
                <w:webHidden/>
              </w:rPr>
              <w:t>20</w:t>
            </w:r>
            <w:r w:rsidR="00777EE0">
              <w:rPr>
                <w:noProof/>
                <w:webHidden/>
              </w:rPr>
              <w:fldChar w:fldCharType="end"/>
            </w:r>
          </w:hyperlink>
        </w:p>
        <w:p w14:paraId="3C2FF697" w14:textId="226F66FA" w:rsidR="00777EE0" w:rsidRDefault="00251E9C">
          <w:pPr>
            <w:pStyle w:val="TOC3"/>
            <w:rPr>
              <w:rFonts w:asciiTheme="minorHAnsi" w:eastAsiaTheme="minorEastAsia" w:hAnsiTheme="minorHAnsi" w:cstheme="minorBidi"/>
              <w:noProof/>
              <w:sz w:val="22"/>
              <w:lang w:eastAsia="en-GB"/>
            </w:rPr>
          </w:pPr>
          <w:hyperlink w:anchor="_Toc35892503" w:history="1">
            <w:r w:rsidR="00777EE0" w:rsidRPr="00C53B84">
              <w:rPr>
                <w:rStyle w:val="Hyperlink"/>
                <w:noProof/>
                <w:lang w:val="en-US"/>
              </w:rPr>
              <w:t>2.2.3</w:t>
            </w:r>
            <w:r w:rsidR="00777EE0">
              <w:rPr>
                <w:rFonts w:asciiTheme="minorHAnsi" w:eastAsiaTheme="minorEastAsia" w:hAnsiTheme="minorHAnsi" w:cstheme="minorBidi"/>
                <w:noProof/>
                <w:sz w:val="22"/>
                <w:lang w:eastAsia="en-GB"/>
              </w:rPr>
              <w:tab/>
            </w:r>
            <w:r w:rsidR="00777EE0" w:rsidRPr="00C53B84">
              <w:rPr>
                <w:rStyle w:val="Hyperlink"/>
                <w:noProof/>
                <w:lang w:val="en-US"/>
              </w:rPr>
              <w:t>Synthetic stimulants and empathogens</w:t>
            </w:r>
            <w:r w:rsidR="00777EE0">
              <w:rPr>
                <w:noProof/>
                <w:webHidden/>
              </w:rPr>
              <w:tab/>
            </w:r>
            <w:r w:rsidR="00777EE0">
              <w:rPr>
                <w:noProof/>
                <w:webHidden/>
              </w:rPr>
              <w:fldChar w:fldCharType="begin"/>
            </w:r>
            <w:r w:rsidR="00777EE0">
              <w:rPr>
                <w:noProof/>
                <w:webHidden/>
              </w:rPr>
              <w:instrText xml:space="preserve"> PAGEREF _Toc35892503 \h </w:instrText>
            </w:r>
            <w:r w:rsidR="00777EE0">
              <w:rPr>
                <w:noProof/>
                <w:webHidden/>
              </w:rPr>
            </w:r>
            <w:r w:rsidR="00777EE0">
              <w:rPr>
                <w:noProof/>
                <w:webHidden/>
              </w:rPr>
              <w:fldChar w:fldCharType="separate"/>
            </w:r>
            <w:r w:rsidR="0026579C">
              <w:rPr>
                <w:noProof/>
                <w:webHidden/>
              </w:rPr>
              <w:t>20</w:t>
            </w:r>
            <w:r w:rsidR="00777EE0">
              <w:rPr>
                <w:noProof/>
                <w:webHidden/>
              </w:rPr>
              <w:fldChar w:fldCharType="end"/>
            </w:r>
          </w:hyperlink>
        </w:p>
        <w:p w14:paraId="1713E463" w14:textId="515541A4" w:rsidR="00777EE0" w:rsidRDefault="00251E9C">
          <w:pPr>
            <w:pStyle w:val="TOC3"/>
            <w:rPr>
              <w:rFonts w:asciiTheme="minorHAnsi" w:eastAsiaTheme="minorEastAsia" w:hAnsiTheme="minorHAnsi" w:cstheme="minorBidi"/>
              <w:noProof/>
              <w:sz w:val="22"/>
              <w:lang w:eastAsia="en-GB"/>
            </w:rPr>
          </w:pPr>
          <w:hyperlink w:anchor="_Toc35892504" w:history="1">
            <w:r w:rsidR="00777EE0" w:rsidRPr="00C53B84">
              <w:rPr>
                <w:rStyle w:val="Hyperlink"/>
                <w:noProof/>
              </w:rPr>
              <w:t>2.2.4</w:t>
            </w:r>
            <w:r w:rsidR="00777EE0">
              <w:rPr>
                <w:rFonts w:asciiTheme="minorHAnsi" w:eastAsiaTheme="minorEastAsia" w:hAnsiTheme="minorHAnsi" w:cstheme="minorBidi"/>
                <w:noProof/>
                <w:sz w:val="22"/>
                <w:lang w:eastAsia="en-GB"/>
              </w:rPr>
              <w:tab/>
            </w:r>
            <w:r w:rsidR="00777EE0" w:rsidRPr="00C53B84">
              <w:rPr>
                <w:rStyle w:val="Hyperlink"/>
                <w:noProof/>
              </w:rPr>
              <w:t>Synthetic dissociatives and NOS</w:t>
            </w:r>
            <w:r w:rsidR="00777EE0">
              <w:rPr>
                <w:noProof/>
                <w:webHidden/>
              </w:rPr>
              <w:tab/>
            </w:r>
            <w:r w:rsidR="00777EE0">
              <w:rPr>
                <w:noProof/>
                <w:webHidden/>
              </w:rPr>
              <w:fldChar w:fldCharType="begin"/>
            </w:r>
            <w:r w:rsidR="00777EE0">
              <w:rPr>
                <w:noProof/>
                <w:webHidden/>
              </w:rPr>
              <w:instrText xml:space="preserve"> PAGEREF _Toc35892504 \h </w:instrText>
            </w:r>
            <w:r w:rsidR="00777EE0">
              <w:rPr>
                <w:noProof/>
                <w:webHidden/>
              </w:rPr>
            </w:r>
            <w:r w:rsidR="00777EE0">
              <w:rPr>
                <w:noProof/>
                <w:webHidden/>
              </w:rPr>
              <w:fldChar w:fldCharType="separate"/>
            </w:r>
            <w:r w:rsidR="0026579C">
              <w:rPr>
                <w:noProof/>
                <w:webHidden/>
              </w:rPr>
              <w:t>21</w:t>
            </w:r>
            <w:r w:rsidR="00777EE0">
              <w:rPr>
                <w:noProof/>
                <w:webHidden/>
              </w:rPr>
              <w:fldChar w:fldCharType="end"/>
            </w:r>
          </w:hyperlink>
        </w:p>
        <w:p w14:paraId="712D6229" w14:textId="53A7E755" w:rsidR="00777EE0" w:rsidRDefault="00251E9C">
          <w:pPr>
            <w:pStyle w:val="TOC3"/>
            <w:rPr>
              <w:rFonts w:asciiTheme="minorHAnsi" w:eastAsiaTheme="minorEastAsia" w:hAnsiTheme="minorHAnsi" w:cstheme="minorBidi"/>
              <w:noProof/>
              <w:sz w:val="22"/>
              <w:lang w:eastAsia="en-GB"/>
            </w:rPr>
          </w:pPr>
          <w:hyperlink w:anchor="_Toc35892505" w:history="1">
            <w:r w:rsidR="00777EE0" w:rsidRPr="00C53B84">
              <w:rPr>
                <w:rStyle w:val="Hyperlink"/>
                <w:noProof/>
              </w:rPr>
              <w:t>2.2.5</w:t>
            </w:r>
            <w:r w:rsidR="00777EE0">
              <w:rPr>
                <w:rFonts w:asciiTheme="minorHAnsi" w:eastAsiaTheme="minorEastAsia" w:hAnsiTheme="minorHAnsi" w:cstheme="minorBidi"/>
                <w:noProof/>
                <w:sz w:val="22"/>
                <w:lang w:eastAsia="en-GB"/>
              </w:rPr>
              <w:tab/>
            </w:r>
            <w:r w:rsidR="00777EE0" w:rsidRPr="00C53B84">
              <w:rPr>
                <w:rStyle w:val="Hyperlink"/>
                <w:noProof/>
              </w:rPr>
              <w:t>Synthetic psychedelics, opioids and depressants</w:t>
            </w:r>
            <w:r w:rsidR="00777EE0">
              <w:rPr>
                <w:noProof/>
                <w:webHidden/>
              </w:rPr>
              <w:tab/>
            </w:r>
            <w:r w:rsidR="00777EE0">
              <w:rPr>
                <w:noProof/>
                <w:webHidden/>
              </w:rPr>
              <w:fldChar w:fldCharType="begin"/>
            </w:r>
            <w:r w:rsidR="00777EE0">
              <w:rPr>
                <w:noProof/>
                <w:webHidden/>
              </w:rPr>
              <w:instrText xml:space="preserve"> PAGEREF _Toc35892505 \h </w:instrText>
            </w:r>
            <w:r w:rsidR="00777EE0">
              <w:rPr>
                <w:noProof/>
                <w:webHidden/>
              </w:rPr>
            </w:r>
            <w:r w:rsidR="00777EE0">
              <w:rPr>
                <w:noProof/>
                <w:webHidden/>
              </w:rPr>
              <w:fldChar w:fldCharType="separate"/>
            </w:r>
            <w:r w:rsidR="0026579C">
              <w:rPr>
                <w:noProof/>
                <w:webHidden/>
              </w:rPr>
              <w:t>22</w:t>
            </w:r>
            <w:r w:rsidR="00777EE0">
              <w:rPr>
                <w:noProof/>
                <w:webHidden/>
              </w:rPr>
              <w:fldChar w:fldCharType="end"/>
            </w:r>
          </w:hyperlink>
        </w:p>
        <w:p w14:paraId="751BA192" w14:textId="3F3968F2" w:rsidR="00777EE0" w:rsidRDefault="00251E9C">
          <w:pPr>
            <w:pStyle w:val="TOC3"/>
            <w:rPr>
              <w:rFonts w:asciiTheme="minorHAnsi" w:eastAsiaTheme="minorEastAsia" w:hAnsiTheme="minorHAnsi" w:cstheme="minorBidi"/>
              <w:noProof/>
              <w:sz w:val="22"/>
              <w:lang w:eastAsia="en-GB"/>
            </w:rPr>
          </w:pPr>
          <w:hyperlink w:anchor="_Toc35892506" w:history="1">
            <w:r w:rsidR="00777EE0" w:rsidRPr="00C53B84">
              <w:rPr>
                <w:rStyle w:val="Hyperlink"/>
                <w:noProof/>
                <w:lang w:val="en-US"/>
              </w:rPr>
              <w:t>2.2.6</w:t>
            </w:r>
            <w:r w:rsidR="00777EE0">
              <w:rPr>
                <w:rFonts w:asciiTheme="minorHAnsi" w:eastAsiaTheme="minorEastAsia" w:hAnsiTheme="minorHAnsi" w:cstheme="minorBidi"/>
                <w:noProof/>
                <w:sz w:val="22"/>
                <w:lang w:eastAsia="en-GB"/>
              </w:rPr>
              <w:tab/>
            </w:r>
            <w:r w:rsidR="00777EE0" w:rsidRPr="00C53B84">
              <w:rPr>
                <w:rStyle w:val="Hyperlink"/>
                <w:noProof/>
                <w:lang w:val="en-US"/>
              </w:rPr>
              <w:t>Implications of NPS diversity for interventions</w:t>
            </w:r>
            <w:r w:rsidR="00777EE0">
              <w:rPr>
                <w:noProof/>
                <w:webHidden/>
              </w:rPr>
              <w:tab/>
            </w:r>
            <w:r w:rsidR="00777EE0">
              <w:rPr>
                <w:noProof/>
                <w:webHidden/>
              </w:rPr>
              <w:fldChar w:fldCharType="begin"/>
            </w:r>
            <w:r w:rsidR="00777EE0">
              <w:rPr>
                <w:noProof/>
                <w:webHidden/>
              </w:rPr>
              <w:instrText xml:space="preserve"> PAGEREF _Toc35892506 \h </w:instrText>
            </w:r>
            <w:r w:rsidR="00777EE0">
              <w:rPr>
                <w:noProof/>
                <w:webHidden/>
              </w:rPr>
            </w:r>
            <w:r w:rsidR="00777EE0">
              <w:rPr>
                <w:noProof/>
                <w:webHidden/>
              </w:rPr>
              <w:fldChar w:fldCharType="separate"/>
            </w:r>
            <w:r w:rsidR="0026579C">
              <w:rPr>
                <w:noProof/>
                <w:webHidden/>
              </w:rPr>
              <w:t>22</w:t>
            </w:r>
            <w:r w:rsidR="00777EE0">
              <w:rPr>
                <w:noProof/>
                <w:webHidden/>
              </w:rPr>
              <w:fldChar w:fldCharType="end"/>
            </w:r>
          </w:hyperlink>
        </w:p>
        <w:p w14:paraId="401266C9" w14:textId="61BD0AB8" w:rsidR="00777EE0" w:rsidRDefault="00251E9C">
          <w:pPr>
            <w:pStyle w:val="TOC3"/>
            <w:rPr>
              <w:rFonts w:asciiTheme="minorHAnsi" w:eastAsiaTheme="minorEastAsia" w:hAnsiTheme="minorHAnsi" w:cstheme="minorBidi"/>
              <w:noProof/>
              <w:sz w:val="22"/>
              <w:lang w:eastAsia="en-GB"/>
            </w:rPr>
          </w:pPr>
          <w:hyperlink w:anchor="_Toc35892507" w:history="1">
            <w:r w:rsidR="00777EE0" w:rsidRPr="00C53B84">
              <w:rPr>
                <w:rStyle w:val="Hyperlink"/>
                <w:noProof/>
              </w:rPr>
              <w:t>2.2.7</w:t>
            </w:r>
            <w:r w:rsidR="00777EE0">
              <w:rPr>
                <w:rFonts w:asciiTheme="minorHAnsi" w:eastAsiaTheme="minorEastAsia" w:hAnsiTheme="minorHAnsi" w:cstheme="minorBidi"/>
                <w:noProof/>
                <w:sz w:val="22"/>
                <w:lang w:eastAsia="en-GB"/>
              </w:rPr>
              <w:tab/>
            </w:r>
            <w:r w:rsidR="00777EE0" w:rsidRPr="00C53B84">
              <w:rPr>
                <w:rStyle w:val="Hyperlink"/>
                <w:noProof/>
              </w:rPr>
              <w:t>Growth of the legal highs market</w:t>
            </w:r>
            <w:r w:rsidR="00777EE0">
              <w:rPr>
                <w:noProof/>
                <w:webHidden/>
              </w:rPr>
              <w:tab/>
            </w:r>
            <w:r w:rsidR="00777EE0">
              <w:rPr>
                <w:noProof/>
                <w:webHidden/>
              </w:rPr>
              <w:fldChar w:fldCharType="begin"/>
            </w:r>
            <w:r w:rsidR="00777EE0">
              <w:rPr>
                <w:noProof/>
                <w:webHidden/>
              </w:rPr>
              <w:instrText xml:space="preserve"> PAGEREF _Toc35892507 \h </w:instrText>
            </w:r>
            <w:r w:rsidR="00777EE0">
              <w:rPr>
                <w:noProof/>
                <w:webHidden/>
              </w:rPr>
            </w:r>
            <w:r w:rsidR="00777EE0">
              <w:rPr>
                <w:noProof/>
                <w:webHidden/>
              </w:rPr>
              <w:fldChar w:fldCharType="separate"/>
            </w:r>
            <w:r w:rsidR="0026579C">
              <w:rPr>
                <w:noProof/>
                <w:webHidden/>
              </w:rPr>
              <w:t>23</w:t>
            </w:r>
            <w:r w:rsidR="00777EE0">
              <w:rPr>
                <w:noProof/>
                <w:webHidden/>
              </w:rPr>
              <w:fldChar w:fldCharType="end"/>
            </w:r>
          </w:hyperlink>
        </w:p>
        <w:p w14:paraId="1CFDF388" w14:textId="3DC6D493"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08" w:history="1">
            <w:r w:rsidR="00777EE0" w:rsidRPr="00C53B84">
              <w:rPr>
                <w:rStyle w:val="Hyperlink"/>
                <w:noProof/>
              </w:rPr>
              <w:t>2.3</w:t>
            </w:r>
            <w:r w:rsidR="00777EE0">
              <w:rPr>
                <w:rFonts w:asciiTheme="minorHAnsi" w:eastAsiaTheme="minorEastAsia" w:hAnsiTheme="minorHAnsi" w:cstheme="minorBidi"/>
                <w:noProof/>
                <w:sz w:val="22"/>
                <w:lang w:eastAsia="en-GB"/>
              </w:rPr>
              <w:tab/>
            </w:r>
            <w:r w:rsidR="00777EE0" w:rsidRPr="00C53B84">
              <w:rPr>
                <w:rStyle w:val="Hyperlink"/>
                <w:noProof/>
              </w:rPr>
              <w:t>NPS and UK Law</w:t>
            </w:r>
            <w:r w:rsidR="00777EE0">
              <w:rPr>
                <w:noProof/>
                <w:webHidden/>
              </w:rPr>
              <w:tab/>
            </w:r>
            <w:r w:rsidR="00777EE0">
              <w:rPr>
                <w:noProof/>
                <w:webHidden/>
              </w:rPr>
              <w:fldChar w:fldCharType="begin"/>
            </w:r>
            <w:r w:rsidR="00777EE0">
              <w:rPr>
                <w:noProof/>
                <w:webHidden/>
              </w:rPr>
              <w:instrText xml:space="preserve"> PAGEREF _Toc35892508 \h </w:instrText>
            </w:r>
            <w:r w:rsidR="00777EE0">
              <w:rPr>
                <w:noProof/>
                <w:webHidden/>
              </w:rPr>
            </w:r>
            <w:r w:rsidR="00777EE0">
              <w:rPr>
                <w:noProof/>
                <w:webHidden/>
              </w:rPr>
              <w:fldChar w:fldCharType="separate"/>
            </w:r>
            <w:r w:rsidR="0026579C">
              <w:rPr>
                <w:noProof/>
                <w:webHidden/>
              </w:rPr>
              <w:t>25</w:t>
            </w:r>
            <w:r w:rsidR="00777EE0">
              <w:rPr>
                <w:noProof/>
                <w:webHidden/>
              </w:rPr>
              <w:fldChar w:fldCharType="end"/>
            </w:r>
          </w:hyperlink>
        </w:p>
        <w:p w14:paraId="557458F5" w14:textId="18AEF0E4" w:rsidR="00777EE0" w:rsidRDefault="00251E9C">
          <w:pPr>
            <w:pStyle w:val="TOC3"/>
            <w:rPr>
              <w:rFonts w:asciiTheme="minorHAnsi" w:eastAsiaTheme="minorEastAsia" w:hAnsiTheme="minorHAnsi" w:cstheme="minorBidi"/>
              <w:noProof/>
              <w:sz w:val="22"/>
              <w:lang w:eastAsia="en-GB"/>
            </w:rPr>
          </w:pPr>
          <w:hyperlink w:anchor="_Toc35892509" w:history="1">
            <w:r w:rsidR="00777EE0" w:rsidRPr="00C53B84">
              <w:rPr>
                <w:rStyle w:val="Hyperlink"/>
                <w:noProof/>
              </w:rPr>
              <w:t>2.3.1</w:t>
            </w:r>
            <w:r w:rsidR="00777EE0">
              <w:rPr>
                <w:rFonts w:asciiTheme="minorHAnsi" w:eastAsiaTheme="minorEastAsia" w:hAnsiTheme="minorHAnsi" w:cstheme="minorBidi"/>
                <w:noProof/>
                <w:sz w:val="22"/>
                <w:lang w:eastAsia="en-GB"/>
              </w:rPr>
              <w:tab/>
            </w:r>
            <w:r w:rsidR="00777EE0" w:rsidRPr="00C53B84">
              <w:rPr>
                <w:rStyle w:val="Hyperlink"/>
                <w:noProof/>
              </w:rPr>
              <w:t>The 1971 Misuse of Drugs Act</w:t>
            </w:r>
            <w:r w:rsidR="00777EE0">
              <w:rPr>
                <w:noProof/>
                <w:webHidden/>
              </w:rPr>
              <w:tab/>
            </w:r>
            <w:r w:rsidR="00777EE0">
              <w:rPr>
                <w:noProof/>
                <w:webHidden/>
              </w:rPr>
              <w:fldChar w:fldCharType="begin"/>
            </w:r>
            <w:r w:rsidR="00777EE0">
              <w:rPr>
                <w:noProof/>
                <w:webHidden/>
              </w:rPr>
              <w:instrText xml:space="preserve"> PAGEREF _Toc35892509 \h </w:instrText>
            </w:r>
            <w:r w:rsidR="00777EE0">
              <w:rPr>
                <w:noProof/>
                <w:webHidden/>
              </w:rPr>
            </w:r>
            <w:r w:rsidR="00777EE0">
              <w:rPr>
                <w:noProof/>
                <w:webHidden/>
              </w:rPr>
              <w:fldChar w:fldCharType="separate"/>
            </w:r>
            <w:r w:rsidR="0026579C">
              <w:rPr>
                <w:noProof/>
                <w:webHidden/>
              </w:rPr>
              <w:t>26</w:t>
            </w:r>
            <w:r w:rsidR="00777EE0">
              <w:rPr>
                <w:noProof/>
                <w:webHidden/>
              </w:rPr>
              <w:fldChar w:fldCharType="end"/>
            </w:r>
          </w:hyperlink>
        </w:p>
        <w:p w14:paraId="6B85A3D1" w14:textId="0C46ADDA" w:rsidR="00777EE0" w:rsidRDefault="00251E9C">
          <w:pPr>
            <w:pStyle w:val="TOC3"/>
            <w:rPr>
              <w:rFonts w:asciiTheme="minorHAnsi" w:eastAsiaTheme="minorEastAsia" w:hAnsiTheme="minorHAnsi" w:cstheme="minorBidi"/>
              <w:noProof/>
              <w:sz w:val="22"/>
              <w:lang w:eastAsia="en-GB"/>
            </w:rPr>
          </w:pPr>
          <w:hyperlink w:anchor="_Toc35892510" w:history="1">
            <w:r w:rsidR="00777EE0" w:rsidRPr="00C53B84">
              <w:rPr>
                <w:rStyle w:val="Hyperlink"/>
                <w:noProof/>
              </w:rPr>
              <w:t>2.3.2</w:t>
            </w:r>
            <w:r w:rsidR="00777EE0">
              <w:rPr>
                <w:rFonts w:asciiTheme="minorHAnsi" w:eastAsiaTheme="minorEastAsia" w:hAnsiTheme="minorHAnsi" w:cstheme="minorBidi"/>
                <w:noProof/>
                <w:sz w:val="22"/>
                <w:lang w:eastAsia="en-GB"/>
              </w:rPr>
              <w:tab/>
            </w:r>
            <w:r w:rsidR="00777EE0" w:rsidRPr="00C53B84">
              <w:rPr>
                <w:rStyle w:val="Hyperlink"/>
                <w:noProof/>
                <w:lang w:eastAsia="en-GB"/>
              </w:rPr>
              <w:t>Other forms of legislation</w:t>
            </w:r>
            <w:r w:rsidR="00777EE0">
              <w:rPr>
                <w:noProof/>
                <w:webHidden/>
              </w:rPr>
              <w:tab/>
            </w:r>
            <w:r w:rsidR="00777EE0">
              <w:rPr>
                <w:noProof/>
                <w:webHidden/>
              </w:rPr>
              <w:fldChar w:fldCharType="begin"/>
            </w:r>
            <w:r w:rsidR="00777EE0">
              <w:rPr>
                <w:noProof/>
                <w:webHidden/>
              </w:rPr>
              <w:instrText xml:space="preserve"> PAGEREF _Toc35892510 \h </w:instrText>
            </w:r>
            <w:r w:rsidR="00777EE0">
              <w:rPr>
                <w:noProof/>
                <w:webHidden/>
              </w:rPr>
            </w:r>
            <w:r w:rsidR="00777EE0">
              <w:rPr>
                <w:noProof/>
                <w:webHidden/>
              </w:rPr>
              <w:fldChar w:fldCharType="separate"/>
            </w:r>
            <w:r w:rsidR="0026579C">
              <w:rPr>
                <w:noProof/>
                <w:webHidden/>
              </w:rPr>
              <w:t>27</w:t>
            </w:r>
            <w:r w:rsidR="00777EE0">
              <w:rPr>
                <w:noProof/>
                <w:webHidden/>
              </w:rPr>
              <w:fldChar w:fldCharType="end"/>
            </w:r>
          </w:hyperlink>
        </w:p>
        <w:p w14:paraId="00EA6996" w14:textId="1A9E953A" w:rsidR="00777EE0" w:rsidRDefault="00251E9C">
          <w:pPr>
            <w:pStyle w:val="TOC3"/>
            <w:rPr>
              <w:rFonts w:asciiTheme="minorHAnsi" w:eastAsiaTheme="minorEastAsia" w:hAnsiTheme="minorHAnsi" w:cstheme="minorBidi"/>
              <w:noProof/>
              <w:sz w:val="22"/>
              <w:lang w:eastAsia="en-GB"/>
            </w:rPr>
          </w:pPr>
          <w:hyperlink w:anchor="_Toc35892511" w:history="1">
            <w:r w:rsidR="00777EE0" w:rsidRPr="00C53B84">
              <w:rPr>
                <w:rStyle w:val="Hyperlink"/>
                <w:noProof/>
                <w:lang w:eastAsia="en-GB"/>
              </w:rPr>
              <w:t>2.3.3</w:t>
            </w:r>
            <w:r w:rsidR="00777EE0">
              <w:rPr>
                <w:rFonts w:asciiTheme="minorHAnsi" w:eastAsiaTheme="minorEastAsia" w:hAnsiTheme="minorHAnsi" w:cstheme="minorBidi"/>
                <w:noProof/>
                <w:sz w:val="22"/>
                <w:lang w:eastAsia="en-GB"/>
              </w:rPr>
              <w:tab/>
            </w:r>
            <w:r w:rsidR="00777EE0" w:rsidRPr="00C53B84">
              <w:rPr>
                <w:rStyle w:val="Hyperlink"/>
                <w:noProof/>
                <w:lang w:eastAsia="en-GB"/>
              </w:rPr>
              <w:t>The 2016 Psychoactive Substances Act (PS Act)</w:t>
            </w:r>
            <w:r w:rsidR="00777EE0">
              <w:rPr>
                <w:noProof/>
                <w:webHidden/>
              </w:rPr>
              <w:tab/>
            </w:r>
            <w:r w:rsidR="00777EE0">
              <w:rPr>
                <w:noProof/>
                <w:webHidden/>
              </w:rPr>
              <w:fldChar w:fldCharType="begin"/>
            </w:r>
            <w:r w:rsidR="00777EE0">
              <w:rPr>
                <w:noProof/>
                <w:webHidden/>
              </w:rPr>
              <w:instrText xml:space="preserve"> PAGEREF _Toc35892511 \h </w:instrText>
            </w:r>
            <w:r w:rsidR="00777EE0">
              <w:rPr>
                <w:noProof/>
                <w:webHidden/>
              </w:rPr>
            </w:r>
            <w:r w:rsidR="00777EE0">
              <w:rPr>
                <w:noProof/>
                <w:webHidden/>
              </w:rPr>
              <w:fldChar w:fldCharType="separate"/>
            </w:r>
            <w:r w:rsidR="0026579C">
              <w:rPr>
                <w:noProof/>
                <w:webHidden/>
              </w:rPr>
              <w:t>27</w:t>
            </w:r>
            <w:r w:rsidR="00777EE0">
              <w:rPr>
                <w:noProof/>
                <w:webHidden/>
              </w:rPr>
              <w:fldChar w:fldCharType="end"/>
            </w:r>
          </w:hyperlink>
        </w:p>
        <w:p w14:paraId="3BE15F42" w14:textId="4853AEB7" w:rsidR="00777EE0" w:rsidRDefault="00251E9C">
          <w:pPr>
            <w:pStyle w:val="TOC3"/>
            <w:rPr>
              <w:rFonts w:asciiTheme="minorHAnsi" w:eastAsiaTheme="minorEastAsia" w:hAnsiTheme="minorHAnsi" w:cstheme="minorBidi"/>
              <w:noProof/>
              <w:sz w:val="22"/>
              <w:lang w:eastAsia="en-GB"/>
            </w:rPr>
          </w:pPr>
          <w:hyperlink w:anchor="_Toc35892512" w:history="1">
            <w:r w:rsidR="00777EE0" w:rsidRPr="00C53B84">
              <w:rPr>
                <w:rStyle w:val="Hyperlink"/>
                <w:noProof/>
              </w:rPr>
              <w:t>2.3.4</w:t>
            </w:r>
            <w:r w:rsidR="00777EE0">
              <w:rPr>
                <w:rFonts w:asciiTheme="minorHAnsi" w:eastAsiaTheme="minorEastAsia" w:hAnsiTheme="minorHAnsi" w:cstheme="minorBidi"/>
                <w:noProof/>
                <w:sz w:val="22"/>
                <w:lang w:eastAsia="en-GB"/>
              </w:rPr>
              <w:tab/>
            </w:r>
            <w:r w:rsidR="00777EE0" w:rsidRPr="00C53B84">
              <w:rPr>
                <w:rStyle w:val="Hyperlink"/>
                <w:noProof/>
              </w:rPr>
              <w:t>Critique of the Psychoactive Substances Act</w:t>
            </w:r>
            <w:r w:rsidR="00777EE0">
              <w:rPr>
                <w:noProof/>
                <w:webHidden/>
              </w:rPr>
              <w:tab/>
            </w:r>
            <w:r w:rsidR="00777EE0">
              <w:rPr>
                <w:noProof/>
                <w:webHidden/>
              </w:rPr>
              <w:fldChar w:fldCharType="begin"/>
            </w:r>
            <w:r w:rsidR="00777EE0">
              <w:rPr>
                <w:noProof/>
                <w:webHidden/>
              </w:rPr>
              <w:instrText xml:space="preserve"> PAGEREF _Toc35892512 \h </w:instrText>
            </w:r>
            <w:r w:rsidR="00777EE0">
              <w:rPr>
                <w:noProof/>
                <w:webHidden/>
              </w:rPr>
            </w:r>
            <w:r w:rsidR="00777EE0">
              <w:rPr>
                <w:noProof/>
                <w:webHidden/>
              </w:rPr>
              <w:fldChar w:fldCharType="separate"/>
            </w:r>
            <w:r w:rsidR="0026579C">
              <w:rPr>
                <w:noProof/>
                <w:webHidden/>
              </w:rPr>
              <w:t>29</w:t>
            </w:r>
            <w:r w:rsidR="00777EE0">
              <w:rPr>
                <w:noProof/>
                <w:webHidden/>
              </w:rPr>
              <w:fldChar w:fldCharType="end"/>
            </w:r>
          </w:hyperlink>
        </w:p>
        <w:p w14:paraId="5010308F" w14:textId="56DDA0BC" w:rsidR="00777EE0" w:rsidRDefault="00251E9C">
          <w:pPr>
            <w:pStyle w:val="TOC3"/>
            <w:rPr>
              <w:rFonts w:asciiTheme="minorHAnsi" w:eastAsiaTheme="minorEastAsia" w:hAnsiTheme="minorHAnsi" w:cstheme="minorBidi"/>
              <w:noProof/>
              <w:sz w:val="22"/>
              <w:lang w:eastAsia="en-GB"/>
            </w:rPr>
          </w:pPr>
          <w:hyperlink w:anchor="_Toc35892513" w:history="1">
            <w:r w:rsidR="00777EE0" w:rsidRPr="00C53B84">
              <w:rPr>
                <w:rStyle w:val="Hyperlink"/>
                <w:noProof/>
              </w:rPr>
              <w:t>2.3.5</w:t>
            </w:r>
            <w:r w:rsidR="00777EE0">
              <w:rPr>
                <w:rFonts w:asciiTheme="minorHAnsi" w:eastAsiaTheme="minorEastAsia" w:hAnsiTheme="minorHAnsi" w:cstheme="minorBidi"/>
                <w:noProof/>
                <w:sz w:val="22"/>
                <w:lang w:eastAsia="en-GB"/>
              </w:rPr>
              <w:tab/>
            </w:r>
            <w:r w:rsidR="00777EE0" w:rsidRPr="00C53B84">
              <w:rPr>
                <w:rStyle w:val="Hyperlink"/>
                <w:noProof/>
              </w:rPr>
              <w:t>Young people and the law around NPS</w:t>
            </w:r>
            <w:r w:rsidR="00777EE0">
              <w:rPr>
                <w:noProof/>
                <w:webHidden/>
              </w:rPr>
              <w:tab/>
            </w:r>
            <w:r w:rsidR="00777EE0">
              <w:rPr>
                <w:noProof/>
                <w:webHidden/>
              </w:rPr>
              <w:fldChar w:fldCharType="begin"/>
            </w:r>
            <w:r w:rsidR="00777EE0">
              <w:rPr>
                <w:noProof/>
                <w:webHidden/>
              </w:rPr>
              <w:instrText xml:space="preserve"> PAGEREF _Toc35892513 \h </w:instrText>
            </w:r>
            <w:r w:rsidR="00777EE0">
              <w:rPr>
                <w:noProof/>
                <w:webHidden/>
              </w:rPr>
            </w:r>
            <w:r w:rsidR="00777EE0">
              <w:rPr>
                <w:noProof/>
                <w:webHidden/>
              </w:rPr>
              <w:fldChar w:fldCharType="separate"/>
            </w:r>
            <w:r w:rsidR="0026579C">
              <w:rPr>
                <w:noProof/>
                <w:webHidden/>
              </w:rPr>
              <w:t>29</w:t>
            </w:r>
            <w:r w:rsidR="00777EE0">
              <w:rPr>
                <w:noProof/>
                <w:webHidden/>
              </w:rPr>
              <w:fldChar w:fldCharType="end"/>
            </w:r>
          </w:hyperlink>
        </w:p>
        <w:p w14:paraId="1823AB21" w14:textId="455003BF"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14" w:history="1">
            <w:r w:rsidR="00777EE0" w:rsidRPr="00C53B84">
              <w:rPr>
                <w:rStyle w:val="Hyperlink"/>
                <w:noProof/>
              </w:rPr>
              <w:t>2.4</w:t>
            </w:r>
            <w:r w:rsidR="00777EE0">
              <w:rPr>
                <w:rFonts w:asciiTheme="minorHAnsi" w:eastAsiaTheme="minorEastAsia" w:hAnsiTheme="minorHAnsi" w:cstheme="minorBidi"/>
                <w:noProof/>
                <w:sz w:val="22"/>
                <w:lang w:eastAsia="en-GB"/>
              </w:rPr>
              <w:tab/>
            </w:r>
            <w:r w:rsidR="00777EE0" w:rsidRPr="00C53B84">
              <w:rPr>
                <w:rStyle w:val="Hyperlink"/>
                <w:noProof/>
              </w:rPr>
              <w:t>Sales and marketing</w:t>
            </w:r>
            <w:r w:rsidR="00777EE0">
              <w:rPr>
                <w:noProof/>
                <w:webHidden/>
              </w:rPr>
              <w:tab/>
            </w:r>
            <w:r w:rsidR="00777EE0">
              <w:rPr>
                <w:noProof/>
                <w:webHidden/>
              </w:rPr>
              <w:fldChar w:fldCharType="begin"/>
            </w:r>
            <w:r w:rsidR="00777EE0">
              <w:rPr>
                <w:noProof/>
                <w:webHidden/>
              </w:rPr>
              <w:instrText xml:space="preserve"> PAGEREF _Toc35892514 \h </w:instrText>
            </w:r>
            <w:r w:rsidR="00777EE0">
              <w:rPr>
                <w:noProof/>
                <w:webHidden/>
              </w:rPr>
            </w:r>
            <w:r w:rsidR="00777EE0">
              <w:rPr>
                <w:noProof/>
                <w:webHidden/>
              </w:rPr>
              <w:fldChar w:fldCharType="separate"/>
            </w:r>
            <w:r w:rsidR="0026579C">
              <w:rPr>
                <w:noProof/>
                <w:webHidden/>
              </w:rPr>
              <w:t>30</w:t>
            </w:r>
            <w:r w:rsidR="00777EE0">
              <w:rPr>
                <w:noProof/>
                <w:webHidden/>
              </w:rPr>
              <w:fldChar w:fldCharType="end"/>
            </w:r>
          </w:hyperlink>
        </w:p>
        <w:p w14:paraId="2B68C7EA" w14:textId="5B56DC0D" w:rsidR="00777EE0" w:rsidRDefault="00251E9C">
          <w:pPr>
            <w:pStyle w:val="TOC3"/>
            <w:rPr>
              <w:rFonts w:asciiTheme="minorHAnsi" w:eastAsiaTheme="minorEastAsia" w:hAnsiTheme="minorHAnsi" w:cstheme="minorBidi"/>
              <w:noProof/>
              <w:sz w:val="22"/>
              <w:lang w:eastAsia="en-GB"/>
            </w:rPr>
          </w:pPr>
          <w:hyperlink w:anchor="_Toc35892515" w:history="1">
            <w:r w:rsidR="00777EE0" w:rsidRPr="00C53B84">
              <w:rPr>
                <w:rStyle w:val="Hyperlink"/>
                <w:noProof/>
              </w:rPr>
              <w:t>2.4.1</w:t>
            </w:r>
            <w:r w:rsidR="00777EE0">
              <w:rPr>
                <w:rFonts w:asciiTheme="minorHAnsi" w:eastAsiaTheme="minorEastAsia" w:hAnsiTheme="minorHAnsi" w:cstheme="minorBidi"/>
                <w:noProof/>
                <w:sz w:val="22"/>
                <w:lang w:eastAsia="en-GB"/>
              </w:rPr>
              <w:tab/>
            </w:r>
            <w:r w:rsidR="00777EE0" w:rsidRPr="00C53B84">
              <w:rPr>
                <w:rStyle w:val="Hyperlink"/>
                <w:noProof/>
              </w:rPr>
              <w:t>NPS products</w:t>
            </w:r>
            <w:r w:rsidR="00777EE0">
              <w:rPr>
                <w:noProof/>
                <w:webHidden/>
              </w:rPr>
              <w:tab/>
            </w:r>
            <w:r w:rsidR="00777EE0">
              <w:rPr>
                <w:noProof/>
                <w:webHidden/>
              </w:rPr>
              <w:fldChar w:fldCharType="begin"/>
            </w:r>
            <w:r w:rsidR="00777EE0">
              <w:rPr>
                <w:noProof/>
                <w:webHidden/>
              </w:rPr>
              <w:instrText xml:space="preserve"> PAGEREF _Toc35892515 \h </w:instrText>
            </w:r>
            <w:r w:rsidR="00777EE0">
              <w:rPr>
                <w:noProof/>
                <w:webHidden/>
              </w:rPr>
            </w:r>
            <w:r w:rsidR="00777EE0">
              <w:rPr>
                <w:noProof/>
                <w:webHidden/>
              </w:rPr>
              <w:fldChar w:fldCharType="separate"/>
            </w:r>
            <w:r w:rsidR="0026579C">
              <w:rPr>
                <w:noProof/>
                <w:webHidden/>
              </w:rPr>
              <w:t>32</w:t>
            </w:r>
            <w:r w:rsidR="00777EE0">
              <w:rPr>
                <w:noProof/>
                <w:webHidden/>
              </w:rPr>
              <w:fldChar w:fldCharType="end"/>
            </w:r>
          </w:hyperlink>
        </w:p>
        <w:p w14:paraId="6DCA14F3" w14:textId="2190CE23" w:rsidR="00777EE0" w:rsidRDefault="00251E9C">
          <w:pPr>
            <w:pStyle w:val="TOC3"/>
            <w:rPr>
              <w:rFonts w:asciiTheme="minorHAnsi" w:eastAsiaTheme="minorEastAsia" w:hAnsiTheme="minorHAnsi" w:cstheme="minorBidi"/>
              <w:noProof/>
              <w:sz w:val="22"/>
              <w:lang w:eastAsia="en-GB"/>
            </w:rPr>
          </w:pPr>
          <w:hyperlink w:anchor="_Toc35892516" w:history="1">
            <w:r w:rsidR="00777EE0" w:rsidRPr="00C53B84">
              <w:rPr>
                <w:rStyle w:val="Hyperlink"/>
                <w:noProof/>
              </w:rPr>
              <w:t>2.4.2</w:t>
            </w:r>
            <w:r w:rsidR="00777EE0">
              <w:rPr>
                <w:rFonts w:asciiTheme="minorHAnsi" w:eastAsiaTheme="minorEastAsia" w:hAnsiTheme="minorHAnsi" w:cstheme="minorBidi"/>
                <w:noProof/>
                <w:sz w:val="22"/>
                <w:lang w:eastAsia="en-GB"/>
              </w:rPr>
              <w:tab/>
            </w:r>
            <w:r w:rsidR="00777EE0" w:rsidRPr="00C53B84">
              <w:rPr>
                <w:rStyle w:val="Hyperlink"/>
                <w:noProof/>
              </w:rPr>
              <w:t>Price</w:t>
            </w:r>
            <w:r w:rsidR="00777EE0">
              <w:rPr>
                <w:noProof/>
                <w:webHidden/>
              </w:rPr>
              <w:tab/>
            </w:r>
            <w:r w:rsidR="00777EE0">
              <w:rPr>
                <w:noProof/>
                <w:webHidden/>
              </w:rPr>
              <w:fldChar w:fldCharType="begin"/>
            </w:r>
            <w:r w:rsidR="00777EE0">
              <w:rPr>
                <w:noProof/>
                <w:webHidden/>
              </w:rPr>
              <w:instrText xml:space="preserve"> PAGEREF _Toc35892516 \h </w:instrText>
            </w:r>
            <w:r w:rsidR="00777EE0">
              <w:rPr>
                <w:noProof/>
                <w:webHidden/>
              </w:rPr>
            </w:r>
            <w:r w:rsidR="00777EE0">
              <w:rPr>
                <w:noProof/>
                <w:webHidden/>
              </w:rPr>
              <w:fldChar w:fldCharType="separate"/>
            </w:r>
            <w:r w:rsidR="0026579C">
              <w:rPr>
                <w:noProof/>
                <w:webHidden/>
              </w:rPr>
              <w:t>34</w:t>
            </w:r>
            <w:r w:rsidR="00777EE0">
              <w:rPr>
                <w:noProof/>
                <w:webHidden/>
              </w:rPr>
              <w:fldChar w:fldCharType="end"/>
            </w:r>
          </w:hyperlink>
        </w:p>
        <w:p w14:paraId="7C92B046" w14:textId="10B14170" w:rsidR="00777EE0" w:rsidRDefault="00251E9C">
          <w:pPr>
            <w:pStyle w:val="TOC3"/>
            <w:rPr>
              <w:rFonts w:asciiTheme="minorHAnsi" w:eastAsiaTheme="minorEastAsia" w:hAnsiTheme="minorHAnsi" w:cstheme="minorBidi"/>
              <w:noProof/>
              <w:sz w:val="22"/>
              <w:lang w:eastAsia="en-GB"/>
            </w:rPr>
          </w:pPr>
          <w:hyperlink w:anchor="_Toc35892517" w:history="1">
            <w:r w:rsidR="00777EE0" w:rsidRPr="00C53B84">
              <w:rPr>
                <w:rStyle w:val="Hyperlink"/>
                <w:noProof/>
              </w:rPr>
              <w:t>2.4.3</w:t>
            </w:r>
            <w:r w:rsidR="00777EE0">
              <w:rPr>
                <w:rFonts w:asciiTheme="minorHAnsi" w:eastAsiaTheme="minorEastAsia" w:hAnsiTheme="minorHAnsi" w:cstheme="minorBidi"/>
                <w:noProof/>
                <w:sz w:val="22"/>
                <w:lang w:eastAsia="en-GB"/>
              </w:rPr>
              <w:tab/>
            </w:r>
            <w:r w:rsidR="00777EE0" w:rsidRPr="00C53B84">
              <w:rPr>
                <w:rStyle w:val="Hyperlink"/>
                <w:noProof/>
              </w:rPr>
              <w:t>Changes in availability following the introduction of the PS Act</w:t>
            </w:r>
            <w:r w:rsidR="00777EE0">
              <w:rPr>
                <w:noProof/>
                <w:webHidden/>
              </w:rPr>
              <w:tab/>
            </w:r>
            <w:r w:rsidR="00777EE0">
              <w:rPr>
                <w:noProof/>
                <w:webHidden/>
              </w:rPr>
              <w:fldChar w:fldCharType="begin"/>
            </w:r>
            <w:r w:rsidR="00777EE0">
              <w:rPr>
                <w:noProof/>
                <w:webHidden/>
              </w:rPr>
              <w:instrText xml:space="preserve"> PAGEREF _Toc35892517 \h </w:instrText>
            </w:r>
            <w:r w:rsidR="00777EE0">
              <w:rPr>
                <w:noProof/>
                <w:webHidden/>
              </w:rPr>
            </w:r>
            <w:r w:rsidR="00777EE0">
              <w:rPr>
                <w:noProof/>
                <w:webHidden/>
              </w:rPr>
              <w:fldChar w:fldCharType="separate"/>
            </w:r>
            <w:r w:rsidR="0026579C">
              <w:rPr>
                <w:noProof/>
                <w:webHidden/>
              </w:rPr>
              <w:t>35</w:t>
            </w:r>
            <w:r w:rsidR="00777EE0">
              <w:rPr>
                <w:noProof/>
                <w:webHidden/>
              </w:rPr>
              <w:fldChar w:fldCharType="end"/>
            </w:r>
          </w:hyperlink>
        </w:p>
        <w:p w14:paraId="22817354" w14:textId="503145B3" w:rsidR="00777EE0" w:rsidRDefault="00251E9C">
          <w:pPr>
            <w:pStyle w:val="TOC3"/>
            <w:rPr>
              <w:rFonts w:asciiTheme="minorHAnsi" w:eastAsiaTheme="minorEastAsia" w:hAnsiTheme="minorHAnsi" w:cstheme="minorBidi"/>
              <w:noProof/>
              <w:sz w:val="22"/>
              <w:lang w:eastAsia="en-GB"/>
            </w:rPr>
          </w:pPr>
          <w:hyperlink w:anchor="_Toc35892518" w:history="1">
            <w:r w:rsidR="00777EE0" w:rsidRPr="00C53B84">
              <w:rPr>
                <w:rStyle w:val="Hyperlink"/>
                <w:noProof/>
              </w:rPr>
              <w:t>2.4.4</w:t>
            </w:r>
            <w:r w:rsidR="00777EE0">
              <w:rPr>
                <w:rFonts w:asciiTheme="minorHAnsi" w:eastAsiaTheme="minorEastAsia" w:hAnsiTheme="minorHAnsi" w:cstheme="minorBidi"/>
                <w:noProof/>
                <w:sz w:val="22"/>
                <w:lang w:eastAsia="en-GB"/>
              </w:rPr>
              <w:tab/>
            </w:r>
            <w:r w:rsidR="00777EE0" w:rsidRPr="00C53B84">
              <w:rPr>
                <w:rStyle w:val="Hyperlink"/>
                <w:noProof/>
              </w:rPr>
              <w:t>Types of NPS used</w:t>
            </w:r>
            <w:r w:rsidR="00777EE0">
              <w:rPr>
                <w:noProof/>
                <w:webHidden/>
              </w:rPr>
              <w:tab/>
            </w:r>
            <w:r w:rsidR="00777EE0">
              <w:rPr>
                <w:noProof/>
                <w:webHidden/>
              </w:rPr>
              <w:fldChar w:fldCharType="begin"/>
            </w:r>
            <w:r w:rsidR="00777EE0">
              <w:rPr>
                <w:noProof/>
                <w:webHidden/>
              </w:rPr>
              <w:instrText xml:space="preserve"> PAGEREF _Toc35892518 \h </w:instrText>
            </w:r>
            <w:r w:rsidR="00777EE0">
              <w:rPr>
                <w:noProof/>
                <w:webHidden/>
              </w:rPr>
            </w:r>
            <w:r w:rsidR="00777EE0">
              <w:rPr>
                <w:noProof/>
                <w:webHidden/>
              </w:rPr>
              <w:fldChar w:fldCharType="separate"/>
            </w:r>
            <w:r w:rsidR="0026579C">
              <w:rPr>
                <w:noProof/>
                <w:webHidden/>
              </w:rPr>
              <w:t>38</w:t>
            </w:r>
            <w:r w:rsidR="00777EE0">
              <w:rPr>
                <w:noProof/>
                <w:webHidden/>
              </w:rPr>
              <w:fldChar w:fldCharType="end"/>
            </w:r>
          </w:hyperlink>
        </w:p>
        <w:p w14:paraId="5B3227C5" w14:textId="2F2FAEC5"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19" w:history="1">
            <w:r w:rsidR="00777EE0" w:rsidRPr="00C53B84">
              <w:rPr>
                <w:rStyle w:val="Hyperlink"/>
                <w:noProof/>
              </w:rPr>
              <w:t>2.5</w:t>
            </w:r>
            <w:r w:rsidR="00777EE0">
              <w:rPr>
                <w:rFonts w:asciiTheme="minorHAnsi" w:eastAsiaTheme="minorEastAsia" w:hAnsiTheme="minorHAnsi" w:cstheme="minorBidi"/>
                <w:noProof/>
                <w:sz w:val="22"/>
                <w:lang w:eastAsia="en-GB"/>
              </w:rPr>
              <w:tab/>
            </w:r>
            <w:r w:rsidR="00777EE0" w:rsidRPr="00C53B84">
              <w:rPr>
                <w:rStyle w:val="Hyperlink"/>
                <w:noProof/>
              </w:rPr>
              <w:t>Prevalence of NPS use</w:t>
            </w:r>
            <w:r w:rsidR="00777EE0">
              <w:rPr>
                <w:noProof/>
                <w:webHidden/>
              </w:rPr>
              <w:tab/>
            </w:r>
            <w:r w:rsidR="00777EE0">
              <w:rPr>
                <w:noProof/>
                <w:webHidden/>
              </w:rPr>
              <w:fldChar w:fldCharType="begin"/>
            </w:r>
            <w:r w:rsidR="00777EE0">
              <w:rPr>
                <w:noProof/>
                <w:webHidden/>
              </w:rPr>
              <w:instrText xml:space="preserve"> PAGEREF _Toc35892519 \h </w:instrText>
            </w:r>
            <w:r w:rsidR="00777EE0">
              <w:rPr>
                <w:noProof/>
                <w:webHidden/>
              </w:rPr>
            </w:r>
            <w:r w:rsidR="00777EE0">
              <w:rPr>
                <w:noProof/>
                <w:webHidden/>
              </w:rPr>
              <w:fldChar w:fldCharType="separate"/>
            </w:r>
            <w:r w:rsidR="0026579C">
              <w:rPr>
                <w:noProof/>
                <w:webHidden/>
              </w:rPr>
              <w:t>39</w:t>
            </w:r>
            <w:r w:rsidR="00777EE0">
              <w:rPr>
                <w:noProof/>
                <w:webHidden/>
              </w:rPr>
              <w:fldChar w:fldCharType="end"/>
            </w:r>
          </w:hyperlink>
        </w:p>
        <w:p w14:paraId="2E2C8AA2" w14:textId="511F7AE4" w:rsidR="00777EE0" w:rsidRDefault="00251E9C">
          <w:pPr>
            <w:pStyle w:val="TOC3"/>
            <w:rPr>
              <w:rFonts w:asciiTheme="minorHAnsi" w:eastAsiaTheme="minorEastAsia" w:hAnsiTheme="minorHAnsi" w:cstheme="minorBidi"/>
              <w:noProof/>
              <w:sz w:val="22"/>
              <w:lang w:eastAsia="en-GB"/>
            </w:rPr>
          </w:pPr>
          <w:hyperlink w:anchor="_Toc35892520" w:history="1">
            <w:r w:rsidR="00777EE0" w:rsidRPr="00C53B84">
              <w:rPr>
                <w:rStyle w:val="Hyperlink"/>
                <w:noProof/>
              </w:rPr>
              <w:t>2.5.1</w:t>
            </w:r>
            <w:r w:rsidR="00777EE0">
              <w:rPr>
                <w:rFonts w:asciiTheme="minorHAnsi" w:eastAsiaTheme="minorEastAsia" w:hAnsiTheme="minorHAnsi" w:cstheme="minorBidi"/>
                <w:noProof/>
                <w:sz w:val="22"/>
                <w:lang w:eastAsia="en-GB"/>
              </w:rPr>
              <w:tab/>
            </w:r>
            <w:r w:rsidR="00777EE0" w:rsidRPr="00C53B84">
              <w:rPr>
                <w:rStyle w:val="Hyperlink"/>
                <w:noProof/>
              </w:rPr>
              <w:t>Use of NPS in the general population</w:t>
            </w:r>
            <w:r w:rsidR="00777EE0">
              <w:rPr>
                <w:noProof/>
                <w:webHidden/>
              </w:rPr>
              <w:tab/>
            </w:r>
            <w:r w:rsidR="00777EE0">
              <w:rPr>
                <w:noProof/>
                <w:webHidden/>
              </w:rPr>
              <w:fldChar w:fldCharType="begin"/>
            </w:r>
            <w:r w:rsidR="00777EE0">
              <w:rPr>
                <w:noProof/>
                <w:webHidden/>
              </w:rPr>
              <w:instrText xml:space="preserve"> PAGEREF _Toc35892520 \h </w:instrText>
            </w:r>
            <w:r w:rsidR="00777EE0">
              <w:rPr>
                <w:noProof/>
                <w:webHidden/>
              </w:rPr>
            </w:r>
            <w:r w:rsidR="00777EE0">
              <w:rPr>
                <w:noProof/>
                <w:webHidden/>
              </w:rPr>
              <w:fldChar w:fldCharType="separate"/>
            </w:r>
            <w:r w:rsidR="0026579C">
              <w:rPr>
                <w:noProof/>
                <w:webHidden/>
              </w:rPr>
              <w:t>39</w:t>
            </w:r>
            <w:r w:rsidR="00777EE0">
              <w:rPr>
                <w:noProof/>
                <w:webHidden/>
              </w:rPr>
              <w:fldChar w:fldCharType="end"/>
            </w:r>
          </w:hyperlink>
        </w:p>
        <w:p w14:paraId="7DCF2910" w14:textId="69EF378D" w:rsidR="00777EE0" w:rsidRDefault="00251E9C">
          <w:pPr>
            <w:pStyle w:val="TOC3"/>
            <w:rPr>
              <w:rFonts w:asciiTheme="minorHAnsi" w:eastAsiaTheme="minorEastAsia" w:hAnsiTheme="minorHAnsi" w:cstheme="minorBidi"/>
              <w:noProof/>
              <w:sz w:val="22"/>
              <w:lang w:eastAsia="en-GB"/>
            </w:rPr>
          </w:pPr>
          <w:hyperlink w:anchor="_Toc35892521" w:history="1">
            <w:r w:rsidR="00777EE0" w:rsidRPr="00C53B84">
              <w:rPr>
                <w:rStyle w:val="Hyperlink"/>
                <w:noProof/>
              </w:rPr>
              <w:t>2.5.2</w:t>
            </w:r>
            <w:r w:rsidR="00777EE0">
              <w:rPr>
                <w:rFonts w:asciiTheme="minorHAnsi" w:eastAsiaTheme="minorEastAsia" w:hAnsiTheme="minorHAnsi" w:cstheme="minorBidi"/>
                <w:noProof/>
                <w:sz w:val="22"/>
                <w:lang w:eastAsia="en-GB"/>
              </w:rPr>
              <w:tab/>
            </w:r>
            <w:r w:rsidR="00777EE0" w:rsidRPr="00C53B84">
              <w:rPr>
                <w:rStyle w:val="Hyperlink"/>
                <w:noProof/>
              </w:rPr>
              <w:t>Gender and age</w:t>
            </w:r>
            <w:r w:rsidR="00777EE0">
              <w:rPr>
                <w:noProof/>
                <w:webHidden/>
              </w:rPr>
              <w:tab/>
            </w:r>
            <w:r w:rsidR="00777EE0">
              <w:rPr>
                <w:noProof/>
                <w:webHidden/>
              </w:rPr>
              <w:fldChar w:fldCharType="begin"/>
            </w:r>
            <w:r w:rsidR="00777EE0">
              <w:rPr>
                <w:noProof/>
                <w:webHidden/>
              </w:rPr>
              <w:instrText xml:space="preserve"> PAGEREF _Toc35892521 \h </w:instrText>
            </w:r>
            <w:r w:rsidR="00777EE0">
              <w:rPr>
                <w:noProof/>
                <w:webHidden/>
              </w:rPr>
            </w:r>
            <w:r w:rsidR="00777EE0">
              <w:rPr>
                <w:noProof/>
                <w:webHidden/>
              </w:rPr>
              <w:fldChar w:fldCharType="separate"/>
            </w:r>
            <w:r w:rsidR="0026579C">
              <w:rPr>
                <w:noProof/>
                <w:webHidden/>
              </w:rPr>
              <w:t>41</w:t>
            </w:r>
            <w:r w:rsidR="00777EE0">
              <w:rPr>
                <w:noProof/>
                <w:webHidden/>
              </w:rPr>
              <w:fldChar w:fldCharType="end"/>
            </w:r>
          </w:hyperlink>
        </w:p>
        <w:p w14:paraId="0F673E35" w14:textId="5594B8C6" w:rsidR="00777EE0" w:rsidRDefault="00251E9C">
          <w:pPr>
            <w:pStyle w:val="TOC3"/>
            <w:rPr>
              <w:rFonts w:asciiTheme="minorHAnsi" w:eastAsiaTheme="minorEastAsia" w:hAnsiTheme="minorHAnsi" w:cstheme="minorBidi"/>
              <w:noProof/>
              <w:sz w:val="22"/>
              <w:lang w:eastAsia="en-GB"/>
            </w:rPr>
          </w:pPr>
          <w:hyperlink w:anchor="_Toc35892522" w:history="1">
            <w:r w:rsidR="00777EE0" w:rsidRPr="00C53B84">
              <w:rPr>
                <w:rStyle w:val="Hyperlink"/>
                <w:noProof/>
              </w:rPr>
              <w:t>2.5.3</w:t>
            </w:r>
            <w:r w:rsidR="00777EE0">
              <w:rPr>
                <w:rFonts w:asciiTheme="minorHAnsi" w:eastAsiaTheme="minorEastAsia" w:hAnsiTheme="minorHAnsi" w:cstheme="minorBidi"/>
                <w:noProof/>
                <w:sz w:val="22"/>
                <w:lang w:eastAsia="en-GB"/>
              </w:rPr>
              <w:tab/>
            </w:r>
            <w:r w:rsidR="00777EE0" w:rsidRPr="00C53B84">
              <w:rPr>
                <w:rStyle w:val="Hyperlink"/>
                <w:noProof/>
              </w:rPr>
              <w:t>Trends in use over time</w:t>
            </w:r>
            <w:r w:rsidR="00777EE0">
              <w:rPr>
                <w:noProof/>
                <w:webHidden/>
              </w:rPr>
              <w:tab/>
            </w:r>
            <w:r w:rsidR="00777EE0">
              <w:rPr>
                <w:noProof/>
                <w:webHidden/>
              </w:rPr>
              <w:fldChar w:fldCharType="begin"/>
            </w:r>
            <w:r w:rsidR="00777EE0">
              <w:rPr>
                <w:noProof/>
                <w:webHidden/>
              </w:rPr>
              <w:instrText xml:space="preserve"> PAGEREF _Toc35892522 \h </w:instrText>
            </w:r>
            <w:r w:rsidR="00777EE0">
              <w:rPr>
                <w:noProof/>
                <w:webHidden/>
              </w:rPr>
            </w:r>
            <w:r w:rsidR="00777EE0">
              <w:rPr>
                <w:noProof/>
                <w:webHidden/>
              </w:rPr>
              <w:fldChar w:fldCharType="separate"/>
            </w:r>
            <w:r w:rsidR="0026579C">
              <w:rPr>
                <w:noProof/>
                <w:webHidden/>
              </w:rPr>
              <w:t>45</w:t>
            </w:r>
            <w:r w:rsidR="00777EE0">
              <w:rPr>
                <w:noProof/>
                <w:webHidden/>
              </w:rPr>
              <w:fldChar w:fldCharType="end"/>
            </w:r>
          </w:hyperlink>
        </w:p>
        <w:p w14:paraId="06CA203E" w14:textId="0FC616EE" w:rsidR="00777EE0" w:rsidRDefault="00251E9C">
          <w:pPr>
            <w:pStyle w:val="TOC3"/>
            <w:rPr>
              <w:rFonts w:asciiTheme="minorHAnsi" w:eastAsiaTheme="minorEastAsia" w:hAnsiTheme="minorHAnsi" w:cstheme="minorBidi"/>
              <w:noProof/>
              <w:sz w:val="22"/>
              <w:lang w:eastAsia="en-GB"/>
            </w:rPr>
          </w:pPr>
          <w:hyperlink w:anchor="_Toc35892523" w:history="1">
            <w:r w:rsidR="00777EE0" w:rsidRPr="00C53B84">
              <w:rPr>
                <w:rStyle w:val="Hyperlink"/>
                <w:noProof/>
              </w:rPr>
              <w:t>2.5.4</w:t>
            </w:r>
            <w:r w:rsidR="00777EE0">
              <w:rPr>
                <w:rFonts w:asciiTheme="minorHAnsi" w:eastAsiaTheme="minorEastAsia" w:hAnsiTheme="minorHAnsi" w:cstheme="minorBidi"/>
                <w:noProof/>
                <w:sz w:val="22"/>
                <w:lang w:eastAsia="en-GB"/>
              </w:rPr>
              <w:tab/>
            </w:r>
            <w:r w:rsidR="00777EE0" w:rsidRPr="00C53B84">
              <w:rPr>
                <w:rStyle w:val="Hyperlink"/>
                <w:noProof/>
              </w:rPr>
              <w:t>NPS use with the context of illicit drug use</w:t>
            </w:r>
            <w:r w:rsidR="00777EE0">
              <w:rPr>
                <w:noProof/>
                <w:webHidden/>
              </w:rPr>
              <w:tab/>
            </w:r>
            <w:r w:rsidR="00777EE0">
              <w:rPr>
                <w:noProof/>
                <w:webHidden/>
              </w:rPr>
              <w:fldChar w:fldCharType="begin"/>
            </w:r>
            <w:r w:rsidR="00777EE0">
              <w:rPr>
                <w:noProof/>
                <w:webHidden/>
              </w:rPr>
              <w:instrText xml:space="preserve"> PAGEREF _Toc35892523 \h </w:instrText>
            </w:r>
            <w:r w:rsidR="00777EE0">
              <w:rPr>
                <w:noProof/>
                <w:webHidden/>
              </w:rPr>
            </w:r>
            <w:r w:rsidR="00777EE0">
              <w:rPr>
                <w:noProof/>
                <w:webHidden/>
              </w:rPr>
              <w:fldChar w:fldCharType="separate"/>
            </w:r>
            <w:r w:rsidR="0026579C">
              <w:rPr>
                <w:noProof/>
                <w:webHidden/>
              </w:rPr>
              <w:t>47</w:t>
            </w:r>
            <w:r w:rsidR="00777EE0">
              <w:rPr>
                <w:noProof/>
                <w:webHidden/>
              </w:rPr>
              <w:fldChar w:fldCharType="end"/>
            </w:r>
          </w:hyperlink>
        </w:p>
        <w:p w14:paraId="1343ABB7" w14:textId="35CB870C" w:rsidR="00777EE0" w:rsidRDefault="00251E9C">
          <w:pPr>
            <w:pStyle w:val="TOC3"/>
            <w:rPr>
              <w:rFonts w:asciiTheme="minorHAnsi" w:eastAsiaTheme="minorEastAsia" w:hAnsiTheme="minorHAnsi" w:cstheme="minorBidi"/>
              <w:noProof/>
              <w:sz w:val="22"/>
              <w:lang w:eastAsia="en-GB"/>
            </w:rPr>
          </w:pPr>
          <w:hyperlink w:anchor="_Toc35892524" w:history="1">
            <w:r w:rsidR="00777EE0" w:rsidRPr="00C53B84">
              <w:rPr>
                <w:rStyle w:val="Hyperlink"/>
                <w:noProof/>
              </w:rPr>
              <w:t>2.5.5</w:t>
            </w:r>
            <w:r w:rsidR="00777EE0">
              <w:rPr>
                <w:rFonts w:asciiTheme="minorHAnsi" w:eastAsiaTheme="minorEastAsia" w:hAnsiTheme="minorHAnsi" w:cstheme="minorBidi"/>
                <w:noProof/>
                <w:sz w:val="22"/>
                <w:lang w:eastAsia="en-GB"/>
              </w:rPr>
              <w:tab/>
            </w:r>
            <w:r w:rsidR="00777EE0" w:rsidRPr="00C53B84">
              <w:rPr>
                <w:rStyle w:val="Hyperlink"/>
                <w:noProof/>
              </w:rPr>
              <w:t>Use of NPS in subgroups</w:t>
            </w:r>
            <w:r w:rsidR="00777EE0">
              <w:rPr>
                <w:noProof/>
                <w:webHidden/>
              </w:rPr>
              <w:tab/>
            </w:r>
            <w:r w:rsidR="00777EE0">
              <w:rPr>
                <w:noProof/>
                <w:webHidden/>
              </w:rPr>
              <w:fldChar w:fldCharType="begin"/>
            </w:r>
            <w:r w:rsidR="00777EE0">
              <w:rPr>
                <w:noProof/>
                <w:webHidden/>
              </w:rPr>
              <w:instrText xml:space="preserve"> PAGEREF _Toc35892524 \h </w:instrText>
            </w:r>
            <w:r w:rsidR="00777EE0">
              <w:rPr>
                <w:noProof/>
                <w:webHidden/>
              </w:rPr>
            </w:r>
            <w:r w:rsidR="00777EE0">
              <w:rPr>
                <w:noProof/>
                <w:webHidden/>
              </w:rPr>
              <w:fldChar w:fldCharType="separate"/>
            </w:r>
            <w:r w:rsidR="0026579C">
              <w:rPr>
                <w:noProof/>
                <w:webHidden/>
              </w:rPr>
              <w:t>49</w:t>
            </w:r>
            <w:r w:rsidR="00777EE0">
              <w:rPr>
                <w:noProof/>
                <w:webHidden/>
              </w:rPr>
              <w:fldChar w:fldCharType="end"/>
            </w:r>
          </w:hyperlink>
        </w:p>
        <w:p w14:paraId="261F4002" w14:textId="54A541A5" w:rsidR="00777EE0" w:rsidRDefault="00251E9C">
          <w:pPr>
            <w:pStyle w:val="TOC3"/>
            <w:rPr>
              <w:rFonts w:asciiTheme="minorHAnsi" w:eastAsiaTheme="minorEastAsia" w:hAnsiTheme="minorHAnsi" w:cstheme="minorBidi"/>
              <w:noProof/>
              <w:sz w:val="22"/>
              <w:lang w:eastAsia="en-GB"/>
            </w:rPr>
          </w:pPr>
          <w:hyperlink w:anchor="_Toc35892525" w:history="1">
            <w:r w:rsidR="00777EE0" w:rsidRPr="00C53B84">
              <w:rPr>
                <w:rStyle w:val="Hyperlink"/>
                <w:noProof/>
              </w:rPr>
              <w:t>2.5.6</w:t>
            </w:r>
            <w:r w:rsidR="00777EE0">
              <w:rPr>
                <w:rFonts w:asciiTheme="minorHAnsi" w:eastAsiaTheme="minorEastAsia" w:hAnsiTheme="minorHAnsi" w:cstheme="minorBidi"/>
                <w:noProof/>
                <w:sz w:val="22"/>
                <w:lang w:eastAsia="en-GB"/>
              </w:rPr>
              <w:tab/>
            </w:r>
            <w:r w:rsidR="00777EE0" w:rsidRPr="00C53B84">
              <w:rPr>
                <w:rStyle w:val="Hyperlink"/>
                <w:noProof/>
              </w:rPr>
              <w:t>Naïve use</w:t>
            </w:r>
            <w:r w:rsidR="00777EE0">
              <w:rPr>
                <w:noProof/>
                <w:webHidden/>
              </w:rPr>
              <w:tab/>
            </w:r>
            <w:r w:rsidR="00777EE0">
              <w:rPr>
                <w:noProof/>
                <w:webHidden/>
              </w:rPr>
              <w:fldChar w:fldCharType="begin"/>
            </w:r>
            <w:r w:rsidR="00777EE0">
              <w:rPr>
                <w:noProof/>
                <w:webHidden/>
              </w:rPr>
              <w:instrText xml:space="preserve"> PAGEREF _Toc35892525 \h </w:instrText>
            </w:r>
            <w:r w:rsidR="00777EE0">
              <w:rPr>
                <w:noProof/>
                <w:webHidden/>
              </w:rPr>
            </w:r>
            <w:r w:rsidR="00777EE0">
              <w:rPr>
                <w:noProof/>
                <w:webHidden/>
              </w:rPr>
              <w:fldChar w:fldCharType="separate"/>
            </w:r>
            <w:r w:rsidR="0026579C">
              <w:rPr>
                <w:noProof/>
                <w:webHidden/>
              </w:rPr>
              <w:t>50</w:t>
            </w:r>
            <w:r w:rsidR="00777EE0">
              <w:rPr>
                <w:noProof/>
                <w:webHidden/>
              </w:rPr>
              <w:fldChar w:fldCharType="end"/>
            </w:r>
          </w:hyperlink>
        </w:p>
        <w:p w14:paraId="17E74CDE" w14:textId="05654C09" w:rsidR="00777EE0" w:rsidRDefault="00251E9C">
          <w:pPr>
            <w:pStyle w:val="TOC3"/>
            <w:rPr>
              <w:rFonts w:asciiTheme="minorHAnsi" w:eastAsiaTheme="minorEastAsia" w:hAnsiTheme="minorHAnsi" w:cstheme="minorBidi"/>
              <w:noProof/>
              <w:sz w:val="22"/>
              <w:lang w:eastAsia="en-GB"/>
            </w:rPr>
          </w:pPr>
          <w:hyperlink w:anchor="_Toc35892526" w:history="1">
            <w:r w:rsidR="00777EE0" w:rsidRPr="00C53B84">
              <w:rPr>
                <w:rStyle w:val="Hyperlink"/>
                <w:noProof/>
              </w:rPr>
              <w:t>2.5.7</w:t>
            </w:r>
            <w:r w:rsidR="00777EE0">
              <w:rPr>
                <w:rFonts w:asciiTheme="minorHAnsi" w:eastAsiaTheme="minorEastAsia" w:hAnsiTheme="minorHAnsi" w:cstheme="minorBidi"/>
                <w:noProof/>
                <w:sz w:val="22"/>
                <w:lang w:eastAsia="en-GB"/>
              </w:rPr>
              <w:tab/>
            </w:r>
            <w:r w:rsidR="00777EE0" w:rsidRPr="00C53B84">
              <w:rPr>
                <w:rStyle w:val="Hyperlink"/>
                <w:noProof/>
              </w:rPr>
              <w:t>Recreational use</w:t>
            </w:r>
            <w:r w:rsidR="00777EE0">
              <w:rPr>
                <w:noProof/>
                <w:webHidden/>
              </w:rPr>
              <w:tab/>
            </w:r>
            <w:r w:rsidR="00777EE0">
              <w:rPr>
                <w:noProof/>
                <w:webHidden/>
              </w:rPr>
              <w:fldChar w:fldCharType="begin"/>
            </w:r>
            <w:r w:rsidR="00777EE0">
              <w:rPr>
                <w:noProof/>
                <w:webHidden/>
              </w:rPr>
              <w:instrText xml:space="preserve"> PAGEREF _Toc35892526 \h </w:instrText>
            </w:r>
            <w:r w:rsidR="00777EE0">
              <w:rPr>
                <w:noProof/>
                <w:webHidden/>
              </w:rPr>
            </w:r>
            <w:r w:rsidR="00777EE0">
              <w:rPr>
                <w:noProof/>
                <w:webHidden/>
              </w:rPr>
              <w:fldChar w:fldCharType="separate"/>
            </w:r>
            <w:r w:rsidR="0026579C">
              <w:rPr>
                <w:noProof/>
                <w:webHidden/>
              </w:rPr>
              <w:t>51</w:t>
            </w:r>
            <w:r w:rsidR="00777EE0">
              <w:rPr>
                <w:noProof/>
                <w:webHidden/>
              </w:rPr>
              <w:fldChar w:fldCharType="end"/>
            </w:r>
          </w:hyperlink>
        </w:p>
        <w:p w14:paraId="1F7CA6B5" w14:textId="3BFE9819" w:rsidR="00777EE0" w:rsidRDefault="00251E9C">
          <w:pPr>
            <w:pStyle w:val="TOC3"/>
            <w:rPr>
              <w:rFonts w:asciiTheme="minorHAnsi" w:eastAsiaTheme="minorEastAsia" w:hAnsiTheme="minorHAnsi" w:cstheme="minorBidi"/>
              <w:noProof/>
              <w:sz w:val="22"/>
              <w:lang w:eastAsia="en-GB"/>
            </w:rPr>
          </w:pPr>
          <w:hyperlink w:anchor="_Toc35892527" w:history="1">
            <w:r w:rsidR="00777EE0" w:rsidRPr="00C53B84">
              <w:rPr>
                <w:rStyle w:val="Hyperlink"/>
                <w:noProof/>
              </w:rPr>
              <w:t>2.5.8</w:t>
            </w:r>
            <w:r w:rsidR="00777EE0">
              <w:rPr>
                <w:rFonts w:asciiTheme="minorHAnsi" w:eastAsiaTheme="minorEastAsia" w:hAnsiTheme="minorHAnsi" w:cstheme="minorBidi"/>
                <w:noProof/>
                <w:sz w:val="22"/>
                <w:lang w:eastAsia="en-GB"/>
              </w:rPr>
              <w:tab/>
            </w:r>
            <w:r w:rsidR="00777EE0" w:rsidRPr="00C53B84">
              <w:rPr>
                <w:rStyle w:val="Hyperlink"/>
                <w:noProof/>
              </w:rPr>
              <w:t>Occasional users</w:t>
            </w:r>
            <w:r w:rsidR="00777EE0">
              <w:rPr>
                <w:noProof/>
                <w:webHidden/>
              </w:rPr>
              <w:tab/>
            </w:r>
            <w:r w:rsidR="00777EE0">
              <w:rPr>
                <w:noProof/>
                <w:webHidden/>
              </w:rPr>
              <w:fldChar w:fldCharType="begin"/>
            </w:r>
            <w:r w:rsidR="00777EE0">
              <w:rPr>
                <w:noProof/>
                <w:webHidden/>
              </w:rPr>
              <w:instrText xml:space="preserve"> PAGEREF _Toc35892527 \h </w:instrText>
            </w:r>
            <w:r w:rsidR="00777EE0">
              <w:rPr>
                <w:noProof/>
                <w:webHidden/>
              </w:rPr>
            </w:r>
            <w:r w:rsidR="00777EE0">
              <w:rPr>
                <w:noProof/>
                <w:webHidden/>
              </w:rPr>
              <w:fldChar w:fldCharType="separate"/>
            </w:r>
            <w:r w:rsidR="0026579C">
              <w:rPr>
                <w:noProof/>
                <w:webHidden/>
              </w:rPr>
              <w:t>52</w:t>
            </w:r>
            <w:r w:rsidR="00777EE0">
              <w:rPr>
                <w:noProof/>
                <w:webHidden/>
              </w:rPr>
              <w:fldChar w:fldCharType="end"/>
            </w:r>
          </w:hyperlink>
        </w:p>
        <w:p w14:paraId="0C14413A" w14:textId="5E918EAA" w:rsidR="00777EE0" w:rsidRDefault="00251E9C">
          <w:pPr>
            <w:pStyle w:val="TOC3"/>
            <w:rPr>
              <w:rFonts w:asciiTheme="minorHAnsi" w:eastAsiaTheme="minorEastAsia" w:hAnsiTheme="minorHAnsi" w:cstheme="minorBidi"/>
              <w:noProof/>
              <w:sz w:val="22"/>
              <w:lang w:eastAsia="en-GB"/>
            </w:rPr>
          </w:pPr>
          <w:hyperlink w:anchor="_Toc35892528" w:history="1">
            <w:r w:rsidR="00777EE0" w:rsidRPr="00C53B84">
              <w:rPr>
                <w:rStyle w:val="Hyperlink"/>
                <w:noProof/>
              </w:rPr>
              <w:t>2.5.9</w:t>
            </w:r>
            <w:r w:rsidR="00777EE0">
              <w:rPr>
                <w:rFonts w:asciiTheme="minorHAnsi" w:eastAsiaTheme="minorEastAsia" w:hAnsiTheme="minorHAnsi" w:cstheme="minorBidi"/>
                <w:noProof/>
                <w:sz w:val="22"/>
                <w:lang w:eastAsia="en-GB"/>
              </w:rPr>
              <w:tab/>
            </w:r>
            <w:r w:rsidR="00777EE0" w:rsidRPr="00C53B84">
              <w:rPr>
                <w:rStyle w:val="Hyperlink"/>
                <w:noProof/>
              </w:rPr>
              <w:t>Students</w:t>
            </w:r>
            <w:r w:rsidR="00777EE0">
              <w:rPr>
                <w:noProof/>
                <w:webHidden/>
              </w:rPr>
              <w:tab/>
            </w:r>
            <w:r w:rsidR="00777EE0">
              <w:rPr>
                <w:noProof/>
                <w:webHidden/>
              </w:rPr>
              <w:fldChar w:fldCharType="begin"/>
            </w:r>
            <w:r w:rsidR="00777EE0">
              <w:rPr>
                <w:noProof/>
                <w:webHidden/>
              </w:rPr>
              <w:instrText xml:space="preserve"> PAGEREF _Toc35892528 \h </w:instrText>
            </w:r>
            <w:r w:rsidR="00777EE0">
              <w:rPr>
                <w:noProof/>
                <w:webHidden/>
              </w:rPr>
            </w:r>
            <w:r w:rsidR="00777EE0">
              <w:rPr>
                <w:noProof/>
                <w:webHidden/>
              </w:rPr>
              <w:fldChar w:fldCharType="separate"/>
            </w:r>
            <w:r w:rsidR="0026579C">
              <w:rPr>
                <w:noProof/>
                <w:webHidden/>
              </w:rPr>
              <w:t>53</w:t>
            </w:r>
            <w:r w:rsidR="00777EE0">
              <w:rPr>
                <w:noProof/>
                <w:webHidden/>
              </w:rPr>
              <w:fldChar w:fldCharType="end"/>
            </w:r>
          </w:hyperlink>
        </w:p>
        <w:p w14:paraId="00170EE3" w14:textId="5451B848" w:rsidR="00777EE0" w:rsidRDefault="00251E9C">
          <w:pPr>
            <w:pStyle w:val="TOC3"/>
            <w:rPr>
              <w:rFonts w:asciiTheme="minorHAnsi" w:eastAsiaTheme="minorEastAsia" w:hAnsiTheme="minorHAnsi" w:cstheme="minorBidi"/>
              <w:noProof/>
              <w:sz w:val="22"/>
              <w:lang w:eastAsia="en-GB"/>
            </w:rPr>
          </w:pPr>
          <w:hyperlink w:anchor="_Toc35892529" w:history="1">
            <w:r w:rsidR="00777EE0" w:rsidRPr="00C53B84">
              <w:rPr>
                <w:rStyle w:val="Hyperlink"/>
                <w:noProof/>
              </w:rPr>
              <w:t>2.5.10</w:t>
            </w:r>
            <w:r w:rsidR="00777EE0">
              <w:rPr>
                <w:rFonts w:asciiTheme="minorHAnsi" w:eastAsiaTheme="minorEastAsia" w:hAnsiTheme="minorHAnsi" w:cstheme="minorBidi"/>
                <w:noProof/>
                <w:sz w:val="22"/>
                <w:lang w:eastAsia="en-GB"/>
              </w:rPr>
              <w:tab/>
            </w:r>
            <w:r w:rsidR="00777EE0" w:rsidRPr="00C53B84">
              <w:rPr>
                <w:rStyle w:val="Hyperlink"/>
                <w:noProof/>
              </w:rPr>
              <w:t>Existing drug users/clubbers</w:t>
            </w:r>
            <w:r w:rsidR="00777EE0">
              <w:rPr>
                <w:noProof/>
                <w:webHidden/>
              </w:rPr>
              <w:tab/>
            </w:r>
            <w:r w:rsidR="00777EE0">
              <w:rPr>
                <w:noProof/>
                <w:webHidden/>
              </w:rPr>
              <w:fldChar w:fldCharType="begin"/>
            </w:r>
            <w:r w:rsidR="00777EE0">
              <w:rPr>
                <w:noProof/>
                <w:webHidden/>
              </w:rPr>
              <w:instrText xml:space="preserve"> PAGEREF _Toc35892529 \h </w:instrText>
            </w:r>
            <w:r w:rsidR="00777EE0">
              <w:rPr>
                <w:noProof/>
                <w:webHidden/>
              </w:rPr>
            </w:r>
            <w:r w:rsidR="00777EE0">
              <w:rPr>
                <w:noProof/>
                <w:webHidden/>
              </w:rPr>
              <w:fldChar w:fldCharType="separate"/>
            </w:r>
            <w:r w:rsidR="0026579C">
              <w:rPr>
                <w:noProof/>
                <w:webHidden/>
              </w:rPr>
              <w:t>53</w:t>
            </w:r>
            <w:r w:rsidR="00777EE0">
              <w:rPr>
                <w:noProof/>
                <w:webHidden/>
              </w:rPr>
              <w:fldChar w:fldCharType="end"/>
            </w:r>
          </w:hyperlink>
        </w:p>
        <w:p w14:paraId="0FA2D284" w14:textId="48A8D887" w:rsidR="00777EE0" w:rsidRDefault="00251E9C">
          <w:pPr>
            <w:pStyle w:val="TOC3"/>
            <w:rPr>
              <w:rFonts w:asciiTheme="minorHAnsi" w:eastAsiaTheme="minorEastAsia" w:hAnsiTheme="minorHAnsi" w:cstheme="minorBidi"/>
              <w:noProof/>
              <w:sz w:val="22"/>
              <w:lang w:eastAsia="en-GB"/>
            </w:rPr>
          </w:pPr>
          <w:hyperlink w:anchor="_Toc35892530" w:history="1">
            <w:r w:rsidR="00777EE0" w:rsidRPr="00C53B84">
              <w:rPr>
                <w:rStyle w:val="Hyperlink"/>
                <w:noProof/>
              </w:rPr>
              <w:t>2.5.11</w:t>
            </w:r>
            <w:r w:rsidR="00777EE0">
              <w:rPr>
                <w:rFonts w:asciiTheme="minorHAnsi" w:eastAsiaTheme="minorEastAsia" w:hAnsiTheme="minorHAnsi" w:cstheme="minorBidi"/>
                <w:noProof/>
                <w:sz w:val="22"/>
                <w:lang w:eastAsia="en-GB"/>
              </w:rPr>
              <w:tab/>
            </w:r>
            <w:r w:rsidR="00777EE0" w:rsidRPr="00C53B84">
              <w:rPr>
                <w:rStyle w:val="Hyperlink"/>
                <w:noProof/>
              </w:rPr>
              <w:t>Problem use and dependency</w:t>
            </w:r>
            <w:r w:rsidR="00777EE0">
              <w:rPr>
                <w:noProof/>
                <w:webHidden/>
              </w:rPr>
              <w:tab/>
            </w:r>
            <w:r w:rsidR="00777EE0">
              <w:rPr>
                <w:noProof/>
                <w:webHidden/>
              </w:rPr>
              <w:fldChar w:fldCharType="begin"/>
            </w:r>
            <w:r w:rsidR="00777EE0">
              <w:rPr>
                <w:noProof/>
                <w:webHidden/>
              </w:rPr>
              <w:instrText xml:space="preserve"> PAGEREF _Toc35892530 \h </w:instrText>
            </w:r>
            <w:r w:rsidR="00777EE0">
              <w:rPr>
                <w:noProof/>
                <w:webHidden/>
              </w:rPr>
            </w:r>
            <w:r w:rsidR="00777EE0">
              <w:rPr>
                <w:noProof/>
                <w:webHidden/>
              </w:rPr>
              <w:fldChar w:fldCharType="separate"/>
            </w:r>
            <w:r w:rsidR="0026579C">
              <w:rPr>
                <w:noProof/>
                <w:webHidden/>
              </w:rPr>
              <w:t>56</w:t>
            </w:r>
            <w:r w:rsidR="00777EE0">
              <w:rPr>
                <w:noProof/>
                <w:webHidden/>
              </w:rPr>
              <w:fldChar w:fldCharType="end"/>
            </w:r>
          </w:hyperlink>
        </w:p>
        <w:p w14:paraId="7472C055" w14:textId="3DA16FD7" w:rsidR="00777EE0" w:rsidRDefault="00251E9C">
          <w:pPr>
            <w:pStyle w:val="TOC3"/>
            <w:rPr>
              <w:rFonts w:asciiTheme="minorHAnsi" w:eastAsiaTheme="minorEastAsia" w:hAnsiTheme="minorHAnsi" w:cstheme="minorBidi"/>
              <w:noProof/>
              <w:sz w:val="22"/>
              <w:lang w:eastAsia="en-GB"/>
            </w:rPr>
          </w:pPr>
          <w:hyperlink w:anchor="_Toc35892531" w:history="1">
            <w:r w:rsidR="00777EE0" w:rsidRPr="00C53B84">
              <w:rPr>
                <w:rStyle w:val="Hyperlink"/>
                <w:noProof/>
              </w:rPr>
              <w:t>2.5.12</w:t>
            </w:r>
            <w:r w:rsidR="00777EE0">
              <w:rPr>
                <w:rFonts w:asciiTheme="minorHAnsi" w:eastAsiaTheme="minorEastAsia" w:hAnsiTheme="minorHAnsi" w:cstheme="minorBidi"/>
                <w:noProof/>
                <w:sz w:val="22"/>
                <w:lang w:eastAsia="en-GB"/>
              </w:rPr>
              <w:tab/>
            </w:r>
            <w:r w:rsidR="00777EE0" w:rsidRPr="00C53B84">
              <w:rPr>
                <w:rStyle w:val="Hyperlink"/>
                <w:noProof/>
              </w:rPr>
              <w:t>Prisoners</w:t>
            </w:r>
            <w:r w:rsidR="00777EE0">
              <w:rPr>
                <w:noProof/>
                <w:webHidden/>
              </w:rPr>
              <w:tab/>
            </w:r>
            <w:r w:rsidR="00777EE0">
              <w:rPr>
                <w:noProof/>
                <w:webHidden/>
              </w:rPr>
              <w:fldChar w:fldCharType="begin"/>
            </w:r>
            <w:r w:rsidR="00777EE0">
              <w:rPr>
                <w:noProof/>
                <w:webHidden/>
              </w:rPr>
              <w:instrText xml:space="preserve"> PAGEREF _Toc35892531 \h </w:instrText>
            </w:r>
            <w:r w:rsidR="00777EE0">
              <w:rPr>
                <w:noProof/>
                <w:webHidden/>
              </w:rPr>
            </w:r>
            <w:r w:rsidR="00777EE0">
              <w:rPr>
                <w:noProof/>
                <w:webHidden/>
              </w:rPr>
              <w:fldChar w:fldCharType="separate"/>
            </w:r>
            <w:r w:rsidR="0026579C">
              <w:rPr>
                <w:noProof/>
                <w:webHidden/>
              </w:rPr>
              <w:t>58</w:t>
            </w:r>
            <w:r w:rsidR="00777EE0">
              <w:rPr>
                <w:noProof/>
                <w:webHidden/>
              </w:rPr>
              <w:fldChar w:fldCharType="end"/>
            </w:r>
          </w:hyperlink>
        </w:p>
        <w:p w14:paraId="71497514" w14:textId="0D8D37D1" w:rsidR="00777EE0" w:rsidRDefault="00251E9C">
          <w:pPr>
            <w:pStyle w:val="TOC3"/>
            <w:rPr>
              <w:rFonts w:asciiTheme="minorHAnsi" w:eastAsiaTheme="minorEastAsia" w:hAnsiTheme="minorHAnsi" w:cstheme="minorBidi"/>
              <w:noProof/>
              <w:sz w:val="22"/>
              <w:lang w:eastAsia="en-GB"/>
            </w:rPr>
          </w:pPr>
          <w:hyperlink w:anchor="_Toc35892532" w:history="1">
            <w:r w:rsidR="00777EE0" w:rsidRPr="00C53B84">
              <w:rPr>
                <w:rStyle w:val="Hyperlink"/>
                <w:noProof/>
              </w:rPr>
              <w:t>2.5.13</w:t>
            </w:r>
            <w:r w:rsidR="00777EE0">
              <w:rPr>
                <w:rFonts w:asciiTheme="minorHAnsi" w:eastAsiaTheme="minorEastAsia" w:hAnsiTheme="minorHAnsi" w:cstheme="minorBidi"/>
                <w:noProof/>
                <w:sz w:val="22"/>
                <w:lang w:eastAsia="en-GB"/>
              </w:rPr>
              <w:tab/>
            </w:r>
            <w:r w:rsidR="00777EE0" w:rsidRPr="00C53B84">
              <w:rPr>
                <w:rStyle w:val="Hyperlink"/>
                <w:noProof/>
              </w:rPr>
              <w:t>Summary of prevalence</w:t>
            </w:r>
            <w:r w:rsidR="00777EE0">
              <w:rPr>
                <w:noProof/>
                <w:webHidden/>
              </w:rPr>
              <w:tab/>
            </w:r>
            <w:r w:rsidR="00777EE0">
              <w:rPr>
                <w:noProof/>
                <w:webHidden/>
              </w:rPr>
              <w:fldChar w:fldCharType="begin"/>
            </w:r>
            <w:r w:rsidR="00777EE0">
              <w:rPr>
                <w:noProof/>
                <w:webHidden/>
              </w:rPr>
              <w:instrText xml:space="preserve"> PAGEREF _Toc35892532 \h </w:instrText>
            </w:r>
            <w:r w:rsidR="00777EE0">
              <w:rPr>
                <w:noProof/>
                <w:webHidden/>
              </w:rPr>
            </w:r>
            <w:r w:rsidR="00777EE0">
              <w:rPr>
                <w:noProof/>
                <w:webHidden/>
              </w:rPr>
              <w:fldChar w:fldCharType="separate"/>
            </w:r>
            <w:r w:rsidR="0026579C">
              <w:rPr>
                <w:noProof/>
                <w:webHidden/>
              </w:rPr>
              <w:t>58</w:t>
            </w:r>
            <w:r w:rsidR="00777EE0">
              <w:rPr>
                <w:noProof/>
                <w:webHidden/>
              </w:rPr>
              <w:fldChar w:fldCharType="end"/>
            </w:r>
          </w:hyperlink>
        </w:p>
        <w:p w14:paraId="2A1D862A" w14:textId="7033CE05"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33" w:history="1">
            <w:r w:rsidR="00777EE0" w:rsidRPr="00C53B84">
              <w:rPr>
                <w:rStyle w:val="Hyperlink"/>
                <w:noProof/>
              </w:rPr>
              <w:t>2.6</w:t>
            </w:r>
            <w:r w:rsidR="00777EE0">
              <w:rPr>
                <w:rFonts w:asciiTheme="minorHAnsi" w:eastAsiaTheme="minorEastAsia" w:hAnsiTheme="minorHAnsi" w:cstheme="minorBidi"/>
                <w:noProof/>
                <w:sz w:val="22"/>
                <w:lang w:eastAsia="en-GB"/>
              </w:rPr>
              <w:tab/>
            </w:r>
            <w:r w:rsidR="00777EE0" w:rsidRPr="00C53B84">
              <w:rPr>
                <w:rStyle w:val="Hyperlink"/>
                <w:noProof/>
              </w:rPr>
              <w:t>Harms associated with NPS</w:t>
            </w:r>
            <w:r w:rsidR="00777EE0">
              <w:rPr>
                <w:noProof/>
                <w:webHidden/>
              </w:rPr>
              <w:tab/>
            </w:r>
            <w:r w:rsidR="00777EE0">
              <w:rPr>
                <w:noProof/>
                <w:webHidden/>
              </w:rPr>
              <w:fldChar w:fldCharType="begin"/>
            </w:r>
            <w:r w:rsidR="00777EE0">
              <w:rPr>
                <w:noProof/>
                <w:webHidden/>
              </w:rPr>
              <w:instrText xml:space="preserve"> PAGEREF _Toc35892533 \h </w:instrText>
            </w:r>
            <w:r w:rsidR="00777EE0">
              <w:rPr>
                <w:noProof/>
                <w:webHidden/>
              </w:rPr>
            </w:r>
            <w:r w:rsidR="00777EE0">
              <w:rPr>
                <w:noProof/>
                <w:webHidden/>
              </w:rPr>
              <w:fldChar w:fldCharType="separate"/>
            </w:r>
            <w:r w:rsidR="0026579C">
              <w:rPr>
                <w:noProof/>
                <w:webHidden/>
              </w:rPr>
              <w:t>60</w:t>
            </w:r>
            <w:r w:rsidR="00777EE0">
              <w:rPr>
                <w:noProof/>
                <w:webHidden/>
              </w:rPr>
              <w:fldChar w:fldCharType="end"/>
            </w:r>
          </w:hyperlink>
        </w:p>
        <w:p w14:paraId="49B0C383" w14:textId="01C82128" w:rsidR="00777EE0" w:rsidRDefault="00251E9C">
          <w:pPr>
            <w:pStyle w:val="TOC3"/>
            <w:rPr>
              <w:rFonts w:asciiTheme="minorHAnsi" w:eastAsiaTheme="minorEastAsia" w:hAnsiTheme="minorHAnsi" w:cstheme="minorBidi"/>
              <w:noProof/>
              <w:sz w:val="22"/>
              <w:lang w:eastAsia="en-GB"/>
            </w:rPr>
          </w:pPr>
          <w:hyperlink w:anchor="_Toc35892534" w:history="1">
            <w:r w:rsidR="00777EE0" w:rsidRPr="00C53B84">
              <w:rPr>
                <w:rStyle w:val="Hyperlink"/>
                <w:noProof/>
              </w:rPr>
              <w:t>2.6.1</w:t>
            </w:r>
            <w:r w:rsidR="00777EE0">
              <w:rPr>
                <w:rFonts w:asciiTheme="minorHAnsi" w:eastAsiaTheme="minorEastAsia" w:hAnsiTheme="minorHAnsi" w:cstheme="minorBidi"/>
                <w:noProof/>
                <w:sz w:val="22"/>
                <w:lang w:eastAsia="en-GB"/>
              </w:rPr>
              <w:tab/>
            </w:r>
            <w:r w:rsidR="00777EE0" w:rsidRPr="00C53B84">
              <w:rPr>
                <w:rStyle w:val="Hyperlink"/>
                <w:noProof/>
              </w:rPr>
              <w:t>Unknown harms</w:t>
            </w:r>
            <w:r w:rsidR="00777EE0">
              <w:rPr>
                <w:noProof/>
                <w:webHidden/>
              </w:rPr>
              <w:tab/>
            </w:r>
            <w:r w:rsidR="00777EE0">
              <w:rPr>
                <w:noProof/>
                <w:webHidden/>
              </w:rPr>
              <w:fldChar w:fldCharType="begin"/>
            </w:r>
            <w:r w:rsidR="00777EE0">
              <w:rPr>
                <w:noProof/>
                <w:webHidden/>
              </w:rPr>
              <w:instrText xml:space="preserve"> PAGEREF _Toc35892534 \h </w:instrText>
            </w:r>
            <w:r w:rsidR="00777EE0">
              <w:rPr>
                <w:noProof/>
                <w:webHidden/>
              </w:rPr>
            </w:r>
            <w:r w:rsidR="00777EE0">
              <w:rPr>
                <w:noProof/>
                <w:webHidden/>
              </w:rPr>
              <w:fldChar w:fldCharType="separate"/>
            </w:r>
            <w:r w:rsidR="0026579C">
              <w:rPr>
                <w:noProof/>
                <w:webHidden/>
              </w:rPr>
              <w:t>61</w:t>
            </w:r>
            <w:r w:rsidR="00777EE0">
              <w:rPr>
                <w:noProof/>
                <w:webHidden/>
              </w:rPr>
              <w:fldChar w:fldCharType="end"/>
            </w:r>
          </w:hyperlink>
        </w:p>
        <w:p w14:paraId="1D4952A8" w14:textId="7B7DE003" w:rsidR="00777EE0" w:rsidRDefault="00251E9C">
          <w:pPr>
            <w:pStyle w:val="TOC3"/>
            <w:rPr>
              <w:rFonts w:asciiTheme="minorHAnsi" w:eastAsiaTheme="minorEastAsia" w:hAnsiTheme="minorHAnsi" w:cstheme="minorBidi"/>
              <w:noProof/>
              <w:sz w:val="22"/>
              <w:lang w:eastAsia="en-GB"/>
            </w:rPr>
          </w:pPr>
          <w:hyperlink w:anchor="_Toc35892535" w:history="1">
            <w:r w:rsidR="00777EE0" w:rsidRPr="00C53B84">
              <w:rPr>
                <w:rStyle w:val="Hyperlink"/>
                <w:noProof/>
              </w:rPr>
              <w:t>2.6.2</w:t>
            </w:r>
            <w:r w:rsidR="00777EE0">
              <w:rPr>
                <w:rFonts w:asciiTheme="minorHAnsi" w:eastAsiaTheme="minorEastAsia" w:hAnsiTheme="minorHAnsi" w:cstheme="minorBidi"/>
                <w:noProof/>
                <w:sz w:val="22"/>
                <w:lang w:eastAsia="en-GB"/>
              </w:rPr>
              <w:tab/>
            </w:r>
            <w:r w:rsidR="00777EE0" w:rsidRPr="00C53B84">
              <w:rPr>
                <w:rStyle w:val="Hyperlink"/>
                <w:noProof/>
              </w:rPr>
              <w:t>Harmful effects</w:t>
            </w:r>
            <w:r w:rsidR="00777EE0">
              <w:rPr>
                <w:noProof/>
                <w:webHidden/>
              </w:rPr>
              <w:tab/>
            </w:r>
            <w:r w:rsidR="00777EE0">
              <w:rPr>
                <w:noProof/>
                <w:webHidden/>
              </w:rPr>
              <w:fldChar w:fldCharType="begin"/>
            </w:r>
            <w:r w:rsidR="00777EE0">
              <w:rPr>
                <w:noProof/>
                <w:webHidden/>
              </w:rPr>
              <w:instrText xml:space="preserve"> PAGEREF _Toc35892535 \h </w:instrText>
            </w:r>
            <w:r w:rsidR="00777EE0">
              <w:rPr>
                <w:noProof/>
                <w:webHidden/>
              </w:rPr>
            </w:r>
            <w:r w:rsidR="00777EE0">
              <w:rPr>
                <w:noProof/>
                <w:webHidden/>
              </w:rPr>
              <w:fldChar w:fldCharType="separate"/>
            </w:r>
            <w:r w:rsidR="0026579C">
              <w:rPr>
                <w:noProof/>
                <w:webHidden/>
              </w:rPr>
              <w:t>62</w:t>
            </w:r>
            <w:r w:rsidR="00777EE0">
              <w:rPr>
                <w:noProof/>
                <w:webHidden/>
              </w:rPr>
              <w:fldChar w:fldCharType="end"/>
            </w:r>
          </w:hyperlink>
        </w:p>
        <w:p w14:paraId="20F4B73F" w14:textId="70AF4819"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36" w:history="1">
            <w:r w:rsidR="00777EE0" w:rsidRPr="00C53B84">
              <w:rPr>
                <w:rStyle w:val="Hyperlink"/>
                <w:noProof/>
              </w:rPr>
              <w:t>2.7</w:t>
            </w:r>
            <w:r w:rsidR="00777EE0">
              <w:rPr>
                <w:rFonts w:asciiTheme="minorHAnsi" w:eastAsiaTheme="minorEastAsia" w:hAnsiTheme="minorHAnsi" w:cstheme="minorBidi"/>
                <w:noProof/>
                <w:sz w:val="22"/>
                <w:lang w:eastAsia="en-GB"/>
              </w:rPr>
              <w:tab/>
            </w:r>
            <w:r w:rsidR="00777EE0" w:rsidRPr="00C53B84">
              <w:rPr>
                <w:rStyle w:val="Hyperlink"/>
                <w:noProof/>
              </w:rPr>
              <w:t>Admissions to hospital and drug treatment services</w:t>
            </w:r>
            <w:r w:rsidR="00777EE0">
              <w:rPr>
                <w:noProof/>
                <w:webHidden/>
              </w:rPr>
              <w:tab/>
            </w:r>
            <w:r w:rsidR="00777EE0">
              <w:rPr>
                <w:noProof/>
                <w:webHidden/>
              </w:rPr>
              <w:fldChar w:fldCharType="begin"/>
            </w:r>
            <w:r w:rsidR="00777EE0">
              <w:rPr>
                <w:noProof/>
                <w:webHidden/>
              </w:rPr>
              <w:instrText xml:space="preserve"> PAGEREF _Toc35892536 \h </w:instrText>
            </w:r>
            <w:r w:rsidR="00777EE0">
              <w:rPr>
                <w:noProof/>
                <w:webHidden/>
              </w:rPr>
            </w:r>
            <w:r w:rsidR="00777EE0">
              <w:rPr>
                <w:noProof/>
                <w:webHidden/>
              </w:rPr>
              <w:fldChar w:fldCharType="separate"/>
            </w:r>
            <w:r w:rsidR="0026579C">
              <w:rPr>
                <w:noProof/>
                <w:webHidden/>
              </w:rPr>
              <w:t>64</w:t>
            </w:r>
            <w:r w:rsidR="00777EE0">
              <w:rPr>
                <w:noProof/>
                <w:webHidden/>
              </w:rPr>
              <w:fldChar w:fldCharType="end"/>
            </w:r>
          </w:hyperlink>
        </w:p>
        <w:p w14:paraId="6726B8E9" w14:textId="01C281B9" w:rsidR="00777EE0" w:rsidRDefault="00251E9C">
          <w:pPr>
            <w:pStyle w:val="TOC3"/>
            <w:rPr>
              <w:rFonts w:asciiTheme="minorHAnsi" w:eastAsiaTheme="minorEastAsia" w:hAnsiTheme="minorHAnsi" w:cstheme="minorBidi"/>
              <w:noProof/>
              <w:sz w:val="22"/>
              <w:lang w:eastAsia="en-GB"/>
            </w:rPr>
          </w:pPr>
          <w:hyperlink w:anchor="_Toc35892537" w:history="1">
            <w:r w:rsidR="00777EE0" w:rsidRPr="00C53B84">
              <w:rPr>
                <w:rStyle w:val="Hyperlink"/>
                <w:noProof/>
              </w:rPr>
              <w:t>2.7.1</w:t>
            </w:r>
            <w:r w:rsidR="00777EE0">
              <w:rPr>
                <w:rFonts w:asciiTheme="minorHAnsi" w:eastAsiaTheme="minorEastAsia" w:hAnsiTheme="minorHAnsi" w:cstheme="minorBidi"/>
                <w:noProof/>
                <w:sz w:val="22"/>
                <w:lang w:eastAsia="en-GB"/>
              </w:rPr>
              <w:tab/>
            </w:r>
            <w:r w:rsidR="00777EE0" w:rsidRPr="00C53B84">
              <w:rPr>
                <w:rStyle w:val="Hyperlink"/>
                <w:noProof/>
              </w:rPr>
              <w:t>Mortality data</w:t>
            </w:r>
            <w:r w:rsidR="00777EE0">
              <w:rPr>
                <w:noProof/>
                <w:webHidden/>
              </w:rPr>
              <w:tab/>
            </w:r>
            <w:r w:rsidR="00777EE0">
              <w:rPr>
                <w:noProof/>
                <w:webHidden/>
              </w:rPr>
              <w:fldChar w:fldCharType="begin"/>
            </w:r>
            <w:r w:rsidR="00777EE0">
              <w:rPr>
                <w:noProof/>
                <w:webHidden/>
              </w:rPr>
              <w:instrText xml:space="preserve"> PAGEREF _Toc35892537 \h </w:instrText>
            </w:r>
            <w:r w:rsidR="00777EE0">
              <w:rPr>
                <w:noProof/>
                <w:webHidden/>
              </w:rPr>
            </w:r>
            <w:r w:rsidR="00777EE0">
              <w:rPr>
                <w:noProof/>
                <w:webHidden/>
              </w:rPr>
              <w:fldChar w:fldCharType="separate"/>
            </w:r>
            <w:r w:rsidR="0026579C">
              <w:rPr>
                <w:noProof/>
                <w:webHidden/>
              </w:rPr>
              <w:t>67</w:t>
            </w:r>
            <w:r w:rsidR="00777EE0">
              <w:rPr>
                <w:noProof/>
                <w:webHidden/>
              </w:rPr>
              <w:fldChar w:fldCharType="end"/>
            </w:r>
          </w:hyperlink>
        </w:p>
        <w:p w14:paraId="5390B85B" w14:textId="3200B9B1" w:rsidR="00777EE0" w:rsidRDefault="00251E9C">
          <w:pPr>
            <w:pStyle w:val="TOC3"/>
            <w:rPr>
              <w:rFonts w:asciiTheme="minorHAnsi" w:eastAsiaTheme="minorEastAsia" w:hAnsiTheme="minorHAnsi" w:cstheme="minorBidi"/>
              <w:noProof/>
              <w:sz w:val="22"/>
              <w:lang w:eastAsia="en-GB"/>
            </w:rPr>
          </w:pPr>
          <w:hyperlink w:anchor="_Toc35892538" w:history="1">
            <w:r w:rsidR="00777EE0" w:rsidRPr="00C53B84">
              <w:rPr>
                <w:rStyle w:val="Hyperlink"/>
                <w:noProof/>
              </w:rPr>
              <w:t>2.7.2</w:t>
            </w:r>
            <w:r w:rsidR="00777EE0">
              <w:rPr>
                <w:rFonts w:asciiTheme="minorHAnsi" w:eastAsiaTheme="minorEastAsia" w:hAnsiTheme="minorHAnsi" w:cstheme="minorBidi"/>
                <w:noProof/>
                <w:sz w:val="22"/>
                <w:lang w:eastAsia="en-GB"/>
              </w:rPr>
              <w:tab/>
            </w:r>
            <w:r w:rsidR="00777EE0" w:rsidRPr="00C53B84">
              <w:rPr>
                <w:rStyle w:val="Hyperlink"/>
                <w:noProof/>
              </w:rPr>
              <w:t>NPS and drug misuse deaths</w:t>
            </w:r>
            <w:r w:rsidR="00777EE0">
              <w:rPr>
                <w:noProof/>
                <w:webHidden/>
              </w:rPr>
              <w:tab/>
            </w:r>
            <w:r w:rsidR="00777EE0">
              <w:rPr>
                <w:noProof/>
                <w:webHidden/>
              </w:rPr>
              <w:fldChar w:fldCharType="begin"/>
            </w:r>
            <w:r w:rsidR="00777EE0">
              <w:rPr>
                <w:noProof/>
                <w:webHidden/>
              </w:rPr>
              <w:instrText xml:space="preserve"> PAGEREF _Toc35892538 \h </w:instrText>
            </w:r>
            <w:r w:rsidR="00777EE0">
              <w:rPr>
                <w:noProof/>
                <w:webHidden/>
              </w:rPr>
            </w:r>
            <w:r w:rsidR="00777EE0">
              <w:rPr>
                <w:noProof/>
                <w:webHidden/>
              </w:rPr>
              <w:fldChar w:fldCharType="separate"/>
            </w:r>
            <w:r w:rsidR="0026579C">
              <w:rPr>
                <w:noProof/>
                <w:webHidden/>
              </w:rPr>
              <w:t>71</w:t>
            </w:r>
            <w:r w:rsidR="00777EE0">
              <w:rPr>
                <w:noProof/>
                <w:webHidden/>
              </w:rPr>
              <w:fldChar w:fldCharType="end"/>
            </w:r>
          </w:hyperlink>
        </w:p>
        <w:p w14:paraId="71FD629B" w14:textId="1F7EFD84" w:rsidR="00777EE0" w:rsidRDefault="00251E9C">
          <w:pPr>
            <w:pStyle w:val="TOC3"/>
            <w:rPr>
              <w:rFonts w:asciiTheme="minorHAnsi" w:eastAsiaTheme="minorEastAsia" w:hAnsiTheme="minorHAnsi" w:cstheme="minorBidi"/>
              <w:noProof/>
              <w:sz w:val="22"/>
              <w:lang w:eastAsia="en-GB"/>
            </w:rPr>
          </w:pPr>
          <w:hyperlink w:anchor="_Toc35892539" w:history="1">
            <w:r w:rsidR="00777EE0" w:rsidRPr="00C53B84">
              <w:rPr>
                <w:rStyle w:val="Hyperlink"/>
                <w:noProof/>
              </w:rPr>
              <w:t>2.7.3</w:t>
            </w:r>
            <w:r w:rsidR="00777EE0">
              <w:rPr>
                <w:rFonts w:asciiTheme="minorHAnsi" w:eastAsiaTheme="minorEastAsia" w:hAnsiTheme="minorHAnsi" w:cstheme="minorBidi"/>
                <w:noProof/>
                <w:sz w:val="22"/>
                <w:lang w:eastAsia="en-GB"/>
              </w:rPr>
              <w:tab/>
            </w:r>
            <w:r w:rsidR="00777EE0" w:rsidRPr="00C53B84">
              <w:rPr>
                <w:rStyle w:val="Hyperlink"/>
                <w:noProof/>
              </w:rPr>
              <w:t>Potency and mortality</w:t>
            </w:r>
            <w:r w:rsidR="00777EE0">
              <w:rPr>
                <w:noProof/>
                <w:webHidden/>
              </w:rPr>
              <w:tab/>
            </w:r>
            <w:r w:rsidR="00777EE0">
              <w:rPr>
                <w:noProof/>
                <w:webHidden/>
              </w:rPr>
              <w:fldChar w:fldCharType="begin"/>
            </w:r>
            <w:r w:rsidR="00777EE0">
              <w:rPr>
                <w:noProof/>
                <w:webHidden/>
              </w:rPr>
              <w:instrText xml:space="preserve"> PAGEREF _Toc35892539 \h </w:instrText>
            </w:r>
            <w:r w:rsidR="00777EE0">
              <w:rPr>
                <w:noProof/>
                <w:webHidden/>
              </w:rPr>
            </w:r>
            <w:r w:rsidR="00777EE0">
              <w:rPr>
                <w:noProof/>
                <w:webHidden/>
              </w:rPr>
              <w:fldChar w:fldCharType="separate"/>
            </w:r>
            <w:r w:rsidR="0026579C">
              <w:rPr>
                <w:noProof/>
                <w:webHidden/>
              </w:rPr>
              <w:t>72</w:t>
            </w:r>
            <w:r w:rsidR="00777EE0">
              <w:rPr>
                <w:noProof/>
                <w:webHidden/>
              </w:rPr>
              <w:fldChar w:fldCharType="end"/>
            </w:r>
          </w:hyperlink>
        </w:p>
        <w:p w14:paraId="20BCD590" w14:textId="08B4CA19" w:rsidR="00777EE0" w:rsidRDefault="00251E9C">
          <w:pPr>
            <w:pStyle w:val="TOC3"/>
            <w:rPr>
              <w:rFonts w:asciiTheme="minorHAnsi" w:eastAsiaTheme="minorEastAsia" w:hAnsiTheme="minorHAnsi" w:cstheme="minorBidi"/>
              <w:noProof/>
              <w:sz w:val="22"/>
              <w:lang w:eastAsia="en-GB"/>
            </w:rPr>
          </w:pPr>
          <w:hyperlink w:anchor="_Toc35892540" w:history="1">
            <w:r w:rsidR="00777EE0" w:rsidRPr="00C53B84">
              <w:rPr>
                <w:rStyle w:val="Hyperlink"/>
                <w:noProof/>
              </w:rPr>
              <w:t>2.7.4</w:t>
            </w:r>
            <w:r w:rsidR="00777EE0">
              <w:rPr>
                <w:rFonts w:asciiTheme="minorHAnsi" w:eastAsiaTheme="minorEastAsia" w:hAnsiTheme="minorHAnsi" w:cstheme="minorBidi"/>
                <w:noProof/>
                <w:sz w:val="22"/>
                <w:lang w:eastAsia="en-GB"/>
              </w:rPr>
              <w:tab/>
            </w:r>
            <w:r w:rsidR="00777EE0" w:rsidRPr="00C53B84">
              <w:rPr>
                <w:rStyle w:val="Hyperlink"/>
                <w:noProof/>
              </w:rPr>
              <w:t>Heroin use and NPS</w:t>
            </w:r>
            <w:r w:rsidR="00777EE0">
              <w:rPr>
                <w:noProof/>
                <w:webHidden/>
              </w:rPr>
              <w:tab/>
            </w:r>
            <w:r w:rsidR="00777EE0">
              <w:rPr>
                <w:noProof/>
                <w:webHidden/>
              </w:rPr>
              <w:fldChar w:fldCharType="begin"/>
            </w:r>
            <w:r w:rsidR="00777EE0">
              <w:rPr>
                <w:noProof/>
                <w:webHidden/>
              </w:rPr>
              <w:instrText xml:space="preserve"> PAGEREF _Toc35892540 \h </w:instrText>
            </w:r>
            <w:r w:rsidR="00777EE0">
              <w:rPr>
                <w:noProof/>
                <w:webHidden/>
              </w:rPr>
            </w:r>
            <w:r w:rsidR="00777EE0">
              <w:rPr>
                <w:noProof/>
                <w:webHidden/>
              </w:rPr>
              <w:fldChar w:fldCharType="separate"/>
            </w:r>
            <w:r w:rsidR="0026579C">
              <w:rPr>
                <w:noProof/>
                <w:webHidden/>
              </w:rPr>
              <w:t>74</w:t>
            </w:r>
            <w:r w:rsidR="00777EE0">
              <w:rPr>
                <w:noProof/>
                <w:webHidden/>
              </w:rPr>
              <w:fldChar w:fldCharType="end"/>
            </w:r>
          </w:hyperlink>
        </w:p>
        <w:p w14:paraId="0759B588" w14:textId="68A026A6" w:rsidR="00777EE0" w:rsidRDefault="00251E9C">
          <w:pPr>
            <w:pStyle w:val="TOC3"/>
            <w:rPr>
              <w:rFonts w:asciiTheme="minorHAnsi" w:eastAsiaTheme="minorEastAsia" w:hAnsiTheme="minorHAnsi" w:cstheme="minorBidi"/>
              <w:noProof/>
              <w:sz w:val="22"/>
              <w:lang w:eastAsia="en-GB"/>
            </w:rPr>
          </w:pPr>
          <w:hyperlink w:anchor="_Toc35892541" w:history="1">
            <w:r w:rsidR="00777EE0" w:rsidRPr="00C53B84">
              <w:rPr>
                <w:rStyle w:val="Hyperlink"/>
                <w:noProof/>
              </w:rPr>
              <w:t>2.7.5</w:t>
            </w:r>
            <w:r w:rsidR="00777EE0">
              <w:rPr>
                <w:rFonts w:asciiTheme="minorHAnsi" w:eastAsiaTheme="minorEastAsia" w:hAnsiTheme="minorHAnsi" w:cstheme="minorBidi"/>
                <w:noProof/>
                <w:sz w:val="22"/>
                <w:lang w:eastAsia="en-GB"/>
              </w:rPr>
              <w:tab/>
            </w:r>
            <w:r w:rsidR="00777EE0" w:rsidRPr="00C53B84">
              <w:rPr>
                <w:rStyle w:val="Hyperlink"/>
                <w:noProof/>
              </w:rPr>
              <w:t>Displacement</w:t>
            </w:r>
            <w:r w:rsidR="00777EE0">
              <w:rPr>
                <w:noProof/>
                <w:webHidden/>
              </w:rPr>
              <w:tab/>
            </w:r>
            <w:r w:rsidR="00777EE0">
              <w:rPr>
                <w:noProof/>
                <w:webHidden/>
              </w:rPr>
              <w:fldChar w:fldCharType="begin"/>
            </w:r>
            <w:r w:rsidR="00777EE0">
              <w:rPr>
                <w:noProof/>
                <w:webHidden/>
              </w:rPr>
              <w:instrText xml:space="preserve"> PAGEREF _Toc35892541 \h </w:instrText>
            </w:r>
            <w:r w:rsidR="00777EE0">
              <w:rPr>
                <w:noProof/>
                <w:webHidden/>
              </w:rPr>
            </w:r>
            <w:r w:rsidR="00777EE0">
              <w:rPr>
                <w:noProof/>
                <w:webHidden/>
              </w:rPr>
              <w:fldChar w:fldCharType="separate"/>
            </w:r>
            <w:r w:rsidR="0026579C">
              <w:rPr>
                <w:noProof/>
                <w:webHidden/>
              </w:rPr>
              <w:t>76</w:t>
            </w:r>
            <w:r w:rsidR="00777EE0">
              <w:rPr>
                <w:noProof/>
                <w:webHidden/>
              </w:rPr>
              <w:fldChar w:fldCharType="end"/>
            </w:r>
          </w:hyperlink>
        </w:p>
        <w:p w14:paraId="1795C912" w14:textId="528147D0" w:rsidR="00777EE0" w:rsidRDefault="00251E9C">
          <w:pPr>
            <w:pStyle w:val="TOC3"/>
            <w:rPr>
              <w:rFonts w:asciiTheme="minorHAnsi" w:eastAsiaTheme="minorEastAsia" w:hAnsiTheme="minorHAnsi" w:cstheme="minorBidi"/>
              <w:noProof/>
              <w:sz w:val="22"/>
              <w:lang w:eastAsia="en-GB"/>
            </w:rPr>
          </w:pPr>
          <w:hyperlink w:anchor="_Toc35892542" w:history="1">
            <w:r w:rsidR="00777EE0" w:rsidRPr="00C53B84">
              <w:rPr>
                <w:rStyle w:val="Hyperlink"/>
                <w:noProof/>
                <w:lang w:val="en-US"/>
              </w:rPr>
              <w:t>2.7.6</w:t>
            </w:r>
            <w:r w:rsidR="00777EE0">
              <w:rPr>
                <w:rFonts w:asciiTheme="minorHAnsi" w:eastAsiaTheme="minorEastAsia" w:hAnsiTheme="minorHAnsi" w:cstheme="minorBidi"/>
                <w:noProof/>
                <w:sz w:val="22"/>
                <w:lang w:eastAsia="en-GB"/>
              </w:rPr>
              <w:tab/>
            </w:r>
            <w:r w:rsidR="00777EE0" w:rsidRPr="00C53B84">
              <w:rPr>
                <w:rStyle w:val="Hyperlink"/>
                <w:noProof/>
              </w:rPr>
              <w:t>Mortality and age</w:t>
            </w:r>
            <w:r w:rsidR="00777EE0">
              <w:rPr>
                <w:noProof/>
                <w:webHidden/>
              </w:rPr>
              <w:tab/>
            </w:r>
            <w:r w:rsidR="00777EE0">
              <w:rPr>
                <w:noProof/>
                <w:webHidden/>
              </w:rPr>
              <w:fldChar w:fldCharType="begin"/>
            </w:r>
            <w:r w:rsidR="00777EE0">
              <w:rPr>
                <w:noProof/>
                <w:webHidden/>
              </w:rPr>
              <w:instrText xml:space="preserve"> PAGEREF _Toc35892542 \h </w:instrText>
            </w:r>
            <w:r w:rsidR="00777EE0">
              <w:rPr>
                <w:noProof/>
                <w:webHidden/>
              </w:rPr>
            </w:r>
            <w:r w:rsidR="00777EE0">
              <w:rPr>
                <w:noProof/>
                <w:webHidden/>
              </w:rPr>
              <w:fldChar w:fldCharType="separate"/>
            </w:r>
            <w:r w:rsidR="0026579C">
              <w:rPr>
                <w:noProof/>
                <w:webHidden/>
              </w:rPr>
              <w:t>78</w:t>
            </w:r>
            <w:r w:rsidR="00777EE0">
              <w:rPr>
                <w:noProof/>
                <w:webHidden/>
              </w:rPr>
              <w:fldChar w:fldCharType="end"/>
            </w:r>
          </w:hyperlink>
        </w:p>
        <w:p w14:paraId="684F86E3" w14:textId="352B4C6F" w:rsidR="00777EE0" w:rsidRDefault="00251E9C">
          <w:pPr>
            <w:pStyle w:val="TOC3"/>
            <w:rPr>
              <w:rFonts w:asciiTheme="minorHAnsi" w:eastAsiaTheme="minorEastAsia" w:hAnsiTheme="minorHAnsi" w:cstheme="minorBidi"/>
              <w:noProof/>
              <w:sz w:val="22"/>
              <w:lang w:eastAsia="en-GB"/>
            </w:rPr>
          </w:pPr>
          <w:hyperlink w:anchor="_Toc35892543" w:history="1">
            <w:r w:rsidR="00777EE0" w:rsidRPr="00C53B84">
              <w:rPr>
                <w:rStyle w:val="Hyperlink"/>
                <w:noProof/>
              </w:rPr>
              <w:t>2.7.7</w:t>
            </w:r>
            <w:r w:rsidR="00777EE0">
              <w:rPr>
                <w:rFonts w:asciiTheme="minorHAnsi" w:eastAsiaTheme="minorEastAsia" w:hAnsiTheme="minorHAnsi" w:cstheme="minorBidi"/>
                <w:noProof/>
                <w:sz w:val="22"/>
                <w:lang w:eastAsia="en-GB"/>
              </w:rPr>
              <w:tab/>
            </w:r>
            <w:r w:rsidR="00777EE0" w:rsidRPr="00C53B84">
              <w:rPr>
                <w:rStyle w:val="Hyperlink"/>
                <w:noProof/>
              </w:rPr>
              <w:t>Summary of harms</w:t>
            </w:r>
            <w:r w:rsidR="00777EE0">
              <w:rPr>
                <w:noProof/>
                <w:webHidden/>
              </w:rPr>
              <w:tab/>
            </w:r>
            <w:r w:rsidR="00777EE0">
              <w:rPr>
                <w:noProof/>
                <w:webHidden/>
              </w:rPr>
              <w:fldChar w:fldCharType="begin"/>
            </w:r>
            <w:r w:rsidR="00777EE0">
              <w:rPr>
                <w:noProof/>
                <w:webHidden/>
              </w:rPr>
              <w:instrText xml:space="preserve"> PAGEREF _Toc35892543 \h </w:instrText>
            </w:r>
            <w:r w:rsidR="00777EE0">
              <w:rPr>
                <w:noProof/>
                <w:webHidden/>
              </w:rPr>
            </w:r>
            <w:r w:rsidR="00777EE0">
              <w:rPr>
                <w:noProof/>
                <w:webHidden/>
              </w:rPr>
              <w:fldChar w:fldCharType="separate"/>
            </w:r>
            <w:r w:rsidR="0026579C">
              <w:rPr>
                <w:noProof/>
                <w:webHidden/>
              </w:rPr>
              <w:t>78</w:t>
            </w:r>
            <w:r w:rsidR="00777EE0">
              <w:rPr>
                <w:noProof/>
                <w:webHidden/>
              </w:rPr>
              <w:fldChar w:fldCharType="end"/>
            </w:r>
          </w:hyperlink>
        </w:p>
        <w:p w14:paraId="4DF69A04" w14:textId="3FFE0CE9"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44" w:history="1">
            <w:r w:rsidR="00777EE0" w:rsidRPr="00C53B84">
              <w:rPr>
                <w:rStyle w:val="Hyperlink"/>
                <w:noProof/>
              </w:rPr>
              <w:t>2.8</w:t>
            </w:r>
            <w:r w:rsidR="00777EE0">
              <w:rPr>
                <w:rFonts w:asciiTheme="minorHAnsi" w:eastAsiaTheme="minorEastAsia" w:hAnsiTheme="minorHAnsi" w:cstheme="minorBidi"/>
                <w:noProof/>
                <w:sz w:val="22"/>
                <w:lang w:eastAsia="en-GB"/>
              </w:rPr>
              <w:tab/>
            </w:r>
            <w:r w:rsidR="00777EE0" w:rsidRPr="00C53B84">
              <w:rPr>
                <w:rStyle w:val="Hyperlink"/>
                <w:noProof/>
              </w:rPr>
              <w:t>Chapter summary</w:t>
            </w:r>
            <w:r w:rsidR="00777EE0">
              <w:rPr>
                <w:noProof/>
                <w:webHidden/>
              </w:rPr>
              <w:tab/>
            </w:r>
            <w:r w:rsidR="00777EE0">
              <w:rPr>
                <w:noProof/>
                <w:webHidden/>
              </w:rPr>
              <w:fldChar w:fldCharType="begin"/>
            </w:r>
            <w:r w:rsidR="00777EE0">
              <w:rPr>
                <w:noProof/>
                <w:webHidden/>
              </w:rPr>
              <w:instrText xml:space="preserve"> PAGEREF _Toc35892544 \h </w:instrText>
            </w:r>
            <w:r w:rsidR="00777EE0">
              <w:rPr>
                <w:noProof/>
                <w:webHidden/>
              </w:rPr>
            </w:r>
            <w:r w:rsidR="00777EE0">
              <w:rPr>
                <w:noProof/>
                <w:webHidden/>
              </w:rPr>
              <w:fldChar w:fldCharType="separate"/>
            </w:r>
            <w:r w:rsidR="0026579C">
              <w:rPr>
                <w:noProof/>
                <w:webHidden/>
              </w:rPr>
              <w:t>81</w:t>
            </w:r>
            <w:r w:rsidR="00777EE0">
              <w:rPr>
                <w:noProof/>
                <w:webHidden/>
              </w:rPr>
              <w:fldChar w:fldCharType="end"/>
            </w:r>
          </w:hyperlink>
        </w:p>
        <w:p w14:paraId="087F6658" w14:textId="55C7F0FE"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545" w:history="1">
            <w:r w:rsidR="00777EE0" w:rsidRPr="00C53B84">
              <w:rPr>
                <w:rStyle w:val="Hyperlink"/>
                <w:noProof/>
                <w14:scene3d>
                  <w14:camera w14:prst="orthographicFront"/>
                  <w14:lightRig w14:rig="threePt" w14:dir="t">
                    <w14:rot w14:lat="0" w14:lon="0" w14:rev="0"/>
                  </w14:lightRig>
                </w14:scene3d>
              </w:rPr>
              <w:t>Chapter 3</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Literature review of drug prevention guidelines</w:t>
            </w:r>
            <w:r w:rsidR="00777EE0">
              <w:rPr>
                <w:noProof/>
                <w:webHidden/>
              </w:rPr>
              <w:tab/>
            </w:r>
            <w:r w:rsidR="00777EE0">
              <w:rPr>
                <w:noProof/>
                <w:webHidden/>
              </w:rPr>
              <w:fldChar w:fldCharType="begin"/>
            </w:r>
            <w:r w:rsidR="00777EE0">
              <w:rPr>
                <w:noProof/>
                <w:webHidden/>
              </w:rPr>
              <w:instrText xml:space="preserve"> PAGEREF _Toc35892545 \h </w:instrText>
            </w:r>
            <w:r w:rsidR="00777EE0">
              <w:rPr>
                <w:noProof/>
                <w:webHidden/>
              </w:rPr>
            </w:r>
            <w:r w:rsidR="00777EE0">
              <w:rPr>
                <w:noProof/>
                <w:webHidden/>
              </w:rPr>
              <w:fldChar w:fldCharType="separate"/>
            </w:r>
            <w:r w:rsidR="0026579C">
              <w:rPr>
                <w:noProof/>
                <w:webHidden/>
              </w:rPr>
              <w:t>86</w:t>
            </w:r>
            <w:r w:rsidR="00777EE0">
              <w:rPr>
                <w:noProof/>
                <w:webHidden/>
              </w:rPr>
              <w:fldChar w:fldCharType="end"/>
            </w:r>
          </w:hyperlink>
        </w:p>
        <w:p w14:paraId="1A85FE1C" w14:textId="11216017"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46" w:history="1">
            <w:r w:rsidR="00777EE0" w:rsidRPr="00C53B84">
              <w:rPr>
                <w:rStyle w:val="Hyperlink"/>
                <w:noProof/>
              </w:rPr>
              <w:t>3.1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_Toc35892546 \h </w:instrText>
            </w:r>
            <w:r w:rsidR="00777EE0">
              <w:rPr>
                <w:noProof/>
                <w:webHidden/>
              </w:rPr>
            </w:r>
            <w:r w:rsidR="00777EE0">
              <w:rPr>
                <w:noProof/>
                <w:webHidden/>
              </w:rPr>
              <w:fldChar w:fldCharType="separate"/>
            </w:r>
            <w:r w:rsidR="0026579C">
              <w:rPr>
                <w:noProof/>
                <w:webHidden/>
              </w:rPr>
              <w:t>86</w:t>
            </w:r>
            <w:r w:rsidR="00777EE0">
              <w:rPr>
                <w:noProof/>
                <w:webHidden/>
              </w:rPr>
              <w:fldChar w:fldCharType="end"/>
            </w:r>
          </w:hyperlink>
        </w:p>
        <w:p w14:paraId="21723E3B" w14:textId="0DD30016"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47" w:history="1">
            <w:r w:rsidR="00777EE0" w:rsidRPr="00C53B84">
              <w:rPr>
                <w:rStyle w:val="Hyperlink"/>
                <w:noProof/>
              </w:rPr>
              <w:t>3.2</w:t>
            </w:r>
            <w:r w:rsidR="00777EE0">
              <w:rPr>
                <w:rFonts w:asciiTheme="minorHAnsi" w:eastAsiaTheme="minorEastAsia" w:hAnsiTheme="minorHAnsi" w:cstheme="minorBidi"/>
                <w:noProof/>
                <w:sz w:val="22"/>
                <w:lang w:eastAsia="en-GB"/>
              </w:rPr>
              <w:tab/>
            </w:r>
            <w:r w:rsidR="00777EE0" w:rsidRPr="00C53B84">
              <w:rPr>
                <w:rStyle w:val="Hyperlink"/>
                <w:noProof/>
              </w:rPr>
              <w:t>Part I Drug prevention guidelines</w:t>
            </w:r>
            <w:r w:rsidR="00777EE0">
              <w:rPr>
                <w:noProof/>
                <w:webHidden/>
              </w:rPr>
              <w:tab/>
            </w:r>
            <w:r w:rsidR="00777EE0">
              <w:rPr>
                <w:noProof/>
                <w:webHidden/>
              </w:rPr>
              <w:fldChar w:fldCharType="begin"/>
            </w:r>
            <w:r w:rsidR="00777EE0">
              <w:rPr>
                <w:noProof/>
                <w:webHidden/>
              </w:rPr>
              <w:instrText xml:space="preserve"> PAGEREF _Toc35892547 \h </w:instrText>
            </w:r>
            <w:r w:rsidR="00777EE0">
              <w:rPr>
                <w:noProof/>
                <w:webHidden/>
              </w:rPr>
            </w:r>
            <w:r w:rsidR="00777EE0">
              <w:rPr>
                <w:noProof/>
                <w:webHidden/>
              </w:rPr>
              <w:fldChar w:fldCharType="separate"/>
            </w:r>
            <w:r w:rsidR="0026579C">
              <w:rPr>
                <w:noProof/>
                <w:webHidden/>
              </w:rPr>
              <w:t>87</w:t>
            </w:r>
            <w:r w:rsidR="00777EE0">
              <w:rPr>
                <w:noProof/>
                <w:webHidden/>
              </w:rPr>
              <w:fldChar w:fldCharType="end"/>
            </w:r>
          </w:hyperlink>
        </w:p>
        <w:p w14:paraId="36CA30E8" w14:textId="73AC96A8" w:rsidR="00777EE0" w:rsidRDefault="00251E9C">
          <w:pPr>
            <w:pStyle w:val="TOC3"/>
            <w:rPr>
              <w:rFonts w:asciiTheme="minorHAnsi" w:eastAsiaTheme="minorEastAsia" w:hAnsiTheme="minorHAnsi" w:cstheme="minorBidi"/>
              <w:noProof/>
              <w:sz w:val="22"/>
              <w:lang w:eastAsia="en-GB"/>
            </w:rPr>
          </w:pPr>
          <w:hyperlink w:anchor="_Toc35892548" w:history="1">
            <w:r w:rsidR="00777EE0" w:rsidRPr="00C53B84">
              <w:rPr>
                <w:rStyle w:val="Hyperlink"/>
                <w:noProof/>
              </w:rPr>
              <w:t>3.2.1</w:t>
            </w:r>
            <w:r w:rsidR="00777EE0">
              <w:rPr>
                <w:rFonts w:asciiTheme="minorHAnsi" w:eastAsiaTheme="minorEastAsia" w:hAnsiTheme="minorHAnsi" w:cstheme="minorBidi"/>
                <w:noProof/>
                <w:sz w:val="22"/>
                <w:lang w:eastAsia="en-GB"/>
              </w:rPr>
              <w:tab/>
            </w:r>
            <w:r w:rsidR="00777EE0" w:rsidRPr="00C53B84">
              <w:rPr>
                <w:rStyle w:val="Hyperlink"/>
                <w:noProof/>
              </w:rPr>
              <w:t>Review objectives</w:t>
            </w:r>
            <w:r w:rsidR="00777EE0">
              <w:rPr>
                <w:noProof/>
                <w:webHidden/>
              </w:rPr>
              <w:tab/>
            </w:r>
            <w:r w:rsidR="00777EE0">
              <w:rPr>
                <w:noProof/>
                <w:webHidden/>
              </w:rPr>
              <w:fldChar w:fldCharType="begin"/>
            </w:r>
            <w:r w:rsidR="00777EE0">
              <w:rPr>
                <w:noProof/>
                <w:webHidden/>
              </w:rPr>
              <w:instrText xml:space="preserve"> PAGEREF _Toc35892548 \h </w:instrText>
            </w:r>
            <w:r w:rsidR="00777EE0">
              <w:rPr>
                <w:noProof/>
                <w:webHidden/>
              </w:rPr>
            </w:r>
            <w:r w:rsidR="00777EE0">
              <w:rPr>
                <w:noProof/>
                <w:webHidden/>
              </w:rPr>
              <w:fldChar w:fldCharType="separate"/>
            </w:r>
            <w:r w:rsidR="0026579C">
              <w:rPr>
                <w:noProof/>
                <w:webHidden/>
              </w:rPr>
              <w:t>87</w:t>
            </w:r>
            <w:r w:rsidR="00777EE0">
              <w:rPr>
                <w:noProof/>
                <w:webHidden/>
              </w:rPr>
              <w:fldChar w:fldCharType="end"/>
            </w:r>
          </w:hyperlink>
        </w:p>
        <w:p w14:paraId="05C2F519" w14:textId="4844012B"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49" w:history="1">
            <w:r w:rsidR="00777EE0" w:rsidRPr="00C53B84">
              <w:rPr>
                <w:rStyle w:val="Hyperlink"/>
                <w:noProof/>
              </w:rPr>
              <w:t>3.3</w:t>
            </w:r>
            <w:r w:rsidR="00777EE0">
              <w:rPr>
                <w:rFonts w:asciiTheme="minorHAnsi" w:eastAsiaTheme="minorEastAsia" w:hAnsiTheme="minorHAnsi" w:cstheme="minorBidi"/>
                <w:noProof/>
                <w:sz w:val="22"/>
                <w:lang w:eastAsia="en-GB"/>
              </w:rPr>
              <w:tab/>
            </w:r>
            <w:r w:rsidR="00777EE0" w:rsidRPr="00C53B84">
              <w:rPr>
                <w:rStyle w:val="Hyperlink"/>
                <w:noProof/>
              </w:rPr>
              <w:t>Method</w:t>
            </w:r>
            <w:r w:rsidR="00777EE0">
              <w:rPr>
                <w:noProof/>
                <w:webHidden/>
              </w:rPr>
              <w:tab/>
            </w:r>
            <w:r w:rsidR="00777EE0">
              <w:rPr>
                <w:noProof/>
                <w:webHidden/>
              </w:rPr>
              <w:fldChar w:fldCharType="begin"/>
            </w:r>
            <w:r w:rsidR="00777EE0">
              <w:rPr>
                <w:noProof/>
                <w:webHidden/>
              </w:rPr>
              <w:instrText xml:space="preserve"> PAGEREF _Toc35892549 \h </w:instrText>
            </w:r>
            <w:r w:rsidR="00777EE0">
              <w:rPr>
                <w:noProof/>
                <w:webHidden/>
              </w:rPr>
            </w:r>
            <w:r w:rsidR="00777EE0">
              <w:rPr>
                <w:noProof/>
                <w:webHidden/>
              </w:rPr>
              <w:fldChar w:fldCharType="separate"/>
            </w:r>
            <w:r w:rsidR="0026579C">
              <w:rPr>
                <w:noProof/>
                <w:webHidden/>
              </w:rPr>
              <w:t>87</w:t>
            </w:r>
            <w:r w:rsidR="00777EE0">
              <w:rPr>
                <w:noProof/>
                <w:webHidden/>
              </w:rPr>
              <w:fldChar w:fldCharType="end"/>
            </w:r>
          </w:hyperlink>
        </w:p>
        <w:p w14:paraId="23417821" w14:textId="7D50C076" w:rsidR="00777EE0" w:rsidRDefault="00251E9C">
          <w:pPr>
            <w:pStyle w:val="TOC3"/>
            <w:rPr>
              <w:rFonts w:asciiTheme="minorHAnsi" w:eastAsiaTheme="minorEastAsia" w:hAnsiTheme="minorHAnsi" w:cstheme="minorBidi"/>
              <w:noProof/>
              <w:sz w:val="22"/>
              <w:lang w:eastAsia="en-GB"/>
            </w:rPr>
          </w:pPr>
          <w:hyperlink w:anchor="_Toc35892550" w:history="1">
            <w:r w:rsidR="00777EE0" w:rsidRPr="00C53B84">
              <w:rPr>
                <w:rStyle w:val="Hyperlink"/>
                <w:noProof/>
              </w:rPr>
              <w:t>3.3.1</w:t>
            </w:r>
            <w:r w:rsidR="00777EE0">
              <w:rPr>
                <w:rFonts w:asciiTheme="minorHAnsi" w:eastAsiaTheme="minorEastAsia" w:hAnsiTheme="minorHAnsi" w:cstheme="minorBidi"/>
                <w:noProof/>
                <w:sz w:val="22"/>
                <w:lang w:eastAsia="en-GB"/>
              </w:rPr>
              <w:tab/>
            </w:r>
            <w:r w:rsidR="00777EE0" w:rsidRPr="00C53B84">
              <w:rPr>
                <w:rStyle w:val="Hyperlink"/>
                <w:noProof/>
              </w:rPr>
              <w:t>National and local drug strategy</w:t>
            </w:r>
            <w:r w:rsidR="00777EE0">
              <w:rPr>
                <w:noProof/>
                <w:webHidden/>
              </w:rPr>
              <w:tab/>
            </w:r>
            <w:r w:rsidR="00777EE0">
              <w:rPr>
                <w:noProof/>
                <w:webHidden/>
              </w:rPr>
              <w:fldChar w:fldCharType="begin"/>
            </w:r>
            <w:r w:rsidR="00777EE0">
              <w:rPr>
                <w:noProof/>
                <w:webHidden/>
              </w:rPr>
              <w:instrText xml:space="preserve"> PAGEREF _Toc35892550 \h </w:instrText>
            </w:r>
            <w:r w:rsidR="00777EE0">
              <w:rPr>
                <w:noProof/>
                <w:webHidden/>
              </w:rPr>
            </w:r>
            <w:r w:rsidR="00777EE0">
              <w:rPr>
                <w:noProof/>
                <w:webHidden/>
              </w:rPr>
              <w:fldChar w:fldCharType="separate"/>
            </w:r>
            <w:r w:rsidR="0026579C">
              <w:rPr>
                <w:noProof/>
                <w:webHidden/>
              </w:rPr>
              <w:t>88</w:t>
            </w:r>
            <w:r w:rsidR="00777EE0">
              <w:rPr>
                <w:noProof/>
                <w:webHidden/>
              </w:rPr>
              <w:fldChar w:fldCharType="end"/>
            </w:r>
          </w:hyperlink>
        </w:p>
        <w:p w14:paraId="21AA5EBC" w14:textId="448CA057" w:rsidR="00777EE0" w:rsidRDefault="00251E9C">
          <w:pPr>
            <w:pStyle w:val="TOC3"/>
            <w:rPr>
              <w:rFonts w:asciiTheme="minorHAnsi" w:eastAsiaTheme="minorEastAsia" w:hAnsiTheme="minorHAnsi" w:cstheme="minorBidi"/>
              <w:noProof/>
              <w:sz w:val="22"/>
              <w:lang w:eastAsia="en-GB"/>
            </w:rPr>
          </w:pPr>
          <w:hyperlink w:anchor="_Toc35892551" w:history="1">
            <w:r w:rsidR="00777EE0" w:rsidRPr="00C53B84">
              <w:rPr>
                <w:rStyle w:val="Hyperlink"/>
                <w:noProof/>
              </w:rPr>
              <w:t>3.3.2</w:t>
            </w:r>
            <w:r w:rsidR="00777EE0">
              <w:rPr>
                <w:rFonts w:asciiTheme="minorHAnsi" w:eastAsiaTheme="minorEastAsia" w:hAnsiTheme="minorHAnsi" w:cstheme="minorBidi"/>
                <w:noProof/>
                <w:sz w:val="22"/>
                <w:lang w:eastAsia="en-GB"/>
              </w:rPr>
              <w:tab/>
            </w:r>
            <w:r w:rsidR="00777EE0" w:rsidRPr="00C53B84">
              <w:rPr>
                <w:rStyle w:val="Hyperlink"/>
                <w:noProof/>
              </w:rPr>
              <w:t>Intervention guidelines and quality standards</w:t>
            </w:r>
            <w:r w:rsidR="00777EE0">
              <w:rPr>
                <w:noProof/>
                <w:webHidden/>
              </w:rPr>
              <w:tab/>
            </w:r>
            <w:r w:rsidR="00777EE0">
              <w:rPr>
                <w:noProof/>
                <w:webHidden/>
              </w:rPr>
              <w:fldChar w:fldCharType="begin"/>
            </w:r>
            <w:r w:rsidR="00777EE0">
              <w:rPr>
                <w:noProof/>
                <w:webHidden/>
              </w:rPr>
              <w:instrText xml:space="preserve"> PAGEREF _Toc35892551 \h </w:instrText>
            </w:r>
            <w:r w:rsidR="00777EE0">
              <w:rPr>
                <w:noProof/>
                <w:webHidden/>
              </w:rPr>
            </w:r>
            <w:r w:rsidR="00777EE0">
              <w:rPr>
                <w:noProof/>
                <w:webHidden/>
              </w:rPr>
              <w:fldChar w:fldCharType="separate"/>
            </w:r>
            <w:r w:rsidR="0026579C">
              <w:rPr>
                <w:noProof/>
                <w:webHidden/>
              </w:rPr>
              <w:t>88</w:t>
            </w:r>
            <w:r w:rsidR="00777EE0">
              <w:rPr>
                <w:noProof/>
                <w:webHidden/>
              </w:rPr>
              <w:fldChar w:fldCharType="end"/>
            </w:r>
          </w:hyperlink>
        </w:p>
        <w:p w14:paraId="2001167C" w14:textId="4DF7F2A6" w:rsidR="00777EE0" w:rsidRDefault="00251E9C">
          <w:pPr>
            <w:pStyle w:val="TOC3"/>
            <w:rPr>
              <w:rFonts w:asciiTheme="minorHAnsi" w:eastAsiaTheme="minorEastAsia" w:hAnsiTheme="minorHAnsi" w:cstheme="minorBidi"/>
              <w:noProof/>
              <w:sz w:val="22"/>
              <w:lang w:eastAsia="en-GB"/>
            </w:rPr>
          </w:pPr>
          <w:hyperlink w:anchor="_Toc35892552" w:history="1">
            <w:r w:rsidR="00777EE0" w:rsidRPr="00C53B84">
              <w:rPr>
                <w:rStyle w:val="Hyperlink"/>
                <w:noProof/>
              </w:rPr>
              <w:t>3.3.3</w:t>
            </w:r>
            <w:r w:rsidR="00777EE0">
              <w:rPr>
                <w:rFonts w:asciiTheme="minorHAnsi" w:eastAsiaTheme="minorEastAsia" w:hAnsiTheme="minorHAnsi" w:cstheme="minorBidi"/>
                <w:noProof/>
                <w:sz w:val="22"/>
                <w:lang w:eastAsia="en-GB"/>
              </w:rPr>
              <w:tab/>
            </w:r>
            <w:r w:rsidR="00777EE0" w:rsidRPr="00C53B84">
              <w:rPr>
                <w:rStyle w:val="Hyperlink"/>
                <w:noProof/>
              </w:rPr>
              <w:t>ACMD drug prevention review and recommendations</w:t>
            </w:r>
            <w:r w:rsidR="00777EE0">
              <w:rPr>
                <w:noProof/>
                <w:webHidden/>
              </w:rPr>
              <w:tab/>
            </w:r>
            <w:r w:rsidR="00777EE0">
              <w:rPr>
                <w:noProof/>
                <w:webHidden/>
              </w:rPr>
              <w:fldChar w:fldCharType="begin"/>
            </w:r>
            <w:r w:rsidR="00777EE0">
              <w:rPr>
                <w:noProof/>
                <w:webHidden/>
              </w:rPr>
              <w:instrText xml:space="preserve"> PAGEREF _Toc35892552 \h </w:instrText>
            </w:r>
            <w:r w:rsidR="00777EE0">
              <w:rPr>
                <w:noProof/>
                <w:webHidden/>
              </w:rPr>
            </w:r>
            <w:r w:rsidR="00777EE0">
              <w:rPr>
                <w:noProof/>
                <w:webHidden/>
              </w:rPr>
              <w:fldChar w:fldCharType="separate"/>
            </w:r>
            <w:r w:rsidR="0026579C">
              <w:rPr>
                <w:noProof/>
                <w:webHidden/>
              </w:rPr>
              <w:t>89</w:t>
            </w:r>
            <w:r w:rsidR="00777EE0">
              <w:rPr>
                <w:noProof/>
                <w:webHidden/>
              </w:rPr>
              <w:fldChar w:fldCharType="end"/>
            </w:r>
          </w:hyperlink>
        </w:p>
        <w:p w14:paraId="64C851C3" w14:textId="651E8C96" w:rsidR="00777EE0" w:rsidRDefault="00251E9C">
          <w:pPr>
            <w:pStyle w:val="TOC3"/>
            <w:rPr>
              <w:rFonts w:asciiTheme="minorHAnsi" w:eastAsiaTheme="minorEastAsia" w:hAnsiTheme="minorHAnsi" w:cstheme="minorBidi"/>
              <w:noProof/>
              <w:sz w:val="22"/>
              <w:lang w:eastAsia="en-GB"/>
            </w:rPr>
          </w:pPr>
          <w:hyperlink w:anchor="_Toc35892553" w:history="1">
            <w:r w:rsidR="00777EE0" w:rsidRPr="00C53B84">
              <w:rPr>
                <w:rStyle w:val="Hyperlink"/>
                <w:noProof/>
              </w:rPr>
              <w:t>3.3.4</w:t>
            </w:r>
            <w:r w:rsidR="00777EE0">
              <w:rPr>
                <w:rFonts w:asciiTheme="minorHAnsi" w:eastAsiaTheme="minorEastAsia" w:hAnsiTheme="minorHAnsi" w:cstheme="minorBidi"/>
                <w:noProof/>
                <w:sz w:val="22"/>
                <w:lang w:eastAsia="en-GB"/>
              </w:rPr>
              <w:tab/>
            </w:r>
            <w:r w:rsidR="00777EE0" w:rsidRPr="00C53B84">
              <w:rPr>
                <w:rStyle w:val="Hyperlink"/>
                <w:noProof/>
              </w:rPr>
              <w:t>NICE drug prevention guidelines</w:t>
            </w:r>
            <w:r w:rsidR="00777EE0">
              <w:rPr>
                <w:noProof/>
                <w:webHidden/>
              </w:rPr>
              <w:tab/>
            </w:r>
            <w:r w:rsidR="00777EE0">
              <w:rPr>
                <w:noProof/>
                <w:webHidden/>
              </w:rPr>
              <w:fldChar w:fldCharType="begin"/>
            </w:r>
            <w:r w:rsidR="00777EE0">
              <w:rPr>
                <w:noProof/>
                <w:webHidden/>
              </w:rPr>
              <w:instrText xml:space="preserve"> PAGEREF _Toc35892553 \h </w:instrText>
            </w:r>
            <w:r w:rsidR="00777EE0">
              <w:rPr>
                <w:noProof/>
                <w:webHidden/>
              </w:rPr>
            </w:r>
            <w:r w:rsidR="00777EE0">
              <w:rPr>
                <w:noProof/>
                <w:webHidden/>
              </w:rPr>
              <w:fldChar w:fldCharType="separate"/>
            </w:r>
            <w:r w:rsidR="0026579C">
              <w:rPr>
                <w:noProof/>
                <w:webHidden/>
              </w:rPr>
              <w:t>89</w:t>
            </w:r>
            <w:r w:rsidR="00777EE0">
              <w:rPr>
                <w:noProof/>
                <w:webHidden/>
              </w:rPr>
              <w:fldChar w:fldCharType="end"/>
            </w:r>
          </w:hyperlink>
        </w:p>
        <w:p w14:paraId="73F580F3" w14:textId="1D0F4F6C" w:rsidR="00777EE0" w:rsidRDefault="00251E9C">
          <w:pPr>
            <w:pStyle w:val="TOC3"/>
            <w:rPr>
              <w:rFonts w:asciiTheme="minorHAnsi" w:eastAsiaTheme="minorEastAsia" w:hAnsiTheme="minorHAnsi" w:cstheme="minorBidi"/>
              <w:noProof/>
              <w:sz w:val="22"/>
              <w:lang w:eastAsia="en-GB"/>
            </w:rPr>
          </w:pPr>
          <w:hyperlink w:anchor="_Toc35892554" w:history="1">
            <w:r w:rsidR="00777EE0" w:rsidRPr="00C53B84">
              <w:rPr>
                <w:rStyle w:val="Hyperlink"/>
                <w:noProof/>
              </w:rPr>
              <w:t>3.3.5</w:t>
            </w:r>
            <w:r w:rsidR="00777EE0">
              <w:rPr>
                <w:rFonts w:asciiTheme="minorHAnsi" w:eastAsiaTheme="minorEastAsia" w:hAnsiTheme="minorHAnsi" w:cstheme="minorBidi"/>
                <w:noProof/>
                <w:sz w:val="22"/>
                <w:lang w:eastAsia="en-GB"/>
              </w:rPr>
              <w:tab/>
            </w:r>
            <w:r w:rsidR="00777EE0" w:rsidRPr="00C53B84">
              <w:rPr>
                <w:rStyle w:val="Hyperlink"/>
                <w:noProof/>
              </w:rPr>
              <w:t>EMCDDA European drug prevention quality standards (EDPQS)</w:t>
            </w:r>
            <w:r w:rsidR="00777EE0">
              <w:rPr>
                <w:noProof/>
                <w:webHidden/>
              </w:rPr>
              <w:tab/>
            </w:r>
            <w:r w:rsidR="00777EE0">
              <w:rPr>
                <w:noProof/>
                <w:webHidden/>
              </w:rPr>
              <w:fldChar w:fldCharType="begin"/>
            </w:r>
            <w:r w:rsidR="00777EE0">
              <w:rPr>
                <w:noProof/>
                <w:webHidden/>
              </w:rPr>
              <w:instrText xml:space="preserve"> PAGEREF _Toc35892554 \h </w:instrText>
            </w:r>
            <w:r w:rsidR="00777EE0">
              <w:rPr>
                <w:noProof/>
                <w:webHidden/>
              </w:rPr>
            </w:r>
            <w:r w:rsidR="00777EE0">
              <w:rPr>
                <w:noProof/>
                <w:webHidden/>
              </w:rPr>
              <w:fldChar w:fldCharType="separate"/>
            </w:r>
            <w:r w:rsidR="0026579C">
              <w:rPr>
                <w:noProof/>
                <w:webHidden/>
              </w:rPr>
              <w:t>89</w:t>
            </w:r>
            <w:r w:rsidR="00777EE0">
              <w:rPr>
                <w:noProof/>
                <w:webHidden/>
              </w:rPr>
              <w:fldChar w:fldCharType="end"/>
            </w:r>
          </w:hyperlink>
        </w:p>
        <w:p w14:paraId="2C60E5B0" w14:textId="4FF43CFC" w:rsidR="00777EE0" w:rsidRDefault="00251E9C">
          <w:pPr>
            <w:pStyle w:val="TOC3"/>
            <w:rPr>
              <w:rFonts w:asciiTheme="minorHAnsi" w:eastAsiaTheme="minorEastAsia" w:hAnsiTheme="minorHAnsi" w:cstheme="minorBidi"/>
              <w:noProof/>
              <w:sz w:val="22"/>
              <w:lang w:eastAsia="en-GB"/>
            </w:rPr>
          </w:pPr>
          <w:hyperlink w:anchor="_Toc35892555" w:history="1">
            <w:r w:rsidR="00777EE0" w:rsidRPr="00C53B84">
              <w:rPr>
                <w:rStyle w:val="Hyperlink"/>
                <w:noProof/>
              </w:rPr>
              <w:t>3.3.6</w:t>
            </w:r>
            <w:r w:rsidR="00777EE0">
              <w:rPr>
                <w:rFonts w:asciiTheme="minorHAnsi" w:eastAsiaTheme="minorEastAsia" w:hAnsiTheme="minorHAnsi" w:cstheme="minorBidi"/>
                <w:noProof/>
                <w:sz w:val="22"/>
                <w:lang w:eastAsia="en-GB"/>
              </w:rPr>
              <w:tab/>
            </w:r>
            <w:r w:rsidR="00777EE0" w:rsidRPr="00C53B84">
              <w:rPr>
                <w:rStyle w:val="Hyperlink"/>
                <w:noProof/>
              </w:rPr>
              <w:t>UNODC International standards on drug use prevention</w:t>
            </w:r>
            <w:r w:rsidR="00777EE0">
              <w:rPr>
                <w:noProof/>
                <w:webHidden/>
              </w:rPr>
              <w:tab/>
            </w:r>
            <w:r w:rsidR="00777EE0">
              <w:rPr>
                <w:noProof/>
                <w:webHidden/>
              </w:rPr>
              <w:fldChar w:fldCharType="begin"/>
            </w:r>
            <w:r w:rsidR="00777EE0">
              <w:rPr>
                <w:noProof/>
                <w:webHidden/>
              </w:rPr>
              <w:instrText xml:space="preserve"> PAGEREF _Toc35892555 \h </w:instrText>
            </w:r>
            <w:r w:rsidR="00777EE0">
              <w:rPr>
                <w:noProof/>
                <w:webHidden/>
              </w:rPr>
            </w:r>
            <w:r w:rsidR="00777EE0">
              <w:rPr>
                <w:noProof/>
                <w:webHidden/>
              </w:rPr>
              <w:fldChar w:fldCharType="separate"/>
            </w:r>
            <w:r w:rsidR="0026579C">
              <w:rPr>
                <w:noProof/>
                <w:webHidden/>
              </w:rPr>
              <w:t>90</w:t>
            </w:r>
            <w:r w:rsidR="00777EE0">
              <w:rPr>
                <w:noProof/>
                <w:webHidden/>
              </w:rPr>
              <w:fldChar w:fldCharType="end"/>
            </w:r>
          </w:hyperlink>
        </w:p>
        <w:p w14:paraId="1C584AB6" w14:textId="5A40939E" w:rsidR="00777EE0" w:rsidRDefault="00251E9C">
          <w:pPr>
            <w:pStyle w:val="TOC3"/>
            <w:rPr>
              <w:rFonts w:asciiTheme="minorHAnsi" w:eastAsiaTheme="minorEastAsia" w:hAnsiTheme="minorHAnsi" w:cstheme="minorBidi"/>
              <w:noProof/>
              <w:sz w:val="22"/>
              <w:lang w:eastAsia="en-GB"/>
            </w:rPr>
          </w:pPr>
          <w:hyperlink w:anchor="_Toc35892556" w:history="1">
            <w:r w:rsidR="00777EE0" w:rsidRPr="00C53B84">
              <w:rPr>
                <w:rStyle w:val="Hyperlink"/>
                <w:noProof/>
              </w:rPr>
              <w:t>3.3.7</w:t>
            </w:r>
            <w:r w:rsidR="00777EE0">
              <w:rPr>
                <w:rFonts w:asciiTheme="minorHAnsi" w:eastAsiaTheme="minorEastAsia" w:hAnsiTheme="minorHAnsi" w:cstheme="minorBidi"/>
                <w:noProof/>
                <w:sz w:val="22"/>
                <w:lang w:eastAsia="en-GB"/>
              </w:rPr>
              <w:tab/>
            </w:r>
            <w:r w:rsidR="00777EE0" w:rsidRPr="00C53B84">
              <w:rPr>
                <w:rStyle w:val="Hyperlink"/>
                <w:noProof/>
              </w:rPr>
              <w:t>Mentor-ADEPIS Quality standards for effective alcohol and drug education</w:t>
            </w:r>
            <w:r w:rsidR="00777EE0">
              <w:rPr>
                <w:noProof/>
                <w:webHidden/>
              </w:rPr>
              <w:tab/>
            </w:r>
            <w:r w:rsidR="00777EE0">
              <w:rPr>
                <w:noProof/>
                <w:webHidden/>
              </w:rPr>
              <w:fldChar w:fldCharType="begin"/>
            </w:r>
            <w:r w:rsidR="00777EE0">
              <w:rPr>
                <w:noProof/>
                <w:webHidden/>
              </w:rPr>
              <w:instrText xml:space="preserve"> PAGEREF _Toc35892556 \h </w:instrText>
            </w:r>
            <w:r w:rsidR="00777EE0">
              <w:rPr>
                <w:noProof/>
                <w:webHidden/>
              </w:rPr>
            </w:r>
            <w:r w:rsidR="00777EE0">
              <w:rPr>
                <w:noProof/>
                <w:webHidden/>
              </w:rPr>
              <w:fldChar w:fldCharType="separate"/>
            </w:r>
            <w:r w:rsidR="0026579C">
              <w:rPr>
                <w:noProof/>
                <w:webHidden/>
              </w:rPr>
              <w:t>91</w:t>
            </w:r>
            <w:r w:rsidR="00777EE0">
              <w:rPr>
                <w:noProof/>
                <w:webHidden/>
              </w:rPr>
              <w:fldChar w:fldCharType="end"/>
            </w:r>
          </w:hyperlink>
        </w:p>
        <w:p w14:paraId="0236DD52" w14:textId="1E28B796" w:rsidR="00777EE0" w:rsidRDefault="00251E9C">
          <w:pPr>
            <w:pStyle w:val="TOC3"/>
            <w:rPr>
              <w:rFonts w:asciiTheme="minorHAnsi" w:eastAsiaTheme="minorEastAsia" w:hAnsiTheme="minorHAnsi" w:cstheme="minorBidi"/>
              <w:noProof/>
              <w:sz w:val="22"/>
              <w:lang w:eastAsia="en-GB"/>
            </w:rPr>
          </w:pPr>
          <w:hyperlink w:anchor="_Toc35892557" w:history="1">
            <w:r w:rsidR="00777EE0" w:rsidRPr="00C53B84">
              <w:rPr>
                <w:rStyle w:val="Hyperlink"/>
                <w:noProof/>
              </w:rPr>
              <w:t>3.3.8</w:t>
            </w:r>
            <w:r w:rsidR="00777EE0">
              <w:rPr>
                <w:rFonts w:asciiTheme="minorHAnsi" w:eastAsiaTheme="minorEastAsia" w:hAnsiTheme="minorHAnsi" w:cstheme="minorBidi"/>
                <w:noProof/>
                <w:sz w:val="22"/>
                <w:lang w:eastAsia="en-GB"/>
              </w:rPr>
              <w:tab/>
            </w:r>
            <w:r w:rsidR="00777EE0" w:rsidRPr="00C53B84">
              <w:rPr>
                <w:rStyle w:val="Hyperlink"/>
                <w:noProof/>
              </w:rPr>
              <w:t>PHE International evidence on drug prevention</w:t>
            </w:r>
            <w:r w:rsidR="00777EE0">
              <w:rPr>
                <w:noProof/>
                <w:webHidden/>
              </w:rPr>
              <w:tab/>
            </w:r>
            <w:r w:rsidR="00777EE0">
              <w:rPr>
                <w:noProof/>
                <w:webHidden/>
              </w:rPr>
              <w:fldChar w:fldCharType="begin"/>
            </w:r>
            <w:r w:rsidR="00777EE0">
              <w:rPr>
                <w:noProof/>
                <w:webHidden/>
              </w:rPr>
              <w:instrText xml:space="preserve"> PAGEREF _Toc35892557 \h </w:instrText>
            </w:r>
            <w:r w:rsidR="00777EE0">
              <w:rPr>
                <w:noProof/>
                <w:webHidden/>
              </w:rPr>
            </w:r>
            <w:r w:rsidR="00777EE0">
              <w:rPr>
                <w:noProof/>
                <w:webHidden/>
              </w:rPr>
              <w:fldChar w:fldCharType="separate"/>
            </w:r>
            <w:r w:rsidR="0026579C">
              <w:rPr>
                <w:noProof/>
                <w:webHidden/>
              </w:rPr>
              <w:t>91</w:t>
            </w:r>
            <w:r w:rsidR="00777EE0">
              <w:rPr>
                <w:noProof/>
                <w:webHidden/>
              </w:rPr>
              <w:fldChar w:fldCharType="end"/>
            </w:r>
          </w:hyperlink>
        </w:p>
        <w:p w14:paraId="0DD544EB" w14:textId="7923DC73" w:rsidR="00777EE0" w:rsidRDefault="00251E9C">
          <w:pPr>
            <w:pStyle w:val="TOC3"/>
            <w:rPr>
              <w:rFonts w:asciiTheme="minorHAnsi" w:eastAsiaTheme="minorEastAsia" w:hAnsiTheme="minorHAnsi" w:cstheme="minorBidi"/>
              <w:noProof/>
              <w:sz w:val="22"/>
              <w:lang w:eastAsia="en-GB"/>
            </w:rPr>
          </w:pPr>
          <w:hyperlink w:anchor="_Toc35892558" w:history="1">
            <w:r w:rsidR="00777EE0" w:rsidRPr="00C53B84">
              <w:rPr>
                <w:rStyle w:val="Hyperlink"/>
                <w:noProof/>
              </w:rPr>
              <w:t>3.3.9</w:t>
            </w:r>
            <w:r w:rsidR="00777EE0">
              <w:rPr>
                <w:rFonts w:asciiTheme="minorHAnsi" w:eastAsiaTheme="minorEastAsia" w:hAnsiTheme="minorHAnsi" w:cstheme="minorBidi"/>
                <w:noProof/>
                <w:sz w:val="22"/>
                <w:lang w:eastAsia="en-GB"/>
              </w:rPr>
              <w:tab/>
            </w:r>
            <w:r w:rsidR="00777EE0" w:rsidRPr="00C53B84">
              <w:rPr>
                <w:rStyle w:val="Hyperlink"/>
                <w:noProof/>
              </w:rPr>
              <w:t>Sources of intervention guidelines and accompanying evidence bases</w:t>
            </w:r>
            <w:r w:rsidR="00777EE0">
              <w:rPr>
                <w:noProof/>
                <w:webHidden/>
              </w:rPr>
              <w:tab/>
            </w:r>
            <w:r w:rsidR="00777EE0">
              <w:rPr>
                <w:noProof/>
                <w:webHidden/>
              </w:rPr>
              <w:fldChar w:fldCharType="begin"/>
            </w:r>
            <w:r w:rsidR="00777EE0">
              <w:rPr>
                <w:noProof/>
                <w:webHidden/>
              </w:rPr>
              <w:instrText xml:space="preserve"> PAGEREF _Toc35892558 \h </w:instrText>
            </w:r>
            <w:r w:rsidR="00777EE0">
              <w:rPr>
                <w:noProof/>
                <w:webHidden/>
              </w:rPr>
            </w:r>
            <w:r w:rsidR="00777EE0">
              <w:rPr>
                <w:noProof/>
                <w:webHidden/>
              </w:rPr>
              <w:fldChar w:fldCharType="separate"/>
            </w:r>
            <w:r w:rsidR="0026579C">
              <w:rPr>
                <w:noProof/>
                <w:webHidden/>
              </w:rPr>
              <w:t>91</w:t>
            </w:r>
            <w:r w:rsidR="00777EE0">
              <w:rPr>
                <w:noProof/>
                <w:webHidden/>
              </w:rPr>
              <w:fldChar w:fldCharType="end"/>
            </w:r>
          </w:hyperlink>
        </w:p>
        <w:p w14:paraId="49C1B2B4" w14:textId="28AC8629" w:rsidR="00777EE0" w:rsidRDefault="00251E9C">
          <w:pPr>
            <w:pStyle w:val="TOC3"/>
            <w:rPr>
              <w:rFonts w:asciiTheme="minorHAnsi" w:eastAsiaTheme="minorEastAsia" w:hAnsiTheme="minorHAnsi" w:cstheme="minorBidi"/>
              <w:noProof/>
              <w:sz w:val="22"/>
              <w:lang w:eastAsia="en-GB"/>
            </w:rPr>
          </w:pPr>
          <w:hyperlink w:anchor="_Toc35892559" w:history="1">
            <w:r w:rsidR="00777EE0" w:rsidRPr="00C53B84">
              <w:rPr>
                <w:rStyle w:val="Hyperlink"/>
                <w:noProof/>
              </w:rPr>
              <w:t>3.3.11</w:t>
            </w:r>
            <w:r w:rsidR="00777EE0">
              <w:rPr>
                <w:rFonts w:asciiTheme="minorHAnsi" w:eastAsiaTheme="minorEastAsia" w:hAnsiTheme="minorHAnsi" w:cstheme="minorBidi"/>
                <w:noProof/>
                <w:sz w:val="22"/>
                <w:lang w:eastAsia="en-GB"/>
              </w:rPr>
              <w:tab/>
            </w:r>
            <w:r w:rsidR="00777EE0" w:rsidRPr="00C53B84">
              <w:rPr>
                <w:rStyle w:val="Hyperlink"/>
                <w:noProof/>
              </w:rPr>
              <w:t>Inclusion criteria: Evidence statements</w:t>
            </w:r>
            <w:r w:rsidR="00777EE0">
              <w:rPr>
                <w:noProof/>
                <w:webHidden/>
              </w:rPr>
              <w:tab/>
            </w:r>
            <w:r w:rsidR="00777EE0">
              <w:rPr>
                <w:noProof/>
                <w:webHidden/>
              </w:rPr>
              <w:fldChar w:fldCharType="begin"/>
            </w:r>
            <w:r w:rsidR="00777EE0">
              <w:rPr>
                <w:noProof/>
                <w:webHidden/>
              </w:rPr>
              <w:instrText xml:space="preserve"> PAGEREF _Toc35892559 \h </w:instrText>
            </w:r>
            <w:r w:rsidR="00777EE0">
              <w:rPr>
                <w:noProof/>
                <w:webHidden/>
              </w:rPr>
            </w:r>
            <w:r w:rsidR="00777EE0">
              <w:rPr>
                <w:noProof/>
                <w:webHidden/>
              </w:rPr>
              <w:fldChar w:fldCharType="separate"/>
            </w:r>
            <w:r w:rsidR="0026579C">
              <w:rPr>
                <w:noProof/>
                <w:webHidden/>
              </w:rPr>
              <w:t>93</w:t>
            </w:r>
            <w:r w:rsidR="00777EE0">
              <w:rPr>
                <w:noProof/>
                <w:webHidden/>
              </w:rPr>
              <w:fldChar w:fldCharType="end"/>
            </w:r>
          </w:hyperlink>
        </w:p>
        <w:p w14:paraId="26F1913D" w14:textId="0AA23FEC" w:rsidR="00777EE0" w:rsidRDefault="00251E9C">
          <w:pPr>
            <w:pStyle w:val="TOC3"/>
            <w:rPr>
              <w:rFonts w:asciiTheme="minorHAnsi" w:eastAsiaTheme="minorEastAsia" w:hAnsiTheme="minorHAnsi" w:cstheme="minorBidi"/>
              <w:noProof/>
              <w:sz w:val="22"/>
              <w:lang w:eastAsia="en-GB"/>
            </w:rPr>
          </w:pPr>
          <w:hyperlink w:anchor="_Toc35892560" w:history="1">
            <w:r w:rsidR="00777EE0" w:rsidRPr="00C53B84">
              <w:rPr>
                <w:rStyle w:val="Hyperlink"/>
                <w:noProof/>
              </w:rPr>
              <w:t>3.3.12</w:t>
            </w:r>
            <w:r w:rsidR="00777EE0">
              <w:rPr>
                <w:rFonts w:asciiTheme="minorHAnsi" w:eastAsiaTheme="minorEastAsia" w:hAnsiTheme="minorHAnsi" w:cstheme="minorBidi"/>
                <w:noProof/>
                <w:sz w:val="22"/>
                <w:lang w:eastAsia="en-GB"/>
              </w:rPr>
              <w:tab/>
            </w:r>
            <w:r w:rsidR="00777EE0" w:rsidRPr="00C53B84">
              <w:rPr>
                <w:rStyle w:val="Hyperlink"/>
                <w:noProof/>
              </w:rPr>
              <w:t>Extracting evidence statements and recommendations</w:t>
            </w:r>
            <w:r w:rsidR="00777EE0">
              <w:rPr>
                <w:noProof/>
                <w:webHidden/>
              </w:rPr>
              <w:tab/>
            </w:r>
            <w:r w:rsidR="00777EE0">
              <w:rPr>
                <w:noProof/>
                <w:webHidden/>
              </w:rPr>
              <w:fldChar w:fldCharType="begin"/>
            </w:r>
            <w:r w:rsidR="00777EE0">
              <w:rPr>
                <w:noProof/>
                <w:webHidden/>
              </w:rPr>
              <w:instrText xml:space="preserve"> PAGEREF _Toc35892560 \h </w:instrText>
            </w:r>
            <w:r w:rsidR="00777EE0">
              <w:rPr>
                <w:noProof/>
                <w:webHidden/>
              </w:rPr>
            </w:r>
            <w:r w:rsidR="00777EE0">
              <w:rPr>
                <w:noProof/>
                <w:webHidden/>
              </w:rPr>
              <w:fldChar w:fldCharType="separate"/>
            </w:r>
            <w:r w:rsidR="0026579C">
              <w:rPr>
                <w:noProof/>
                <w:webHidden/>
              </w:rPr>
              <w:t>96</w:t>
            </w:r>
            <w:r w:rsidR="00777EE0">
              <w:rPr>
                <w:noProof/>
                <w:webHidden/>
              </w:rPr>
              <w:fldChar w:fldCharType="end"/>
            </w:r>
          </w:hyperlink>
        </w:p>
        <w:p w14:paraId="1C5D8F94" w14:textId="409011F2"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61" w:history="1">
            <w:r w:rsidR="00777EE0" w:rsidRPr="00C53B84">
              <w:rPr>
                <w:rStyle w:val="Hyperlink"/>
                <w:noProof/>
              </w:rPr>
              <w:t>3.4</w:t>
            </w:r>
            <w:r w:rsidR="00777EE0">
              <w:rPr>
                <w:rFonts w:asciiTheme="minorHAnsi" w:eastAsiaTheme="minorEastAsia" w:hAnsiTheme="minorHAnsi" w:cstheme="minorBidi"/>
                <w:noProof/>
                <w:sz w:val="22"/>
                <w:lang w:eastAsia="en-GB"/>
              </w:rPr>
              <w:tab/>
            </w:r>
            <w:r w:rsidR="00777EE0" w:rsidRPr="00C53B84">
              <w:rPr>
                <w:rStyle w:val="Hyperlink"/>
                <w:noProof/>
              </w:rPr>
              <w:t>Results</w:t>
            </w:r>
            <w:r w:rsidR="00777EE0">
              <w:rPr>
                <w:noProof/>
                <w:webHidden/>
              </w:rPr>
              <w:tab/>
            </w:r>
            <w:r w:rsidR="00777EE0">
              <w:rPr>
                <w:noProof/>
                <w:webHidden/>
              </w:rPr>
              <w:fldChar w:fldCharType="begin"/>
            </w:r>
            <w:r w:rsidR="00777EE0">
              <w:rPr>
                <w:noProof/>
                <w:webHidden/>
              </w:rPr>
              <w:instrText xml:space="preserve"> PAGEREF _Toc35892561 \h </w:instrText>
            </w:r>
            <w:r w:rsidR="00777EE0">
              <w:rPr>
                <w:noProof/>
                <w:webHidden/>
              </w:rPr>
            </w:r>
            <w:r w:rsidR="00777EE0">
              <w:rPr>
                <w:noProof/>
                <w:webHidden/>
              </w:rPr>
              <w:fldChar w:fldCharType="separate"/>
            </w:r>
            <w:r w:rsidR="0026579C">
              <w:rPr>
                <w:noProof/>
                <w:webHidden/>
              </w:rPr>
              <w:t>97</w:t>
            </w:r>
            <w:r w:rsidR="00777EE0">
              <w:rPr>
                <w:noProof/>
                <w:webHidden/>
              </w:rPr>
              <w:fldChar w:fldCharType="end"/>
            </w:r>
          </w:hyperlink>
        </w:p>
        <w:p w14:paraId="4C59E001" w14:textId="0224E95C" w:rsidR="00777EE0" w:rsidRDefault="00251E9C">
          <w:pPr>
            <w:pStyle w:val="TOC3"/>
            <w:rPr>
              <w:rFonts w:asciiTheme="minorHAnsi" w:eastAsiaTheme="minorEastAsia" w:hAnsiTheme="minorHAnsi" w:cstheme="minorBidi"/>
              <w:noProof/>
              <w:sz w:val="22"/>
              <w:lang w:eastAsia="en-GB"/>
            </w:rPr>
          </w:pPr>
          <w:hyperlink w:anchor="_Toc35892562" w:history="1">
            <w:r w:rsidR="00777EE0" w:rsidRPr="00C53B84">
              <w:rPr>
                <w:rStyle w:val="Hyperlink"/>
                <w:noProof/>
              </w:rPr>
              <w:t>3.4.1</w:t>
            </w:r>
            <w:r w:rsidR="00777EE0">
              <w:rPr>
                <w:rFonts w:asciiTheme="minorHAnsi" w:eastAsiaTheme="minorEastAsia" w:hAnsiTheme="minorHAnsi" w:cstheme="minorBidi"/>
                <w:noProof/>
                <w:sz w:val="22"/>
                <w:lang w:eastAsia="en-GB"/>
              </w:rPr>
              <w:tab/>
            </w:r>
            <w:r w:rsidR="00777EE0" w:rsidRPr="00C53B84">
              <w:rPr>
                <w:rStyle w:val="Hyperlink"/>
                <w:noProof/>
              </w:rPr>
              <w:t>Intervention type and function</w:t>
            </w:r>
            <w:r w:rsidR="00777EE0">
              <w:rPr>
                <w:noProof/>
                <w:webHidden/>
              </w:rPr>
              <w:tab/>
            </w:r>
            <w:r w:rsidR="00777EE0">
              <w:rPr>
                <w:noProof/>
                <w:webHidden/>
              </w:rPr>
              <w:fldChar w:fldCharType="begin"/>
            </w:r>
            <w:r w:rsidR="00777EE0">
              <w:rPr>
                <w:noProof/>
                <w:webHidden/>
              </w:rPr>
              <w:instrText xml:space="preserve"> PAGEREF _Toc35892562 \h </w:instrText>
            </w:r>
            <w:r w:rsidR="00777EE0">
              <w:rPr>
                <w:noProof/>
                <w:webHidden/>
              </w:rPr>
            </w:r>
            <w:r w:rsidR="00777EE0">
              <w:rPr>
                <w:noProof/>
                <w:webHidden/>
              </w:rPr>
              <w:fldChar w:fldCharType="separate"/>
            </w:r>
            <w:r w:rsidR="0026579C">
              <w:rPr>
                <w:noProof/>
                <w:webHidden/>
              </w:rPr>
              <w:t>97</w:t>
            </w:r>
            <w:r w:rsidR="00777EE0">
              <w:rPr>
                <w:noProof/>
                <w:webHidden/>
              </w:rPr>
              <w:fldChar w:fldCharType="end"/>
            </w:r>
          </w:hyperlink>
        </w:p>
        <w:p w14:paraId="2EF36BE4" w14:textId="27DA4A5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63" w:history="1">
            <w:r w:rsidR="00777EE0" w:rsidRPr="00C53B84">
              <w:rPr>
                <w:rStyle w:val="Hyperlink"/>
                <w:noProof/>
              </w:rPr>
              <w:t>3.5</w:t>
            </w:r>
            <w:r w:rsidR="00777EE0">
              <w:rPr>
                <w:rFonts w:asciiTheme="minorHAnsi" w:eastAsiaTheme="minorEastAsia" w:hAnsiTheme="minorHAnsi" w:cstheme="minorBidi"/>
                <w:noProof/>
                <w:sz w:val="22"/>
                <w:lang w:eastAsia="en-GB"/>
              </w:rPr>
              <w:tab/>
            </w:r>
            <w:r w:rsidR="00777EE0" w:rsidRPr="00C53B84">
              <w:rPr>
                <w:rStyle w:val="Hyperlink"/>
                <w:noProof/>
              </w:rPr>
              <w:t>Intervention components: Evidence and recommendations</w:t>
            </w:r>
            <w:r w:rsidR="00777EE0">
              <w:rPr>
                <w:noProof/>
                <w:webHidden/>
              </w:rPr>
              <w:tab/>
            </w:r>
            <w:r w:rsidR="00777EE0">
              <w:rPr>
                <w:noProof/>
                <w:webHidden/>
              </w:rPr>
              <w:fldChar w:fldCharType="begin"/>
            </w:r>
            <w:r w:rsidR="00777EE0">
              <w:rPr>
                <w:noProof/>
                <w:webHidden/>
              </w:rPr>
              <w:instrText xml:space="preserve"> PAGEREF _Toc35892563 \h </w:instrText>
            </w:r>
            <w:r w:rsidR="00777EE0">
              <w:rPr>
                <w:noProof/>
                <w:webHidden/>
              </w:rPr>
            </w:r>
            <w:r w:rsidR="00777EE0">
              <w:rPr>
                <w:noProof/>
                <w:webHidden/>
              </w:rPr>
              <w:fldChar w:fldCharType="separate"/>
            </w:r>
            <w:r w:rsidR="0026579C">
              <w:rPr>
                <w:noProof/>
                <w:webHidden/>
              </w:rPr>
              <w:t>100</w:t>
            </w:r>
            <w:r w:rsidR="00777EE0">
              <w:rPr>
                <w:noProof/>
                <w:webHidden/>
              </w:rPr>
              <w:fldChar w:fldCharType="end"/>
            </w:r>
          </w:hyperlink>
        </w:p>
        <w:p w14:paraId="4B7EE863" w14:textId="1CA106E7" w:rsidR="00777EE0" w:rsidRDefault="00251E9C">
          <w:pPr>
            <w:pStyle w:val="TOC3"/>
            <w:rPr>
              <w:rFonts w:asciiTheme="minorHAnsi" w:eastAsiaTheme="minorEastAsia" w:hAnsiTheme="minorHAnsi" w:cstheme="minorBidi"/>
              <w:noProof/>
              <w:sz w:val="22"/>
              <w:lang w:eastAsia="en-GB"/>
            </w:rPr>
          </w:pPr>
          <w:hyperlink w:anchor="_Toc35892564" w:history="1">
            <w:r w:rsidR="00777EE0" w:rsidRPr="00C53B84">
              <w:rPr>
                <w:rStyle w:val="Hyperlink"/>
                <w:noProof/>
              </w:rPr>
              <w:t>3.5.1</w:t>
            </w:r>
            <w:r w:rsidR="00777EE0">
              <w:rPr>
                <w:rFonts w:asciiTheme="minorHAnsi" w:eastAsiaTheme="minorEastAsia" w:hAnsiTheme="minorHAnsi" w:cstheme="minorBidi"/>
                <w:noProof/>
                <w:sz w:val="22"/>
                <w:lang w:eastAsia="en-GB"/>
              </w:rPr>
              <w:tab/>
            </w:r>
            <w:r w:rsidR="00777EE0" w:rsidRPr="00C53B84">
              <w:rPr>
                <w:rStyle w:val="Hyperlink"/>
                <w:noProof/>
              </w:rPr>
              <w:t>General/personal skills</w:t>
            </w:r>
            <w:r w:rsidR="00777EE0">
              <w:rPr>
                <w:noProof/>
                <w:webHidden/>
              </w:rPr>
              <w:tab/>
            </w:r>
            <w:r w:rsidR="00777EE0">
              <w:rPr>
                <w:noProof/>
                <w:webHidden/>
              </w:rPr>
              <w:fldChar w:fldCharType="begin"/>
            </w:r>
            <w:r w:rsidR="00777EE0">
              <w:rPr>
                <w:noProof/>
                <w:webHidden/>
              </w:rPr>
              <w:instrText xml:space="preserve"> PAGEREF _Toc35892564 \h </w:instrText>
            </w:r>
            <w:r w:rsidR="00777EE0">
              <w:rPr>
                <w:noProof/>
                <w:webHidden/>
              </w:rPr>
            </w:r>
            <w:r w:rsidR="00777EE0">
              <w:rPr>
                <w:noProof/>
                <w:webHidden/>
              </w:rPr>
              <w:fldChar w:fldCharType="separate"/>
            </w:r>
            <w:r w:rsidR="0026579C">
              <w:rPr>
                <w:noProof/>
                <w:webHidden/>
              </w:rPr>
              <w:t>101</w:t>
            </w:r>
            <w:r w:rsidR="00777EE0">
              <w:rPr>
                <w:noProof/>
                <w:webHidden/>
              </w:rPr>
              <w:fldChar w:fldCharType="end"/>
            </w:r>
          </w:hyperlink>
        </w:p>
        <w:p w14:paraId="5EA600A5" w14:textId="5A97F00C" w:rsidR="00777EE0" w:rsidRDefault="00251E9C">
          <w:pPr>
            <w:pStyle w:val="TOC3"/>
            <w:rPr>
              <w:rFonts w:asciiTheme="minorHAnsi" w:eastAsiaTheme="minorEastAsia" w:hAnsiTheme="minorHAnsi" w:cstheme="minorBidi"/>
              <w:noProof/>
              <w:sz w:val="22"/>
              <w:lang w:eastAsia="en-GB"/>
            </w:rPr>
          </w:pPr>
          <w:hyperlink w:anchor="_Toc35892565" w:history="1">
            <w:r w:rsidR="00777EE0" w:rsidRPr="00C53B84">
              <w:rPr>
                <w:rStyle w:val="Hyperlink"/>
                <w:noProof/>
              </w:rPr>
              <w:t>3.5.2</w:t>
            </w:r>
            <w:r w:rsidR="00777EE0">
              <w:rPr>
                <w:rFonts w:asciiTheme="minorHAnsi" w:eastAsiaTheme="minorEastAsia" w:hAnsiTheme="minorHAnsi" w:cstheme="minorBidi"/>
                <w:noProof/>
                <w:sz w:val="22"/>
                <w:lang w:eastAsia="en-GB"/>
              </w:rPr>
              <w:tab/>
            </w:r>
            <w:r w:rsidR="00777EE0" w:rsidRPr="00C53B84">
              <w:rPr>
                <w:rStyle w:val="Hyperlink"/>
                <w:noProof/>
              </w:rPr>
              <w:t>Social skills</w:t>
            </w:r>
            <w:r w:rsidR="00777EE0">
              <w:rPr>
                <w:noProof/>
                <w:webHidden/>
              </w:rPr>
              <w:tab/>
            </w:r>
            <w:r w:rsidR="00777EE0">
              <w:rPr>
                <w:noProof/>
                <w:webHidden/>
              </w:rPr>
              <w:fldChar w:fldCharType="begin"/>
            </w:r>
            <w:r w:rsidR="00777EE0">
              <w:rPr>
                <w:noProof/>
                <w:webHidden/>
              </w:rPr>
              <w:instrText xml:space="preserve"> PAGEREF _Toc35892565 \h </w:instrText>
            </w:r>
            <w:r w:rsidR="00777EE0">
              <w:rPr>
                <w:noProof/>
                <w:webHidden/>
              </w:rPr>
            </w:r>
            <w:r w:rsidR="00777EE0">
              <w:rPr>
                <w:noProof/>
                <w:webHidden/>
              </w:rPr>
              <w:fldChar w:fldCharType="separate"/>
            </w:r>
            <w:r w:rsidR="0026579C">
              <w:rPr>
                <w:noProof/>
                <w:webHidden/>
              </w:rPr>
              <w:t>101</w:t>
            </w:r>
            <w:r w:rsidR="00777EE0">
              <w:rPr>
                <w:noProof/>
                <w:webHidden/>
              </w:rPr>
              <w:fldChar w:fldCharType="end"/>
            </w:r>
          </w:hyperlink>
        </w:p>
        <w:p w14:paraId="21739C40" w14:textId="7B6EDE36" w:rsidR="00777EE0" w:rsidRDefault="00251E9C">
          <w:pPr>
            <w:pStyle w:val="TOC3"/>
            <w:rPr>
              <w:rFonts w:asciiTheme="minorHAnsi" w:eastAsiaTheme="minorEastAsia" w:hAnsiTheme="minorHAnsi" w:cstheme="minorBidi"/>
              <w:noProof/>
              <w:sz w:val="22"/>
              <w:lang w:eastAsia="en-GB"/>
            </w:rPr>
          </w:pPr>
          <w:hyperlink w:anchor="_Toc35892566" w:history="1">
            <w:r w:rsidR="00777EE0" w:rsidRPr="00C53B84">
              <w:rPr>
                <w:rStyle w:val="Hyperlink"/>
                <w:noProof/>
              </w:rPr>
              <w:t>3.5.3</w:t>
            </w:r>
            <w:r w:rsidR="00777EE0">
              <w:rPr>
                <w:rFonts w:asciiTheme="minorHAnsi" w:eastAsiaTheme="minorEastAsia" w:hAnsiTheme="minorHAnsi" w:cstheme="minorBidi"/>
                <w:noProof/>
                <w:sz w:val="22"/>
                <w:lang w:eastAsia="en-GB"/>
              </w:rPr>
              <w:tab/>
            </w:r>
            <w:r w:rsidR="00777EE0" w:rsidRPr="00C53B84">
              <w:rPr>
                <w:rStyle w:val="Hyperlink"/>
                <w:noProof/>
              </w:rPr>
              <w:t>Affective skills</w:t>
            </w:r>
            <w:r w:rsidR="00777EE0">
              <w:rPr>
                <w:noProof/>
                <w:webHidden/>
              </w:rPr>
              <w:tab/>
            </w:r>
            <w:r w:rsidR="00777EE0">
              <w:rPr>
                <w:noProof/>
                <w:webHidden/>
              </w:rPr>
              <w:fldChar w:fldCharType="begin"/>
            </w:r>
            <w:r w:rsidR="00777EE0">
              <w:rPr>
                <w:noProof/>
                <w:webHidden/>
              </w:rPr>
              <w:instrText xml:space="preserve"> PAGEREF _Toc35892566 \h </w:instrText>
            </w:r>
            <w:r w:rsidR="00777EE0">
              <w:rPr>
                <w:noProof/>
                <w:webHidden/>
              </w:rPr>
            </w:r>
            <w:r w:rsidR="00777EE0">
              <w:rPr>
                <w:noProof/>
                <w:webHidden/>
              </w:rPr>
              <w:fldChar w:fldCharType="separate"/>
            </w:r>
            <w:r w:rsidR="0026579C">
              <w:rPr>
                <w:noProof/>
                <w:webHidden/>
              </w:rPr>
              <w:t>104</w:t>
            </w:r>
            <w:r w:rsidR="00777EE0">
              <w:rPr>
                <w:noProof/>
                <w:webHidden/>
              </w:rPr>
              <w:fldChar w:fldCharType="end"/>
            </w:r>
          </w:hyperlink>
        </w:p>
        <w:p w14:paraId="6B3E02B6" w14:textId="779F8523" w:rsidR="00777EE0" w:rsidRDefault="00251E9C">
          <w:pPr>
            <w:pStyle w:val="TOC3"/>
            <w:rPr>
              <w:rFonts w:asciiTheme="minorHAnsi" w:eastAsiaTheme="minorEastAsia" w:hAnsiTheme="minorHAnsi" w:cstheme="minorBidi"/>
              <w:noProof/>
              <w:sz w:val="22"/>
              <w:lang w:eastAsia="en-GB"/>
            </w:rPr>
          </w:pPr>
          <w:hyperlink w:anchor="_Toc35892567" w:history="1">
            <w:r w:rsidR="00777EE0" w:rsidRPr="00C53B84">
              <w:rPr>
                <w:rStyle w:val="Hyperlink"/>
                <w:noProof/>
              </w:rPr>
              <w:t>3.5.4</w:t>
            </w:r>
            <w:r w:rsidR="00777EE0">
              <w:rPr>
                <w:rFonts w:asciiTheme="minorHAnsi" w:eastAsiaTheme="minorEastAsia" w:hAnsiTheme="minorHAnsi" w:cstheme="minorBidi"/>
                <w:noProof/>
                <w:sz w:val="22"/>
                <w:lang w:eastAsia="en-GB"/>
              </w:rPr>
              <w:tab/>
            </w:r>
            <w:r w:rsidR="00777EE0" w:rsidRPr="00C53B84">
              <w:rPr>
                <w:rStyle w:val="Hyperlink"/>
                <w:noProof/>
              </w:rPr>
              <w:t>Knowledge-based approaches</w:t>
            </w:r>
            <w:r w:rsidR="00777EE0">
              <w:rPr>
                <w:noProof/>
                <w:webHidden/>
              </w:rPr>
              <w:tab/>
            </w:r>
            <w:r w:rsidR="00777EE0">
              <w:rPr>
                <w:noProof/>
                <w:webHidden/>
              </w:rPr>
              <w:fldChar w:fldCharType="begin"/>
            </w:r>
            <w:r w:rsidR="00777EE0">
              <w:rPr>
                <w:noProof/>
                <w:webHidden/>
              </w:rPr>
              <w:instrText xml:space="preserve"> PAGEREF _Toc35892567 \h </w:instrText>
            </w:r>
            <w:r w:rsidR="00777EE0">
              <w:rPr>
                <w:noProof/>
                <w:webHidden/>
              </w:rPr>
            </w:r>
            <w:r w:rsidR="00777EE0">
              <w:rPr>
                <w:noProof/>
                <w:webHidden/>
              </w:rPr>
              <w:fldChar w:fldCharType="separate"/>
            </w:r>
            <w:r w:rsidR="0026579C">
              <w:rPr>
                <w:noProof/>
                <w:webHidden/>
              </w:rPr>
              <w:t>105</w:t>
            </w:r>
            <w:r w:rsidR="00777EE0">
              <w:rPr>
                <w:noProof/>
                <w:webHidden/>
              </w:rPr>
              <w:fldChar w:fldCharType="end"/>
            </w:r>
          </w:hyperlink>
        </w:p>
        <w:p w14:paraId="44FAFA8D" w14:textId="13A88E5C" w:rsidR="00777EE0" w:rsidRDefault="00251E9C">
          <w:pPr>
            <w:pStyle w:val="TOC3"/>
            <w:rPr>
              <w:rFonts w:asciiTheme="minorHAnsi" w:eastAsiaTheme="minorEastAsia" w:hAnsiTheme="minorHAnsi" w:cstheme="minorBidi"/>
              <w:noProof/>
              <w:sz w:val="22"/>
              <w:lang w:eastAsia="en-GB"/>
            </w:rPr>
          </w:pPr>
          <w:hyperlink w:anchor="_Toc35892568" w:history="1">
            <w:r w:rsidR="00777EE0" w:rsidRPr="00C53B84">
              <w:rPr>
                <w:rStyle w:val="Hyperlink"/>
                <w:noProof/>
              </w:rPr>
              <w:t>3.5.5</w:t>
            </w:r>
            <w:r w:rsidR="00777EE0">
              <w:rPr>
                <w:rFonts w:asciiTheme="minorHAnsi" w:eastAsiaTheme="minorEastAsia" w:hAnsiTheme="minorHAnsi" w:cstheme="minorBidi"/>
                <w:noProof/>
                <w:sz w:val="22"/>
                <w:lang w:eastAsia="en-GB"/>
              </w:rPr>
              <w:tab/>
            </w:r>
            <w:r w:rsidR="00777EE0" w:rsidRPr="00C53B84">
              <w:rPr>
                <w:rStyle w:val="Hyperlink"/>
                <w:noProof/>
              </w:rPr>
              <w:t>Mass media</w:t>
            </w:r>
            <w:r w:rsidR="00777EE0">
              <w:rPr>
                <w:noProof/>
                <w:webHidden/>
              </w:rPr>
              <w:tab/>
            </w:r>
            <w:r w:rsidR="00777EE0">
              <w:rPr>
                <w:noProof/>
                <w:webHidden/>
              </w:rPr>
              <w:fldChar w:fldCharType="begin"/>
            </w:r>
            <w:r w:rsidR="00777EE0">
              <w:rPr>
                <w:noProof/>
                <w:webHidden/>
              </w:rPr>
              <w:instrText xml:space="preserve"> PAGEREF _Toc35892568 \h </w:instrText>
            </w:r>
            <w:r w:rsidR="00777EE0">
              <w:rPr>
                <w:noProof/>
                <w:webHidden/>
              </w:rPr>
            </w:r>
            <w:r w:rsidR="00777EE0">
              <w:rPr>
                <w:noProof/>
                <w:webHidden/>
              </w:rPr>
              <w:fldChar w:fldCharType="separate"/>
            </w:r>
            <w:r w:rsidR="0026579C">
              <w:rPr>
                <w:noProof/>
                <w:webHidden/>
              </w:rPr>
              <w:t>105</w:t>
            </w:r>
            <w:r w:rsidR="00777EE0">
              <w:rPr>
                <w:noProof/>
                <w:webHidden/>
              </w:rPr>
              <w:fldChar w:fldCharType="end"/>
            </w:r>
          </w:hyperlink>
        </w:p>
        <w:p w14:paraId="6B6AC591" w14:textId="3391FCAB" w:rsidR="00777EE0" w:rsidRDefault="00251E9C">
          <w:pPr>
            <w:pStyle w:val="TOC3"/>
            <w:rPr>
              <w:rFonts w:asciiTheme="minorHAnsi" w:eastAsiaTheme="minorEastAsia" w:hAnsiTheme="minorHAnsi" w:cstheme="minorBidi"/>
              <w:noProof/>
              <w:sz w:val="22"/>
              <w:lang w:eastAsia="en-GB"/>
            </w:rPr>
          </w:pPr>
          <w:hyperlink w:anchor="_Toc35892569" w:history="1">
            <w:r w:rsidR="00777EE0" w:rsidRPr="00C53B84">
              <w:rPr>
                <w:rStyle w:val="Hyperlink"/>
                <w:noProof/>
              </w:rPr>
              <w:t>3.5.6</w:t>
            </w:r>
            <w:r w:rsidR="00777EE0">
              <w:rPr>
                <w:rFonts w:asciiTheme="minorHAnsi" w:eastAsiaTheme="minorEastAsia" w:hAnsiTheme="minorHAnsi" w:cstheme="minorBidi"/>
                <w:noProof/>
                <w:sz w:val="22"/>
                <w:lang w:eastAsia="en-GB"/>
              </w:rPr>
              <w:tab/>
            </w:r>
            <w:r w:rsidR="00777EE0" w:rsidRPr="00C53B84">
              <w:rPr>
                <w:rStyle w:val="Hyperlink"/>
                <w:noProof/>
              </w:rPr>
              <w:t>Web/mobile-based approaches</w:t>
            </w:r>
            <w:r w:rsidR="00777EE0">
              <w:rPr>
                <w:noProof/>
                <w:webHidden/>
              </w:rPr>
              <w:tab/>
            </w:r>
            <w:r w:rsidR="00777EE0">
              <w:rPr>
                <w:noProof/>
                <w:webHidden/>
              </w:rPr>
              <w:fldChar w:fldCharType="begin"/>
            </w:r>
            <w:r w:rsidR="00777EE0">
              <w:rPr>
                <w:noProof/>
                <w:webHidden/>
              </w:rPr>
              <w:instrText xml:space="preserve"> PAGEREF _Toc35892569 \h </w:instrText>
            </w:r>
            <w:r w:rsidR="00777EE0">
              <w:rPr>
                <w:noProof/>
                <w:webHidden/>
              </w:rPr>
            </w:r>
            <w:r w:rsidR="00777EE0">
              <w:rPr>
                <w:noProof/>
                <w:webHidden/>
              </w:rPr>
              <w:fldChar w:fldCharType="separate"/>
            </w:r>
            <w:r w:rsidR="0026579C">
              <w:rPr>
                <w:noProof/>
                <w:webHidden/>
              </w:rPr>
              <w:t>108</w:t>
            </w:r>
            <w:r w:rsidR="00777EE0">
              <w:rPr>
                <w:noProof/>
                <w:webHidden/>
              </w:rPr>
              <w:fldChar w:fldCharType="end"/>
            </w:r>
          </w:hyperlink>
        </w:p>
        <w:p w14:paraId="7A2A3D6A" w14:textId="75D26B4A" w:rsidR="00777EE0" w:rsidRDefault="00251E9C">
          <w:pPr>
            <w:pStyle w:val="TOC3"/>
            <w:rPr>
              <w:rFonts w:asciiTheme="minorHAnsi" w:eastAsiaTheme="minorEastAsia" w:hAnsiTheme="minorHAnsi" w:cstheme="minorBidi"/>
              <w:noProof/>
              <w:sz w:val="22"/>
              <w:lang w:eastAsia="en-GB"/>
            </w:rPr>
          </w:pPr>
          <w:hyperlink w:anchor="_Toc35892570" w:history="1">
            <w:r w:rsidR="00777EE0" w:rsidRPr="00C53B84">
              <w:rPr>
                <w:rStyle w:val="Hyperlink"/>
                <w:noProof/>
              </w:rPr>
              <w:t>3.5.7</w:t>
            </w:r>
            <w:r w:rsidR="00777EE0">
              <w:rPr>
                <w:rFonts w:asciiTheme="minorHAnsi" w:eastAsiaTheme="minorEastAsia" w:hAnsiTheme="minorHAnsi" w:cstheme="minorBidi"/>
                <w:noProof/>
                <w:sz w:val="22"/>
                <w:lang w:eastAsia="en-GB"/>
              </w:rPr>
              <w:tab/>
            </w:r>
            <w:r w:rsidR="00777EE0" w:rsidRPr="00C53B84">
              <w:rPr>
                <w:rStyle w:val="Hyperlink"/>
                <w:noProof/>
              </w:rPr>
              <w:t>Interactive approaches</w:t>
            </w:r>
            <w:r w:rsidR="00777EE0">
              <w:rPr>
                <w:noProof/>
                <w:webHidden/>
              </w:rPr>
              <w:tab/>
            </w:r>
            <w:r w:rsidR="00777EE0">
              <w:rPr>
                <w:noProof/>
                <w:webHidden/>
              </w:rPr>
              <w:fldChar w:fldCharType="begin"/>
            </w:r>
            <w:r w:rsidR="00777EE0">
              <w:rPr>
                <w:noProof/>
                <w:webHidden/>
              </w:rPr>
              <w:instrText xml:space="preserve"> PAGEREF _Toc35892570 \h </w:instrText>
            </w:r>
            <w:r w:rsidR="00777EE0">
              <w:rPr>
                <w:noProof/>
                <w:webHidden/>
              </w:rPr>
            </w:r>
            <w:r w:rsidR="00777EE0">
              <w:rPr>
                <w:noProof/>
                <w:webHidden/>
              </w:rPr>
              <w:fldChar w:fldCharType="separate"/>
            </w:r>
            <w:r w:rsidR="0026579C">
              <w:rPr>
                <w:noProof/>
                <w:webHidden/>
              </w:rPr>
              <w:t>110</w:t>
            </w:r>
            <w:r w:rsidR="00777EE0">
              <w:rPr>
                <w:noProof/>
                <w:webHidden/>
              </w:rPr>
              <w:fldChar w:fldCharType="end"/>
            </w:r>
          </w:hyperlink>
        </w:p>
        <w:p w14:paraId="41830185" w14:textId="329B5ED8" w:rsidR="00777EE0" w:rsidRDefault="00251E9C">
          <w:pPr>
            <w:pStyle w:val="TOC3"/>
            <w:rPr>
              <w:rFonts w:asciiTheme="minorHAnsi" w:eastAsiaTheme="minorEastAsia" w:hAnsiTheme="minorHAnsi" w:cstheme="minorBidi"/>
              <w:noProof/>
              <w:sz w:val="22"/>
              <w:lang w:eastAsia="en-GB"/>
            </w:rPr>
          </w:pPr>
          <w:hyperlink w:anchor="_Toc35892571" w:history="1">
            <w:r w:rsidR="00777EE0" w:rsidRPr="00C53B84">
              <w:rPr>
                <w:rStyle w:val="Hyperlink"/>
                <w:noProof/>
              </w:rPr>
              <w:t>3.5.8</w:t>
            </w:r>
            <w:r w:rsidR="00777EE0">
              <w:rPr>
                <w:rFonts w:asciiTheme="minorHAnsi" w:eastAsiaTheme="minorEastAsia" w:hAnsiTheme="minorHAnsi" w:cstheme="minorBidi"/>
                <w:noProof/>
                <w:sz w:val="22"/>
                <w:lang w:eastAsia="en-GB"/>
              </w:rPr>
              <w:tab/>
            </w:r>
            <w:r w:rsidR="00777EE0" w:rsidRPr="00C53B84">
              <w:rPr>
                <w:rStyle w:val="Hyperlink"/>
                <w:noProof/>
              </w:rPr>
              <w:t>Non-judgemental approach</w:t>
            </w:r>
            <w:r w:rsidR="00777EE0">
              <w:rPr>
                <w:noProof/>
                <w:webHidden/>
              </w:rPr>
              <w:tab/>
            </w:r>
            <w:r w:rsidR="00777EE0">
              <w:rPr>
                <w:noProof/>
                <w:webHidden/>
              </w:rPr>
              <w:fldChar w:fldCharType="begin"/>
            </w:r>
            <w:r w:rsidR="00777EE0">
              <w:rPr>
                <w:noProof/>
                <w:webHidden/>
              </w:rPr>
              <w:instrText xml:space="preserve"> PAGEREF _Toc35892571 \h </w:instrText>
            </w:r>
            <w:r w:rsidR="00777EE0">
              <w:rPr>
                <w:noProof/>
                <w:webHidden/>
              </w:rPr>
            </w:r>
            <w:r w:rsidR="00777EE0">
              <w:rPr>
                <w:noProof/>
                <w:webHidden/>
              </w:rPr>
              <w:fldChar w:fldCharType="separate"/>
            </w:r>
            <w:r w:rsidR="0026579C">
              <w:rPr>
                <w:noProof/>
                <w:webHidden/>
              </w:rPr>
              <w:t>111</w:t>
            </w:r>
            <w:r w:rsidR="00777EE0">
              <w:rPr>
                <w:noProof/>
                <w:webHidden/>
              </w:rPr>
              <w:fldChar w:fldCharType="end"/>
            </w:r>
          </w:hyperlink>
        </w:p>
        <w:p w14:paraId="59DE2873" w14:textId="40B7CB36" w:rsidR="00777EE0" w:rsidRDefault="00251E9C">
          <w:pPr>
            <w:pStyle w:val="TOC3"/>
            <w:rPr>
              <w:rFonts w:asciiTheme="minorHAnsi" w:eastAsiaTheme="minorEastAsia" w:hAnsiTheme="minorHAnsi" w:cstheme="minorBidi"/>
              <w:noProof/>
              <w:sz w:val="22"/>
              <w:lang w:eastAsia="en-GB"/>
            </w:rPr>
          </w:pPr>
          <w:hyperlink w:anchor="_Toc35892572" w:history="1">
            <w:r w:rsidR="00777EE0" w:rsidRPr="00C53B84">
              <w:rPr>
                <w:rStyle w:val="Hyperlink"/>
                <w:noProof/>
              </w:rPr>
              <w:t>3.5.9</w:t>
            </w:r>
            <w:r w:rsidR="00777EE0">
              <w:rPr>
                <w:rFonts w:asciiTheme="minorHAnsi" w:eastAsiaTheme="minorEastAsia" w:hAnsiTheme="minorHAnsi" w:cstheme="minorBidi"/>
                <w:noProof/>
                <w:sz w:val="22"/>
                <w:lang w:eastAsia="en-GB"/>
              </w:rPr>
              <w:tab/>
            </w:r>
            <w:r w:rsidR="00777EE0" w:rsidRPr="00C53B84">
              <w:rPr>
                <w:rStyle w:val="Hyperlink"/>
                <w:noProof/>
              </w:rPr>
              <w:t>Fear appeals</w:t>
            </w:r>
            <w:r w:rsidR="00777EE0">
              <w:rPr>
                <w:noProof/>
                <w:webHidden/>
              </w:rPr>
              <w:tab/>
            </w:r>
            <w:r w:rsidR="00777EE0">
              <w:rPr>
                <w:noProof/>
                <w:webHidden/>
              </w:rPr>
              <w:fldChar w:fldCharType="begin"/>
            </w:r>
            <w:r w:rsidR="00777EE0">
              <w:rPr>
                <w:noProof/>
                <w:webHidden/>
              </w:rPr>
              <w:instrText xml:space="preserve"> PAGEREF _Toc35892572 \h </w:instrText>
            </w:r>
            <w:r w:rsidR="00777EE0">
              <w:rPr>
                <w:noProof/>
                <w:webHidden/>
              </w:rPr>
            </w:r>
            <w:r w:rsidR="00777EE0">
              <w:rPr>
                <w:noProof/>
                <w:webHidden/>
              </w:rPr>
              <w:fldChar w:fldCharType="separate"/>
            </w:r>
            <w:r w:rsidR="0026579C">
              <w:rPr>
                <w:noProof/>
                <w:webHidden/>
              </w:rPr>
              <w:t>112</w:t>
            </w:r>
            <w:r w:rsidR="00777EE0">
              <w:rPr>
                <w:noProof/>
                <w:webHidden/>
              </w:rPr>
              <w:fldChar w:fldCharType="end"/>
            </w:r>
          </w:hyperlink>
        </w:p>
        <w:p w14:paraId="3AC2BB83" w14:textId="0359EDEE" w:rsidR="00777EE0" w:rsidRDefault="00251E9C">
          <w:pPr>
            <w:pStyle w:val="TOC3"/>
            <w:rPr>
              <w:rFonts w:asciiTheme="minorHAnsi" w:eastAsiaTheme="minorEastAsia" w:hAnsiTheme="minorHAnsi" w:cstheme="minorBidi"/>
              <w:noProof/>
              <w:sz w:val="22"/>
              <w:lang w:eastAsia="en-GB"/>
            </w:rPr>
          </w:pPr>
          <w:hyperlink w:anchor="_Toc35892573" w:history="1">
            <w:r w:rsidR="00777EE0" w:rsidRPr="00C53B84">
              <w:rPr>
                <w:rStyle w:val="Hyperlink"/>
                <w:noProof/>
              </w:rPr>
              <w:t>3.5.10</w:t>
            </w:r>
            <w:r w:rsidR="00777EE0">
              <w:rPr>
                <w:rFonts w:asciiTheme="minorHAnsi" w:eastAsiaTheme="minorEastAsia" w:hAnsiTheme="minorHAnsi" w:cstheme="minorBidi"/>
                <w:noProof/>
                <w:sz w:val="22"/>
                <w:lang w:eastAsia="en-GB"/>
              </w:rPr>
              <w:tab/>
            </w:r>
            <w:r w:rsidR="00777EE0" w:rsidRPr="00C53B84">
              <w:rPr>
                <w:rStyle w:val="Hyperlink"/>
                <w:noProof/>
              </w:rPr>
              <w:t>Peer educators</w:t>
            </w:r>
            <w:r w:rsidR="00777EE0">
              <w:rPr>
                <w:noProof/>
                <w:webHidden/>
              </w:rPr>
              <w:tab/>
            </w:r>
            <w:r w:rsidR="00777EE0">
              <w:rPr>
                <w:noProof/>
                <w:webHidden/>
              </w:rPr>
              <w:fldChar w:fldCharType="begin"/>
            </w:r>
            <w:r w:rsidR="00777EE0">
              <w:rPr>
                <w:noProof/>
                <w:webHidden/>
              </w:rPr>
              <w:instrText xml:space="preserve"> PAGEREF _Toc35892573 \h </w:instrText>
            </w:r>
            <w:r w:rsidR="00777EE0">
              <w:rPr>
                <w:noProof/>
                <w:webHidden/>
              </w:rPr>
            </w:r>
            <w:r w:rsidR="00777EE0">
              <w:rPr>
                <w:noProof/>
                <w:webHidden/>
              </w:rPr>
              <w:fldChar w:fldCharType="separate"/>
            </w:r>
            <w:r w:rsidR="0026579C">
              <w:rPr>
                <w:noProof/>
                <w:webHidden/>
              </w:rPr>
              <w:t>112</w:t>
            </w:r>
            <w:r w:rsidR="00777EE0">
              <w:rPr>
                <w:noProof/>
                <w:webHidden/>
              </w:rPr>
              <w:fldChar w:fldCharType="end"/>
            </w:r>
          </w:hyperlink>
        </w:p>
        <w:p w14:paraId="5BA07478" w14:textId="02BD0002" w:rsidR="00777EE0" w:rsidRDefault="00251E9C">
          <w:pPr>
            <w:pStyle w:val="TOC3"/>
            <w:rPr>
              <w:rFonts w:asciiTheme="minorHAnsi" w:eastAsiaTheme="minorEastAsia" w:hAnsiTheme="minorHAnsi" w:cstheme="minorBidi"/>
              <w:noProof/>
              <w:sz w:val="22"/>
              <w:lang w:eastAsia="en-GB"/>
            </w:rPr>
          </w:pPr>
          <w:hyperlink w:anchor="_Toc35892574" w:history="1">
            <w:r w:rsidR="00777EE0" w:rsidRPr="00C53B84">
              <w:rPr>
                <w:rStyle w:val="Hyperlink"/>
                <w:noProof/>
              </w:rPr>
              <w:t>3.5.11</w:t>
            </w:r>
            <w:r w:rsidR="00777EE0">
              <w:rPr>
                <w:rFonts w:asciiTheme="minorHAnsi" w:eastAsiaTheme="minorEastAsia" w:hAnsiTheme="minorHAnsi" w:cstheme="minorBidi"/>
                <w:noProof/>
                <w:sz w:val="22"/>
                <w:lang w:eastAsia="en-GB"/>
              </w:rPr>
              <w:tab/>
            </w:r>
            <w:r w:rsidR="00777EE0" w:rsidRPr="00C53B84">
              <w:rPr>
                <w:rStyle w:val="Hyperlink"/>
                <w:noProof/>
              </w:rPr>
              <w:t>Trained professionals</w:t>
            </w:r>
            <w:r w:rsidR="00777EE0">
              <w:rPr>
                <w:noProof/>
                <w:webHidden/>
              </w:rPr>
              <w:tab/>
            </w:r>
            <w:r w:rsidR="00777EE0">
              <w:rPr>
                <w:noProof/>
                <w:webHidden/>
              </w:rPr>
              <w:fldChar w:fldCharType="begin"/>
            </w:r>
            <w:r w:rsidR="00777EE0">
              <w:rPr>
                <w:noProof/>
                <w:webHidden/>
              </w:rPr>
              <w:instrText xml:space="preserve"> PAGEREF _Toc35892574 \h </w:instrText>
            </w:r>
            <w:r w:rsidR="00777EE0">
              <w:rPr>
                <w:noProof/>
                <w:webHidden/>
              </w:rPr>
            </w:r>
            <w:r w:rsidR="00777EE0">
              <w:rPr>
                <w:noProof/>
                <w:webHidden/>
              </w:rPr>
              <w:fldChar w:fldCharType="separate"/>
            </w:r>
            <w:r w:rsidR="0026579C">
              <w:rPr>
                <w:noProof/>
                <w:webHidden/>
              </w:rPr>
              <w:t>114</w:t>
            </w:r>
            <w:r w:rsidR="00777EE0">
              <w:rPr>
                <w:noProof/>
                <w:webHidden/>
              </w:rPr>
              <w:fldChar w:fldCharType="end"/>
            </w:r>
          </w:hyperlink>
        </w:p>
        <w:p w14:paraId="35A0FE4E" w14:textId="0DE4A90A" w:rsidR="00777EE0" w:rsidRDefault="00251E9C">
          <w:pPr>
            <w:pStyle w:val="TOC3"/>
            <w:rPr>
              <w:rFonts w:asciiTheme="minorHAnsi" w:eastAsiaTheme="minorEastAsia" w:hAnsiTheme="minorHAnsi" w:cstheme="minorBidi"/>
              <w:noProof/>
              <w:sz w:val="22"/>
              <w:lang w:eastAsia="en-GB"/>
            </w:rPr>
          </w:pPr>
          <w:hyperlink w:anchor="_Toc35892575" w:history="1">
            <w:r w:rsidR="00777EE0" w:rsidRPr="00C53B84">
              <w:rPr>
                <w:rStyle w:val="Hyperlink"/>
                <w:noProof/>
              </w:rPr>
              <w:t>3.5.12</w:t>
            </w:r>
            <w:r w:rsidR="00777EE0">
              <w:rPr>
                <w:rFonts w:asciiTheme="minorHAnsi" w:eastAsiaTheme="minorEastAsia" w:hAnsiTheme="minorHAnsi" w:cstheme="minorBidi"/>
                <w:noProof/>
                <w:sz w:val="22"/>
                <w:lang w:eastAsia="en-GB"/>
              </w:rPr>
              <w:tab/>
            </w:r>
            <w:r w:rsidR="00777EE0" w:rsidRPr="00C53B84">
              <w:rPr>
                <w:rStyle w:val="Hyperlink"/>
                <w:noProof/>
              </w:rPr>
              <w:t>Ex-users</w:t>
            </w:r>
            <w:r w:rsidR="00777EE0">
              <w:rPr>
                <w:noProof/>
                <w:webHidden/>
              </w:rPr>
              <w:tab/>
            </w:r>
            <w:r w:rsidR="00777EE0">
              <w:rPr>
                <w:noProof/>
                <w:webHidden/>
              </w:rPr>
              <w:fldChar w:fldCharType="begin"/>
            </w:r>
            <w:r w:rsidR="00777EE0">
              <w:rPr>
                <w:noProof/>
                <w:webHidden/>
              </w:rPr>
              <w:instrText xml:space="preserve"> PAGEREF _Toc35892575 \h </w:instrText>
            </w:r>
            <w:r w:rsidR="00777EE0">
              <w:rPr>
                <w:noProof/>
                <w:webHidden/>
              </w:rPr>
            </w:r>
            <w:r w:rsidR="00777EE0">
              <w:rPr>
                <w:noProof/>
                <w:webHidden/>
              </w:rPr>
              <w:fldChar w:fldCharType="separate"/>
            </w:r>
            <w:r w:rsidR="0026579C">
              <w:rPr>
                <w:noProof/>
                <w:webHidden/>
              </w:rPr>
              <w:t>115</w:t>
            </w:r>
            <w:r w:rsidR="00777EE0">
              <w:rPr>
                <w:noProof/>
                <w:webHidden/>
              </w:rPr>
              <w:fldChar w:fldCharType="end"/>
            </w:r>
          </w:hyperlink>
        </w:p>
        <w:p w14:paraId="7C48C096" w14:textId="5D35A387" w:rsidR="00777EE0" w:rsidRDefault="00251E9C">
          <w:pPr>
            <w:pStyle w:val="TOC3"/>
            <w:rPr>
              <w:rFonts w:asciiTheme="minorHAnsi" w:eastAsiaTheme="minorEastAsia" w:hAnsiTheme="minorHAnsi" w:cstheme="minorBidi"/>
              <w:noProof/>
              <w:sz w:val="22"/>
              <w:lang w:eastAsia="en-GB"/>
            </w:rPr>
          </w:pPr>
          <w:hyperlink w:anchor="_Toc35892576" w:history="1">
            <w:r w:rsidR="00777EE0" w:rsidRPr="00C53B84">
              <w:rPr>
                <w:rStyle w:val="Hyperlink"/>
                <w:noProof/>
              </w:rPr>
              <w:t>3.5.13</w:t>
            </w:r>
            <w:r w:rsidR="00777EE0">
              <w:rPr>
                <w:rFonts w:asciiTheme="minorHAnsi" w:eastAsiaTheme="minorEastAsia" w:hAnsiTheme="minorHAnsi" w:cstheme="minorBidi"/>
                <w:noProof/>
                <w:sz w:val="22"/>
                <w:lang w:eastAsia="en-GB"/>
              </w:rPr>
              <w:tab/>
            </w:r>
            <w:r w:rsidR="00777EE0" w:rsidRPr="00C53B84">
              <w:rPr>
                <w:rStyle w:val="Hyperlink"/>
                <w:noProof/>
              </w:rPr>
              <w:t>Police educators</w:t>
            </w:r>
            <w:r w:rsidR="00777EE0">
              <w:rPr>
                <w:noProof/>
                <w:webHidden/>
              </w:rPr>
              <w:tab/>
            </w:r>
            <w:r w:rsidR="00777EE0">
              <w:rPr>
                <w:noProof/>
                <w:webHidden/>
              </w:rPr>
              <w:fldChar w:fldCharType="begin"/>
            </w:r>
            <w:r w:rsidR="00777EE0">
              <w:rPr>
                <w:noProof/>
                <w:webHidden/>
              </w:rPr>
              <w:instrText xml:space="preserve"> PAGEREF _Toc35892576 \h </w:instrText>
            </w:r>
            <w:r w:rsidR="00777EE0">
              <w:rPr>
                <w:noProof/>
                <w:webHidden/>
              </w:rPr>
            </w:r>
            <w:r w:rsidR="00777EE0">
              <w:rPr>
                <w:noProof/>
                <w:webHidden/>
              </w:rPr>
              <w:fldChar w:fldCharType="separate"/>
            </w:r>
            <w:r w:rsidR="0026579C">
              <w:rPr>
                <w:noProof/>
                <w:webHidden/>
              </w:rPr>
              <w:t>116</w:t>
            </w:r>
            <w:r w:rsidR="00777EE0">
              <w:rPr>
                <w:noProof/>
                <w:webHidden/>
              </w:rPr>
              <w:fldChar w:fldCharType="end"/>
            </w:r>
          </w:hyperlink>
        </w:p>
        <w:p w14:paraId="0E113AEC" w14:textId="492DFA44"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77" w:history="1">
            <w:r w:rsidR="00777EE0" w:rsidRPr="00C53B84">
              <w:rPr>
                <w:rStyle w:val="Hyperlink"/>
                <w:noProof/>
              </w:rPr>
              <w:t>3.6</w:t>
            </w:r>
            <w:r w:rsidR="00777EE0">
              <w:rPr>
                <w:rFonts w:asciiTheme="minorHAnsi" w:eastAsiaTheme="minorEastAsia" w:hAnsiTheme="minorHAnsi" w:cstheme="minorBidi"/>
                <w:noProof/>
                <w:sz w:val="22"/>
                <w:lang w:eastAsia="en-GB"/>
              </w:rPr>
              <w:tab/>
            </w:r>
            <w:r w:rsidR="00777EE0" w:rsidRPr="00C53B84">
              <w:rPr>
                <w:rStyle w:val="Hyperlink"/>
                <w:noProof/>
              </w:rPr>
              <w:t>Settings</w:t>
            </w:r>
            <w:r w:rsidR="00777EE0">
              <w:rPr>
                <w:noProof/>
                <w:webHidden/>
              </w:rPr>
              <w:tab/>
            </w:r>
            <w:r w:rsidR="00777EE0">
              <w:rPr>
                <w:noProof/>
                <w:webHidden/>
              </w:rPr>
              <w:fldChar w:fldCharType="begin"/>
            </w:r>
            <w:r w:rsidR="00777EE0">
              <w:rPr>
                <w:noProof/>
                <w:webHidden/>
              </w:rPr>
              <w:instrText xml:space="preserve"> PAGEREF _Toc35892577 \h </w:instrText>
            </w:r>
            <w:r w:rsidR="00777EE0">
              <w:rPr>
                <w:noProof/>
                <w:webHidden/>
              </w:rPr>
            </w:r>
            <w:r w:rsidR="00777EE0">
              <w:rPr>
                <w:noProof/>
                <w:webHidden/>
              </w:rPr>
              <w:fldChar w:fldCharType="separate"/>
            </w:r>
            <w:r w:rsidR="0026579C">
              <w:rPr>
                <w:noProof/>
                <w:webHidden/>
              </w:rPr>
              <w:t>116</w:t>
            </w:r>
            <w:r w:rsidR="00777EE0">
              <w:rPr>
                <w:noProof/>
                <w:webHidden/>
              </w:rPr>
              <w:fldChar w:fldCharType="end"/>
            </w:r>
          </w:hyperlink>
        </w:p>
        <w:p w14:paraId="460E3019" w14:textId="4CCF7956" w:rsidR="00777EE0" w:rsidRDefault="00251E9C">
          <w:pPr>
            <w:pStyle w:val="TOC3"/>
            <w:rPr>
              <w:rFonts w:asciiTheme="minorHAnsi" w:eastAsiaTheme="minorEastAsia" w:hAnsiTheme="minorHAnsi" w:cstheme="minorBidi"/>
              <w:noProof/>
              <w:sz w:val="22"/>
              <w:lang w:eastAsia="en-GB"/>
            </w:rPr>
          </w:pPr>
          <w:hyperlink w:anchor="_Toc35892578" w:history="1">
            <w:r w:rsidR="00777EE0" w:rsidRPr="00C53B84">
              <w:rPr>
                <w:rStyle w:val="Hyperlink"/>
                <w:noProof/>
              </w:rPr>
              <w:t>3.6.1</w:t>
            </w:r>
            <w:r w:rsidR="00777EE0">
              <w:rPr>
                <w:rFonts w:asciiTheme="minorHAnsi" w:eastAsiaTheme="minorEastAsia" w:hAnsiTheme="minorHAnsi" w:cstheme="minorBidi"/>
                <w:noProof/>
                <w:sz w:val="22"/>
                <w:lang w:eastAsia="en-GB"/>
              </w:rPr>
              <w:tab/>
            </w:r>
            <w:r w:rsidR="00777EE0" w:rsidRPr="00C53B84">
              <w:rPr>
                <w:rStyle w:val="Hyperlink"/>
                <w:noProof/>
              </w:rPr>
              <w:t>School-based approaches</w:t>
            </w:r>
            <w:r w:rsidR="00777EE0">
              <w:rPr>
                <w:noProof/>
                <w:webHidden/>
              </w:rPr>
              <w:tab/>
            </w:r>
            <w:r w:rsidR="00777EE0">
              <w:rPr>
                <w:noProof/>
                <w:webHidden/>
              </w:rPr>
              <w:fldChar w:fldCharType="begin"/>
            </w:r>
            <w:r w:rsidR="00777EE0">
              <w:rPr>
                <w:noProof/>
                <w:webHidden/>
              </w:rPr>
              <w:instrText xml:space="preserve"> PAGEREF _Toc35892578 \h </w:instrText>
            </w:r>
            <w:r w:rsidR="00777EE0">
              <w:rPr>
                <w:noProof/>
                <w:webHidden/>
              </w:rPr>
            </w:r>
            <w:r w:rsidR="00777EE0">
              <w:rPr>
                <w:noProof/>
                <w:webHidden/>
              </w:rPr>
              <w:fldChar w:fldCharType="separate"/>
            </w:r>
            <w:r w:rsidR="0026579C">
              <w:rPr>
                <w:noProof/>
                <w:webHidden/>
              </w:rPr>
              <w:t>116</w:t>
            </w:r>
            <w:r w:rsidR="00777EE0">
              <w:rPr>
                <w:noProof/>
                <w:webHidden/>
              </w:rPr>
              <w:fldChar w:fldCharType="end"/>
            </w:r>
          </w:hyperlink>
        </w:p>
        <w:p w14:paraId="29580A0C" w14:textId="09C94940" w:rsidR="00777EE0" w:rsidRDefault="00251E9C">
          <w:pPr>
            <w:pStyle w:val="TOC3"/>
            <w:rPr>
              <w:rFonts w:asciiTheme="minorHAnsi" w:eastAsiaTheme="minorEastAsia" w:hAnsiTheme="minorHAnsi" w:cstheme="minorBidi"/>
              <w:noProof/>
              <w:sz w:val="22"/>
              <w:lang w:eastAsia="en-GB"/>
            </w:rPr>
          </w:pPr>
          <w:hyperlink w:anchor="_Toc35892579" w:history="1">
            <w:r w:rsidR="00777EE0" w:rsidRPr="00C53B84">
              <w:rPr>
                <w:rStyle w:val="Hyperlink"/>
                <w:noProof/>
              </w:rPr>
              <w:t>3.6.2</w:t>
            </w:r>
            <w:r w:rsidR="00777EE0">
              <w:rPr>
                <w:rFonts w:asciiTheme="minorHAnsi" w:eastAsiaTheme="minorEastAsia" w:hAnsiTheme="minorHAnsi" w:cstheme="minorBidi"/>
                <w:noProof/>
                <w:sz w:val="22"/>
                <w:lang w:eastAsia="en-GB"/>
              </w:rPr>
              <w:tab/>
            </w:r>
            <w:r w:rsidR="00777EE0" w:rsidRPr="00C53B84">
              <w:rPr>
                <w:rStyle w:val="Hyperlink"/>
                <w:noProof/>
              </w:rPr>
              <w:t>Youth group settings</w:t>
            </w:r>
            <w:r w:rsidR="00777EE0">
              <w:rPr>
                <w:noProof/>
                <w:webHidden/>
              </w:rPr>
              <w:tab/>
            </w:r>
            <w:r w:rsidR="00777EE0">
              <w:rPr>
                <w:noProof/>
                <w:webHidden/>
              </w:rPr>
              <w:fldChar w:fldCharType="begin"/>
            </w:r>
            <w:r w:rsidR="00777EE0">
              <w:rPr>
                <w:noProof/>
                <w:webHidden/>
              </w:rPr>
              <w:instrText xml:space="preserve"> PAGEREF _Toc35892579 \h </w:instrText>
            </w:r>
            <w:r w:rsidR="00777EE0">
              <w:rPr>
                <w:noProof/>
                <w:webHidden/>
              </w:rPr>
            </w:r>
            <w:r w:rsidR="00777EE0">
              <w:rPr>
                <w:noProof/>
                <w:webHidden/>
              </w:rPr>
              <w:fldChar w:fldCharType="separate"/>
            </w:r>
            <w:r w:rsidR="0026579C">
              <w:rPr>
                <w:noProof/>
                <w:webHidden/>
              </w:rPr>
              <w:t>119</w:t>
            </w:r>
            <w:r w:rsidR="00777EE0">
              <w:rPr>
                <w:noProof/>
                <w:webHidden/>
              </w:rPr>
              <w:fldChar w:fldCharType="end"/>
            </w:r>
          </w:hyperlink>
        </w:p>
        <w:p w14:paraId="31863578" w14:textId="023863BB" w:rsidR="00777EE0" w:rsidRDefault="00251E9C">
          <w:pPr>
            <w:pStyle w:val="TOC3"/>
            <w:rPr>
              <w:rFonts w:asciiTheme="minorHAnsi" w:eastAsiaTheme="minorEastAsia" w:hAnsiTheme="minorHAnsi" w:cstheme="minorBidi"/>
              <w:noProof/>
              <w:sz w:val="22"/>
              <w:lang w:eastAsia="en-GB"/>
            </w:rPr>
          </w:pPr>
          <w:hyperlink w:anchor="_Toc35892580" w:history="1">
            <w:r w:rsidR="00777EE0" w:rsidRPr="00C53B84">
              <w:rPr>
                <w:rStyle w:val="Hyperlink"/>
                <w:noProof/>
              </w:rPr>
              <w:t>3.6.3</w:t>
            </w:r>
            <w:r w:rsidR="00777EE0">
              <w:rPr>
                <w:rFonts w:asciiTheme="minorHAnsi" w:eastAsiaTheme="minorEastAsia" w:hAnsiTheme="minorHAnsi" w:cstheme="minorBidi"/>
                <w:noProof/>
                <w:sz w:val="22"/>
                <w:lang w:eastAsia="en-GB"/>
              </w:rPr>
              <w:tab/>
            </w:r>
            <w:r w:rsidR="00777EE0" w:rsidRPr="00C53B84">
              <w:rPr>
                <w:rStyle w:val="Hyperlink"/>
                <w:noProof/>
              </w:rPr>
              <w:t>Family-based approaches</w:t>
            </w:r>
            <w:r w:rsidR="00777EE0">
              <w:rPr>
                <w:noProof/>
                <w:webHidden/>
              </w:rPr>
              <w:tab/>
            </w:r>
            <w:r w:rsidR="00777EE0">
              <w:rPr>
                <w:noProof/>
                <w:webHidden/>
              </w:rPr>
              <w:fldChar w:fldCharType="begin"/>
            </w:r>
            <w:r w:rsidR="00777EE0">
              <w:rPr>
                <w:noProof/>
                <w:webHidden/>
              </w:rPr>
              <w:instrText xml:space="preserve"> PAGEREF _Toc35892580 \h </w:instrText>
            </w:r>
            <w:r w:rsidR="00777EE0">
              <w:rPr>
                <w:noProof/>
                <w:webHidden/>
              </w:rPr>
            </w:r>
            <w:r w:rsidR="00777EE0">
              <w:rPr>
                <w:noProof/>
                <w:webHidden/>
              </w:rPr>
              <w:fldChar w:fldCharType="separate"/>
            </w:r>
            <w:r w:rsidR="0026579C">
              <w:rPr>
                <w:noProof/>
                <w:webHidden/>
              </w:rPr>
              <w:t>120</w:t>
            </w:r>
            <w:r w:rsidR="00777EE0">
              <w:rPr>
                <w:noProof/>
                <w:webHidden/>
              </w:rPr>
              <w:fldChar w:fldCharType="end"/>
            </w:r>
          </w:hyperlink>
        </w:p>
        <w:p w14:paraId="04BDFE89" w14:textId="3E30DB0C" w:rsidR="00777EE0" w:rsidRDefault="00251E9C">
          <w:pPr>
            <w:pStyle w:val="TOC3"/>
            <w:rPr>
              <w:rFonts w:asciiTheme="minorHAnsi" w:eastAsiaTheme="minorEastAsia" w:hAnsiTheme="minorHAnsi" w:cstheme="minorBidi"/>
              <w:noProof/>
              <w:sz w:val="22"/>
              <w:lang w:eastAsia="en-GB"/>
            </w:rPr>
          </w:pPr>
          <w:hyperlink w:anchor="_Toc35892581" w:history="1">
            <w:r w:rsidR="00777EE0" w:rsidRPr="00C53B84">
              <w:rPr>
                <w:rStyle w:val="Hyperlink"/>
                <w:noProof/>
              </w:rPr>
              <w:t>3.6.4</w:t>
            </w:r>
            <w:r w:rsidR="00777EE0">
              <w:rPr>
                <w:rFonts w:asciiTheme="minorHAnsi" w:eastAsiaTheme="minorEastAsia" w:hAnsiTheme="minorHAnsi" w:cstheme="minorBidi"/>
                <w:noProof/>
                <w:sz w:val="22"/>
                <w:lang w:eastAsia="en-GB"/>
              </w:rPr>
              <w:tab/>
            </w:r>
            <w:r w:rsidR="00777EE0" w:rsidRPr="00C53B84">
              <w:rPr>
                <w:rStyle w:val="Hyperlink"/>
                <w:noProof/>
              </w:rPr>
              <w:t>Night-life settings</w:t>
            </w:r>
            <w:r w:rsidR="00777EE0">
              <w:rPr>
                <w:noProof/>
                <w:webHidden/>
              </w:rPr>
              <w:tab/>
            </w:r>
            <w:r w:rsidR="00777EE0">
              <w:rPr>
                <w:noProof/>
                <w:webHidden/>
              </w:rPr>
              <w:fldChar w:fldCharType="begin"/>
            </w:r>
            <w:r w:rsidR="00777EE0">
              <w:rPr>
                <w:noProof/>
                <w:webHidden/>
              </w:rPr>
              <w:instrText xml:space="preserve"> PAGEREF _Toc35892581 \h </w:instrText>
            </w:r>
            <w:r w:rsidR="00777EE0">
              <w:rPr>
                <w:noProof/>
                <w:webHidden/>
              </w:rPr>
            </w:r>
            <w:r w:rsidR="00777EE0">
              <w:rPr>
                <w:noProof/>
                <w:webHidden/>
              </w:rPr>
              <w:fldChar w:fldCharType="separate"/>
            </w:r>
            <w:r w:rsidR="0026579C">
              <w:rPr>
                <w:noProof/>
                <w:webHidden/>
              </w:rPr>
              <w:t>122</w:t>
            </w:r>
            <w:r w:rsidR="00777EE0">
              <w:rPr>
                <w:noProof/>
                <w:webHidden/>
              </w:rPr>
              <w:fldChar w:fldCharType="end"/>
            </w:r>
          </w:hyperlink>
        </w:p>
        <w:p w14:paraId="07DA7B41" w14:textId="664F601F" w:rsidR="00777EE0" w:rsidRDefault="00251E9C">
          <w:pPr>
            <w:pStyle w:val="TOC3"/>
            <w:rPr>
              <w:rFonts w:asciiTheme="minorHAnsi" w:eastAsiaTheme="minorEastAsia" w:hAnsiTheme="minorHAnsi" w:cstheme="minorBidi"/>
              <w:noProof/>
              <w:sz w:val="22"/>
              <w:lang w:eastAsia="en-GB"/>
            </w:rPr>
          </w:pPr>
          <w:hyperlink w:anchor="_Toc35892582" w:history="1">
            <w:r w:rsidR="00777EE0" w:rsidRPr="00C53B84">
              <w:rPr>
                <w:rStyle w:val="Hyperlink"/>
                <w:noProof/>
              </w:rPr>
              <w:t>3.6.5</w:t>
            </w:r>
            <w:r w:rsidR="00777EE0">
              <w:rPr>
                <w:rFonts w:asciiTheme="minorHAnsi" w:eastAsiaTheme="minorEastAsia" w:hAnsiTheme="minorHAnsi" w:cstheme="minorBidi"/>
                <w:noProof/>
                <w:sz w:val="22"/>
                <w:lang w:eastAsia="en-GB"/>
              </w:rPr>
              <w:tab/>
            </w:r>
            <w:r w:rsidR="00777EE0" w:rsidRPr="00C53B84">
              <w:rPr>
                <w:rStyle w:val="Hyperlink"/>
                <w:noProof/>
              </w:rPr>
              <w:t>Health service settings</w:t>
            </w:r>
            <w:r w:rsidR="00777EE0">
              <w:rPr>
                <w:noProof/>
                <w:webHidden/>
              </w:rPr>
              <w:tab/>
            </w:r>
            <w:r w:rsidR="00777EE0">
              <w:rPr>
                <w:noProof/>
                <w:webHidden/>
              </w:rPr>
              <w:fldChar w:fldCharType="begin"/>
            </w:r>
            <w:r w:rsidR="00777EE0">
              <w:rPr>
                <w:noProof/>
                <w:webHidden/>
              </w:rPr>
              <w:instrText xml:space="preserve"> PAGEREF _Toc35892582 \h </w:instrText>
            </w:r>
            <w:r w:rsidR="00777EE0">
              <w:rPr>
                <w:noProof/>
                <w:webHidden/>
              </w:rPr>
            </w:r>
            <w:r w:rsidR="00777EE0">
              <w:rPr>
                <w:noProof/>
                <w:webHidden/>
              </w:rPr>
              <w:fldChar w:fldCharType="separate"/>
            </w:r>
            <w:r w:rsidR="0026579C">
              <w:rPr>
                <w:noProof/>
                <w:webHidden/>
              </w:rPr>
              <w:t>123</w:t>
            </w:r>
            <w:r w:rsidR="00777EE0">
              <w:rPr>
                <w:noProof/>
                <w:webHidden/>
              </w:rPr>
              <w:fldChar w:fldCharType="end"/>
            </w:r>
          </w:hyperlink>
        </w:p>
        <w:p w14:paraId="63B729E7" w14:textId="19C85F7B" w:rsidR="00777EE0" w:rsidRDefault="00251E9C">
          <w:pPr>
            <w:pStyle w:val="TOC3"/>
            <w:rPr>
              <w:rFonts w:asciiTheme="minorHAnsi" w:eastAsiaTheme="minorEastAsia" w:hAnsiTheme="minorHAnsi" w:cstheme="minorBidi"/>
              <w:noProof/>
              <w:sz w:val="22"/>
              <w:lang w:eastAsia="en-GB"/>
            </w:rPr>
          </w:pPr>
          <w:hyperlink w:anchor="_Toc35892583" w:history="1">
            <w:r w:rsidR="00777EE0" w:rsidRPr="00C53B84">
              <w:rPr>
                <w:rStyle w:val="Hyperlink"/>
                <w:noProof/>
              </w:rPr>
              <w:t>3.6.6</w:t>
            </w:r>
            <w:r w:rsidR="00777EE0">
              <w:rPr>
                <w:rFonts w:asciiTheme="minorHAnsi" w:eastAsiaTheme="minorEastAsia" w:hAnsiTheme="minorHAnsi" w:cstheme="minorBidi"/>
                <w:noProof/>
                <w:sz w:val="22"/>
                <w:lang w:eastAsia="en-GB"/>
              </w:rPr>
              <w:tab/>
            </w:r>
            <w:r w:rsidR="00777EE0" w:rsidRPr="00C53B84">
              <w:rPr>
                <w:rStyle w:val="Hyperlink"/>
                <w:noProof/>
              </w:rPr>
              <w:t>Multi-component approaches</w:t>
            </w:r>
            <w:r w:rsidR="00777EE0">
              <w:rPr>
                <w:noProof/>
                <w:webHidden/>
              </w:rPr>
              <w:tab/>
            </w:r>
            <w:r w:rsidR="00777EE0">
              <w:rPr>
                <w:noProof/>
                <w:webHidden/>
              </w:rPr>
              <w:fldChar w:fldCharType="begin"/>
            </w:r>
            <w:r w:rsidR="00777EE0">
              <w:rPr>
                <w:noProof/>
                <w:webHidden/>
              </w:rPr>
              <w:instrText xml:space="preserve"> PAGEREF _Toc35892583 \h </w:instrText>
            </w:r>
            <w:r w:rsidR="00777EE0">
              <w:rPr>
                <w:noProof/>
                <w:webHidden/>
              </w:rPr>
            </w:r>
            <w:r w:rsidR="00777EE0">
              <w:rPr>
                <w:noProof/>
                <w:webHidden/>
              </w:rPr>
              <w:fldChar w:fldCharType="separate"/>
            </w:r>
            <w:r w:rsidR="0026579C">
              <w:rPr>
                <w:noProof/>
                <w:webHidden/>
              </w:rPr>
              <w:t>124</w:t>
            </w:r>
            <w:r w:rsidR="00777EE0">
              <w:rPr>
                <w:noProof/>
                <w:webHidden/>
              </w:rPr>
              <w:fldChar w:fldCharType="end"/>
            </w:r>
          </w:hyperlink>
        </w:p>
        <w:p w14:paraId="04CF7317" w14:textId="2114F0E1"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84" w:history="1">
            <w:r w:rsidR="00777EE0" w:rsidRPr="00C53B84">
              <w:rPr>
                <w:rStyle w:val="Hyperlink"/>
                <w:noProof/>
              </w:rPr>
              <w:t>3.7</w:t>
            </w:r>
            <w:r w:rsidR="00777EE0">
              <w:rPr>
                <w:rFonts w:asciiTheme="minorHAnsi" w:eastAsiaTheme="minorEastAsia" w:hAnsiTheme="minorHAnsi" w:cstheme="minorBidi"/>
                <w:noProof/>
                <w:sz w:val="22"/>
                <w:lang w:eastAsia="en-GB"/>
              </w:rPr>
              <w:tab/>
            </w:r>
            <w:r w:rsidR="00777EE0" w:rsidRPr="00C53B84">
              <w:rPr>
                <w:rStyle w:val="Hyperlink"/>
                <w:noProof/>
              </w:rPr>
              <w:t>Discussion</w:t>
            </w:r>
            <w:r w:rsidR="00777EE0">
              <w:rPr>
                <w:noProof/>
                <w:webHidden/>
              </w:rPr>
              <w:tab/>
            </w:r>
            <w:r w:rsidR="00777EE0">
              <w:rPr>
                <w:noProof/>
                <w:webHidden/>
              </w:rPr>
              <w:fldChar w:fldCharType="begin"/>
            </w:r>
            <w:r w:rsidR="00777EE0">
              <w:rPr>
                <w:noProof/>
                <w:webHidden/>
              </w:rPr>
              <w:instrText xml:space="preserve"> PAGEREF _Toc35892584 \h </w:instrText>
            </w:r>
            <w:r w:rsidR="00777EE0">
              <w:rPr>
                <w:noProof/>
                <w:webHidden/>
              </w:rPr>
            </w:r>
            <w:r w:rsidR="00777EE0">
              <w:rPr>
                <w:noProof/>
                <w:webHidden/>
              </w:rPr>
              <w:fldChar w:fldCharType="separate"/>
            </w:r>
            <w:r w:rsidR="0026579C">
              <w:rPr>
                <w:noProof/>
                <w:webHidden/>
              </w:rPr>
              <w:t>125</w:t>
            </w:r>
            <w:r w:rsidR="00777EE0">
              <w:rPr>
                <w:noProof/>
                <w:webHidden/>
              </w:rPr>
              <w:fldChar w:fldCharType="end"/>
            </w:r>
          </w:hyperlink>
        </w:p>
        <w:p w14:paraId="257EE99C" w14:textId="619BEECD" w:rsidR="00777EE0" w:rsidRDefault="00251E9C">
          <w:pPr>
            <w:pStyle w:val="TOC3"/>
            <w:rPr>
              <w:rFonts w:asciiTheme="minorHAnsi" w:eastAsiaTheme="minorEastAsia" w:hAnsiTheme="minorHAnsi" w:cstheme="minorBidi"/>
              <w:noProof/>
              <w:sz w:val="22"/>
              <w:lang w:eastAsia="en-GB"/>
            </w:rPr>
          </w:pPr>
          <w:hyperlink w:anchor="_Toc35892585" w:history="1">
            <w:r w:rsidR="00777EE0" w:rsidRPr="00C53B84">
              <w:rPr>
                <w:rStyle w:val="Hyperlink"/>
                <w:noProof/>
              </w:rPr>
              <w:t>3.7.1</w:t>
            </w:r>
            <w:r w:rsidR="00777EE0">
              <w:rPr>
                <w:rFonts w:asciiTheme="minorHAnsi" w:eastAsiaTheme="minorEastAsia" w:hAnsiTheme="minorHAnsi" w:cstheme="minorBidi"/>
                <w:noProof/>
                <w:sz w:val="22"/>
                <w:lang w:eastAsia="en-GB"/>
              </w:rPr>
              <w:tab/>
            </w:r>
            <w:r w:rsidR="00777EE0" w:rsidRPr="00C53B84">
              <w:rPr>
                <w:rStyle w:val="Hyperlink"/>
                <w:noProof/>
              </w:rPr>
              <w:t>Principal findings</w:t>
            </w:r>
            <w:r w:rsidR="00777EE0">
              <w:rPr>
                <w:noProof/>
                <w:webHidden/>
              </w:rPr>
              <w:tab/>
            </w:r>
            <w:r w:rsidR="00777EE0">
              <w:rPr>
                <w:noProof/>
                <w:webHidden/>
              </w:rPr>
              <w:fldChar w:fldCharType="begin"/>
            </w:r>
            <w:r w:rsidR="00777EE0">
              <w:rPr>
                <w:noProof/>
                <w:webHidden/>
              </w:rPr>
              <w:instrText xml:space="preserve"> PAGEREF _Toc35892585 \h </w:instrText>
            </w:r>
            <w:r w:rsidR="00777EE0">
              <w:rPr>
                <w:noProof/>
                <w:webHidden/>
              </w:rPr>
            </w:r>
            <w:r w:rsidR="00777EE0">
              <w:rPr>
                <w:noProof/>
                <w:webHidden/>
              </w:rPr>
              <w:fldChar w:fldCharType="separate"/>
            </w:r>
            <w:r w:rsidR="0026579C">
              <w:rPr>
                <w:noProof/>
                <w:webHidden/>
              </w:rPr>
              <w:t>125</w:t>
            </w:r>
            <w:r w:rsidR="00777EE0">
              <w:rPr>
                <w:noProof/>
                <w:webHidden/>
              </w:rPr>
              <w:fldChar w:fldCharType="end"/>
            </w:r>
          </w:hyperlink>
        </w:p>
        <w:p w14:paraId="10D4DE9D" w14:textId="472126B3" w:rsidR="00777EE0" w:rsidRDefault="00251E9C">
          <w:pPr>
            <w:pStyle w:val="TOC3"/>
            <w:rPr>
              <w:rFonts w:asciiTheme="minorHAnsi" w:eastAsiaTheme="minorEastAsia" w:hAnsiTheme="minorHAnsi" w:cstheme="minorBidi"/>
              <w:noProof/>
              <w:sz w:val="22"/>
              <w:lang w:eastAsia="en-GB"/>
            </w:rPr>
          </w:pPr>
          <w:hyperlink w:anchor="_Toc35892586" w:history="1">
            <w:r w:rsidR="00777EE0" w:rsidRPr="00C53B84">
              <w:rPr>
                <w:rStyle w:val="Hyperlink"/>
                <w:noProof/>
              </w:rPr>
              <w:t>3.7.2</w:t>
            </w:r>
            <w:r w:rsidR="00777EE0">
              <w:rPr>
                <w:rFonts w:asciiTheme="minorHAnsi" w:eastAsiaTheme="minorEastAsia" w:hAnsiTheme="minorHAnsi" w:cstheme="minorBidi"/>
                <w:noProof/>
                <w:sz w:val="22"/>
                <w:lang w:eastAsia="en-GB"/>
              </w:rPr>
              <w:tab/>
            </w:r>
            <w:r w:rsidR="00777EE0" w:rsidRPr="00C53B84">
              <w:rPr>
                <w:rStyle w:val="Hyperlink"/>
                <w:noProof/>
              </w:rPr>
              <w:t>General discussion</w:t>
            </w:r>
            <w:r w:rsidR="00777EE0">
              <w:rPr>
                <w:noProof/>
                <w:webHidden/>
              </w:rPr>
              <w:tab/>
            </w:r>
            <w:r w:rsidR="00777EE0">
              <w:rPr>
                <w:noProof/>
                <w:webHidden/>
              </w:rPr>
              <w:fldChar w:fldCharType="begin"/>
            </w:r>
            <w:r w:rsidR="00777EE0">
              <w:rPr>
                <w:noProof/>
                <w:webHidden/>
              </w:rPr>
              <w:instrText xml:space="preserve"> PAGEREF _Toc35892586 \h </w:instrText>
            </w:r>
            <w:r w:rsidR="00777EE0">
              <w:rPr>
                <w:noProof/>
                <w:webHidden/>
              </w:rPr>
            </w:r>
            <w:r w:rsidR="00777EE0">
              <w:rPr>
                <w:noProof/>
                <w:webHidden/>
              </w:rPr>
              <w:fldChar w:fldCharType="separate"/>
            </w:r>
            <w:r w:rsidR="0026579C">
              <w:rPr>
                <w:noProof/>
                <w:webHidden/>
              </w:rPr>
              <w:t>128</w:t>
            </w:r>
            <w:r w:rsidR="00777EE0">
              <w:rPr>
                <w:noProof/>
                <w:webHidden/>
              </w:rPr>
              <w:fldChar w:fldCharType="end"/>
            </w:r>
          </w:hyperlink>
        </w:p>
        <w:p w14:paraId="516CF7D0" w14:textId="064BBE4F" w:rsidR="00777EE0" w:rsidRDefault="00251E9C">
          <w:pPr>
            <w:pStyle w:val="TOC3"/>
            <w:rPr>
              <w:rFonts w:asciiTheme="minorHAnsi" w:eastAsiaTheme="minorEastAsia" w:hAnsiTheme="minorHAnsi" w:cstheme="minorBidi"/>
              <w:noProof/>
              <w:sz w:val="22"/>
              <w:lang w:eastAsia="en-GB"/>
            </w:rPr>
          </w:pPr>
          <w:hyperlink w:anchor="_Toc35892587" w:history="1">
            <w:r w:rsidR="00777EE0" w:rsidRPr="00C53B84">
              <w:rPr>
                <w:rStyle w:val="Hyperlink"/>
                <w:noProof/>
              </w:rPr>
              <w:t>3.7.3</w:t>
            </w:r>
            <w:r w:rsidR="00777EE0">
              <w:rPr>
                <w:rFonts w:asciiTheme="minorHAnsi" w:eastAsiaTheme="minorEastAsia" w:hAnsiTheme="minorHAnsi" w:cstheme="minorBidi"/>
                <w:noProof/>
                <w:sz w:val="22"/>
                <w:lang w:eastAsia="en-GB"/>
              </w:rPr>
              <w:tab/>
            </w:r>
            <w:r w:rsidR="00777EE0" w:rsidRPr="00C53B84">
              <w:rPr>
                <w:rStyle w:val="Hyperlink"/>
                <w:noProof/>
              </w:rPr>
              <w:t>Implications for intervention development</w:t>
            </w:r>
            <w:r w:rsidR="00777EE0">
              <w:rPr>
                <w:noProof/>
                <w:webHidden/>
              </w:rPr>
              <w:tab/>
            </w:r>
            <w:r w:rsidR="00777EE0">
              <w:rPr>
                <w:noProof/>
                <w:webHidden/>
              </w:rPr>
              <w:fldChar w:fldCharType="begin"/>
            </w:r>
            <w:r w:rsidR="00777EE0">
              <w:rPr>
                <w:noProof/>
                <w:webHidden/>
              </w:rPr>
              <w:instrText xml:space="preserve"> PAGEREF _Toc35892587 \h </w:instrText>
            </w:r>
            <w:r w:rsidR="00777EE0">
              <w:rPr>
                <w:noProof/>
                <w:webHidden/>
              </w:rPr>
            </w:r>
            <w:r w:rsidR="00777EE0">
              <w:rPr>
                <w:noProof/>
                <w:webHidden/>
              </w:rPr>
              <w:fldChar w:fldCharType="separate"/>
            </w:r>
            <w:r w:rsidR="0026579C">
              <w:rPr>
                <w:noProof/>
                <w:webHidden/>
              </w:rPr>
              <w:t>135</w:t>
            </w:r>
            <w:r w:rsidR="00777EE0">
              <w:rPr>
                <w:noProof/>
                <w:webHidden/>
              </w:rPr>
              <w:fldChar w:fldCharType="end"/>
            </w:r>
          </w:hyperlink>
        </w:p>
        <w:p w14:paraId="5C6BCB0A" w14:textId="37A7CF77" w:rsidR="00777EE0" w:rsidRDefault="00251E9C">
          <w:pPr>
            <w:pStyle w:val="TOC3"/>
            <w:rPr>
              <w:rFonts w:asciiTheme="minorHAnsi" w:eastAsiaTheme="minorEastAsia" w:hAnsiTheme="minorHAnsi" w:cstheme="minorBidi"/>
              <w:noProof/>
              <w:sz w:val="22"/>
              <w:lang w:eastAsia="en-GB"/>
            </w:rPr>
          </w:pPr>
          <w:hyperlink w:anchor="_Toc35892588" w:history="1">
            <w:r w:rsidR="00777EE0" w:rsidRPr="00C53B84">
              <w:rPr>
                <w:rStyle w:val="Hyperlink"/>
                <w:noProof/>
              </w:rPr>
              <w:t>3.7.4</w:t>
            </w:r>
            <w:r w:rsidR="00777EE0">
              <w:rPr>
                <w:rFonts w:asciiTheme="minorHAnsi" w:eastAsiaTheme="minorEastAsia" w:hAnsiTheme="minorHAnsi" w:cstheme="minorBidi"/>
                <w:noProof/>
                <w:sz w:val="22"/>
                <w:lang w:eastAsia="en-GB"/>
              </w:rPr>
              <w:tab/>
            </w:r>
            <w:r w:rsidR="00777EE0" w:rsidRPr="00C53B84">
              <w:rPr>
                <w:rStyle w:val="Hyperlink"/>
                <w:noProof/>
              </w:rPr>
              <w:t>Strengths and limitations of the review</w:t>
            </w:r>
            <w:r w:rsidR="00777EE0">
              <w:rPr>
                <w:noProof/>
                <w:webHidden/>
              </w:rPr>
              <w:tab/>
            </w:r>
            <w:r w:rsidR="00777EE0">
              <w:rPr>
                <w:noProof/>
                <w:webHidden/>
              </w:rPr>
              <w:fldChar w:fldCharType="begin"/>
            </w:r>
            <w:r w:rsidR="00777EE0">
              <w:rPr>
                <w:noProof/>
                <w:webHidden/>
              </w:rPr>
              <w:instrText xml:space="preserve"> PAGEREF _Toc35892588 \h </w:instrText>
            </w:r>
            <w:r w:rsidR="00777EE0">
              <w:rPr>
                <w:noProof/>
                <w:webHidden/>
              </w:rPr>
            </w:r>
            <w:r w:rsidR="00777EE0">
              <w:rPr>
                <w:noProof/>
                <w:webHidden/>
              </w:rPr>
              <w:fldChar w:fldCharType="separate"/>
            </w:r>
            <w:r w:rsidR="0026579C">
              <w:rPr>
                <w:noProof/>
                <w:webHidden/>
              </w:rPr>
              <w:t>141</w:t>
            </w:r>
            <w:r w:rsidR="00777EE0">
              <w:rPr>
                <w:noProof/>
                <w:webHidden/>
              </w:rPr>
              <w:fldChar w:fldCharType="end"/>
            </w:r>
          </w:hyperlink>
        </w:p>
        <w:p w14:paraId="2E592EBA" w14:textId="0C224E70"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89" w:history="1">
            <w:r w:rsidR="00777EE0" w:rsidRPr="00C53B84">
              <w:rPr>
                <w:rStyle w:val="Hyperlink"/>
                <w:noProof/>
              </w:rPr>
              <w:t>3.8</w:t>
            </w:r>
            <w:r w:rsidR="00777EE0">
              <w:rPr>
                <w:rFonts w:asciiTheme="minorHAnsi" w:eastAsiaTheme="minorEastAsia" w:hAnsiTheme="minorHAnsi" w:cstheme="minorBidi"/>
                <w:noProof/>
                <w:sz w:val="22"/>
                <w:lang w:eastAsia="en-GB"/>
              </w:rPr>
              <w:tab/>
            </w:r>
            <w:r w:rsidR="00777EE0" w:rsidRPr="00C53B84">
              <w:rPr>
                <w:rStyle w:val="Hyperlink"/>
                <w:noProof/>
              </w:rPr>
              <w:t>Conclusions</w:t>
            </w:r>
            <w:r w:rsidR="00777EE0">
              <w:rPr>
                <w:noProof/>
                <w:webHidden/>
              </w:rPr>
              <w:tab/>
            </w:r>
            <w:r w:rsidR="00777EE0">
              <w:rPr>
                <w:noProof/>
                <w:webHidden/>
              </w:rPr>
              <w:fldChar w:fldCharType="begin"/>
            </w:r>
            <w:r w:rsidR="00777EE0">
              <w:rPr>
                <w:noProof/>
                <w:webHidden/>
              </w:rPr>
              <w:instrText xml:space="preserve"> PAGEREF _Toc35892589 \h </w:instrText>
            </w:r>
            <w:r w:rsidR="00777EE0">
              <w:rPr>
                <w:noProof/>
                <w:webHidden/>
              </w:rPr>
            </w:r>
            <w:r w:rsidR="00777EE0">
              <w:rPr>
                <w:noProof/>
                <w:webHidden/>
              </w:rPr>
              <w:fldChar w:fldCharType="separate"/>
            </w:r>
            <w:r w:rsidR="0026579C">
              <w:rPr>
                <w:noProof/>
                <w:webHidden/>
              </w:rPr>
              <w:t>143</w:t>
            </w:r>
            <w:r w:rsidR="00777EE0">
              <w:rPr>
                <w:noProof/>
                <w:webHidden/>
              </w:rPr>
              <w:fldChar w:fldCharType="end"/>
            </w:r>
          </w:hyperlink>
        </w:p>
        <w:p w14:paraId="2E626538" w14:textId="6109EEB0"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590" w:history="1">
            <w:r w:rsidR="00777EE0" w:rsidRPr="00C53B84">
              <w:rPr>
                <w:rStyle w:val="Hyperlink"/>
                <w:noProof/>
                <w14:scene3d>
                  <w14:camera w14:prst="orthographicFront"/>
                  <w14:lightRig w14:rig="threePt" w14:dir="t">
                    <w14:rot w14:lat="0" w14:lon="0" w14:rev="0"/>
                  </w14:lightRig>
                </w14:scene3d>
              </w:rPr>
              <w:t>Chapter 4</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Systematic literature review of reasons why people use or do not use NPS</w:t>
            </w:r>
            <w:r w:rsidR="00777EE0">
              <w:rPr>
                <w:noProof/>
                <w:webHidden/>
              </w:rPr>
              <w:tab/>
            </w:r>
            <w:r w:rsidR="00777EE0">
              <w:rPr>
                <w:noProof/>
                <w:webHidden/>
              </w:rPr>
              <w:fldChar w:fldCharType="begin"/>
            </w:r>
            <w:r w:rsidR="00777EE0">
              <w:rPr>
                <w:noProof/>
                <w:webHidden/>
              </w:rPr>
              <w:instrText xml:space="preserve"> PAGEREF _Toc35892590 \h </w:instrText>
            </w:r>
            <w:r w:rsidR="00777EE0">
              <w:rPr>
                <w:noProof/>
                <w:webHidden/>
              </w:rPr>
            </w:r>
            <w:r w:rsidR="00777EE0">
              <w:rPr>
                <w:noProof/>
                <w:webHidden/>
              </w:rPr>
              <w:fldChar w:fldCharType="separate"/>
            </w:r>
            <w:r w:rsidR="0026579C">
              <w:rPr>
                <w:noProof/>
                <w:webHidden/>
              </w:rPr>
              <w:t>145</w:t>
            </w:r>
            <w:r w:rsidR="00777EE0">
              <w:rPr>
                <w:noProof/>
                <w:webHidden/>
              </w:rPr>
              <w:fldChar w:fldCharType="end"/>
            </w:r>
          </w:hyperlink>
        </w:p>
        <w:p w14:paraId="0FD1F268" w14:textId="64E05A41"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91" w:history="1">
            <w:r w:rsidR="00777EE0" w:rsidRPr="00C53B84">
              <w:rPr>
                <w:rStyle w:val="Hyperlink"/>
                <w:noProof/>
              </w:rPr>
              <w:t>4.1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_Toc35892591 \h </w:instrText>
            </w:r>
            <w:r w:rsidR="00777EE0">
              <w:rPr>
                <w:noProof/>
                <w:webHidden/>
              </w:rPr>
            </w:r>
            <w:r w:rsidR="00777EE0">
              <w:rPr>
                <w:noProof/>
                <w:webHidden/>
              </w:rPr>
              <w:fldChar w:fldCharType="separate"/>
            </w:r>
            <w:r w:rsidR="0026579C">
              <w:rPr>
                <w:noProof/>
                <w:webHidden/>
              </w:rPr>
              <w:t>145</w:t>
            </w:r>
            <w:r w:rsidR="00777EE0">
              <w:rPr>
                <w:noProof/>
                <w:webHidden/>
              </w:rPr>
              <w:fldChar w:fldCharType="end"/>
            </w:r>
          </w:hyperlink>
        </w:p>
        <w:p w14:paraId="044D4A30" w14:textId="4A24AF80" w:rsidR="00777EE0" w:rsidRDefault="00251E9C">
          <w:pPr>
            <w:pStyle w:val="TOC3"/>
            <w:rPr>
              <w:rFonts w:asciiTheme="minorHAnsi" w:eastAsiaTheme="minorEastAsia" w:hAnsiTheme="minorHAnsi" w:cstheme="minorBidi"/>
              <w:noProof/>
              <w:sz w:val="22"/>
              <w:lang w:eastAsia="en-GB"/>
            </w:rPr>
          </w:pPr>
          <w:hyperlink w:anchor="_Toc35892592" w:history="1">
            <w:r w:rsidR="00777EE0" w:rsidRPr="00C53B84">
              <w:rPr>
                <w:rStyle w:val="Hyperlink"/>
                <w:noProof/>
              </w:rPr>
              <w:t>4.1.1</w:t>
            </w:r>
            <w:r w:rsidR="00777EE0">
              <w:rPr>
                <w:rFonts w:asciiTheme="minorHAnsi" w:eastAsiaTheme="minorEastAsia" w:hAnsiTheme="minorHAnsi" w:cstheme="minorBidi"/>
                <w:noProof/>
                <w:sz w:val="22"/>
                <w:lang w:eastAsia="en-GB"/>
              </w:rPr>
              <w:tab/>
            </w:r>
            <w:r w:rsidR="00777EE0" w:rsidRPr="00C53B84">
              <w:rPr>
                <w:rStyle w:val="Hyperlink"/>
                <w:noProof/>
              </w:rPr>
              <w:t>Review scope and objectives</w:t>
            </w:r>
            <w:r w:rsidR="00777EE0">
              <w:rPr>
                <w:noProof/>
                <w:webHidden/>
              </w:rPr>
              <w:tab/>
            </w:r>
            <w:r w:rsidR="00777EE0">
              <w:rPr>
                <w:noProof/>
                <w:webHidden/>
              </w:rPr>
              <w:fldChar w:fldCharType="begin"/>
            </w:r>
            <w:r w:rsidR="00777EE0">
              <w:rPr>
                <w:noProof/>
                <w:webHidden/>
              </w:rPr>
              <w:instrText xml:space="preserve"> PAGEREF _Toc35892592 \h </w:instrText>
            </w:r>
            <w:r w:rsidR="00777EE0">
              <w:rPr>
                <w:noProof/>
                <w:webHidden/>
              </w:rPr>
            </w:r>
            <w:r w:rsidR="00777EE0">
              <w:rPr>
                <w:noProof/>
                <w:webHidden/>
              </w:rPr>
              <w:fldChar w:fldCharType="separate"/>
            </w:r>
            <w:r w:rsidR="0026579C">
              <w:rPr>
                <w:noProof/>
                <w:webHidden/>
              </w:rPr>
              <w:t>145</w:t>
            </w:r>
            <w:r w:rsidR="00777EE0">
              <w:rPr>
                <w:noProof/>
                <w:webHidden/>
              </w:rPr>
              <w:fldChar w:fldCharType="end"/>
            </w:r>
          </w:hyperlink>
        </w:p>
        <w:p w14:paraId="2423D514" w14:textId="1562D978"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93" w:history="1">
            <w:r w:rsidR="00777EE0" w:rsidRPr="00C53B84">
              <w:rPr>
                <w:rStyle w:val="Hyperlink"/>
                <w:noProof/>
              </w:rPr>
              <w:t>4.2</w:t>
            </w:r>
            <w:r w:rsidR="00777EE0">
              <w:rPr>
                <w:rFonts w:asciiTheme="minorHAnsi" w:eastAsiaTheme="minorEastAsia" w:hAnsiTheme="minorHAnsi" w:cstheme="minorBidi"/>
                <w:noProof/>
                <w:sz w:val="22"/>
                <w:lang w:eastAsia="en-GB"/>
              </w:rPr>
              <w:tab/>
            </w:r>
            <w:r w:rsidR="00777EE0" w:rsidRPr="00C53B84">
              <w:rPr>
                <w:rStyle w:val="Hyperlink"/>
                <w:noProof/>
              </w:rPr>
              <w:t>Method</w:t>
            </w:r>
            <w:r w:rsidR="00777EE0">
              <w:rPr>
                <w:noProof/>
                <w:webHidden/>
              </w:rPr>
              <w:tab/>
            </w:r>
            <w:r w:rsidR="00777EE0">
              <w:rPr>
                <w:noProof/>
                <w:webHidden/>
              </w:rPr>
              <w:fldChar w:fldCharType="begin"/>
            </w:r>
            <w:r w:rsidR="00777EE0">
              <w:rPr>
                <w:noProof/>
                <w:webHidden/>
              </w:rPr>
              <w:instrText xml:space="preserve"> PAGEREF _Toc35892593 \h </w:instrText>
            </w:r>
            <w:r w:rsidR="00777EE0">
              <w:rPr>
                <w:noProof/>
                <w:webHidden/>
              </w:rPr>
            </w:r>
            <w:r w:rsidR="00777EE0">
              <w:rPr>
                <w:noProof/>
                <w:webHidden/>
              </w:rPr>
              <w:fldChar w:fldCharType="separate"/>
            </w:r>
            <w:r w:rsidR="0026579C">
              <w:rPr>
                <w:noProof/>
                <w:webHidden/>
              </w:rPr>
              <w:t>146</w:t>
            </w:r>
            <w:r w:rsidR="00777EE0">
              <w:rPr>
                <w:noProof/>
                <w:webHidden/>
              </w:rPr>
              <w:fldChar w:fldCharType="end"/>
            </w:r>
          </w:hyperlink>
        </w:p>
        <w:p w14:paraId="0DB2183E" w14:textId="2F22F6A9" w:rsidR="00777EE0" w:rsidRDefault="00251E9C">
          <w:pPr>
            <w:pStyle w:val="TOC3"/>
            <w:rPr>
              <w:rFonts w:asciiTheme="minorHAnsi" w:eastAsiaTheme="minorEastAsia" w:hAnsiTheme="minorHAnsi" w:cstheme="minorBidi"/>
              <w:noProof/>
              <w:sz w:val="22"/>
              <w:lang w:eastAsia="en-GB"/>
            </w:rPr>
          </w:pPr>
          <w:hyperlink w:anchor="_Toc35892594" w:history="1">
            <w:r w:rsidR="00777EE0" w:rsidRPr="00C53B84">
              <w:rPr>
                <w:rStyle w:val="Hyperlink"/>
                <w:noProof/>
              </w:rPr>
              <w:t>4.2.1</w:t>
            </w:r>
            <w:r w:rsidR="00777EE0">
              <w:rPr>
                <w:rFonts w:asciiTheme="minorHAnsi" w:eastAsiaTheme="minorEastAsia" w:hAnsiTheme="minorHAnsi" w:cstheme="minorBidi"/>
                <w:noProof/>
                <w:sz w:val="22"/>
                <w:lang w:eastAsia="en-GB"/>
              </w:rPr>
              <w:tab/>
            </w:r>
            <w:r w:rsidR="00777EE0" w:rsidRPr="00C53B84">
              <w:rPr>
                <w:rStyle w:val="Hyperlink"/>
                <w:noProof/>
              </w:rPr>
              <w:t>Search strategy</w:t>
            </w:r>
            <w:r w:rsidR="00777EE0">
              <w:rPr>
                <w:noProof/>
                <w:webHidden/>
              </w:rPr>
              <w:tab/>
            </w:r>
            <w:r w:rsidR="00777EE0">
              <w:rPr>
                <w:noProof/>
                <w:webHidden/>
              </w:rPr>
              <w:fldChar w:fldCharType="begin"/>
            </w:r>
            <w:r w:rsidR="00777EE0">
              <w:rPr>
                <w:noProof/>
                <w:webHidden/>
              </w:rPr>
              <w:instrText xml:space="preserve"> PAGEREF _Toc35892594 \h </w:instrText>
            </w:r>
            <w:r w:rsidR="00777EE0">
              <w:rPr>
                <w:noProof/>
                <w:webHidden/>
              </w:rPr>
            </w:r>
            <w:r w:rsidR="00777EE0">
              <w:rPr>
                <w:noProof/>
                <w:webHidden/>
              </w:rPr>
              <w:fldChar w:fldCharType="separate"/>
            </w:r>
            <w:r w:rsidR="0026579C">
              <w:rPr>
                <w:noProof/>
                <w:webHidden/>
              </w:rPr>
              <w:t>146</w:t>
            </w:r>
            <w:r w:rsidR="00777EE0">
              <w:rPr>
                <w:noProof/>
                <w:webHidden/>
              </w:rPr>
              <w:fldChar w:fldCharType="end"/>
            </w:r>
          </w:hyperlink>
        </w:p>
        <w:p w14:paraId="0458A9F1" w14:textId="7CF8A262" w:rsidR="00777EE0" w:rsidRDefault="00251E9C">
          <w:pPr>
            <w:pStyle w:val="TOC3"/>
            <w:rPr>
              <w:rFonts w:asciiTheme="minorHAnsi" w:eastAsiaTheme="minorEastAsia" w:hAnsiTheme="minorHAnsi" w:cstheme="minorBidi"/>
              <w:noProof/>
              <w:sz w:val="22"/>
              <w:lang w:eastAsia="en-GB"/>
            </w:rPr>
          </w:pPr>
          <w:hyperlink w:anchor="_Toc35892595" w:history="1">
            <w:r w:rsidR="00777EE0" w:rsidRPr="00C53B84">
              <w:rPr>
                <w:rStyle w:val="Hyperlink"/>
                <w:noProof/>
              </w:rPr>
              <w:t>4.2.2</w:t>
            </w:r>
            <w:r w:rsidR="00777EE0">
              <w:rPr>
                <w:rFonts w:asciiTheme="minorHAnsi" w:eastAsiaTheme="minorEastAsia" w:hAnsiTheme="minorHAnsi" w:cstheme="minorBidi"/>
                <w:noProof/>
                <w:sz w:val="22"/>
                <w:lang w:eastAsia="en-GB"/>
              </w:rPr>
              <w:tab/>
            </w:r>
            <w:r w:rsidR="00777EE0" w:rsidRPr="00C53B84">
              <w:rPr>
                <w:rStyle w:val="Hyperlink"/>
                <w:noProof/>
              </w:rPr>
              <w:t>Results</w:t>
            </w:r>
            <w:r w:rsidR="00777EE0">
              <w:rPr>
                <w:noProof/>
                <w:webHidden/>
              </w:rPr>
              <w:tab/>
            </w:r>
            <w:r w:rsidR="00777EE0">
              <w:rPr>
                <w:noProof/>
                <w:webHidden/>
              </w:rPr>
              <w:fldChar w:fldCharType="begin"/>
            </w:r>
            <w:r w:rsidR="00777EE0">
              <w:rPr>
                <w:noProof/>
                <w:webHidden/>
              </w:rPr>
              <w:instrText xml:space="preserve"> PAGEREF _Toc35892595 \h </w:instrText>
            </w:r>
            <w:r w:rsidR="00777EE0">
              <w:rPr>
                <w:noProof/>
                <w:webHidden/>
              </w:rPr>
            </w:r>
            <w:r w:rsidR="00777EE0">
              <w:rPr>
                <w:noProof/>
                <w:webHidden/>
              </w:rPr>
              <w:fldChar w:fldCharType="separate"/>
            </w:r>
            <w:r w:rsidR="0026579C">
              <w:rPr>
                <w:noProof/>
                <w:webHidden/>
              </w:rPr>
              <w:t>148</w:t>
            </w:r>
            <w:r w:rsidR="00777EE0">
              <w:rPr>
                <w:noProof/>
                <w:webHidden/>
              </w:rPr>
              <w:fldChar w:fldCharType="end"/>
            </w:r>
          </w:hyperlink>
        </w:p>
        <w:p w14:paraId="587C247E" w14:textId="1A5394A0"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596" w:history="1">
            <w:r w:rsidR="00777EE0" w:rsidRPr="00C53B84">
              <w:rPr>
                <w:rStyle w:val="Hyperlink"/>
                <w:noProof/>
              </w:rPr>
              <w:t>4.3</w:t>
            </w:r>
            <w:r w:rsidR="00777EE0">
              <w:rPr>
                <w:rFonts w:asciiTheme="minorHAnsi" w:eastAsiaTheme="minorEastAsia" w:hAnsiTheme="minorHAnsi" w:cstheme="minorBidi"/>
                <w:noProof/>
                <w:sz w:val="22"/>
                <w:lang w:eastAsia="en-GB"/>
              </w:rPr>
              <w:tab/>
            </w:r>
            <w:r w:rsidR="00777EE0" w:rsidRPr="00C53B84">
              <w:rPr>
                <w:rStyle w:val="Hyperlink"/>
                <w:noProof/>
              </w:rPr>
              <w:t>Included studies</w:t>
            </w:r>
            <w:r w:rsidR="00777EE0">
              <w:rPr>
                <w:noProof/>
                <w:webHidden/>
              </w:rPr>
              <w:tab/>
            </w:r>
            <w:r w:rsidR="00777EE0">
              <w:rPr>
                <w:noProof/>
                <w:webHidden/>
              </w:rPr>
              <w:fldChar w:fldCharType="begin"/>
            </w:r>
            <w:r w:rsidR="00777EE0">
              <w:rPr>
                <w:noProof/>
                <w:webHidden/>
              </w:rPr>
              <w:instrText xml:space="preserve"> PAGEREF _Toc35892596 \h </w:instrText>
            </w:r>
            <w:r w:rsidR="00777EE0">
              <w:rPr>
                <w:noProof/>
                <w:webHidden/>
              </w:rPr>
            </w:r>
            <w:r w:rsidR="00777EE0">
              <w:rPr>
                <w:noProof/>
                <w:webHidden/>
              </w:rPr>
              <w:fldChar w:fldCharType="separate"/>
            </w:r>
            <w:r w:rsidR="0026579C">
              <w:rPr>
                <w:noProof/>
                <w:webHidden/>
              </w:rPr>
              <w:t>149</w:t>
            </w:r>
            <w:r w:rsidR="00777EE0">
              <w:rPr>
                <w:noProof/>
                <w:webHidden/>
              </w:rPr>
              <w:fldChar w:fldCharType="end"/>
            </w:r>
          </w:hyperlink>
        </w:p>
        <w:p w14:paraId="2D90DA7A" w14:textId="34C015DA" w:rsidR="00777EE0" w:rsidRDefault="00251E9C">
          <w:pPr>
            <w:pStyle w:val="TOC3"/>
            <w:rPr>
              <w:rFonts w:asciiTheme="minorHAnsi" w:eastAsiaTheme="minorEastAsia" w:hAnsiTheme="minorHAnsi" w:cstheme="minorBidi"/>
              <w:noProof/>
              <w:sz w:val="22"/>
              <w:lang w:eastAsia="en-GB"/>
            </w:rPr>
          </w:pPr>
          <w:hyperlink w:anchor="_Toc35892597" w:history="1">
            <w:r w:rsidR="00777EE0" w:rsidRPr="00C53B84">
              <w:rPr>
                <w:rStyle w:val="Hyperlink"/>
                <w:noProof/>
              </w:rPr>
              <w:t>4.3.1</w:t>
            </w:r>
            <w:r w:rsidR="00777EE0">
              <w:rPr>
                <w:rFonts w:asciiTheme="minorHAnsi" w:eastAsiaTheme="minorEastAsia" w:hAnsiTheme="minorHAnsi" w:cstheme="minorBidi"/>
                <w:noProof/>
                <w:sz w:val="22"/>
                <w:lang w:eastAsia="en-GB"/>
              </w:rPr>
              <w:tab/>
            </w:r>
            <w:r w:rsidR="00777EE0" w:rsidRPr="00C53B84">
              <w:rPr>
                <w:rStyle w:val="Hyperlink"/>
                <w:noProof/>
              </w:rPr>
              <w:t>Extracting reasons for use of NPS</w:t>
            </w:r>
            <w:r w:rsidR="00777EE0">
              <w:rPr>
                <w:noProof/>
                <w:webHidden/>
              </w:rPr>
              <w:tab/>
            </w:r>
            <w:r w:rsidR="00777EE0">
              <w:rPr>
                <w:noProof/>
                <w:webHidden/>
              </w:rPr>
              <w:fldChar w:fldCharType="begin"/>
            </w:r>
            <w:r w:rsidR="00777EE0">
              <w:rPr>
                <w:noProof/>
                <w:webHidden/>
              </w:rPr>
              <w:instrText xml:space="preserve"> PAGEREF _Toc35892597 \h </w:instrText>
            </w:r>
            <w:r w:rsidR="00777EE0">
              <w:rPr>
                <w:noProof/>
                <w:webHidden/>
              </w:rPr>
            </w:r>
            <w:r w:rsidR="00777EE0">
              <w:rPr>
                <w:noProof/>
                <w:webHidden/>
              </w:rPr>
              <w:fldChar w:fldCharType="separate"/>
            </w:r>
            <w:r w:rsidR="0026579C">
              <w:rPr>
                <w:noProof/>
                <w:webHidden/>
              </w:rPr>
              <w:t>153</w:t>
            </w:r>
            <w:r w:rsidR="00777EE0">
              <w:rPr>
                <w:noProof/>
                <w:webHidden/>
              </w:rPr>
              <w:fldChar w:fldCharType="end"/>
            </w:r>
          </w:hyperlink>
        </w:p>
        <w:p w14:paraId="291A58F5" w14:textId="1FC6EE8B" w:rsidR="00777EE0" w:rsidRDefault="00251E9C">
          <w:pPr>
            <w:pStyle w:val="TOC3"/>
            <w:rPr>
              <w:rFonts w:asciiTheme="minorHAnsi" w:eastAsiaTheme="minorEastAsia" w:hAnsiTheme="minorHAnsi" w:cstheme="minorBidi"/>
              <w:noProof/>
              <w:sz w:val="22"/>
              <w:lang w:eastAsia="en-GB"/>
            </w:rPr>
          </w:pPr>
          <w:hyperlink w:anchor="_Toc35892598" w:history="1">
            <w:r w:rsidR="00777EE0" w:rsidRPr="00C53B84">
              <w:rPr>
                <w:rStyle w:val="Hyperlink"/>
                <w:noProof/>
              </w:rPr>
              <w:t>4.3.2</w:t>
            </w:r>
            <w:r w:rsidR="00777EE0">
              <w:rPr>
                <w:rFonts w:asciiTheme="minorHAnsi" w:eastAsiaTheme="minorEastAsia" w:hAnsiTheme="minorHAnsi" w:cstheme="minorBidi"/>
                <w:noProof/>
                <w:sz w:val="22"/>
                <w:lang w:eastAsia="en-GB"/>
              </w:rPr>
              <w:tab/>
            </w:r>
            <w:r w:rsidR="00777EE0" w:rsidRPr="00C53B84">
              <w:rPr>
                <w:rStyle w:val="Hyperlink"/>
                <w:noProof/>
              </w:rPr>
              <w:t>Findings: Prevalence of reasons for use</w:t>
            </w:r>
            <w:r w:rsidR="00777EE0">
              <w:rPr>
                <w:noProof/>
                <w:webHidden/>
              </w:rPr>
              <w:tab/>
            </w:r>
            <w:r w:rsidR="00777EE0">
              <w:rPr>
                <w:noProof/>
                <w:webHidden/>
              </w:rPr>
              <w:fldChar w:fldCharType="begin"/>
            </w:r>
            <w:r w:rsidR="00777EE0">
              <w:rPr>
                <w:noProof/>
                <w:webHidden/>
              </w:rPr>
              <w:instrText xml:space="preserve"> PAGEREF _Toc35892598 \h </w:instrText>
            </w:r>
            <w:r w:rsidR="00777EE0">
              <w:rPr>
                <w:noProof/>
                <w:webHidden/>
              </w:rPr>
            </w:r>
            <w:r w:rsidR="00777EE0">
              <w:rPr>
                <w:noProof/>
                <w:webHidden/>
              </w:rPr>
              <w:fldChar w:fldCharType="separate"/>
            </w:r>
            <w:r w:rsidR="0026579C">
              <w:rPr>
                <w:noProof/>
                <w:webHidden/>
              </w:rPr>
              <w:t>158</w:t>
            </w:r>
            <w:r w:rsidR="00777EE0">
              <w:rPr>
                <w:noProof/>
                <w:webHidden/>
              </w:rPr>
              <w:fldChar w:fldCharType="end"/>
            </w:r>
          </w:hyperlink>
        </w:p>
        <w:p w14:paraId="72D37249" w14:textId="52E6AFEA" w:rsidR="00777EE0" w:rsidRDefault="00251E9C">
          <w:pPr>
            <w:pStyle w:val="TOC3"/>
            <w:rPr>
              <w:rFonts w:asciiTheme="minorHAnsi" w:eastAsiaTheme="minorEastAsia" w:hAnsiTheme="minorHAnsi" w:cstheme="minorBidi"/>
              <w:noProof/>
              <w:sz w:val="22"/>
              <w:lang w:eastAsia="en-GB"/>
            </w:rPr>
          </w:pPr>
          <w:hyperlink w:anchor="_Toc35892599" w:history="1">
            <w:r w:rsidR="00777EE0" w:rsidRPr="00C53B84">
              <w:rPr>
                <w:rStyle w:val="Hyperlink"/>
                <w:noProof/>
              </w:rPr>
              <w:t>4.3.3</w:t>
            </w:r>
            <w:r w:rsidR="00777EE0">
              <w:rPr>
                <w:rFonts w:asciiTheme="minorHAnsi" w:eastAsiaTheme="minorEastAsia" w:hAnsiTheme="minorHAnsi" w:cstheme="minorBidi"/>
                <w:noProof/>
                <w:sz w:val="22"/>
                <w:lang w:eastAsia="en-GB"/>
              </w:rPr>
              <w:tab/>
            </w:r>
            <w:r w:rsidR="00777EE0" w:rsidRPr="00C53B84">
              <w:rPr>
                <w:rStyle w:val="Hyperlink"/>
                <w:noProof/>
              </w:rPr>
              <w:t>Accessibility</w:t>
            </w:r>
            <w:r w:rsidR="00777EE0">
              <w:rPr>
                <w:noProof/>
                <w:webHidden/>
              </w:rPr>
              <w:tab/>
            </w:r>
            <w:r w:rsidR="00777EE0">
              <w:rPr>
                <w:noProof/>
                <w:webHidden/>
              </w:rPr>
              <w:fldChar w:fldCharType="begin"/>
            </w:r>
            <w:r w:rsidR="00777EE0">
              <w:rPr>
                <w:noProof/>
                <w:webHidden/>
              </w:rPr>
              <w:instrText xml:space="preserve"> PAGEREF _Toc35892599 \h </w:instrText>
            </w:r>
            <w:r w:rsidR="00777EE0">
              <w:rPr>
                <w:noProof/>
                <w:webHidden/>
              </w:rPr>
            </w:r>
            <w:r w:rsidR="00777EE0">
              <w:rPr>
                <w:noProof/>
                <w:webHidden/>
              </w:rPr>
              <w:fldChar w:fldCharType="separate"/>
            </w:r>
            <w:r w:rsidR="0026579C">
              <w:rPr>
                <w:noProof/>
                <w:webHidden/>
              </w:rPr>
              <w:t>158</w:t>
            </w:r>
            <w:r w:rsidR="00777EE0">
              <w:rPr>
                <w:noProof/>
                <w:webHidden/>
              </w:rPr>
              <w:fldChar w:fldCharType="end"/>
            </w:r>
          </w:hyperlink>
        </w:p>
        <w:p w14:paraId="34D45F12" w14:textId="0F6D21F7" w:rsidR="00777EE0" w:rsidRDefault="00251E9C">
          <w:pPr>
            <w:pStyle w:val="TOC3"/>
            <w:rPr>
              <w:rFonts w:asciiTheme="minorHAnsi" w:eastAsiaTheme="minorEastAsia" w:hAnsiTheme="minorHAnsi" w:cstheme="minorBidi"/>
              <w:noProof/>
              <w:sz w:val="22"/>
              <w:lang w:eastAsia="en-GB"/>
            </w:rPr>
          </w:pPr>
          <w:hyperlink w:anchor="_Toc35892600" w:history="1">
            <w:r w:rsidR="00777EE0" w:rsidRPr="00C53B84">
              <w:rPr>
                <w:rStyle w:val="Hyperlink"/>
                <w:noProof/>
              </w:rPr>
              <w:t>4.3.4</w:t>
            </w:r>
            <w:r w:rsidR="00777EE0">
              <w:rPr>
                <w:rFonts w:asciiTheme="minorHAnsi" w:eastAsiaTheme="minorEastAsia" w:hAnsiTheme="minorHAnsi" w:cstheme="minorBidi"/>
                <w:noProof/>
                <w:sz w:val="22"/>
                <w:lang w:eastAsia="en-GB"/>
              </w:rPr>
              <w:tab/>
            </w:r>
            <w:r w:rsidR="00777EE0" w:rsidRPr="00C53B84">
              <w:rPr>
                <w:rStyle w:val="Hyperlink"/>
                <w:noProof/>
              </w:rPr>
              <w:t>Substitution</w:t>
            </w:r>
            <w:r w:rsidR="00777EE0">
              <w:rPr>
                <w:noProof/>
                <w:webHidden/>
              </w:rPr>
              <w:tab/>
            </w:r>
            <w:r w:rsidR="00777EE0">
              <w:rPr>
                <w:noProof/>
                <w:webHidden/>
              </w:rPr>
              <w:fldChar w:fldCharType="begin"/>
            </w:r>
            <w:r w:rsidR="00777EE0">
              <w:rPr>
                <w:noProof/>
                <w:webHidden/>
              </w:rPr>
              <w:instrText xml:space="preserve"> PAGEREF _Toc35892600 \h </w:instrText>
            </w:r>
            <w:r w:rsidR="00777EE0">
              <w:rPr>
                <w:noProof/>
                <w:webHidden/>
              </w:rPr>
            </w:r>
            <w:r w:rsidR="00777EE0">
              <w:rPr>
                <w:noProof/>
                <w:webHidden/>
              </w:rPr>
              <w:fldChar w:fldCharType="separate"/>
            </w:r>
            <w:r w:rsidR="0026579C">
              <w:rPr>
                <w:noProof/>
                <w:webHidden/>
              </w:rPr>
              <w:t>160</w:t>
            </w:r>
            <w:r w:rsidR="00777EE0">
              <w:rPr>
                <w:noProof/>
                <w:webHidden/>
              </w:rPr>
              <w:fldChar w:fldCharType="end"/>
            </w:r>
          </w:hyperlink>
        </w:p>
        <w:p w14:paraId="524FF574" w14:textId="2A8824DC" w:rsidR="00777EE0" w:rsidRDefault="00251E9C">
          <w:pPr>
            <w:pStyle w:val="TOC3"/>
            <w:rPr>
              <w:rFonts w:asciiTheme="minorHAnsi" w:eastAsiaTheme="minorEastAsia" w:hAnsiTheme="minorHAnsi" w:cstheme="minorBidi"/>
              <w:noProof/>
              <w:sz w:val="22"/>
              <w:lang w:eastAsia="en-GB"/>
            </w:rPr>
          </w:pPr>
          <w:hyperlink w:anchor="_Toc35892601" w:history="1">
            <w:r w:rsidR="00777EE0" w:rsidRPr="00C53B84">
              <w:rPr>
                <w:rStyle w:val="Hyperlink"/>
                <w:noProof/>
              </w:rPr>
              <w:t>4.3.5</w:t>
            </w:r>
            <w:r w:rsidR="00777EE0">
              <w:rPr>
                <w:rFonts w:asciiTheme="minorHAnsi" w:eastAsiaTheme="minorEastAsia" w:hAnsiTheme="minorHAnsi" w:cstheme="minorBidi"/>
                <w:noProof/>
                <w:sz w:val="22"/>
                <w:lang w:eastAsia="en-GB"/>
              </w:rPr>
              <w:tab/>
            </w:r>
            <w:r w:rsidR="00777EE0" w:rsidRPr="00C53B84">
              <w:rPr>
                <w:rStyle w:val="Hyperlink"/>
                <w:noProof/>
              </w:rPr>
              <w:t>Pleasurable effects</w:t>
            </w:r>
            <w:r w:rsidR="00777EE0">
              <w:rPr>
                <w:noProof/>
                <w:webHidden/>
              </w:rPr>
              <w:tab/>
            </w:r>
            <w:r w:rsidR="00777EE0">
              <w:rPr>
                <w:noProof/>
                <w:webHidden/>
              </w:rPr>
              <w:fldChar w:fldCharType="begin"/>
            </w:r>
            <w:r w:rsidR="00777EE0">
              <w:rPr>
                <w:noProof/>
                <w:webHidden/>
              </w:rPr>
              <w:instrText xml:space="preserve"> PAGEREF _Toc35892601 \h </w:instrText>
            </w:r>
            <w:r w:rsidR="00777EE0">
              <w:rPr>
                <w:noProof/>
                <w:webHidden/>
              </w:rPr>
            </w:r>
            <w:r w:rsidR="00777EE0">
              <w:rPr>
                <w:noProof/>
                <w:webHidden/>
              </w:rPr>
              <w:fldChar w:fldCharType="separate"/>
            </w:r>
            <w:r w:rsidR="0026579C">
              <w:rPr>
                <w:noProof/>
                <w:webHidden/>
              </w:rPr>
              <w:t>161</w:t>
            </w:r>
            <w:r w:rsidR="00777EE0">
              <w:rPr>
                <w:noProof/>
                <w:webHidden/>
              </w:rPr>
              <w:fldChar w:fldCharType="end"/>
            </w:r>
          </w:hyperlink>
        </w:p>
        <w:p w14:paraId="60883AA8" w14:textId="071A2BE2" w:rsidR="00777EE0" w:rsidRDefault="00251E9C">
          <w:pPr>
            <w:pStyle w:val="TOC3"/>
            <w:rPr>
              <w:rFonts w:asciiTheme="minorHAnsi" w:eastAsiaTheme="minorEastAsia" w:hAnsiTheme="minorHAnsi" w:cstheme="minorBidi"/>
              <w:noProof/>
              <w:sz w:val="22"/>
              <w:lang w:eastAsia="en-GB"/>
            </w:rPr>
          </w:pPr>
          <w:hyperlink w:anchor="_Toc35892602" w:history="1">
            <w:r w:rsidR="00777EE0" w:rsidRPr="00C53B84">
              <w:rPr>
                <w:rStyle w:val="Hyperlink"/>
                <w:noProof/>
              </w:rPr>
              <w:t>4.3.6</w:t>
            </w:r>
            <w:r w:rsidR="00777EE0">
              <w:rPr>
                <w:rFonts w:asciiTheme="minorHAnsi" w:eastAsiaTheme="minorEastAsia" w:hAnsiTheme="minorHAnsi" w:cstheme="minorBidi"/>
                <w:noProof/>
                <w:sz w:val="22"/>
                <w:lang w:eastAsia="en-GB"/>
              </w:rPr>
              <w:tab/>
            </w:r>
            <w:r w:rsidR="00777EE0" w:rsidRPr="00C53B84">
              <w:rPr>
                <w:rStyle w:val="Hyperlink"/>
                <w:noProof/>
              </w:rPr>
              <w:t>Quality reasons</w:t>
            </w:r>
            <w:r w:rsidR="00777EE0">
              <w:rPr>
                <w:noProof/>
                <w:webHidden/>
              </w:rPr>
              <w:tab/>
            </w:r>
            <w:r w:rsidR="00777EE0">
              <w:rPr>
                <w:noProof/>
                <w:webHidden/>
              </w:rPr>
              <w:fldChar w:fldCharType="begin"/>
            </w:r>
            <w:r w:rsidR="00777EE0">
              <w:rPr>
                <w:noProof/>
                <w:webHidden/>
              </w:rPr>
              <w:instrText xml:space="preserve"> PAGEREF _Toc35892602 \h </w:instrText>
            </w:r>
            <w:r w:rsidR="00777EE0">
              <w:rPr>
                <w:noProof/>
                <w:webHidden/>
              </w:rPr>
            </w:r>
            <w:r w:rsidR="00777EE0">
              <w:rPr>
                <w:noProof/>
                <w:webHidden/>
              </w:rPr>
              <w:fldChar w:fldCharType="separate"/>
            </w:r>
            <w:r w:rsidR="0026579C">
              <w:rPr>
                <w:noProof/>
                <w:webHidden/>
              </w:rPr>
              <w:t>162</w:t>
            </w:r>
            <w:r w:rsidR="00777EE0">
              <w:rPr>
                <w:noProof/>
                <w:webHidden/>
              </w:rPr>
              <w:fldChar w:fldCharType="end"/>
            </w:r>
          </w:hyperlink>
        </w:p>
        <w:p w14:paraId="653F1EDD" w14:textId="5FCFE493" w:rsidR="00777EE0" w:rsidRDefault="00251E9C">
          <w:pPr>
            <w:pStyle w:val="TOC3"/>
            <w:rPr>
              <w:rFonts w:asciiTheme="minorHAnsi" w:eastAsiaTheme="minorEastAsia" w:hAnsiTheme="minorHAnsi" w:cstheme="minorBidi"/>
              <w:noProof/>
              <w:sz w:val="22"/>
              <w:lang w:eastAsia="en-GB"/>
            </w:rPr>
          </w:pPr>
          <w:hyperlink w:anchor="_Toc35892603" w:history="1">
            <w:r w:rsidR="00777EE0" w:rsidRPr="00C53B84">
              <w:rPr>
                <w:rStyle w:val="Hyperlink"/>
                <w:noProof/>
              </w:rPr>
              <w:t>4.3.7</w:t>
            </w:r>
            <w:r w:rsidR="00777EE0">
              <w:rPr>
                <w:rFonts w:asciiTheme="minorHAnsi" w:eastAsiaTheme="minorEastAsia" w:hAnsiTheme="minorHAnsi" w:cstheme="minorBidi"/>
                <w:noProof/>
                <w:sz w:val="22"/>
                <w:lang w:eastAsia="en-GB"/>
              </w:rPr>
              <w:tab/>
            </w:r>
            <w:r w:rsidR="00777EE0" w:rsidRPr="00C53B84">
              <w:rPr>
                <w:rStyle w:val="Hyperlink"/>
                <w:noProof/>
              </w:rPr>
              <w:t>Curiosity</w:t>
            </w:r>
            <w:r w:rsidR="00777EE0">
              <w:rPr>
                <w:noProof/>
                <w:webHidden/>
              </w:rPr>
              <w:tab/>
            </w:r>
            <w:r w:rsidR="00777EE0">
              <w:rPr>
                <w:noProof/>
                <w:webHidden/>
              </w:rPr>
              <w:fldChar w:fldCharType="begin"/>
            </w:r>
            <w:r w:rsidR="00777EE0">
              <w:rPr>
                <w:noProof/>
                <w:webHidden/>
              </w:rPr>
              <w:instrText xml:space="preserve"> PAGEREF _Toc35892603 \h </w:instrText>
            </w:r>
            <w:r w:rsidR="00777EE0">
              <w:rPr>
                <w:noProof/>
                <w:webHidden/>
              </w:rPr>
            </w:r>
            <w:r w:rsidR="00777EE0">
              <w:rPr>
                <w:noProof/>
                <w:webHidden/>
              </w:rPr>
              <w:fldChar w:fldCharType="separate"/>
            </w:r>
            <w:r w:rsidR="0026579C">
              <w:rPr>
                <w:noProof/>
                <w:webHidden/>
              </w:rPr>
              <w:t>162</w:t>
            </w:r>
            <w:r w:rsidR="00777EE0">
              <w:rPr>
                <w:noProof/>
                <w:webHidden/>
              </w:rPr>
              <w:fldChar w:fldCharType="end"/>
            </w:r>
          </w:hyperlink>
        </w:p>
        <w:p w14:paraId="418FEA56" w14:textId="75821F85" w:rsidR="00777EE0" w:rsidRDefault="00251E9C">
          <w:pPr>
            <w:pStyle w:val="TOC3"/>
            <w:rPr>
              <w:rFonts w:asciiTheme="minorHAnsi" w:eastAsiaTheme="minorEastAsia" w:hAnsiTheme="minorHAnsi" w:cstheme="minorBidi"/>
              <w:noProof/>
              <w:sz w:val="22"/>
              <w:lang w:eastAsia="en-GB"/>
            </w:rPr>
          </w:pPr>
          <w:hyperlink w:anchor="_Toc35892604" w:history="1">
            <w:r w:rsidR="00777EE0" w:rsidRPr="00C53B84">
              <w:rPr>
                <w:rStyle w:val="Hyperlink"/>
                <w:noProof/>
              </w:rPr>
              <w:t>4.3.8</w:t>
            </w:r>
            <w:r w:rsidR="00777EE0">
              <w:rPr>
                <w:rFonts w:asciiTheme="minorHAnsi" w:eastAsiaTheme="minorEastAsia" w:hAnsiTheme="minorHAnsi" w:cstheme="minorBidi"/>
                <w:noProof/>
                <w:sz w:val="22"/>
                <w:lang w:eastAsia="en-GB"/>
              </w:rPr>
              <w:tab/>
            </w:r>
            <w:r w:rsidR="00777EE0" w:rsidRPr="00C53B84">
              <w:rPr>
                <w:rStyle w:val="Hyperlink"/>
                <w:noProof/>
              </w:rPr>
              <w:t>Legal status</w:t>
            </w:r>
            <w:r w:rsidR="00777EE0">
              <w:rPr>
                <w:noProof/>
                <w:webHidden/>
              </w:rPr>
              <w:tab/>
            </w:r>
            <w:r w:rsidR="00777EE0">
              <w:rPr>
                <w:noProof/>
                <w:webHidden/>
              </w:rPr>
              <w:fldChar w:fldCharType="begin"/>
            </w:r>
            <w:r w:rsidR="00777EE0">
              <w:rPr>
                <w:noProof/>
                <w:webHidden/>
              </w:rPr>
              <w:instrText xml:space="preserve"> PAGEREF _Toc35892604 \h </w:instrText>
            </w:r>
            <w:r w:rsidR="00777EE0">
              <w:rPr>
                <w:noProof/>
                <w:webHidden/>
              </w:rPr>
            </w:r>
            <w:r w:rsidR="00777EE0">
              <w:rPr>
                <w:noProof/>
                <w:webHidden/>
              </w:rPr>
              <w:fldChar w:fldCharType="separate"/>
            </w:r>
            <w:r w:rsidR="0026579C">
              <w:rPr>
                <w:noProof/>
                <w:webHidden/>
              </w:rPr>
              <w:t>163</w:t>
            </w:r>
            <w:r w:rsidR="00777EE0">
              <w:rPr>
                <w:noProof/>
                <w:webHidden/>
              </w:rPr>
              <w:fldChar w:fldCharType="end"/>
            </w:r>
          </w:hyperlink>
        </w:p>
        <w:p w14:paraId="491DCE37" w14:textId="4E05923C" w:rsidR="00777EE0" w:rsidRDefault="00251E9C">
          <w:pPr>
            <w:pStyle w:val="TOC3"/>
            <w:rPr>
              <w:rFonts w:asciiTheme="minorHAnsi" w:eastAsiaTheme="minorEastAsia" w:hAnsiTheme="minorHAnsi" w:cstheme="minorBidi"/>
              <w:noProof/>
              <w:sz w:val="22"/>
              <w:lang w:eastAsia="en-GB"/>
            </w:rPr>
          </w:pPr>
          <w:hyperlink w:anchor="_Toc35892605" w:history="1">
            <w:r w:rsidR="00777EE0" w:rsidRPr="00C53B84">
              <w:rPr>
                <w:rStyle w:val="Hyperlink"/>
                <w:noProof/>
              </w:rPr>
              <w:t>4.3.9</w:t>
            </w:r>
            <w:r w:rsidR="00777EE0">
              <w:rPr>
                <w:rFonts w:asciiTheme="minorHAnsi" w:eastAsiaTheme="minorEastAsia" w:hAnsiTheme="minorHAnsi" w:cstheme="minorBidi"/>
                <w:noProof/>
                <w:sz w:val="22"/>
                <w:lang w:eastAsia="en-GB"/>
              </w:rPr>
              <w:tab/>
            </w:r>
            <w:r w:rsidR="00777EE0" w:rsidRPr="00C53B84">
              <w:rPr>
                <w:rStyle w:val="Hyperlink"/>
                <w:noProof/>
              </w:rPr>
              <w:t>Social influences</w:t>
            </w:r>
            <w:r w:rsidR="00777EE0">
              <w:rPr>
                <w:noProof/>
                <w:webHidden/>
              </w:rPr>
              <w:tab/>
            </w:r>
            <w:r w:rsidR="00777EE0">
              <w:rPr>
                <w:noProof/>
                <w:webHidden/>
              </w:rPr>
              <w:fldChar w:fldCharType="begin"/>
            </w:r>
            <w:r w:rsidR="00777EE0">
              <w:rPr>
                <w:noProof/>
                <w:webHidden/>
              </w:rPr>
              <w:instrText xml:space="preserve"> PAGEREF _Toc35892605 \h </w:instrText>
            </w:r>
            <w:r w:rsidR="00777EE0">
              <w:rPr>
                <w:noProof/>
                <w:webHidden/>
              </w:rPr>
            </w:r>
            <w:r w:rsidR="00777EE0">
              <w:rPr>
                <w:noProof/>
                <w:webHidden/>
              </w:rPr>
              <w:fldChar w:fldCharType="separate"/>
            </w:r>
            <w:r w:rsidR="0026579C">
              <w:rPr>
                <w:noProof/>
                <w:webHidden/>
              </w:rPr>
              <w:t>164</w:t>
            </w:r>
            <w:r w:rsidR="00777EE0">
              <w:rPr>
                <w:noProof/>
                <w:webHidden/>
              </w:rPr>
              <w:fldChar w:fldCharType="end"/>
            </w:r>
          </w:hyperlink>
        </w:p>
        <w:p w14:paraId="177D002E" w14:textId="7FD6FCF9" w:rsidR="00777EE0" w:rsidRDefault="00251E9C">
          <w:pPr>
            <w:pStyle w:val="TOC3"/>
            <w:rPr>
              <w:rFonts w:asciiTheme="minorHAnsi" w:eastAsiaTheme="minorEastAsia" w:hAnsiTheme="minorHAnsi" w:cstheme="minorBidi"/>
              <w:noProof/>
              <w:sz w:val="22"/>
              <w:lang w:eastAsia="en-GB"/>
            </w:rPr>
          </w:pPr>
          <w:hyperlink w:anchor="_Toc35892606" w:history="1">
            <w:r w:rsidR="00777EE0" w:rsidRPr="00C53B84">
              <w:rPr>
                <w:rStyle w:val="Hyperlink"/>
                <w:noProof/>
              </w:rPr>
              <w:t>4.3.10</w:t>
            </w:r>
            <w:r w:rsidR="00777EE0">
              <w:rPr>
                <w:rFonts w:asciiTheme="minorHAnsi" w:eastAsiaTheme="minorEastAsia" w:hAnsiTheme="minorHAnsi" w:cstheme="minorBidi"/>
                <w:noProof/>
                <w:sz w:val="22"/>
                <w:lang w:eastAsia="en-GB"/>
              </w:rPr>
              <w:tab/>
            </w:r>
            <w:r w:rsidR="00777EE0" w:rsidRPr="00C53B84">
              <w:rPr>
                <w:rStyle w:val="Hyperlink"/>
                <w:noProof/>
              </w:rPr>
              <w:t>Safety reasons</w:t>
            </w:r>
            <w:r w:rsidR="00777EE0">
              <w:rPr>
                <w:noProof/>
                <w:webHidden/>
              </w:rPr>
              <w:tab/>
            </w:r>
            <w:r w:rsidR="00777EE0">
              <w:rPr>
                <w:noProof/>
                <w:webHidden/>
              </w:rPr>
              <w:fldChar w:fldCharType="begin"/>
            </w:r>
            <w:r w:rsidR="00777EE0">
              <w:rPr>
                <w:noProof/>
                <w:webHidden/>
              </w:rPr>
              <w:instrText xml:space="preserve"> PAGEREF _Toc35892606 \h </w:instrText>
            </w:r>
            <w:r w:rsidR="00777EE0">
              <w:rPr>
                <w:noProof/>
                <w:webHidden/>
              </w:rPr>
            </w:r>
            <w:r w:rsidR="00777EE0">
              <w:rPr>
                <w:noProof/>
                <w:webHidden/>
              </w:rPr>
              <w:fldChar w:fldCharType="separate"/>
            </w:r>
            <w:r w:rsidR="0026579C">
              <w:rPr>
                <w:noProof/>
                <w:webHidden/>
              </w:rPr>
              <w:t>164</w:t>
            </w:r>
            <w:r w:rsidR="00777EE0">
              <w:rPr>
                <w:noProof/>
                <w:webHidden/>
              </w:rPr>
              <w:fldChar w:fldCharType="end"/>
            </w:r>
          </w:hyperlink>
        </w:p>
        <w:p w14:paraId="317CA347" w14:textId="11F3DC40" w:rsidR="00777EE0" w:rsidRDefault="00251E9C">
          <w:pPr>
            <w:pStyle w:val="TOC3"/>
            <w:rPr>
              <w:rFonts w:asciiTheme="minorHAnsi" w:eastAsiaTheme="minorEastAsia" w:hAnsiTheme="minorHAnsi" w:cstheme="minorBidi"/>
              <w:noProof/>
              <w:sz w:val="22"/>
              <w:lang w:eastAsia="en-GB"/>
            </w:rPr>
          </w:pPr>
          <w:hyperlink w:anchor="_Toc35892607" w:history="1">
            <w:r w:rsidR="00777EE0" w:rsidRPr="00C53B84">
              <w:rPr>
                <w:rStyle w:val="Hyperlink"/>
                <w:noProof/>
              </w:rPr>
              <w:t>4.3.11</w:t>
            </w:r>
            <w:r w:rsidR="00777EE0">
              <w:rPr>
                <w:rFonts w:asciiTheme="minorHAnsi" w:eastAsiaTheme="minorEastAsia" w:hAnsiTheme="minorHAnsi" w:cstheme="minorBidi"/>
                <w:noProof/>
                <w:sz w:val="22"/>
                <w:lang w:eastAsia="en-GB"/>
              </w:rPr>
              <w:tab/>
            </w:r>
            <w:r w:rsidR="00777EE0" w:rsidRPr="00C53B84">
              <w:rPr>
                <w:rStyle w:val="Hyperlink"/>
                <w:noProof/>
              </w:rPr>
              <w:t>Coping</w:t>
            </w:r>
            <w:r w:rsidR="00777EE0">
              <w:rPr>
                <w:noProof/>
                <w:webHidden/>
              </w:rPr>
              <w:tab/>
            </w:r>
            <w:r w:rsidR="00777EE0">
              <w:rPr>
                <w:noProof/>
                <w:webHidden/>
              </w:rPr>
              <w:fldChar w:fldCharType="begin"/>
            </w:r>
            <w:r w:rsidR="00777EE0">
              <w:rPr>
                <w:noProof/>
                <w:webHidden/>
              </w:rPr>
              <w:instrText xml:space="preserve"> PAGEREF _Toc35892607 \h </w:instrText>
            </w:r>
            <w:r w:rsidR="00777EE0">
              <w:rPr>
                <w:noProof/>
                <w:webHidden/>
              </w:rPr>
            </w:r>
            <w:r w:rsidR="00777EE0">
              <w:rPr>
                <w:noProof/>
                <w:webHidden/>
              </w:rPr>
              <w:fldChar w:fldCharType="separate"/>
            </w:r>
            <w:r w:rsidR="0026579C">
              <w:rPr>
                <w:noProof/>
                <w:webHidden/>
              </w:rPr>
              <w:t>166</w:t>
            </w:r>
            <w:r w:rsidR="00777EE0">
              <w:rPr>
                <w:noProof/>
                <w:webHidden/>
              </w:rPr>
              <w:fldChar w:fldCharType="end"/>
            </w:r>
          </w:hyperlink>
        </w:p>
        <w:p w14:paraId="1590A7F9" w14:textId="0560E36C" w:rsidR="00777EE0" w:rsidRDefault="00251E9C">
          <w:pPr>
            <w:pStyle w:val="TOC3"/>
            <w:rPr>
              <w:rFonts w:asciiTheme="minorHAnsi" w:eastAsiaTheme="minorEastAsia" w:hAnsiTheme="minorHAnsi" w:cstheme="minorBidi"/>
              <w:noProof/>
              <w:sz w:val="22"/>
              <w:lang w:eastAsia="en-GB"/>
            </w:rPr>
          </w:pPr>
          <w:hyperlink w:anchor="_Toc35892608" w:history="1">
            <w:r w:rsidR="00777EE0" w:rsidRPr="00C53B84">
              <w:rPr>
                <w:rStyle w:val="Hyperlink"/>
                <w:noProof/>
              </w:rPr>
              <w:t>4.3.12</w:t>
            </w:r>
            <w:r w:rsidR="00777EE0">
              <w:rPr>
                <w:rFonts w:asciiTheme="minorHAnsi" w:eastAsiaTheme="minorEastAsia" w:hAnsiTheme="minorHAnsi" w:cstheme="minorBidi"/>
                <w:noProof/>
                <w:sz w:val="22"/>
                <w:lang w:eastAsia="en-GB"/>
              </w:rPr>
              <w:tab/>
            </w:r>
            <w:r w:rsidR="00777EE0" w:rsidRPr="00C53B84">
              <w:rPr>
                <w:rStyle w:val="Hyperlink"/>
                <w:noProof/>
              </w:rPr>
              <w:t>Managing drug use</w:t>
            </w:r>
            <w:r w:rsidR="00777EE0">
              <w:rPr>
                <w:noProof/>
                <w:webHidden/>
              </w:rPr>
              <w:tab/>
            </w:r>
            <w:r w:rsidR="00777EE0">
              <w:rPr>
                <w:noProof/>
                <w:webHidden/>
              </w:rPr>
              <w:fldChar w:fldCharType="begin"/>
            </w:r>
            <w:r w:rsidR="00777EE0">
              <w:rPr>
                <w:noProof/>
                <w:webHidden/>
              </w:rPr>
              <w:instrText xml:space="preserve"> PAGEREF _Toc35892608 \h </w:instrText>
            </w:r>
            <w:r w:rsidR="00777EE0">
              <w:rPr>
                <w:noProof/>
                <w:webHidden/>
              </w:rPr>
            </w:r>
            <w:r w:rsidR="00777EE0">
              <w:rPr>
                <w:noProof/>
                <w:webHidden/>
              </w:rPr>
              <w:fldChar w:fldCharType="separate"/>
            </w:r>
            <w:r w:rsidR="0026579C">
              <w:rPr>
                <w:noProof/>
                <w:webHidden/>
              </w:rPr>
              <w:t>166</w:t>
            </w:r>
            <w:r w:rsidR="00777EE0">
              <w:rPr>
                <w:noProof/>
                <w:webHidden/>
              </w:rPr>
              <w:fldChar w:fldCharType="end"/>
            </w:r>
          </w:hyperlink>
        </w:p>
        <w:p w14:paraId="6988B261" w14:textId="5A65BD9A" w:rsidR="00777EE0" w:rsidRDefault="00251E9C">
          <w:pPr>
            <w:pStyle w:val="TOC3"/>
            <w:rPr>
              <w:rFonts w:asciiTheme="minorHAnsi" w:eastAsiaTheme="minorEastAsia" w:hAnsiTheme="minorHAnsi" w:cstheme="minorBidi"/>
              <w:noProof/>
              <w:sz w:val="22"/>
              <w:lang w:eastAsia="en-GB"/>
            </w:rPr>
          </w:pPr>
          <w:hyperlink w:anchor="_Toc35892609" w:history="1">
            <w:r w:rsidR="00777EE0" w:rsidRPr="00C53B84">
              <w:rPr>
                <w:rStyle w:val="Hyperlink"/>
                <w:noProof/>
              </w:rPr>
              <w:t>4.3.13</w:t>
            </w:r>
            <w:r w:rsidR="00777EE0">
              <w:rPr>
                <w:rFonts w:asciiTheme="minorHAnsi" w:eastAsiaTheme="minorEastAsia" w:hAnsiTheme="minorHAnsi" w:cstheme="minorBidi"/>
                <w:noProof/>
                <w:sz w:val="22"/>
                <w:lang w:eastAsia="en-GB"/>
              </w:rPr>
              <w:tab/>
            </w:r>
            <w:r w:rsidR="00777EE0" w:rsidRPr="00C53B84">
              <w:rPr>
                <w:rStyle w:val="Hyperlink"/>
                <w:noProof/>
              </w:rPr>
              <w:t>Avoiding detection</w:t>
            </w:r>
            <w:r w:rsidR="00777EE0">
              <w:rPr>
                <w:noProof/>
                <w:webHidden/>
              </w:rPr>
              <w:tab/>
            </w:r>
            <w:r w:rsidR="00777EE0">
              <w:rPr>
                <w:noProof/>
                <w:webHidden/>
              </w:rPr>
              <w:fldChar w:fldCharType="begin"/>
            </w:r>
            <w:r w:rsidR="00777EE0">
              <w:rPr>
                <w:noProof/>
                <w:webHidden/>
              </w:rPr>
              <w:instrText xml:space="preserve"> PAGEREF _Toc35892609 \h </w:instrText>
            </w:r>
            <w:r w:rsidR="00777EE0">
              <w:rPr>
                <w:noProof/>
                <w:webHidden/>
              </w:rPr>
            </w:r>
            <w:r w:rsidR="00777EE0">
              <w:rPr>
                <w:noProof/>
                <w:webHidden/>
              </w:rPr>
              <w:fldChar w:fldCharType="separate"/>
            </w:r>
            <w:r w:rsidR="0026579C">
              <w:rPr>
                <w:noProof/>
                <w:webHidden/>
              </w:rPr>
              <w:t>167</w:t>
            </w:r>
            <w:r w:rsidR="00777EE0">
              <w:rPr>
                <w:noProof/>
                <w:webHidden/>
              </w:rPr>
              <w:fldChar w:fldCharType="end"/>
            </w:r>
          </w:hyperlink>
        </w:p>
        <w:p w14:paraId="3C30128C" w14:textId="658B71CB" w:rsidR="00777EE0" w:rsidRDefault="00251E9C">
          <w:pPr>
            <w:pStyle w:val="TOC3"/>
            <w:rPr>
              <w:rFonts w:asciiTheme="minorHAnsi" w:eastAsiaTheme="minorEastAsia" w:hAnsiTheme="minorHAnsi" w:cstheme="minorBidi"/>
              <w:noProof/>
              <w:sz w:val="22"/>
              <w:lang w:eastAsia="en-GB"/>
            </w:rPr>
          </w:pPr>
          <w:hyperlink w:anchor="_Toc35892610" w:history="1">
            <w:r w:rsidR="00777EE0" w:rsidRPr="00C53B84">
              <w:rPr>
                <w:rStyle w:val="Hyperlink"/>
                <w:noProof/>
              </w:rPr>
              <w:t>4.3.14</w:t>
            </w:r>
            <w:r w:rsidR="00777EE0">
              <w:rPr>
                <w:rFonts w:asciiTheme="minorHAnsi" w:eastAsiaTheme="minorEastAsia" w:hAnsiTheme="minorHAnsi" w:cstheme="minorBidi"/>
                <w:noProof/>
                <w:sz w:val="22"/>
                <w:lang w:eastAsia="en-GB"/>
              </w:rPr>
              <w:tab/>
            </w:r>
            <w:r w:rsidR="00777EE0" w:rsidRPr="00C53B84">
              <w:rPr>
                <w:rStyle w:val="Hyperlink"/>
                <w:noProof/>
              </w:rPr>
              <w:t>Potential moderators</w:t>
            </w:r>
            <w:r w:rsidR="00777EE0">
              <w:rPr>
                <w:noProof/>
                <w:webHidden/>
              </w:rPr>
              <w:tab/>
            </w:r>
            <w:r w:rsidR="00777EE0">
              <w:rPr>
                <w:noProof/>
                <w:webHidden/>
              </w:rPr>
              <w:fldChar w:fldCharType="begin"/>
            </w:r>
            <w:r w:rsidR="00777EE0">
              <w:rPr>
                <w:noProof/>
                <w:webHidden/>
              </w:rPr>
              <w:instrText xml:space="preserve"> PAGEREF _Toc35892610 \h </w:instrText>
            </w:r>
            <w:r w:rsidR="00777EE0">
              <w:rPr>
                <w:noProof/>
                <w:webHidden/>
              </w:rPr>
            </w:r>
            <w:r w:rsidR="00777EE0">
              <w:rPr>
                <w:noProof/>
                <w:webHidden/>
              </w:rPr>
              <w:fldChar w:fldCharType="separate"/>
            </w:r>
            <w:r w:rsidR="0026579C">
              <w:rPr>
                <w:noProof/>
                <w:webHidden/>
              </w:rPr>
              <w:t>167</w:t>
            </w:r>
            <w:r w:rsidR="00777EE0">
              <w:rPr>
                <w:noProof/>
                <w:webHidden/>
              </w:rPr>
              <w:fldChar w:fldCharType="end"/>
            </w:r>
          </w:hyperlink>
        </w:p>
        <w:p w14:paraId="1B446080" w14:textId="6543B0A8" w:rsidR="00777EE0" w:rsidRDefault="00251E9C">
          <w:pPr>
            <w:pStyle w:val="TOC3"/>
            <w:rPr>
              <w:rFonts w:asciiTheme="minorHAnsi" w:eastAsiaTheme="minorEastAsia" w:hAnsiTheme="minorHAnsi" w:cstheme="minorBidi"/>
              <w:noProof/>
              <w:sz w:val="22"/>
              <w:lang w:eastAsia="en-GB"/>
            </w:rPr>
          </w:pPr>
          <w:hyperlink w:anchor="_Toc35892611" w:history="1">
            <w:r w:rsidR="00777EE0" w:rsidRPr="00C53B84">
              <w:rPr>
                <w:rStyle w:val="Hyperlink"/>
                <w:noProof/>
              </w:rPr>
              <w:t>4.3.15</w:t>
            </w:r>
            <w:r w:rsidR="00777EE0">
              <w:rPr>
                <w:rFonts w:asciiTheme="minorHAnsi" w:eastAsiaTheme="minorEastAsia" w:hAnsiTheme="minorHAnsi" w:cstheme="minorBidi"/>
                <w:noProof/>
                <w:sz w:val="22"/>
                <w:lang w:eastAsia="en-GB"/>
              </w:rPr>
              <w:tab/>
            </w:r>
            <w:r w:rsidR="00777EE0" w:rsidRPr="00C53B84">
              <w:rPr>
                <w:rStyle w:val="Hyperlink"/>
                <w:noProof/>
              </w:rPr>
              <w:t>Age (see Table 5)</w:t>
            </w:r>
            <w:r w:rsidR="00777EE0">
              <w:rPr>
                <w:noProof/>
                <w:webHidden/>
              </w:rPr>
              <w:tab/>
            </w:r>
            <w:r w:rsidR="00777EE0">
              <w:rPr>
                <w:noProof/>
                <w:webHidden/>
              </w:rPr>
              <w:fldChar w:fldCharType="begin"/>
            </w:r>
            <w:r w:rsidR="00777EE0">
              <w:rPr>
                <w:noProof/>
                <w:webHidden/>
              </w:rPr>
              <w:instrText xml:space="preserve"> PAGEREF _Toc35892611 \h </w:instrText>
            </w:r>
            <w:r w:rsidR="00777EE0">
              <w:rPr>
                <w:noProof/>
                <w:webHidden/>
              </w:rPr>
            </w:r>
            <w:r w:rsidR="00777EE0">
              <w:rPr>
                <w:noProof/>
                <w:webHidden/>
              </w:rPr>
              <w:fldChar w:fldCharType="separate"/>
            </w:r>
            <w:r w:rsidR="0026579C">
              <w:rPr>
                <w:noProof/>
                <w:webHidden/>
              </w:rPr>
              <w:t>168</w:t>
            </w:r>
            <w:r w:rsidR="00777EE0">
              <w:rPr>
                <w:noProof/>
                <w:webHidden/>
              </w:rPr>
              <w:fldChar w:fldCharType="end"/>
            </w:r>
          </w:hyperlink>
        </w:p>
        <w:p w14:paraId="2936C799" w14:textId="6CC5E354" w:rsidR="00777EE0" w:rsidRDefault="00251E9C">
          <w:pPr>
            <w:pStyle w:val="TOC3"/>
            <w:rPr>
              <w:rFonts w:asciiTheme="minorHAnsi" w:eastAsiaTheme="minorEastAsia" w:hAnsiTheme="minorHAnsi" w:cstheme="minorBidi"/>
              <w:noProof/>
              <w:sz w:val="22"/>
              <w:lang w:eastAsia="en-GB"/>
            </w:rPr>
          </w:pPr>
          <w:hyperlink w:anchor="_Toc35892612" w:history="1">
            <w:r w:rsidR="00777EE0" w:rsidRPr="00C53B84">
              <w:rPr>
                <w:rStyle w:val="Hyperlink"/>
                <w:noProof/>
              </w:rPr>
              <w:t>4.3.16</w:t>
            </w:r>
            <w:r w:rsidR="00777EE0">
              <w:rPr>
                <w:rFonts w:asciiTheme="minorHAnsi" w:eastAsiaTheme="minorEastAsia" w:hAnsiTheme="minorHAnsi" w:cstheme="minorBidi"/>
                <w:noProof/>
                <w:sz w:val="22"/>
                <w:lang w:eastAsia="en-GB"/>
              </w:rPr>
              <w:tab/>
            </w:r>
            <w:r w:rsidR="00777EE0" w:rsidRPr="00C53B84">
              <w:rPr>
                <w:rStyle w:val="Hyperlink"/>
                <w:noProof/>
              </w:rPr>
              <w:t>Regional differences (see Table 4-6)</w:t>
            </w:r>
            <w:r w:rsidR="00777EE0">
              <w:rPr>
                <w:noProof/>
                <w:webHidden/>
              </w:rPr>
              <w:tab/>
            </w:r>
            <w:r w:rsidR="00777EE0">
              <w:rPr>
                <w:noProof/>
                <w:webHidden/>
              </w:rPr>
              <w:fldChar w:fldCharType="begin"/>
            </w:r>
            <w:r w:rsidR="00777EE0">
              <w:rPr>
                <w:noProof/>
                <w:webHidden/>
              </w:rPr>
              <w:instrText xml:space="preserve"> PAGEREF _Toc35892612 \h </w:instrText>
            </w:r>
            <w:r w:rsidR="00777EE0">
              <w:rPr>
                <w:noProof/>
                <w:webHidden/>
              </w:rPr>
            </w:r>
            <w:r w:rsidR="00777EE0">
              <w:rPr>
                <w:noProof/>
                <w:webHidden/>
              </w:rPr>
              <w:fldChar w:fldCharType="separate"/>
            </w:r>
            <w:r w:rsidR="0026579C">
              <w:rPr>
                <w:noProof/>
                <w:webHidden/>
              </w:rPr>
              <w:t>169</w:t>
            </w:r>
            <w:r w:rsidR="00777EE0">
              <w:rPr>
                <w:noProof/>
                <w:webHidden/>
              </w:rPr>
              <w:fldChar w:fldCharType="end"/>
            </w:r>
          </w:hyperlink>
        </w:p>
        <w:p w14:paraId="3593FBCB" w14:textId="1CC51C8F" w:rsidR="00777EE0" w:rsidRDefault="00251E9C">
          <w:pPr>
            <w:pStyle w:val="TOC3"/>
            <w:rPr>
              <w:rFonts w:asciiTheme="minorHAnsi" w:eastAsiaTheme="minorEastAsia" w:hAnsiTheme="minorHAnsi" w:cstheme="minorBidi"/>
              <w:noProof/>
              <w:sz w:val="22"/>
              <w:lang w:eastAsia="en-GB"/>
            </w:rPr>
          </w:pPr>
          <w:hyperlink w:anchor="_Toc35892613" w:history="1">
            <w:r w:rsidR="00777EE0" w:rsidRPr="00C53B84">
              <w:rPr>
                <w:rStyle w:val="Hyperlink"/>
                <w:noProof/>
              </w:rPr>
              <w:t>4.3.17</w:t>
            </w:r>
            <w:r w:rsidR="00777EE0">
              <w:rPr>
                <w:rFonts w:asciiTheme="minorHAnsi" w:eastAsiaTheme="minorEastAsia" w:hAnsiTheme="minorHAnsi" w:cstheme="minorBidi"/>
                <w:noProof/>
                <w:sz w:val="22"/>
                <w:lang w:eastAsia="en-GB"/>
              </w:rPr>
              <w:tab/>
            </w:r>
            <w:r w:rsidR="00777EE0" w:rsidRPr="00C53B84">
              <w:rPr>
                <w:rStyle w:val="Hyperlink"/>
                <w:noProof/>
              </w:rPr>
              <w:t>Type of substance (see Table 4-7)</w:t>
            </w:r>
            <w:r w:rsidR="00777EE0">
              <w:rPr>
                <w:noProof/>
                <w:webHidden/>
              </w:rPr>
              <w:tab/>
            </w:r>
            <w:r w:rsidR="00777EE0">
              <w:rPr>
                <w:noProof/>
                <w:webHidden/>
              </w:rPr>
              <w:fldChar w:fldCharType="begin"/>
            </w:r>
            <w:r w:rsidR="00777EE0">
              <w:rPr>
                <w:noProof/>
                <w:webHidden/>
              </w:rPr>
              <w:instrText xml:space="preserve"> PAGEREF _Toc35892613 \h </w:instrText>
            </w:r>
            <w:r w:rsidR="00777EE0">
              <w:rPr>
                <w:noProof/>
                <w:webHidden/>
              </w:rPr>
            </w:r>
            <w:r w:rsidR="00777EE0">
              <w:rPr>
                <w:noProof/>
                <w:webHidden/>
              </w:rPr>
              <w:fldChar w:fldCharType="separate"/>
            </w:r>
            <w:r w:rsidR="0026579C">
              <w:rPr>
                <w:noProof/>
                <w:webHidden/>
              </w:rPr>
              <w:t>170</w:t>
            </w:r>
            <w:r w:rsidR="00777EE0">
              <w:rPr>
                <w:noProof/>
                <w:webHidden/>
              </w:rPr>
              <w:fldChar w:fldCharType="end"/>
            </w:r>
          </w:hyperlink>
        </w:p>
        <w:p w14:paraId="092F71F7" w14:textId="09A40B95" w:rsidR="00777EE0" w:rsidRDefault="00251E9C">
          <w:pPr>
            <w:pStyle w:val="TOC3"/>
            <w:rPr>
              <w:rFonts w:asciiTheme="minorHAnsi" w:eastAsiaTheme="minorEastAsia" w:hAnsiTheme="minorHAnsi" w:cstheme="minorBidi"/>
              <w:noProof/>
              <w:sz w:val="22"/>
              <w:lang w:eastAsia="en-GB"/>
            </w:rPr>
          </w:pPr>
          <w:hyperlink w:anchor="_Toc35892614" w:history="1">
            <w:r w:rsidR="00777EE0" w:rsidRPr="00C53B84">
              <w:rPr>
                <w:rStyle w:val="Hyperlink"/>
                <w:noProof/>
              </w:rPr>
              <w:t>4.3.18</w:t>
            </w:r>
            <w:r w:rsidR="00777EE0">
              <w:rPr>
                <w:rFonts w:asciiTheme="minorHAnsi" w:eastAsiaTheme="minorEastAsia" w:hAnsiTheme="minorHAnsi" w:cstheme="minorBidi"/>
                <w:noProof/>
                <w:sz w:val="22"/>
                <w:lang w:eastAsia="en-GB"/>
              </w:rPr>
              <w:tab/>
            </w:r>
            <w:r w:rsidR="00777EE0" w:rsidRPr="00C53B84">
              <w:rPr>
                <w:rStyle w:val="Hyperlink"/>
                <w:noProof/>
              </w:rPr>
              <w:t>Type of use(r) (see Table 4-8)</w:t>
            </w:r>
            <w:r w:rsidR="00777EE0">
              <w:rPr>
                <w:noProof/>
                <w:webHidden/>
              </w:rPr>
              <w:tab/>
            </w:r>
            <w:r w:rsidR="00777EE0">
              <w:rPr>
                <w:noProof/>
                <w:webHidden/>
              </w:rPr>
              <w:fldChar w:fldCharType="begin"/>
            </w:r>
            <w:r w:rsidR="00777EE0">
              <w:rPr>
                <w:noProof/>
                <w:webHidden/>
              </w:rPr>
              <w:instrText xml:space="preserve"> PAGEREF _Toc35892614 \h </w:instrText>
            </w:r>
            <w:r w:rsidR="00777EE0">
              <w:rPr>
                <w:noProof/>
                <w:webHidden/>
              </w:rPr>
            </w:r>
            <w:r w:rsidR="00777EE0">
              <w:rPr>
                <w:noProof/>
                <w:webHidden/>
              </w:rPr>
              <w:fldChar w:fldCharType="separate"/>
            </w:r>
            <w:r w:rsidR="0026579C">
              <w:rPr>
                <w:noProof/>
                <w:webHidden/>
              </w:rPr>
              <w:t>172</w:t>
            </w:r>
            <w:r w:rsidR="00777EE0">
              <w:rPr>
                <w:noProof/>
                <w:webHidden/>
              </w:rPr>
              <w:fldChar w:fldCharType="end"/>
            </w:r>
          </w:hyperlink>
        </w:p>
        <w:p w14:paraId="7C33D4B0" w14:textId="0BAE072D" w:rsidR="00777EE0" w:rsidRDefault="00251E9C">
          <w:pPr>
            <w:pStyle w:val="TOC3"/>
            <w:rPr>
              <w:rFonts w:asciiTheme="minorHAnsi" w:eastAsiaTheme="minorEastAsia" w:hAnsiTheme="minorHAnsi" w:cstheme="minorBidi"/>
              <w:noProof/>
              <w:sz w:val="22"/>
              <w:lang w:eastAsia="en-GB"/>
            </w:rPr>
          </w:pPr>
          <w:hyperlink w:anchor="_Toc35892615" w:history="1">
            <w:r w:rsidR="00777EE0" w:rsidRPr="00C53B84">
              <w:rPr>
                <w:rStyle w:val="Hyperlink"/>
                <w:noProof/>
              </w:rPr>
              <w:t>4.3.19</w:t>
            </w:r>
            <w:r w:rsidR="00777EE0">
              <w:rPr>
                <w:rFonts w:asciiTheme="minorHAnsi" w:eastAsiaTheme="minorEastAsia" w:hAnsiTheme="minorHAnsi" w:cstheme="minorBidi"/>
                <w:noProof/>
                <w:sz w:val="22"/>
                <w:lang w:eastAsia="en-GB"/>
              </w:rPr>
              <w:tab/>
            </w:r>
            <w:r w:rsidR="00777EE0" w:rsidRPr="00C53B84">
              <w:rPr>
                <w:rStyle w:val="Hyperlink"/>
                <w:noProof/>
              </w:rPr>
              <w:t>Methodological differences (see Tables 4-9 and 4-10)</w:t>
            </w:r>
            <w:r w:rsidR="00777EE0">
              <w:rPr>
                <w:noProof/>
                <w:webHidden/>
              </w:rPr>
              <w:tab/>
            </w:r>
            <w:r w:rsidR="00777EE0">
              <w:rPr>
                <w:noProof/>
                <w:webHidden/>
              </w:rPr>
              <w:fldChar w:fldCharType="begin"/>
            </w:r>
            <w:r w:rsidR="00777EE0">
              <w:rPr>
                <w:noProof/>
                <w:webHidden/>
              </w:rPr>
              <w:instrText xml:space="preserve"> PAGEREF _Toc35892615 \h </w:instrText>
            </w:r>
            <w:r w:rsidR="00777EE0">
              <w:rPr>
                <w:noProof/>
                <w:webHidden/>
              </w:rPr>
            </w:r>
            <w:r w:rsidR="00777EE0">
              <w:rPr>
                <w:noProof/>
                <w:webHidden/>
              </w:rPr>
              <w:fldChar w:fldCharType="separate"/>
            </w:r>
            <w:r w:rsidR="0026579C">
              <w:rPr>
                <w:noProof/>
                <w:webHidden/>
              </w:rPr>
              <w:t>173</w:t>
            </w:r>
            <w:r w:rsidR="00777EE0">
              <w:rPr>
                <w:noProof/>
                <w:webHidden/>
              </w:rPr>
              <w:fldChar w:fldCharType="end"/>
            </w:r>
          </w:hyperlink>
        </w:p>
        <w:p w14:paraId="6B735A79" w14:textId="33807FF2" w:rsidR="00777EE0" w:rsidRDefault="00251E9C">
          <w:pPr>
            <w:pStyle w:val="TOC3"/>
            <w:rPr>
              <w:rFonts w:asciiTheme="minorHAnsi" w:eastAsiaTheme="minorEastAsia" w:hAnsiTheme="minorHAnsi" w:cstheme="minorBidi"/>
              <w:noProof/>
              <w:sz w:val="22"/>
              <w:lang w:eastAsia="en-GB"/>
            </w:rPr>
          </w:pPr>
          <w:hyperlink w:anchor="_Toc35892616" w:history="1">
            <w:r w:rsidR="00777EE0" w:rsidRPr="00C53B84">
              <w:rPr>
                <w:rStyle w:val="Hyperlink"/>
                <w:noProof/>
              </w:rPr>
              <w:t>4.3.20</w:t>
            </w:r>
            <w:r w:rsidR="00777EE0">
              <w:rPr>
                <w:rFonts w:asciiTheme="minorHAnsi" w:eastAsiaTheme="minorEastAsia" w:hAnsiTheme="minorHAnsi" w:cstheme="minorBidi"/>
                <w:noProof/>
                <w:sz w:val="22"/>
                <w:lang w:eastAsia="en-GB"/>
              </w:rPr>
              <w:tab/>
            </w:r>
            <w:r w:rsidR="00777EE0" w:rsidRPr="00C53B84">
              <w:rPr>
                <w:rStyle w:val="Hyperlink"/>
                <w:noProof/>
              </w:rPr>
              <w:t>Findings: Prevalence of reasons for not using NPS</w:t>
            </w:r>
            <w:r w:rsidR="00777EE0">
              <w:rPr>
                <w:noProof/>
                <w:webHidden/>
              </w:rPr>
              <w:tab/>
            </w:r>
            <w:r w:rsidR="00777EE0">
              <w:rPr>
                <w:noProof/>
                <w:webHidden/>
              </w:rPr>
              <w:fldChar w:fldCharType="begin"/>
            </w:r>
            <w:r w:rsidR="00777EE0">
              <w:rPr>
                <w:noProof/>
                <w:webHidden/>
              </w:rPr>
              <w:instrText xml:space="preserve"> PAGEREF _Toc35892616 \h </w:instrText>
            </w:r>
            <w:r w:rsidR="00777EE0">
              <w:rPr>
                <w:noProof/>
                <w:webHidden/>
              </w:rPr>
            </w:r>
            <w:r w:rsidR="00777EE0">
              <w:rPr>
                <w:noProof/>
                <w:webHidden/>
              </w:rPr>
              <w:fldChar w:fldCharType="separate"/>
            </w:r>
            <w:r w:rsidR="0026579C">
              <w:rPr>
                <w:noProof/>
                <w:webHidden/>
              </w:rPr>
              <w:t>175</w:t>
            </w:r>
            <w:r w:rsidR="00777EE0">
              <w:rPr>
                <w:noProof/>
                <w:webHidden/>
              </w:rPr>
              <w:fldChar w:fldCharType="end"/>
            </w:r>
          </w:hyperlink>
        </w:p>
        <w:p w14:paraId="4362BB95" w14:textId="54F03E0B" w:rsidR="00777EE0" w:rsidRDefault="00251E9C">
          <w:pPr>
            <w:pStyle w:val="TOC3"/>
            <w:rPr>
              <w:rFonts w:asciiTheme="minorHAnsi" w:eastAsiaTheme="minorEastAsia" w:hAnsiTheme="minorHAnsi" w:cstheme="minorBidi"/>
              <w:noProof/>
              <w:sz w:val="22"/>
              <w:lang w:eastAsia="en-GB"/>
            </w:rPr>
          </w:pPr>
          <w:hyperlink w:anchor="_Toc35892617" w:history="1">
            <w:r w:rsidR="00777EE0" w:rsidRPr="00C53B84">
              <w:rPr>
                <w:rStyle w:val="Hyperlink"/>
                <w:noProof/>
              </w:rPr>
              <w:t>4.3.21</w:t>
            </w:r>
            <w:r w:rsidR="00777EE0">
              <w:rPr>
                <w:rFonts w:asciiTheme="minorHAnsi" w:eastAsiaTheme="minorEastAsia" w:hAnsiTheme="minorHAnsi" w:cstheme="minorBidi"/>
                <w:noProof/>
                <w:sz w:val="22"/>
                <w:lang w:eastAsia="en-GB"/>
              </w:rPr>
              <w:tab/>
            </w:r>
            <w:r w:rsidR="00777EE0" w:rsidRPr="00C53B84">
              <w:rPr>
                <w:rStyle w:val="Hyperlink"/>
                <w:noProof/>
              </w:rPr>
              <w:t>Risk perceptions</w:t>
            </w:r>
            <w:r w:rsidR="00777EE0">
              <w:rPr>
                <w:noProof/>
                <w:webHidden/>
              </w:rPr>
              <w:tab/>
            </w:r>
            <w:r w:rsidR="00777EE0">
              <w:rPr>
                <w:noProof/>
                <w:webHidden/>
              </w:rPr>
              <w:fldChar w:fldCharType="begin"/>
            </w:r>
            <w:r w:rsidR="00777EE0">
              <w:rPr>
                <w:noProof/>
                <w:webHidden/>
              </w:rPr>
              <w:instrText xml:space="preserve"> PAGEREF _Toc35892617 \h </w:instrText>
            </w:r>
            <w:r w:rsidR="00777EE0">
              <w:rPr>
                <w:noProof/>
                <w:webHidden/>
              </w:rPr>
            </w:r>
            <w:r w:rsidR="00777EE0">
              <w:rPr>
                <w:noProof/>
                <w:webHidden/>
              </w:rPr>
              <w:fldChar w:fldCharType="separate"/>
            </w:r>
            <w:r w:rsidR="0026579C">
              <w:rPr>
                <w:noProof/>
                <w:webHidden/>
              </w:rPr>
              <w:t>178</w:t>
            </w:r>
            <w:r w:rsidR="00777EE0">
              <w:rPr>
                <w:noProof/>
                <w:webHidden/>
              </w:rPr>
              <w:fldChar w:fldCharType="end"/>
            </w:r>
          </w:hyperlink>
        </w:p>
        <w:p w14:paraId="3DC32510" w14:textId="67DCA6F6" w:rsidR="00777EE0" w:rsidRDefault="00251E9C">
          <w:pPr>
            <w:pStyle w:val="TOC3"/>
            <w:rPr>
              <w:rFonts w:asciiTheme="minorHAnsi" w:eastAsiaTheme="minorEastAsia" w:hAnsiTheme="minorHAnsi" w:cstheme="minorBidi"/>
              <w:noProof/>
              <w:sz w:val="22"/>
              <w:lang w:eastAsia="en-GB"/>
            </w:rPr>
          </w:pPr>
          <w:hyperlink w:anchor="_Toc35892618" w:history="1">
            <w:r w:rsidR="00777EE0" w:rsidRPr="00C53B84">
              <w:rPr>
                <w:rStyle w:val="Hyperlink"/>
                <w:noProof/>
              </w:rPr>
              <w:t>4.3.22</w:t>
            </w:r>
            <w:r w:rsidR="00777EE0">
              <w:rPr>
                <w:rFonts w:asciiTheme="minorHAnsi" w:eastAsiaTheme="minorEastAsia" w:hAnsiTheme="minorHAnsi" w:cstheme="minorBidi"/>
                <w:noProof/>
                <w:sz w:val="22"/>
                <w:lang w:eastAsia="en-GB"/>
              </w:rPr>
              <w:tab/>
            </w:r>
            <w:r w:rsidR="00777EE0" w:rsidRPr="00C53B84">
              <w:rPr>
                <w:rStyle w:val="Hyperlink"/>
                <w:noProof/>
              </w:rPr>
              <w:t>Unpleasant effects</w:t>
            </w:r>
            <w:r w:rsidR="00777EE0">
              <w:rPr>
                <w:noProof/>
                <w:webHidden/>
              </w:rPr>
              <w:tab/>
            </w:r>
            <w:r w:rsidR="00777EE0">
              <w:rPr>
                <w:noProof/>
                <w:webHidden/>
              </w:rPr>
              <w:fldChar w:fldCharType="begin"/>
            </w:r>
            <w:r w:rsidR="00777EE0">
              <w:rPr>
                <w:noProof/>
                <w:webHidden/>
              </w:rPr>
              <w:instrText xml:space="preserve"> PAGEREF _Toc35892618 \h </w:instrText>
            </w:r>
            <w:r w:rsidR="00777EE0">
              <w:rPr>
                <w:noProof/>
                <w:webHidden/>
              </w:rPr>
            </w:r>
            <w:r w:rsidR="00777EE0">
              <w:rPr>
                <w:noProof/>
                <w:webHidden/>
              </w:rPr>
              <w:fldChar w:fldCharType="separate"/>
            </w:r>
            <w:r w:rsidR="0026579C">
              <w:rPr>
                <w:noProof/>
                <w:webHidden/>
              </w:rPr>
              <w:t>178</w:t>
            </w:r>
            <w:r w:rsidR="00777EE0">
              <w:rPr>
                <w:noProof/>
                <w:webHidden/>
              </w:rPr>
              <w:fldChar w:fldCharType="end"/>
            </w:r>
          </w:hyperlink>
        </w:p>
        <w:p w14:paraId="027199CD" w14:textId="2ECC1DDE" w:rsidR="00777EE0" w:rsidRDefault="00251E9C">
          <w:pPr>
            <w:pStyle w:val="TOC3"/>
            <w:rPr>
              <w:rFonts w:asciiTheme="minorHAnsi" w:eastAsiaTheme="minorEastAsia" w:hAnsiTheme="minorHAnsi" w:cstheme="minorBidi"/>
              <w:noProof/>
              <w:sz w:val="22"/>
              <w:lang w:eastAsia="en-GB"/>
            </w:rPr>
          </w:pPr>
          <w:hyperlink w:anchor="_Toc35892619" w:history="1">
            <w:r w:rsidR="00777EE0" w:rsidRPr="00C53B84">
              <w:rPr>
                <w:rStyle w:val="Hyperlink"/>
                <w:noProof/>
              </w:rPr>
              <w:t>4.3.23</w:t>
            </w:r>
            <w:r w:rsidR="00777EE0">
              <w:rPr>
                <w:rFonts w:asciiTheme="minorHAnsi" w:eastAsiaTheme="minorEastAsia" w:hAnsiTheme="minorHAnsi" w:cstheme="minorBidi"/>
                <w:noProof/>
                <w:sz w:val="22"/>
                <w:lang w:eastAsia="en-GB"/>
              </w:rPr>
              <w:tab/>
            </w:r>
            <w:r w:rsidR="00777EE0" w:rsidRPr="00C53B84">
              <w:rPr>
                <w:rStyle w:val="Hyperlink"/>
                <w:noProof/>
              </w:rPr>
              <w:t>Social influences</w:t>
            </w:r>
            <w:r w:rsidR="00777EE0">
              <w:rPr>
                <w:noProof/>
                <w:webHidden/>
              </w:rPr>
              <w:tab/>
            </w:r>
            <w:r w:rsidR="00777EE0">
              <w:rPr>
                <w:noProof/>
                <w:webHidden/>
              </w:rPr>
              <w:fldChar w:fldCharType="begin"/>
            </w:r>
            <w:r w:rsidR="00777EE0">
              <w:rPr>
                <w:noProof/>
                <w:webHidden/>
              </w:rPr>
              <w:instrText xml:space="preserve"> PAGEREF _Toc35892619 \h </w:instrText>
            </w:r>
            <w:r w:rsidR="00777EE0">
              <w:rPr>
                <w:noProof/>
                <w:webHidden/>
              </w:rPr>
            </w:r>
            <w:r w:rsidR="00777EE0">
              <w:rPr>
                <w:noProof/>
                <w:webHidden/>
              </w:rPr>
              <w:fldChar w:fldCharType="separate"/>
            </w:r>
            <w:r w:rsidR="0026579C">
              <w:rPr>
                <w:noProof/>
                <w:webHidden/>
              </w:rPr>
              <w:t>178</w:t>
            </w:r>
            <w:r w:rsidR="00777EE0">
              <w:rPr>
                <w:noProof/>
                <w:webHidden/>
              </w:rPr>
              <w:fldChar w:fldCharType="end"/>
            </w:r>
          </w:hyperlink>
        </w:p>
        <w:p w14:paraId="5B260FC8" w14:textId="667EB264" w:rsidR="00777EE0" w:rsidRDefault="00251E9C">
          <w:pPr>
            <w:pStyle w:val="TOC3"/>
            <w:rPr>
              <w:rFonts w:asciiTheme="minorHAnsi" w:eastAsiaTheme="minorEastAsia" w:hAnsiTheme="minorHAnsi" w:cstheme="minorBidi"/>
              <w:noProof/>
              <w:sz w:val="22"/>
              <w:lang w:eastAsia="en-GB"/>
            </w:rPr>
          </w:pPr>
          <w:hyperlink w:anchor="_Toc35892620" w:history="1">
            <w:r w:rsidR="00777EE0" w:rsidRPr="00C53B84">
              <w:rPr>
                <w:rStyle w:val="Hyperlink"/>
                <w:noProof/>
              </w:rPr>
              <w:t>4.3.24</w:t>
            </w:r>
            <w:r w:rsidR="00777EE0">
              <w:rPr>
                <w:rFonts w:asciiTheme="minorHAnsi" w:eastAsiaTheme="minorEastAsia" w:hAnsiTheme="minorHAnsi" w:cstheme="minorBidi"/>
                <w:noProof/>
                <w:sz w:val="22"/>
                <w:lang w:eastAsia="en-GB"/>
              </w:rPr>
              <w:tab/>
            </w:r>
            <w:r w:rsidR="00777EE0" w:rsidRPr="00C53B84">
              <w:rPr>
                <w:rStyle w:val="Hyperlink"/>
                <w:noProof/>
              </w:rPr>
              <w:t>Substitution</w:t>
            </w:r>
            <w:r w:rsidR="00777EE0">
              <w:rPr>
                <w:noProof/>
                <w:webHidden/>
              </w:rPr>
              <w:tab/>
            </w:r>
            <w:r w:rsidR="00777EE0">
              <w:rPr>
                <w:noProof/>
                <w:webHidden/>
              </w:rPr>
              <w:fldChar w:fldCharType="begin"/>
            </w:r>
            <w:r w:rsidR="00777EE0">
              <w:rPr>
                <w:noProof/>
                <w:webHidden/>
              </w:rPr>
              <w:instrText xml:space="preserve"> PAGEREF _Toc35892620 \h </w:instrText>
            </w:r>
            <w:r w:rsidR="00777EE0">
              <w:rPr>
                <w:noProof/>
                <w:webHidden/>
              </w:rPr>
            </w:r>
            <w:r w:rsidR="00777EE0">
              <w:rPr>
                <w:noProof/>
                <w:webHidden/>
              </w:rPr>
              <w:fldChar w:fldCharType="separate"/>
            </w:r>
            <w:r w:rsidR="0026579C">
              <w:rPr>
                <w:noProof/>
                <w:webHidden/>
              </w:rPr>
              <w:t>178</w:t>
            </w:r>
            <w:r w:rsidR="00777EE0">
              <w:rPr>
                <w:noProof/>
                <w:webHidden/>
              </w:rPr>
              <w:fldChar w:fldCharType="end"/>
            </w:r>
          </w:hyperlink>
        </w:p>
        <w:p w14:paraId="5E386258" w14:textId="6858F1F6" w:rsidR="00777EE0" w:rsidRDefault="00251E9C">
          <w:pPr>
            <w:pStyle w:val="TOC3"/>
            <w:rPr>
              <w:rFonts w:asciiTheme="minorHAnsi" w:eastAsiaTheme="minorEastAsia" w:hAnsiTheme="minorHAnsi" w:cstheme="minorBidi"/>
              <w:noProof/>
              <w:sz w:val="22"/>
              <w:lang w:eastAsia="en-GB"/>
            </w:rPr>
          </w:pPr>
          <w:hyperlink w:anchor="_Toc35892621" w:history="1">
            <w:r w:rsidR="00777EE0" w:rsidRPr="00C53B84">
              <w:rPr>
                <w:rStyle w:val="Hyperlink"/>
                <w:noProof/>
              </w:rPr>
              <w:t>4.3.25</w:t>
            </w:r>
            <w:r w:rsidR="00777EE0">
              <w:rPr>
                <w:rFonts w:asciiTheme="minorHAnsi" w:eastAsiaTheme="minorEastAsia" w:hAnsiTheme="minorHAnsi" w:cstheme="minorBidi"/>
                <w:noProof/>
                <w:sz w:val="22"/>
                <w:lang w:eastAsia="en-GB"/>
              </w:rPr>
              <w:tab/>
            </w:r>
            <w:r w:rsidR="00777EE0" w:rsidRPr="00C53B84">
              <w:rPr>
                <w:rStyle w:val="Hyperlink"/>
                <w:noProof/>
              </w:rPr>
              <w:t>Accessibility</w:t>
            </w:r>
            <w:r w:rsidR="00777EE0">
              <w:rPr>
                <w:noProof/>
                <w:webHidden/>
              </w:rPr>
              <w:tab/>
            </w:r>
            <w:r w:rsidR="00777EE0">
              <w:rPr>
                <w:noProof/>
                <w:webHidden/>
              </w:rPr>
              <w:fldChar w:fldCharType="begin"/>
            </w:r>
            <w:r w:rsidR="00777EE0">
              <w:rPr>
                <w:noProof/>
                <w:webHidden/>
              </w:rPr>
              <w:instrText xml:space="preserve"> PAGEREF _Toc35892621 \h </w:instrText>
            </w:r>
            <w:r w:rsidR="00777EE0">
              <w:rPr>
                <w:noProof/>
                <w:webHidden/>
              </w:rPr>
            </w:r>
            <w:r w:rsidR="00777EE0">
              <w:rPr>
                <w:noProof/>
                <w:webHidden/>
              </w:rPr>
              <w:fldChar w:fldCharType="separate"/>
            </w:r>
            <w:r w:rsidR="0026579C">
              <w:rPr>
                <w:noProof/>
                <w:webHidden/>
              </w:rPr>
              <w:t>179</w:t>
            </w:r>
            <w:r w:rsidR="00777EE0">
              <w:rPr>
                <w:noProof/>
                <w:webHidden/>
              </w:rPr>
              <w:fldChar w:fldCharType="end"/>
            </w:r>
          </w:hyperlink>
        </w:p>
        <w:p w14:paraId="3421B006" w14:textId="477A4F9C" w:rsidR="00777EE0" w:rsidRDefault="00251E9C">
          <w:pPr>
            <w:pStyle w:val="TOC3"/>
            <w:rPr>
              <w:rFonts w:asciiTheme="minorHAnsi" w:eastAsiaTheme="minorEastAsia" w:hAnsiTheme="minorHAnsi" w:cstheme="minorBidi"/>
              <w:noProof/>
              <w:sz w:val="22"/>
              <w:lang w:eastAsia="en-GB"/>
            </w:rPr>
          </w:pPr>
          <w:hyperlink w:anchor="_Toc35892622" w:history="1">
            <w:r w:rsidR="00777EE0" w:rsidRPr="00C53B84">
              <w:rPr>
                <w:rStyle w:val="Hyperlink"/>
                <w:noProof/>
              </w:rPr>
              <w:t>4.3.26</w:t>
            </w:r>
            <w:r w:rsidR="00777EE0">
              <w:rPr>
                <w:rFonts w:asciiTheme="minorHAnsi" w:eastAsiaTheme="minorEastAsia" w:hAnsiTheme="minorHAnsi" w:cstheme="minorBidi"/>
                <w:noProof/>
                <w:sz w:val="22"/>
                <w:lang w:eastAsia="en-GB"/>
              </w:rPr>
              <w:tab/>
            </w:r>
            <w:r w:rsidR="00777EE0" w:rsidRPr="00C53B84">
              <w:rPr>
                <w:rStyle w:val="Hyperlink"/>
                <w:noProof/>
              </w:rPr>
              <w:t>Legal reasons</w:t>
            </w:r>
            <w:r w:rsidR="00777EE0">
              <w:rPr>
                <w:noProof/>
                <w:webHidden/>
              </w:rPr>
              <w:tab/>
            </w:r>
            <w:r w:rsidR="00777EE0">
              <w:rPr>
                <w:noProof/>
                <w:webHidden/>
              </w:rPr>
              <w:fldChar w:fldCharType="begin"/>
            </w:r>
            <w:r w:rsidR="00777EE0">
              <w:rPr>
                <w:noProof/>
                <w:webHidden/>
              </w:rPr>
              <w:instrText xml:space="preserve"> PAGEREF _Toc35892622 \h </w:instrText>
            </w:r>
            <w:r w:rsidR="00777EE0">
              <w:rPr>
                <w:noProof/>
                <w:webHidden/>
              </w:rPr>
            </w:r>
            <w:r w:rsidR="00777EE0">
              <w:rPr>
                <w:noProof/>
                <w:webHidden/>
              </w:rPr>
              <w:fldChar w:fldCharType="separate"/>
            </w:r>
            <w:r w:rsidR="0026579C">
              <w:rPr>
                <w:noProof/>
                <w:webHidden/>
              </w:rPr>
              <w:t>179</w:t>
            </w:r>
            <w:r w:rsidR="00777EE0">
              <w:rPr>
                <w:noProof/>
                <w:webHidden/>
              </w:rPr>
              <w:fldChar w:fldCharType="end"/>
            </w:r>
          </w:hyperlink>
        </w:p>
        <w:p w14:paraId="0B6A98CB" w14:textId="36293647" w:rsidR="00777EE0" w:rsidRDefault="00251E9C">
          <w:pPr>
            <w:pStyle w:val="TOC3"/>
            <w:rPr>
              <w:rFonts w:asciiTheme="minorHAnsi" w:eastAsiaTheme="minorEastAsia" w:hAnsiTheme="minorHAnsi" w:cstheme="minorBidi"/>
              <w:noProof/>
              <w:sz w:val="22"/>
              <w:lang w:eastAsia="en-GB"/>
            </w:rPr>
          </w:pPr>
          <w:hyperlink w:anchor="_Toc35892623" w:history="1">
            <w:r w:rsidR="00777EE0" w:rsidRPr="00C53B84">
              <w:rPr>
                <w:rStyle w:val="Hyperlink"/>
                <w:noProof/>
              </w:rPr>
              <w:t>4.3.27</w:t>
            </w:r>
            <w:r w:rsidR="00777EE0">
              <w:rPr>
                <w:rFonts w:asciiTheme="minorHAnsi" w:eastAsiaTheme="minorEastAsia" w:hAnsiTheme="minorHAnsi" w:cstheme="minorBidi"/>
                <w:noProof/>
                <w:sz w:val="22"/>
                <w:lang w:eastAsia="en-GB"/>
              </w:rPr>
              <w:tab/>
            </w:r>
            <w:r w:rsidR="00777EE0" w:rsidRPr="00C53B84">
              <w:rPr>
                <w:rStyle w:val="Hyperlink"/>
                <w:noProof/>
              </w:rPr>
              <w:t>Discussion</w:t>
            </w:r>
            <w:r w:rsidR="00777EE0">
              <w:rPr>
                <w:noProof/>
                <w:webHidden/>
              </w:rPr>
              <w:tab/>
            </w:r>
            <w:r w:rsidR="00777EE0">
              <w:rPr>
                <w:noProof/>
                <w:webHidden/>
              </w:rPr>
              <w:fldChar w:fldCharType="begin"/>
            </w:r>
            <w:r w:rsidR="00777EE0">
              <w:rPr>
                <w:noProof/>
                <w:webHidden/>
              </w:rPr>
              <w:instrText xml:space="preserve"> PAGEREF _Toc35892623 \h </w:instrText>
            </w:r>
            <w:r w:rsidR="00777EE0">
              <w:rPr>
                <w:noProof/>
                <w:webHidden/>
              </w:rPr>
            </w:r>
            <w:r w:rsidR="00777EE0">
              <w:rPr>
                <w:noProof/>
                <w:webHidden/>
              </w:rPr>
              <w:fldChar w:fldCharType="separate"/>
            </w:r>
            <w:r w:rsidR="0026579C">
              <w:rPr>
                <w:noProof/>
                <w:webHidden/>
              </w:rPr>
              <w:t>179</w:t>
            </w:r>
            <w:r w:rsidR="00777EE0">
              <w:rPr>
                <w:noProof/>
                <w:webHidden/>
              </w:rPr>
              <w:fldChar w:fldCharType="end"/>
            </w:r>
          </w:hyperlink>
        </w:p>
        <w:p w14:paraId="13746995" w14:textId="2AE279A1" w:rsidR="00777EE0" w:rsidRDefault="00251E9C">
          <w:pPr>
            <w:pStyle w:val="TOC3"/>
            <w:rPr>
              <w:rFonts w:asciiTheme="minorHAnsi" w:eastAsiaTheme="minorEastAsia" w:hAnsiTheme="minorHAnsi" w:cstheme="minorBidi"/>
              <w:noProof/>
              <w:sz w:val="22"/>
              <w:lang w:eastAsia="en-GB"/>
            </w:rPr>
          </w:pPr>
          <w:hyperlink w:anchor="_Toc35892624" w:history="1">
            <w:r w:rsidR="00777EE0" w:rsidRPr="00C53B84">
              <w:rPr>
                <w:rStyle w:val="Hyperlink"/>
                <w:noProof/>
              </w:rPr>
              <w:t>4.3.28</w:t>
            </w:r>
            <w:r w:rsidR="00777EE0">
              <w:rPr>
                <w:rFonts w:asciiTheme="minorHAnsi" w:eastAsiaTheme="minorEastAsia" w:hAnsiTheme="minorHAnsi" w:cstheme="minorBidi"/>
                <w:noProof/>
                <w:sz w:val="22"/>
                <w:lang w:eastAsia="en-GB"/>
              </w:rPr>
              <w:tab/>
            </w:r>
            <w:r w:rsidR="00777EE0" w:rsidRPr="00C53B84">
              <w:rPr>
                <w:rStyle w:val="Hyperlink"/>
                <w:noProof/>
              </w:rPr>
              <w:t>Principal findings</w:t>
            </w:r>
            <w:r w:rsidR="00777EE0">
              <w:rPr>
                <w:noProof/>
                <w:webHidden/>
              </w:rPr>
              <w:tab/>
            </w:r>
            <w:r w:rsidR="00777EE0">
              <w:rPr>
                <w:noProof/>
                <w:webHidden/>
              </w:rPr>
              <w:fldChar w:fldCharType="begin"/>
            </w:r>
            <w:r w:rsidR="00777EE0">
              <w:rPr>
                <w:noProof/>
                <w:webHidden/>
              </w:rPr>
              <w:instrText xml:space="preserve"> PAGEREF _Toc35892624 \h </w:instrText>
            </w:r>
            <w:r w:rsidR="00777EE0">
              <w:rPr>
                <w:noProof/>
                <w:webHidden/>
              </w:rPr>
            </w:r>
            <w:r w:rsidR="00777EE0">
              <w:rPr>
                <w:noProof/>
                <w:webHidden/>
              </w:rPr>
              <w:fldChar w:fldCharType="separate"/>
            </w:r>
            <w:r w:rsidR="0026579C">
              <w:rPr>
                <w:noProof/>
                <w:webHidden/>
              </w:rPr>
              <w:t>180</w:t>
            </w:r>
            <w:r w:rsidR="00777EE0">
              <w:rPr>
                <w:noProof/>
                <w:webHidden/>
              </w:rPr>
              <w:fldChar w:fldCharType="end"/>
            </w:r>
          </w:hyperlink>
        </w:p>
        <w:p w14:paraId="740337B1" w14:textId="1AF27961" w:rsidR="00777EE0" w:rsidRDefault="00251E9C">
          <w:pPr>
            <w:pStyle w:val="TOC3"/>
            <w:rPr>
              <w:rFonts w:asciiTheme="minorHAnsi" w:eastAsiaTheme="minorEastAsia" w:hAnsiTheme="minorHAnsi" w:cstheme="minorBidi"/>
              <w:noProof/>
              <w:sz w:val="22"/>
              <w:lang w:eastAsia="en-GB"/>
            </w:rPr>
          </w:pPr>
          <w:hyperlink w:anchor="_Toc35892625" w:history="1">
            <w:r w:rsidR="00777EE0" w:rsidRPr="00C53B84">
              <w:rPr>
                <w:rStyle w:val="Hyperlink"/>
                <w:noProof/>
              </w:rPr>
              <w:t>4.3.29</w:t>
            </w:r>
            <w:r w:rsidR="00777EE0">
              <w:rPr>
                <w:rFonts w:asciiTheme="minorHAnsi" w:eastAsiaTheme="minorEastAsia" w:hAnsiTheme="minorHAnsi" w:cstheme="minorBidi"/>
                <w:noProof/>
                <w:sz w:val="22"/>
                <w:lang w:eastAsia="en-GB"/>
              </w:rPr>
              <w:tab/>
            </w:r>
            <w:r w:rsidR="00777EE0" w:rsidRPr="00C53B84">
              <w:rPr>
                <w:rStyle w:val="Hyperlink"/>
                <w:noProof/>
              </w:rPr>
              <w:t>Implications for intervention development</w:t>
            </w:r>
            <w:r w:rsidR="00777EE0">
              <w:rPr>
                <w:noProof/>
                <w:webHidden/>
              </w:rPr>
              <w:tab/>
            </w:r>
            <w:r w:rsidR="00777EE0">
              <w:rPr>
                <w:noProof/>
                <w:webHidden/>
              </w:rPr>
              <w:fldChar w:fldCharType="begin"/>
            </w:r>
            <w:r w:rsidR="00777EE0">
              <w:rPr>
                <w:noProof/>
                <w:webHidden/>
              </w:rPr>
              <w:instrText xml:space="preserve"> PAGEREF _Toc35892625 \h </w:instrText>
            </w:r>
            <w:r w:rsidR="00777EE0">
              <w:rPr>
                <w:noProof/>
                <w:webHidden/>
              </w:rPr>
            </w:r>
            <w:r w:rsidR="00777EE0">
              <w:rPr>
                <w:noProof/>
                <w:webHidden/>
              </w:rPr>
              <w:fldChar w:fldCharType="separate"/>
            </w:r>
            <w:r w:rsidR="0026579C">
              <w:rPr>
                <w:noProof/>
                <w:webHidden/>
              </w:rPr>
              <w:t>181</w:t>
            </w:r>
            <w:r w:rsidR="00777EE0">
              <w:rPr>
                <w:noProof/>
                <w:webHidden/>
              </w:rPr>
              <w:fldChar w:fldCharType="end"/>
            </w:r>
          </w:hyperlink>
        </w:p>
        <w:p w14:paraId="3A7C74D7" w14:textId="7473EB14" w:rsidR="00777EE0" w:rsidRDefault="00251E9C">
          <w:pPr>
            <w:pStyle w:val="TOC3"/>
            <w:rPr>
              <w:rFonts w:asciiTheme="minorHAnsi" w:eastAsiaTheme="minorEastAsia" w:hAnsiTheme="minorHAnsi" w:cstheme="minorBidi"/>
              <w:noProof/>
              <w:sz w:val="22"/>
              <w:lang w:eastAsia="en-GB"/>
            </w:rPr>
          </w:pPr>
          <w:hyperlink w:anchor="_Toc35892626" w:history="1">
            <w:r w:rsidR="00777EE0" w:rsidRPr="00C53B84">
              <w:rPr>
                <w:rStyle w:val="Hyperlink"/>
                <w:noProof/>
              </w:rPr>
              <w:t>4.3.30</w:t>
            </w:r>
            <w:r w:rsidR="00777EE0">
              <w:rPr>
                <w:rFonts w:asciiTheme="minorHAnsi" w:eastAsiaTheme="minorEastAsia" w:hAnsiTheme="minorHAnsi" w:cstheme="minorBidi"/>
                <w:noProof/>
                <w:sz w:val="22"/>
                <w:lang w:eastAsia="en-GB"/>
              </w:rPr>
              <w:tab/>
            </w:r>
            <w:r w:rsidR="00777EE0" w:rsidRPr="00C53B84">
              <w:rPr>
                <w:rStyle w:val="Hyperlink"/>
                <w:noProof/>
              </w:rPr>
              <w:t>Strengths and limitations of the review</w:t>
            </w:r>
            <w:r w:rsidR="00777EE0">
              <w:rPr>
                <w:noProof/>
                <w:webHidden/>
              </w:rPr>
              <w:tab/>
            </w:r>
            <w:r w:rsidR="00777EE0">
              <w:rPr>
                <w:noProof/>
                <w:webHidden/>
              </w:rPr>
              <w:fldChar w:fldCharType="begin"/>
            </w:r>
            <w:r w:rsidR="00777EE0">
              <w:rPr>
                <w:noProof/>
                <w:webHidden/>
              </w:rPr>
              <w:instrText xml:space="preserve"> PAGEREF _Toc35892626 \h </w:instrText>
            </w:r>
            <w:r w:rsidR="00777EE0">
              <w:rPr>
                <w:noProof/>
                <w:webHidden/>
              </w:rPr>
            </w:r>
            <w:r w:rsidR="00777EE0">
              <w:rPr>
                <w:noProof/>
                <w:webHidden/>
              </w:rPr>
              <w:fldChar w:fldCharType="separate"/>
            </w:r>
            <w:r w:rsidR="0026579C">
              <w:rPr>
                <w:noProof/>
                <w:webHidden/>
              </w:rPr>
              <w:t>190</w:t>
            </w:r>
            <w:r w:rsidR="00777EE0">
              <w:rPr>
                <w:noProof/>
                <w:webHidden/>
              </w:rPr>
              <w:fldChar w:fldCharType="end"/>
            </w:r>
          </w:hyperlink>
        </w:p>
        <w:p w14:paraId="539B398A" w14:textId="248ADE8A" w:rsidR="00777EE0" w:rsidRDefault="00251E9C">
          <w:pPr>
            <w:pStyle w:val="TOC3"/>
            <w:rPr>
              <w:rFonts w:asciiTheme="minorHAnsi" w:eastAsiaTheme="minorEastAsia" w:hAnsiTheme="minorHAnsi" w:cstheme="minorBidi"/>
              <w:noProof/>
              <w:sz w:val="22"/>
              <w:lang w:eastAsia="en-GB"/>
            </w:rPr>
          </w:pPr>
          <w:hyperlink w:anchor="_Toc35892627" w:history="1">
            <w:r w:rsidR="00777EE0" w:rsidRPr="00C53B84">
              <w:rPr>
                <w:rStyle w:val="Hyperlink"/>
                <w:noProof/>
              </w:rPr>
              <w:t>4.3.31</w:t>
            </w:r>
            <w:r w:rsidR="00777EE0">
              <w:rPr>
                <w:rFonts w:asciiTheme="minorHAnsi" w:eastAsiaTheme="minorEastAsia" w:hAnsiTheme="minorHAnsi" w:cstheme="minorBidi"/>
                <w:noProof/>
                <w:sz w:val="22"/>
                <w:lang w:eastAsia="en-GB"/>
              </w:rPr>
              <w:tab/>
            </w:r>
            <w:r w:rsidR="00777EE0" w:rsidRPr="00C53B84">
              <w:rPr>
                <w:rStyle w:val="Hyperlink"/>
                <w:noProof/>
              </w:rPr>
              <w:t>Conclusions</w:t>
            </w:r>
            <w:r w:rsidR="00777EE0">
              <w:rPr>
                <w:noProof/>
                <w:webHidden/>
              </w:rPr>
              <w:tab/>
            </w:r>
            <w:r w:rsidR="00777EE0">
              <w:rPr>
                <w:noProof/>
                <w:webHidden/>
              </w:rPr>
              <w:fldChar w:fldCharType="begin"/>
            </w:r>
            <w:r w:rsidR="00777EE0">
              <w:rPr>
                <w:noProof/>
                <w:webHidden/>
              </w:rPr>
              <w:instrText xml:space="preserve"> PAGEREF _Toc35892627 \h </w:instrText>
            </w:r>
            <w:r w:rsidR="00777EE0">
              <w:rPr>
                <w:noProof/>
                <w:webHidden/>
              </w:rPr>
            </w:r>
            <w:r w:rsidR="00777EE0">
              <w:rPr>
                <w:noProof/>
                <w:webHidden/>
              </w:rPr>
              <w:fldChar w:fldCharType="separate"/>
            </w:r>
            <w:r w:rsidR="0026579C">
              <w:rPr>
                <w:noProof/>
                <w:webHidden/>
              </w:rPr>
              <w:t>191</w:t>
            </w:r>
            <w:r w:rsidR="00777EE0">
              <w:rPr>
                <w:noProof/>
                <w:webHidden/>
              </w:rPr>
              <w:fldChar w:fldCharType="end"/>
            </w:r>
          </w:hyperlink>
        </w:p>
        <w:p w14:paraId="04FB5062" w14:textId="43E09A1C"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628" w:history="1">
            <w:r w:rsidR="00777EE0" w:rsidRPr="00C53B84">
              <w:rPr>
                <w:rStyle w:val="Hyperlink"/>
                <w:noProof/>
                <w14:scene3d>
                  <w14:camera w14:prst="orthographicFront"/>
                  <w14:lightRig w14:rig="threePt" w14:dir="t">
                    <w14:rot w14:lat="0" w14:lon="0" w14:rev="0"/>
                  </w14:lightRig>
                </w14:scene3d>
              </w:rPr>
              <w:t>Chapter 5</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Overview of research design</w:t>
            </w:r>
            <w:r w:rsidR="00777EE0">
              <w:rPr>
                <w:noProof/>
                <w:webHidden/>
              </w:rPr>
              <w:tab/>
            </w:r>
            <w:r w:rsidR="00777EE0">
              <w:rPr>
                <w:noProof/>
                <w:webHidden/>
              </w:rPr>
              <w:fldChar w:fldCharType="begin"/>
            </w:r>
            <w:r w:rsidR="00777EE0">
              <w:rPr>
                <w:noProof/>
                <w:webHidden/>
              </w:rPr>
              <w:instrText xml:space="preserve"> PAGEREF _Toc35892628 \h </w:instrText>
            </w:r>
            <w:r w:rsidR="00777EE0">
              <w:rPr>
                <w:noProof/>
                <w:webHidden/>
              </w:rPr>
            </w:r>
            <w:r w:rsidR="00777EE0">
              <w:rPr>
                <w:noProof/>
                <w:webHidden/>
              </w:rPr>
              <w:fldChar w:fldCharType="separate"/>
            </w:r>
            <w:r w:rsidR="0026579C">
              <w:rPr>
                <w:noProof/>
                <w:webHidden/>
              </w:rPr>
              <w:t>193</w:t>
            </w:r>
            <w:r w:rsidR="00777EE0">
              <w:rPr>
                <w:noProof/>
                <w:webHidden/>
              </w:rPr>
              <w:fldChar w:fldCharType="end"/>
            </w:r>
          </w:hyperlink>
        </w:p>
        <w:p w14:paraId="38476CA2" w14:textId="7CD1F695"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29" w:history="1">
            <w:r w:rsidR="00777EE0" w:rsidRPr="00C53B84">
              <w:rPr>
                <w:rStyle w:val="Hyperlink"/>
                <w:noProof/>
              </w:rPr>
              <w:t>5.1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_Toc35892629 \h </w:instrText>
            </w:r>
            <w:r w:rsidR="00777EE0">
              <w:rPr>
                <w:noProof/>
                <w:webHidden/>
              </w:rPr>
            </w:r>
            <w:r w:rsidR="00777EE0">
              <w:rPr>
                <w:noProof/>
                <w:webHidden/>
              </w:rPr>
              <w:fldChar w:fldCharType="separate"/>
            </w:r>
            <w:r w:rsidR="0026579C">
              <w:rPr>
                <w:noProof/>
                <w:webHidden/>
              </w:rPr>
              <w:t>193</w:t>
            </w:r>
            <w:r w:rsidR="00777EE0">
              <w:rPr>
                <w:noProof/>
                <w:webHidden/>
              </w:rPr>
              <w:fldChar w:fldCharType="end"/>
            </w:r>
          </w:hyperlink>
        </w:p>
        <w:p w14:paraId="271F6310" w14:textId="4432695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30" w:history="1">
            <w:r w:rsidR="00777EE0" w:rsidRPr="00C53B84">
              <w:rPr>
                <w:rStyle w:val="Hyperlink"/>
                <w:noProof/>
              </w:rPr>
              <w:t>5.2</w:t>
            </w:r>
            <w:r w:rsidR="00777EE0">
              <w:rPr>
                <w:rFonts w:asciiTheme="minorHAnsi" w:eastAsiaTheme="minorEastAsia" w:hAnsiTheme="minorHAnsi" w:cstheme="minorBidi"/>
                <w:noProof/>
                <w:sz w:val="22"/>
                <w:lang w:eastAsia="en-GB"/>
              </w:rPr>
              <w:tab/>
            </w:r>
            <w:r w:rsidR="00777EE0" w:rsidRPr="00C53B84">
              <w:rPr>
                <w:rStyle w:val="Hyperlink"/>
                <w:noProof/>
              </w:rPr>
              <w:t>Research questions</w:t>
            </w:r>
            <w:r w:rsidR="00777EE0">
              <w:rPr>
                <w:noProof/>
                <w:webHidden/>
              </w:rPr>
              <w:tab/>
            </w:r>
            <w:r w:rsidR="00777EE0">
              <w:rPr>
                <w:noProof/>
                <w:webHidden/>
              </w:rPr>
              <w:fldChar w:fldCharType="begin"/>
            </w:r>
            <w:r w:rsidR="00777EE0">
              <w:rPr>
                <w:noProof/>
                <w:webHidden/>
              </w:rPr>
              <w:instrText xml:space="preserve"> PAGEREF _Toc35892630 \h </w:instrText>
            </w:r>
            <w:r w:rsidR="00777EE0">
              <w:rPr>
                <w:noProof/>
                <w:webHidden/>
              </w:rPr>
            </w:r>
            <w:r w:rsidR="00777EE0">
              <w:rPr>
                <w:noProof/>
                <w:webHidden/>
              </w:rPr>
              <w:fldChar w:fldCharType="separate"/>
            </w:r>
            <w:r w:rsidR="0026579C">
              <w:rPr>
                <w:noProof/>
                <w:webHidden/>
              </w:rPr>
              <w:t>194</w:t>
            </w:r>
            <w:r w:rsidR="00777EE0">
              <w:rPr>
                <w:noProof/>
                <w:webHidden/>
              </w:rPr>
              <w:fldChar w:fldCharType="end"/>
            </w:r>
          </w:hyperlink>
        </w:p>
        <w:p w14:paraId="7A2818FA" w14:textId="0AA68115"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31" w:history="1">
            <w:r w:rsidR="00777EE0" w:rsidRPr="00C53B84">
              <w:rPr>
                <w:rStyle w:val="Hyperlink"/>
                <w:noProof/>
              </w:rPr>
              <w:t>5.3</w:t>
            </w:r>
            <w:r w:rsidR="00777EE0">
              <w:rPr>
                <w:rFonts w:asciiTheme="minorHAnsi" w:eastAsiaTheme="minorEastAsia" w:hAnsiTheme="minorHAnsi" w:cstheme="minorBidi"/>
                <w:noProof/>
                <w:sz w:val="22"/>
                <w:lang w:eastAsia="en-GB"/>
              </w:rPr>
              <w:tab/>
            </w:r>
            <w:r w:rsidR="00777EE0" w:rsidRPr="00C53B84">
              <w:rPr>
                <w:rStyle w:val="Hyperlink"/>
                <w:noProof/>
              </w:rPr>
              <w:t>Definitions</w:t>
            </w:r>
            <w:r w:rsidR="00777EE0">
              <w:rPr>
                <w:noProof/>
                <w:webHidden/>
              </w:rPr>
              <w:tab/>
            </w:r>
            <w:r w:rsidR="00777EE0">
              <w:rPr>
                <w:noProof/>
                <w:webHidden/>
              </w:rPr>
              <w:fldChar w:fldCharType="begin"/>
            </w:r>
            <w:r w:rsidR="00777EE0">
              <w:rPr>
                <w:noProof/>
                <w:webHidden/>
              </w:rPr>
              <w:instrText xml:space="preserve"> PAGEREF _Toc35892631 \h </w:instrText>
            </w:r>
            <w:r w:rsidR="00777EE0">
              <w:rPr>
                <w:noProof/>
                <w:webHidden/>
              </w:rPr>
            </w:r>
            <w:r w:rsidR="00777EE0">
              <w:rPr>
                <w:noProof/>
                <w:webHidden/>
              </w:rPr>
              <w:fldChar w:fldCharType="separate"/>
            </w:r>
            <w:r w:rsidR="0026579C">
              <w:rPr>
                <w:noProof/>
                <w:webHidden/>
              </w:rPr>
              <w:t>195</w:t>
            </w:r>
            <w:r w:rsidR="00777EE0">
              <w:rPr>
                <w:noProof/>
                <w:webHidden/>
              </w:rPr>
              <w:fldChar w:fldCharType="end"/>
            </w:r>
          </w:hyperlink>
        </w:p>
        <w:p w14:paraId="6F53298D" w14:textId="51EA2806" w:rsidR="00777EE0" w:rsidRDefault="00251E9C">
          <w:pPr>
            <w:pStyle w:val="TOC3"/>
            <w:rPr>
              <w:rFonts w:asciiTheme="minorHAnsi" w:eastAsiaTheme="minorEastAsia" w:hAnsiTheme="minorHAnsi" w:cstheme="minorBidi"/>
              <w:noProof/>
              <w:sz w:val="22"/>
              <w:lang w:eastAsia="en-GB"/>
            </w:rPr>
          </w:pPr>
          <w:hyperlink w:anchor="_Toc35892632" w:history="1">
            <w:r w:rsidR="00777EE0" w:rsidRPr="00C53B84">
              <w:rPr>
                <w:rStyle w:val="Hyperlink"/>
                <w:noProof/>
              </w:rPr>
              <w:t>5.3.1</w:t>
            </w:r>
            <w:r w:rsidR="00777EE0">
              <w:rPr>
                <w:rFonts w:asciiTheme="minorHAnsi" w:eastAsiaTheme="minorEastAsia" w:hAnsiTheme="minorHAnsi" w:cstheme="minorBidi"/>
                <w:noProof/>
                <w:sz w:val="22"/>
                <w:lang w:eastAsia="en-GB"/>
              </w:rPr>
              <w:tab/>
            </w:r>
            <w:r w:rsidR="00777EE0" w:rsidRPr="00C53B84">
              <w:rPr>
                <w:rStyle w:val="Hyperlink"/>
                <w:noProof/>
              </w:rPr>
              <w:t>Reason</w:t>
            </w:r>
            <w:r w:rsidR="00777EE0">
              <w:rPr>
                <w:noProof/>
                <w:webHidden/>
              </w:rPr>
              <w:tab/>
            </w:r>
            <w:r w:rsidR="00777EE0">
              <w:rPr>
                <w:noProof/>
                <w:webHidden/>
              </w:rPr>
              <w:fldChar w:fldCharType="begin"/>
            </w:r>
            <w:r w:rsidR="00777EE0">
              <w:rPr>
                <w:noProof/>
                <w:webHidden/>
              </w:rPr>
              <w:instrText xml:space="preserve"> PAGEREF _Toc35892632 \h </w:instrText>
            </w:r>
            <w:r w:rsidR="00777EE0">
              <w:rPr>
                <w:noProof/>
                <w:webHidden/>
              </w:rPr>
            </w:r>
            <w:r w:rsidR="00777EE0">
              <w:rPr>
                <w:noProof/>
                <w:webHidden/>
              </w:rPr>
              <w:fldChar w:fldCharType="separate"/>
            </w:r>
            <w:r w:rsidR="0026579C">
              <w:rPr>
                <w:noProof/>
                <w:webHidden/>
              </w:rPr>
              <w:t>195</w:t>
            </w:r>
            <w:r w:rsidR="00777EE0">
              <w:rPr>
                <w:noProof/>
                <w:webHidden/>
              </w:rPr>
              <w:fldChar w:fldCharType="end"/>
            </w:r>
          </w:hyperlink>
        </w:p>
        <w:p w14:paraId="646DF471" w14:textId="04467E77" w:rsidR="00777EE0" w:rsidRDefault="00251E9C">
          <w:pPr>
            <w:pStyle w:val="TOC3"/>
            <w:rPr>
              <w:rFonts w:asciiTheme="minorHAnsi" w:eastAsiaTheme="minorEastAsia" w:hAnsiTheme="minorHAnsi" w:cstheme="minorBidi"/>
              <w:noProof/>
              <w:sz w:val="22"/>
              <w:lang w:eastAsia="en-GB"/>
            </w:rPr>
          </w:pPr>
          <w:hyperlink w:anchor="_Toc35892633" w:history="1">
            <w:r w:rsidR="00777EE0" w:rsidRPr="00C53B84">
              <w:rPr>
                <w:rStyle w:val="Hyperlink"/>
                <w:noProof/>
              </w:rPr>
              <w:t>5.3.2</w:t>
            </w:r>
            <w:r w:rsidR="00777EE0">
              <w:rPr>
                <w:rFonts w:asciiTheme="minorHAnsi" w:eastAsiaTheme="minorEastAsia" w:hAnsiTheme="minorHAnsi" w:cstheme="minorBidi"/>
                <w:noProof/>
                <w:sz w:val="22"/>
                <w:lang w:eastAsia="en-GB"/>
              </w:rPr>
              <w:tab/>
            </w:r>
            <w:r w:rsidR="00777EE0" w:rsidRPr="00C53B84">
              <w:rPr>
                <w:rStyle w:val="Hyperlink"/>
                <w:noProof/>
              </w:rPr>
              <w:t>Outcome expectancy / behavioural belief</w:t>
            </w:r>
            <w:r w:rsidR="00777EE0">
              <w:rPr>
                <w:noProof/>
                <w:webHidden/>
              </w:rPr>
              <w:tab/>
            </w:r>
            <w:r w:rsidR="00777EE0">
              <w:rPr>
                <w:noProof/>
                <w:webHidden/>
              </w:rPr>
              <w:fldChar w:fldCharType="begin"/>
            </w:r>
            <w:r w:rsidR="00777EE0">
              <w:rPr>
                <w:noProof/>
                <w:webHidden/>
              </w:rPr>
              <w:instrText xml:space="preserve"> PAGEREF _Toc35892633 \h </w:instrText>
            </w:r>
            <w:r w:rsidR="00777EE0">
              <w:rPr>
                <w:noProof/>
                <w:webHidden/>
              </w:rPr>
            </w:r>
            <w:r w:rsidR="00777EE0">
              <w:rPr>
                <w:noProof/>
                <w:webHidden/>
              </w:rPr>
              <w:fldChar w:fldCharType="separate"/>
            </w:r>
            <w:r w:rsidR="0026579C">
              <w:rPr>
                <w:noProof/>
                <w:webHidden/>
              </w:rPr>
              <w:t>195</w:t>
            </w:r>
            <w:r w:rsidR="00777EE0">
              <w:rPr>
                <w:noProof/>
                <w:webHidden/>
              </w:rPr>
              <w:fldChar w:fldCharType="end"/>
            </w:r>
          </w:hyperlink>
        </w:p>
        <w:p w14:paraId="69477461" w14:textId="63250613" w:rsidR="00777EE0" w:rsidRDefault="00251E9C">
          <w:pPr>
            <w:pStyle w:val="TOC3"/>
            <w:rPr>
              <w:rFonts w:asciiTheme="minorHAnsi" w:eastAsiaTheme="minorEastAsia" w:hAnsiTheme="minorHAnsi" w:cstheme="minorBidi"/>
              <w:noProof/>
              <w:sz w:val="22"/>
              <w:lang w:eastAsia="en-GB"/>
            </w:rPr>
          </w:pPr>
          <w:hyperlink w:anchor="_Toc35892634" w:history="1">
            <w:r w:rsidR="00777EE0" w:rsidRPr="00C53B84">
              <w:rPr>
                <w:rStyle w:val="Hyperlink"/>
                <w:noProof/>
              </w:rPr>
              <w:t>5.3.3</w:t>
            </w:r>
            <w:r w:rsidR="00777EE0">
              <w:rPr>
                <w:rFonts w:asciiTheme="minorHAnsi" w:eastAsiaTheme="minorEastAsia" w:hAnsiTheme="minorHAnsi" w:cstheme="minorBidi"/>
                <w:noProof/>
                <w:sz w:val="22"/>
                <w:lang w:eastAsia="en-GB"/>
              </w:rPr>
              <w:tab/>
            </w:r>
            <w:r w:rsidR="00777EE0" w:rsidRPr="00C53B84">
              <w:rPr>
                <w:rStyle w:val="Hyperlink"/>
                <w:noProof/>
              </w:rPr>
              <w:t>Motivation</w:t>
            </w:r>
            <w:r w:rsidR="00777EE0">
              <w:rPr>
                <w:noProof/>
                <w:webHidden/>
              </w:rPr>
              <w:tab/>
            </w:r>
            <w:r w:rsidR="00777EE0">
              <w:rPr>
                <w:noProof/>
                <w:webHidden/>
              </w:rPr>
              <w:fldChar w:fldCharType="begin"/>
            </w:r>
            <w:r w:rsidR="00777EE0">
              <w:rPr>
                <w:noProof/>
                <w:webHidden/>
              </w:rPr>
              <w:instrText xml:space="preserve"> PAGEREF _Toc35892634 \h </w:instrText>
            </w:r>
            <w:r w:rsidR="00777EE0">
              <w:rPr>
                <w:noProof/>
                <w:webHidden/>
              </w:rPr>
            </w:r>
            <w:r w:rsidR="00777EE0">
              <w:rPr>
                <w:noProof/>
                <w:webHidden/>
              </w:rPr>
              <w:fldChar w:fldCharType="separate"/>
            </w:r>
            <w:r w:rsidR="0026579C">
              <w:rPr>
                <w:noProof/>
                <w:webHidden/>
              </w:rPr>
              <w:t>195</w:t>
            </w:r>
            <w:r w:rsidR="00777EE0">
              <w:rPr>
                <w:noProof/>
                <w:webHidden/>
              </w:rPr>
              <w:fldChar w:fldCharType="end"/>
            </w:r>
          </w:hyperlink>
        </w:p>
        <w:p w14:paraId="7548AB90" w14:textId="6E5AED14" w:rsidR="00777EE0" w:rsidRDefault="00251E9C">
          <w:pPr>
            <w:pStyle w:val="TOC3"/>
            <w:rPr>
              <w:rFonts w:asciiTheme="minorHAnsi" w:eastAsiaTheme="minorEastAsia" w:hAnsiTheme="minorHAnsi" w:cstheme="minorBidi"/>
              <w:noProof/>
              <w:sz w:val="22"/>
              <w:lang w:eastAsia="en-GB"/>
            </w:rPr>
          </w:pPr>
          <w:hyperlink w:anchor="_Toc35892635" w:history="1">
            <w:r w:rsidR="00777EE0" w:rsidRPr="00C53B84">
              <w:rPr>
                <w:rStyle w:val="Hyperlink"/>
                <w:noProof/>
              </w:rPr>
              <w:t>5.3.4</w:t>
            </w:r>
            <w:r w:rsidR="00777EE0">
              <w:rPr>
                <w:rFonts w:asciiTheme="minorHAnsi" w:eastAsiaTheme="minorEastAsia" w:hAnsiTheme="minorHAnsi" w:cstheme="minorBidi"/>
                <w:noProof/>
                <w:sz w:val="22"/>
                <w:lang w:eastAsia="en-GB"/>
              </w:rPr>
              <w:tab/>
            </w:r>
            <w:r w:rsidR="00777EE0" w:rsidRPr="00C53B84">
              <w:rPr>
                <w:rStyle w:val="Hyperlink"/>
                <w:noProof/>
              </w:rPr>
              <w:t>Behavioural intention</w:t>
            </w:r>
            <w:r w:rsidR="00777EE0">
              <w:rPr>
                <w:noProof/>
                <w:webHidden/>
              </w:rPr>
              <w:tab/>
            </w:r>
            <w:r w:rsidR="00777EE0">
              <w:rPr>
                <w:noProof/>
                <w:webHidden/>
              </w:rPr>
              <w:fldChar w:fldCharType="begin"/>
            </w:r>
            <w:r w:rsidR="00777EE0">
              <w:rPr>
                <w:noProof/>
                <w:webHidden/>
              </w:rPr>
              <w:instrText xml:space="preserve"> PAGEREF _Toc35892635 \h </w:instrText>
            </w:r>
            <w:r w:rsidR="00777EE0">
              <w:rPr>
                <w:noProof/>
                <w:webHidden/>
              </w:rPr>
            </w:r>
            <w:r w:rsidR="00777EE0">
              <w:rPr>
                <w:noProof/>
                <w:webHidden/>
              </w:rPr>
              <w:fldChar w:fldCharType="separate"/>
            </w:r>
            <w:r w:rsidR="0026579C">
              <w:rPr>
                <w:noProof/>
                <w:webHidden/>
              </w:rPr>
              <w:t>195</w:t>
            </w:r>
            <w:r w:rsidR="00777EE0">
              <w:rPr>
                <w:noProof/>
                <w:webHidden/>
              </w:rPr>
              <w:fldChar w:fldCharType="end"/>
            </w:r>
          </w:hyperlink>
        </w:p>
        <w:p w14:paraId="7FEABCF4" w14:textId="65A1CDE4"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36" w:history="1">
            <w:r w:rsidR="00777EE0" w:rsidRPr="00C53B84">
              <w:rPr>
                <w:rStyle w:val="Hyperlink"/>
                <w:noProof/>
              </w:rPr>
              <w:t>5.4</w:t>
            </w:r>
            <w:r w:rsidR="00777EE0">
              <w:rPr>
                <w:rFonts w:asciiTheme="minorHAnsi" w:eastAsiaTheme="minorEastAsia" w:hAnsiTheme="minorHAnsi" w:cstheme="minorBidi"/>
                <w:noProof/>
                <w:sz w:val="22"/>
                <w:lang w:eastAsia="en-GB"/>
              </w:rPr>
              <w:tab/>
            </w:r>
            <w:r w:rsidR="00777EE0" w:rsidRPr="00C53B84">
              <w:rPr>
                <w:rStyle w:val="Hyperlink"/>
                <w:noProof/>
              </w:rPr>
              <w:t>Study design</w:t>
            </w:r>
            <w:r w:rsidR="00777EE0">
              <w:rPr>
                <w:noProof/>
                <w:webHidden/>
              </w:rPr>
              <w:tab/>
            </w:r>
            <w:r w:rsidR="00777EE0">
              <w:rPr>
                <w:noProof/>
                <w:webHidden/>
              </w:rPr>
              <w:fldChar w:fldCharType="begin"/>
            </w:r>
            <w:r w:rsidR="00777EE0">
              <w:rPr>
                <w:noProof/>
                <w:webHidden/>
              </w:rPr>
              <w:instrText xml:space="preserve"> PAGEREF _Toc35892636 \h </w:instrText>
            </w:r>
            <w:r w:rsidR="00777EE0">
              <w:rPr>
                <w:noProof/>
                <w:webHidden/>
              </w:rPr>
            </w:r>
            <w:r w:rsidR="00777EE0">
              <w:rPr>
                <w:noProof/>
                <w:webHidden/>
              </w:rPr>
              <w:fldChar w:fldCharType="separate"/>
            </w:r>
            <w:r w:rsidR="0026579C">
              <w:rPr>
                <w:noProof/>
                <w:webHidden/>
              </w:rPr>
              <w:t>196</w:t>
            </w:r>
            <w:r w:rsidR="00777EE0">
              <w:rPr>
                <w:noProof/>
                <w:webHidden/>
              </w:rPr>
              <w:fldChar w:fldCharType="end"/>
            </w:r>
          </w:hyperlink>
        </w:p>
        <w:p w14:paraId="6B5FD067" w14:textId="2ED03A43" w:rsidR="00777EE0" w:rsidRDefault="00251E9C">
          <w:pPr>
            <w:pStyle w:val="TOC3"/>
            <w:rPr>
              <w:rFonts w:asciiTheme="minorHAnsi" w:eastAsiaTheme="minorEastAsia" w:hAnsiTheme="minorHAnsi" w:cstheme="minorBidi"/>
              <w:noProof/>
              <w:sz w:val="22"/>
              <w:lang w:eastAsia="en-GB"/>
            </w:rPr>
          </w:pPr>
          <w:hyperlink w:anchor="_Toc35892637" w:history="1">
            <w:r w:rsidR="00777EE0" w:rsidRPr="00C53B84">
              <w:rPr>
                <w:rStyle w:val="Hyperlink"/>
                <w:noProof/>
              </w:rPr>
              <w:t>5.4.1</w:t>
            </w:r>
            <w:r w:rsidR="00777EE0">
              <w:rPr>
                <w:rFonts w:asciiTheme="minorHAnsi" w:eastAsiaTheme="minorEastAsia" w:hAnsiTheme="minorHAnsi" w:cstheme="minorBidi"/>
                <w:noProof/>
                <w:sz w:val="22"/>
                <w:lang w:eastAsia="en-GB"/>
              </w:rPr>
              <w:tab/>
            </w:r>
            <w:r w:rsidR="00777EE0" w:rsidRPr="00C53B84">
              <w:rPr>
                <w:rStyle w:val="Hyperlink"/>
                <w:noProof/>
              </w:rPr>
              <w:t>Study 1 (Chapter 6)</w:t>
            </w:r>
            <w:r w:rsidR="00777EE0">
              <w:rPr>
                <w:noProof/>
                <w:webHidden/>
              </w:rPr>
              <w:tab/>
            </w:r>
            <w:r w:rsidR="00777EE0">
              <w:rPr>
                <w:noProof/>
                <w:webHidden/>
              </w:rPr>
              <w:fldChar w:fldCharType="begin"/>
            </w:r>
            <w:r w:rsidR="00777EE0">
              <w:rPr>
                <w:noProof/>
                <w:webHidden/>
              </w:rPr>
              <w:instrText xml:space="preserve"> PAGEREF _Toc35892637 \h </w:instrText>
            </w:r>
            <w:r w:rsidR="00777EE0">
              <w:rPr>
                <w:noProof/>
                <w:webHidden/>
              </w:rPr>
            </w:r>
            <w:r w:rsidR="00777EE0">
              <w:rPr>
                <w:noProof/>
                <w:webHidden/>
              </w:rPr>
              <w:fldChar w:fldCharType="separate"/>
            </w:r>
            <w:r w:rsidR="0026579C">
              <w:rPr>
                <w:noProof/>
                <w:webHidden/>
              </w:rPr>
              <w:t>197</w:t>
            </w:r>
            <w:r w:rsidR="00777EE0">
              <w:rPr>
                <w:noProof/>
                <w:webHidden/>
              </w:rPr>
              <w:fldChar w:fldCharType="end"/>
            </w:r>
          </w:hyperlink>
        </w:p>
        <w:p w14:paraId="55CAF1AF" w14:textId="17029D20" w:rsidR="00777EE0" w:rsidRDefault="00251E9C">
          <w:pPr>
            <w:pStyle w:val="TOC3"/>
            <w:rPr>
              <w:rFonts w:asciiTheme="minorHAnsi" w:eastAsiaTheme="minorEastAsia" w:hAnsiTheme="minorHAnsi" w:cstheme="minorBidi"/>
              <w:noProof/>
              <w:sz w:val="22"/>
              <w:lang w:eastAsia="en-GB"/>
            </w:rPr>
          </w:pPr>
          <w:hyperlink w:anchor="_Toc35892638" w:history="1">
            <w:r w:rsidR="00777EE0" w:rsidRPr="00C53B84">
              <w:rPr>
                <w:rStyle w:val="Hyperlink"/>
                <w:noProof/>
              </w:rPr>
              <w:t>5.4.2</w:t>
            </w:r>
            <w:r w:rsidR="00777EE0">
              <w:rPr>
                <w:rFonts w:asciiTheme="minorHAnsi" w:eastAsiaTheme="minorEastAsia" w:hAnsiTheme="minorHAnsi" w:cstheme="minorBidi"/>
                <w:noProof/>
                <w:sz w:val="22"/>
                <w:lang w:eastAsia="en-GB"/>
              </w:rPr>
              <w:tab/>
            </w:r>
            <w:r w:rsidR="00777EE0" w:rsidRPr="00C53B84">
              <w:rPr>
                <w:rStyle w:val="Hyperlink"/>
                <w:noProof/>
              </w:rPr>
              <w:t>Study 2 (Chapter 7)</w:t>
            </w:r>
            <w:r w:rsidR="00777EE0">
              <w:rPr>
                <w:noProof/>
                <w:webHidden/>
              </w:rPr>
              <w:tab/>
            </w:r>
            <w:r w:rsidR="00777EE0">
              <w:rPr>
                <w:noProof/>
                <w:webHidden/>
              </w:rPr>
              <w:fldChar w:fldCharType="begin"/>
            </w:r>
            <w:r w:rsidR="00777EE0">
              <w:rPr>
                <w:noProof/>
                <w:webHidden/>
              </w:rPr>
              <w:instrText xml:space="preserve"> PAGEREF _Toc35892638 \h </w:instrText>
            </w:r>
            <w:r w:rsidR="00777EE0">
              <w:rPr>
                <w:noProof/>
                <w:webHidden/>
              </w:rPr>
            </w:r>
            <w:r w:rsidR="00777EE0">
              <w:rPr>
                <w:noProof/>
                <w:webHidden/>
              </w:rPr>
              <w:fldChar w:fldCharType="separate"/>
            </w:r>
            <w:r w:rsidR="0026579C">
              <w:rPr>
                <w:noProof/>
                <w:webHidden/>
              </w:rPr>
              <w:t>197</w:t>
            </w:r>
            <w:r w:rsidR="00777EE0">
              <w:rPr>
                <w:noProof/>
                <w:webHidden/>
              </w:rPr>
              <w:fldChar w:fldCharType="end"/>
            </w:r>
          </w:hyperlink>
        </w:p>
        <w:p w14:paraId="65A6A090" w14:textId="2A3C4AA1" w:rsidR="00777EE0" w:rsidRDefault="00251E9C">
          <w:pPr>
            <w:pStyle w:val="TOC3"/>
            <w:rPr>
              <w:rFonts w:asciiTheme="minorHAnsi" w:eastAsiaTheme="minorEastAsia" w:hAnsiTheme="minorHAnsi" w:cstheme="minorBidi"/>
              <w:noProof/>
              <w:sz w:val="22"/>
              <w:lang w:eastAsia="en-GB"/>
            </w:rPr>
          </w:pPr>
          <w:hyperlink w:anchor="_Toc35892639" w:history="1">
            <w:r w:rsidR="00777EE0" w:rsidRPr="00C53B84">
              <w:rPr>
                <w:rStyle w:val="Hyperlink"/>
                <w:noProof/>
              </w:rPr>
              <w:t>5.4.3</w:t>
            </w:r>
            <w:r w:rsidR="00777EE0">
              <w:rPr>
                <w:rFonts w:asciiTheme="minorHAnsi" w:eastAsiaTheme="minorEastAsia" w:hAnsiTheme="minorHAnsi" w:cstheme="minorBidi"/>
                <w:noProof/>
                <w:sz w:val="22"/>
                <w:lang w:eastAsia="en-GB"/>
              </w:rPr>
              <w:tab/>
            </w:r>
            <w:r w:rsidR="00777EE0" w:rsidRPr="00C53B84">
              <w:rPr>
                <w:rStyle w:val="Hyperlink"/>
                <w:noProof/>
              </w:rPr>
              <w:t>Study 3 (Chapter 8)</w:t>
            </w:r>
            <w:r w:rsidR="00777EE0">
              <w:rPr>
                <w:noProof/>
                <w:webHidden/>
              </w:rPr>
              <w:tab/>
            </w:r>
            <w:r w:rsidR="00777EE0">
              <w:rPr>
                <w:noProof/>
                <w:webHidden/>
              </w:rPr>
              <w:fldChar w:fldCharType="begin"/>
            </w:r>
            <w:r w:rsidR="00777EE0">
              <w:rPr>
                <w:noProof/>
                <w:webHidden/>
              </w:rPr>
              <w:instrText xml:space="preserve"> PAGEREF _Toc35892639 \h </w:instrText>
            </w:r>
            <w:r w:rsidR="00777EE0">
              <w:rPr>
                <w:noProof/>
                <w:webHidden/>
              </w:rPr>
            </w:r>
            <w:r w:rsidR="00777EE0">
              <w:rPr>
                <w:noProof/>
                <w:webHidden/>
              </w:rPr>
              <w:fldChar w:fldCharType="separate"/>
            </w:r>
            <w:r w:rsidR="0026579C">
              <w:rPr>
                <w:noProof/>
                <w:webHidden/>
              </w:rPr>
              <w:t>198</w:t>
            </w:r>
            <w:r w:rsidR="00777EE0">
              <w:rPr>
                <w:noProof/>
                <w:webHidden/>
              </w:rPr>
              <w:fldChar w:fldCharType="end"/>
            </w:r>
          </w:hyperlink>
        </w:p>
        <w:p w14:paraId="446A93EC" w14:textId="54045210"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40" w:history="1">
            <w:r w:rsidR="00777EE0" w:rsidRPr="00C53B84">
              <w:rPr>
                <w:rStyle w:val="Hyperlink"/>
                <w:noProof/>
              </w:rPr>
              <w:t>5.5</w:t>
            </w:r>
            <w:r w:rsidR="00777EE0">
              <w:rPr>
                <w:rFonts w:asciiTheme="minorHAnsi" w:eastAsiaTheme="minorEastAsia" w:hAnsiTheme="minorHAnsi" w:cstheme="minorBidi"/>
                <w:noProof/>
                <w:sz w:val="22"/>
                <w:lang w:eastAsia="en-GB"/>
              </w:rPr>
              <w:tab/>
            </w:r>
            <w:r w:rsidR="00777EE0" w:rsidRPr="00C53B84">
              <w:rPr>
                <w:rStyle w:val="Hyperlink"/>
                <w:noProof/>
              </w:rPr>
              <w:t>Theoretical basis for interventions</w:t>
            </w:r>
            <w:r w:rsidR="00777EE0">
              <w:rPr>
                <w:noProof/>
                <w:webHidden/>
              </w:rPr>
              <w:tab/>
            </w:r>
            <w:r w:rsidR="00777EE0">
              <w:rPr>
                <w:noProof/>
                <w:webHidden/>
              </w:rPr>
              <w:fldChar w:fldCharType="begin"/>
            </w:r>
            <w:r w:rsidR="00777EE0">
              <w:rPr>
                <w:noProof/>
                <w:webHidden/>
              </w:rPr>
              <w:instrText xml:space="preserve"> PAGEREF _Toc35892640 \h </w:instrText>
            </w:r>
            <w:r w:rsidR="00777EE0">
              <w:rPr>
                <w:noProof/>
                <w:webHidden/>
              </w:rPr>
            </w:r>
            <w:r w:rsidR="00777EE0">
              <w:rPr>
                <w:noProof/>
                <w:webHidden/>
              </w:rPr>
              <w:fldChar w:fldCharType="separate"/>
            </w:r>
            <w:r w:rsidR="0026579C">
              <w:rPr>
                <w:noProof/>
                <w:webHidden/>
              </w:rPr>
              <w:t>198</w:t>
            </w:r>
            <w:r w:rsidR="00777EE0">
              <w:rPr>
                <w:noProof/>
                <w:webHidden/>
              </w:rPr>
              <w:fldChar w:fldCharType="end"/>
            </w:r>
          </w:hyperlink>
        </w:p>
        <w:p w14:paraId="47B995E2" w14:textId="07D5CA68" w:rsidR="00777EE0" w:rsidRDefault="00251E9C">
          <w:pPr>
            <w:pStyle w:val="TOC3"/>
            <w:rPr>
              <w:rFonts w:asciiTheme="minorHAnsi" w:eastAsiaTheme="minorEastAsia" w:hAnsiTheme="minorHAnsi" w:cstheme="minorBidi"/>
              <w:noProof/>
              <w:sz w:val="22"/>
              <w:lang w:eastAsia="en-GB"/>
            </w:rPr>
          </w:pPr>
          <w:hyperlink w:anchor="_Toc35892641" w:history="1">
            <w:r w:rsidR="00777EE0" w:rsidRPr="00C53B84">
              <w:rPr>
                <w:rStyle w:val="Hyperlink"/>
                <w:noProof/>
              </w:rPr>
              <w:t>5.5.1</w:t>
            </w:r>
            <w:r w:rsidR="00777EE0">
              <w:rPr>
                <w:rFonts w:asciiTheme="minorHAnsi" w:eastAsiaTheme="minorEastAsia" w:hAnsiTheme="minorHAnsi" w:cstheme="minorBidi"/>
                <w:noProof/>
                <w:sz w:val="22"/>
                <w:lang w:eastAsia="en-GB"/>
              </w:rPr>
              <w:tab/>
            </w:r>
            <w:r w:rsidR="00777EE0" w:rsidRPr="00C53B84">
              <w:rPr>
                <w:rStyle w:val="Hyperlink"/>
                <w:noProof/>
              </w:rPr>
              <w:t>Selection of models</w:t>
            </w:r>
            <w:r w:rsidR="00777EE0">
              <w:rPr>
                <w:noProof/>
                <w:webHidden/>
              </w:rPr>
              <w:tab/>
            </w:r>
            <w:r w:rsidR="00777EE0">
              <w:rPr>
                <w:noProof/>
                <w:webHidden/>
              </w:rPr>
              <w:fldChar w:fldCharType="begin"/>
            </w:r>
            <w:r w:rsidR="00777EE0">
              <w:rPr>
                <w:noProof/>
                <w:webHidden/>
              </w:rPr>
              <w:instrText xml:space="preserve"> PAGEREF _Toc35892641 \h </w:instrText>
            </w:r>
            <w:r w:rsidR="00777EE0">
              <w:rPr>
                <w:noProof/>
                <w:webHidden/>
              </w:rPr>
            </w:r>
            <w:r w:rsidR="00777EE0">
              <w:rPr>
                <w:noProof/>
                <w:webHidden/>
              </w:rPr>
              <w:fldChar w:fldCharType="separate"/>
            </w:r>
            <w:r w:rsidR="0026579C">
              <w:rPr>
                <w:noProof/>
                <w:webHidden/>
              </w:rPr>
              <w:t>199</w:t>
            </w:r>
            <w:r w:rsidR="00777EE0">
              <w:rPr>
                <w:noProof/>
                <w:webHidden/>
              </w:rPr>
              <w:fldChar w:fldCharType="end"/>
            </w:r>
          </w:hyperlink>
        </w:p>
        <w:p w14:paraId="35B7CE14" w14:textId="59423F62" w:rsidR="00777EE0" w:rsidRDefault="00251E9C">
          <w:pPr>
            <w:pStyle w:val="TOC3"/>
            <w:rPr>
              <w:rFonts w:asciiTheme="minorHAnsi" w:eastAsiaTheme="minorEastAsia" w:hAnsiTheme="minorHAnsi" w:cstheme="minorBidi"/>
              <w:noProof/>
              <w:sz w:val="22"/>
              <w:lang w:eastAsia="en-GB"/>
            </w:rPr>
          </w:pPr>
          <w:hyperlink w:anchor="_Toc35892642" w:history="1">
            <w:r w:rsidR="00777EE0" w:rsidRPr="00C53B84">
              <w:rPr>
                <w:rStyle w:val="Hyperlink"/>
                <w:noProof/>
              </w:rPr>
              <w:t>5.5.2</w:t>
            </w:r>
            <w:r w:rsidR="00777EE0">
              <w:rPr>
                <w:rFonts w:asciiTheme="minorHAnsi" w:eastAsiaTheme="minorEastAsia" w:hAnsiTheme="minorHAnsi" w:cstheme="minorBidi"/>
                <w:noProof/>
                <w:sz w:val="22"/>
                <w:lang w:eastAsia="en-GB"/>
              </w:rPr>
              <w:tab/>
            </w:r>
            <w:r w:rsidR="00777EE0" w:rsidRPr="00C53B84">
              <w:rPr>
                <w:rStyle w:val="Hyperlink"/>
                <w:noProof/>
              </w:rPr>
              <w:t>Health belief model</w:t>
            </w:r>
            <w:r w:rsidR="00777EE0">
              <w:rPr>
                <w:noProof/>
                <w:webHidden/>
              </w:rPr>
              <w:tab/>
            </w:r>
            <w:r w:rsidR="00777EE0">
              <w:rPr>
                <w:noProof/>
                <w:webHidden/>
              </w:rPr>
              <w:fldChar w:fldCharType="begin"/>
            </w:r>
            <w:r w:rsidR="00777EE0">
              <w:rPr>
                <w:noProof/>
                <w:webHidden/>
              </w:rPr>
              <w:instrText xml:space="preserve"> PAGEREF _Toc35892642 \h </w:instrText>
            </w:r>
            <w:r w:rsidR="00777EE0">
              <w:rPr>
                <w:noProof/>
                <w:webHidden/>
              </w:rPr>
            </w:r>
            <w:r w:rsidR="00777EE0">
              <w:rPr>
                <w:noProof/>
                <w:webHidden/>
              </w:rPr>
              <w:fldChar w:fldCharType="separate"/>
            </w:r>
            <w:r w:rsidR="0026579C">
              <w:rPr>
                <w:noProof/>
                <w:webHidden/>
              </w:rPr>
              <w:t>202</w:t>
            </w:r>
            <w:r w:rsidR="00777EE0">
              <w:rPr>
                <w:noProof/>
                <w:webHidden/>
              </w:rPr>
              <w:fldChar w:fldCharType="end"/>
            </w:r>
          </w:hyperlink>
        </w:p>
        <w:p w14:paraId="676999F9" w14:textId="086E2310" w:rsidR="00777EE0" w:rsidRDefault="00251E9C">
          <w:pPr>
            <w:pStyle w:val="TOC3"/>
            <w:rPr>
              <w:rFonts w:asciiTheme="minorHAnsi" w:eastAsiaTheme="minorEastAsia" w:hAnsiTheme="minorHAnsi" w:cstheme="minorBidi"/>
              <w:noProof/>
              <w:sz w:val="22"/>
              <w:lang w:eastAsia="en-GB"/>
            </w:rPr>
          </w:pPr>
          <w:hyperlink w:anchor="_Toc35892643" w:history="1">
            <w:r w:rsidR="00777EE0" w:rsidRPr="00C53B84">
              <w:rPr>
                <w:rStyle w:val="Hyperlink"/>
                <w:noProof/>
              </w:rPr>
              <w:t>5.5.3</w:t>
            </w:r>
            <w:r w:rsidR="00777EE0">
              <w:rPr>
                <w:rFonts w:asciiTheme="minorHAnsi" w:eastAsiaTheme="minorEastAsia" w:hAnsiTheme="minorHAnsi" w:cstheme="minorBidi"/>
                <w:noProof/>
                <w:sz w:val="22"/>
                <w:lang w:eastAsia="en-GB"/>
              </w:rPr>
              <w:tab/>
            </w:r>
            <w:r w:rsidR="00777EE0" w:rsidRPr="00C53B84">
              <w:rPr>
                <w:rStyle w:val="Hyperlink"/>
                <w:noProof/>
              </w:rPr>
              <w:t>Protection motivation theory</w:t>
            </w:r>
            <w:r w:rsidR="00777EE0">
              <w:rPr>
                <w:noProof/>
                <w:webHidden/>
              </w:rPr>
              <w:tab/>
            </w:r>
            <w:r w:rsidR="00777EE0">
              <w:rPr>
                <w:noProof/>
                <w:webHidden/>
              </w:rPr>
              <w:fldChar w:fldCharType="begin"/>
            </w:r>
            <w:r w:rsidR="00777EE0">
              <w:rPr>
                <w:noProof/>
                <w:webHidden/>
              </w:rPr>
              <w:instrText xml:space="preserve"> PAGEREF _Toc35892643 \h </w:instrText>
            </w:r>
            <w:r w:rsidR="00777EE0">
              <w:rPr>
                <w:noProof/>
                <w:webHidden/>
              </w:rPr>
            </w:r>
            <w:r w:rsidR="00777EE0">
              <w:rPr>
                <w:noProof/>
                <w:webHidden/>
              </w:rPr>
              <w:fldChar w:fldCharType="separate"/>
            </w:r>
            <w:r w:rsidR="0026579C">
              <w:rPr>
                <w:noProof/>
                <w:webHidden/>
              </w:rPr>
              <w:t>203</w:t>
            </w:r>
            <w:r w:rsidR="00777EE0">
              <w:rPr>
                <w:noProof/>
                <w:webHidden/>
              </w:rPr>
              <w:fldChar w:fldCharType="end"/>
            </w:r>
          </w:hyperlink>
        </w:p>
        <w:p w14:paraId="5944D4F3" w14:textId="3A0D47DF" w:rsidR="00777EE0" w:rsidRDefault="00251E9C">
          <w:pPr>
            <w:pStyle w:val="TOC3"/>
            <w:rPr>
              <w:rFonts w:asciiTheme="minorHAnsi" w:eastAsiaTheme="minorEastAsia" w:hAnsiTheme="minorHAnsi" w:cstheme="minorBidi"/>
              <w:noProof/>
              <w:sz w:val="22"/>
              <w:lang w:eastAsia="en-GB"/>
            </w:rPr>
          </w:pPr>
          <w:hyperlink w:anchor="_Toc35892644" w:history="1">
            <w:r w:rsidR="00777EE0" w:rsidRPr="00C53B84">
              <w:rPr>
                <w:rStyle w:val="Hyperlink"/>
                <w:noProof/>
              </w:rPr>
              <w:t>5.5.4</w:t>
            </w:r>
            <w:r w:rsidR="00777EE0">
              <w:rPr>
                <w:rFonts w:asciiTheme="minorHAnsi" w:eastAsiaTheme="minorEastAsia" w:hAnsiTheme="minorHAnsi" w:cstheme="minorBidi"/>
                <w:noProof/>
                <w:sz w:val="22"/>
                <w:lang w:eastAsia="en-GB"/>
              </w:rPr>
              <w:tab/>
            </w:r>
            <w:r w:rsidR="00777EE0" w:rsidRPr="00C53B84">
              <w:rPr>
                <w:rStyle w:val="Hyperlink"/>
                <w:noProof/>
              </w:rPr>
              <w:t>Theory of Planned Behaviour</w:t>
            </w:r>
            <w:r w:rsidR="00777EE0">
              <w:rPr>
                <w:noProof/>
                <w:webHidden/>
              </w:rPr>
              <w:tab/>
            </w:r>
            <w:r w:rsidR="00777EE0">
              <w:rPr>
                <w:noProof/>
                <w:webHidden/>
              </w:rPr>
              <w:fldChar w:fldCharType="begin"/>
            </w:r>
            <w:r w:rsidR="00777EE0">
              <w:rPr>
                <w:noProof/>
                <w:webHidden/>
              </w:rPr>
              <w:instrText xml:space="preserve"> PAGEREF _Toc35892644 \h </w:instrText>
            </w:r>
            <w:r w:rsidR="00777EE0">
              <w:rPr>
                <w:noProof/>
                <w:webHidden/>
              </w:rPr>
            </w:r>
            <w:r w:rsidR="00777EE0">
              <w:rPr>
                <w:noProof/>
                <w:webHidden/>
              </w:rPr>
              <w:fldChar w:fldCharType="separate"/>
            </w:r>
            <w:r w:rsidR="0026579C">
              <w:rPr>
                <w:noProof/>
                <w:webHidden/>
              </w:rPr>
              <w:t>203</w:t>
            </w:r>
            <w:r w:rsidR="00777EE0">
              <w:rPr>
                <w:noProof/>
                <w:webHidden/>
              </w:rPr>
              <w:fldChar w:fldCharType="end"/>
            </w:r>
          </w:hyperlink>
        </w:p>
        <w:p w14:paraId="40AA52E8" w14:textId="34AC8734" w:rsidR="00777EE0" w:rsidRDefault="00251E9C">
          <w:pPr>
            <w:pStyle w:val="TOC3"/>
            <w:rPr>
              <w:rFonts w:asciiTheme="minorHAnsi" w:eastAsiaTheme="minorEastAsia" w:hAnsiTheme="minorHAnsi" w:cstheme="minorBidi"/>
              <w:noProof/>
              <w:sz w:val="22"/>
              <w:lang w:eastAsia="en-GB"/>
            </w:rPr>
          </w:pPr>
          <w:hyperlink w:anchor="_Toc35892645" w:history="1">
            <w:r w:rsidR="00777EE0" w:rsidRPr="00C53B84">
              <w:rPr>
                <w:rStyle w:val="Hyperlink"/>
                <w:noProof/>
              </w:rPr>
              <w:t>5.5.5</w:t>
            </w:r>
            <w:r w:rsidR="00777EE0">
              <w:rPr>
                <w:rFonts w:asciiTheme="minorHAnsi" w:eastAsiaTheme="minorEastAsia" w:hAnsiTheme="minorHAnsi" w:cstheme="minorBidi"/>
                <w:noProof/>
                <w:sz w:val="22"/>
                <w:lang w:eastAsia="en-GB"/>
              </w:rPr>
              <w:tab/>
            </w:r>
            <w:r w:rsidR="00777EE0" w:rsidRPr="00C53B84">
              <w:rPr>
                <w:rStyle w:val="Hyperlink"/>
                <w:noProof/>
              </w:rPr>
              <w:t>Prototype willingness model</w:t>
            </w:r>
            <w:r w:rsidR="00777EE0">
              <w:rPr>
                <w:noProof/>
                <w:webHidden/>
              </w:rPr>
              <w:tab/>
            </w:r>
            <w:r w:rsidR="00777EE0">
              <w:rPr>
                <w:noProof/>
                <w:webHidden/>
              </w:rPr>
              <w:fldChar w:fldCharType="begin"/>
            </w:r>
            <w:r w:rsidR="00777EE0">
              <w:rPr>
                <w:noProof/>
                <w:webHidden/>
              </w:rPr>
              <w:instrText xml:space="preserve"> PAGEREF _Toc35892645 \h </w:instrText>
            </w:r>
            <w:r w:rsidR="00777EE0">
              <w:rPr>
                <w:noProof/>
                <w:webHidden/>
              </w:rPr>
            </w:r>
            <w:r w:rsidR="00777EE0">
              <w:rPr>
                <w:noProof/>
                <w:webHidden/>
              </w:rPr>
              <w:fldChar w:fldCharType="separate"/>
            </w:r>
            <w:r w:rsidR="0026579C">
              <w:rPr>
                <w:noProof/>
                <w:webHidden/>
              </w:rPr>
              <w:t>204</w:t>
            </w:r>
            <w:r w:rsidR="00777EE0">
              <w:rPr>
                <w:noProof/>
                <w:webHidden/>
              </w:rPr>
              <w:fldChar w:fldCharType="end"/>
            </w:r>
          </w:hyperlink>
        </w:p>
        <w:p w14:paraId="613B65F2" w14:textId="74EDD871" w:rsidR="00777EE0" w:rsidRDefault="00251E9C">
          <w:pPr>
            <w:pStyle w:val="TOC3"/>
            <w:rPr>
              <w:rFonts w:asciiTheme="minorHAnsi" w:eastAsiaTheme="minorEastAsia" w:hAnsiTheme="minorHAnsi" w:cstheme="minorBidi"/>
              <w:noProof/>
              <w:sz w:val="22"/>
              <w:lang w:eastAsia="en-GB"/>
            </w:rPr>
          </w:pPr>
          <w:hyperlink w:anchor="_Toc35892646" w:history="1">
            <w:r w:rsidR="00777EE0" w:rsidRPr="00C53B84">
              <w:rPr>
                <w:rStyle w:val="Hyperlink"/>
                <w:noProof/>
              </w:rPr>
              <w:t>5.5.6</w:t>
            </w:r>
            <w:r w:rsidR="00777EE0">
              <w:rPr>
                <w:rFonts w:asciiTheme="minorHAnsi" w:eastAsiaTheme="minorEastAsia" w:hAnsiTheme="minorHAnsi" w:cstheme="minorBidi"/>
                <w:noProof/>
                <w:sz w:val="22"/>
                <w:lang w:eastAsia="en-GB"/>
              </w:rPr>
              <w:tab/>
            </w:r>
            <w:r w:rsidR="00777EE0" w:rsidRPr="00C53B84">
              <w:rPr>
                <w:rStyle w:val="Hyperlink"/>
                <w:noProof/>
              </w:rPr>
              <w:t>Behavioural reasoning theory</w:t>
            </w:r>
            <w:r w:rsidR="00777EE0">
              <w:rPr>
                <w:noProof/>
                <w:webHidden/>
              </w:rPr>
              <w:tab/>
            </w:r>
            <w:r w:rsidR="00777EE0">
              <w:rPr>
                <w:noProof/>
                <w:webHidden/>
              </w:rPr>
              <w:fldChar w:fldCharType="begin"/>
            </w:r>
            <w:r w:rsidR="00777EE0">
              <w:rPr>
                <w:noProof/>
                <w:webHidden/>
              </w:rPr>
              <w:instrText xml:space="preserve"> PAGEREF _Toc35892646 \h </w:instrText>
            </w:r>
            <w:r w:rsidR="00777EE0">
              <w:rPr>
                <w:noProof/>
                <w:webHidden/>
              </w:rPr>
            </w:r>
            <w:r w:rsidR="00777EE0">
              <w:rPr>
                <w:noProof/>
                <w:webHidden/>
              </w:rPr>
              <w:fldChar w:fldCharType="separate"/>
            </w:r>
            <w:r w:rsidR="0026579C">
              <w:rPr>
                <w:noProof/>
                <w:webHidden/>
              </w:rPr>
              <w:t>205</w:t>
            </w:r>
            <w:r w:rsidR="00777EE0">
              <w:rPr>
                <w:noProof/>
                <w:webHidden/>
              </w:rPr>
              <w:fldChar w:fldCharType="end"/>
            </w:r>
          </w:hyperlink>
        </w:p>
        <w:p w14:paraId="3EC2E2AF" w14:textId="72AD3CB4" w:rsidR="00777EE0" w:rsidRDefault="00251E9C">
          <w:pPr>
            <w:pStyle w:val="TOC3"/>
            <w:rPr>
              <w:rFonts w:asciiTheme="minorHAnsi" w:eastAsiaTheme="minorEastAsia" w:hAnsiTheme="minorHAnsi" w:cstheme="minorBidi"/>
              <w:noProof/>
              <w:sz w:val="22"/>
              <w:lang w:eastAsia="en-GB"/>
            </w:rPr>
          </w:pPr>
          <w:hyperlink w:anchor="_Toc35892647" w:history="1">
            <w:r w:rsidR="00777EE0" w:rsidRPr="00C53B84">
              <w:rPr>
                <w:rStyle w:val="Hyperlink"/>
                <w:noProof/>
              </w:rPr>
              <w:t>5.5.7</w:t>
            </w:r>
            <w:r w:rsidR="00777EE0">
              <w:rPr>
                <w:rFonts w:asciiTheme="minorHAnsi" w:eastAsiaTheme="minorEastAsia" w:hAnsiTheme="minorHAnsi" w:cstheme="minorBidi"/>
                <w:noProof/>
                <w:sz w:val="22"/>
                <w:lang w:eastAsia="en-GB"/>
              </w:rPr>
              <w:tab/>
            </w:r>
            <w:r w:rsidR="00777EE0" w:rsidRPr="00C53B84">
              <w:rPr>
                <w:rStyle w:val="Hyperlink"/>
                <w:noProof/>
              </w:rPr>
              <w:t>Overview of model constructs</w:t>
            </w:r>
            <w:r w:rsidR="00777EE0">
              <w:rPr>
                <w:noProof/>
                <w:webHidden/>
              </w:rPr>
              <w:tab/>
            </w:r>
            <w:r w:rsidR="00777EE0">
              <w:rPr>
                <w:noProof/>
                <w:webHidden/>
              </w:rPr>
              <w:fldChar w:fldCharType="begin"/>
            </w:r>
            <w:r w:rsidR="00777EE0">
              <w:rPr>
                <w:noProof/>
                <w:webHidden/>
              </w:rPr>
              <w:instrText xml:space="preserve"> PAGEREF _Toc35892647 \h </w:instrText>
            </w:r>
            <w:r w:rsidR="00777EE0">
              <w:rPr>
                <w:noProof/>
                <w:webHidden/>
              </w:rPr>
            </w:r>
            <w:r w:rsidR="00777EE0">
              <w:rPr>
                <w:noProof/>
                <w:webHidden/>
              </w:rPr>
              <w:fldChar w:fldCharType="separate"/>
            </w:r>
            <w:r w:rsidR="0026579C">
              <w:rPr>
                <w:noProof/>
                <w:webHidden/>
              </w:rPr>
              <w:t>206</w:t>
            </w:r>
            <w:r w:rsidR="00777EE0">
              <w:rPr>
                <w:noProof/>
                <w:webHidden/>
              </w:rPr>
              <w:fldChar w:fldCharType="end"/>
            </w:r>
          </w:hyperlink>
        </w:p>
        <w:p w14:paraId="557F3162" w14:textId="19E3D612"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48" w:history="1">
            <w:r w:rsidR="00777EE0" w:rsidRPr="00C53B84">
              <w:rPr>
                <w:rStyle w:val="Hyperlink"/>
                <w:noProof/>
              </w:rPr>
              <w:t>5.6</w:t>
            </w:r>
            <w:r w:rsidR="00777EE0">
              <w:rPr>
                <w:rFonts w:asciiTheme="minorHAnsi" w:eastAsiaTheme="minorEastAsia" w:hAnsiTheme="minorHAnsi" w:cstheme="minorBidi"/>
                <w:noProof/>
                <w:sz w:val="22"/>
                <w:lang w:eastAsia="en-GB"/>
              </w:rPr>
              <w:tab/>
            </w:r>
            <w:r w:rsidR="00777EE0" w:rsidRPr="00C53B84">
              <w:rPr>
                <w:rStyle w:val="Hyperlink"/>
                <w:noProof/>
              </w:rPr>
              <w:t>Design and implementation</w:t>
            </w:r>
            <w:r w:rsidR="00777EE0">
              <w:rPr>
                <w:noProof/>
                <w:webHidden/>
              </w:rPr>
              <w:tab/>
            </w:r>
            <w:r w:rsidR="00777EE0">
              <w:rPr>
                <w:noProof/>
                <w:webHidden/>
              </w:rPr>
              <w:fldChar w:fldCharType="begin"/>
            </w:r>
            <w:r w:rsidR="00777EE0">
              <w:rPr>
                <w:noProof/>
                <w:webHidden/>
              </w:rPr>
              <w:instrText xml:space="preserve"> PAGEREF _Toc35892648 \h </w:instrText>
            </w:r>
            <w:r w:rsidR="00777EE0">
              <w:rPr>
                <w:noProof/>
                <w:webHidden/>
              </w:rPr>
            </w:r>
            <w:r w:rsidR="00777EE0">
              <w:rPr>
                <w:noProof/>
                <w:webHidden/>
              </w:rPr>
              <w:fldChar w:fldCharType="separate"/>
            </w:r>
            <w:r w:rsidR="0026579C">
              <w:rPr>
                <w:noProof/>
                <w:webHidden/>
              </w:rPr>
              <w:t>208</w:t>
            </w:r>
            <w:r w:rsidR="00777EE0">
              <w:rPr>
                <w:noProof/>
                <w:webHidden/>
              </w:rPr>
              <w:fldChar w:fldCharType="end"/>
            </w:r>
          </w:hyperlink>
        </w:p>
        <w:p w14:paraId="0B966654" w14:textId="6DA4685C" w:rsidR="00777EE0" w:rsidRDefault="00251E9C">
          <w:pPr>
            <w:pStyle w:val="TOC3"/>
            <w:rPr>
              <w:rFonts w:asciiTheme="minorHAnsi" w:eastAsiaTheme="minorEastAsia" w:hAnsiTheme="minorHAnsi" w:cstheme="minorBidi"/>
              <w:noProof/>
              <w:sz w:val="22"/>
              <w:lang w:eastAsia="en-GB"/>
            </w:rPr>
          </w:pPr>
          <w:hyperlink w:anchor="_Toc35892649" w:history="1">
            <w:r w:rsidR="00777EE0" w:rsidRPr="00C53B84">
              <w:rPr>
                <w:rStyle w:val="Hyperlink"/>
                <w:noProof/>
              </w:rPr>
              <w:t>5.6.1</w:t>
            </w:r>
            <w:r w:rsidR="00777EE0">
              <w:rPr>
                <w:rFonts w:asciiTheme="minorHAnsi" w:eastAsiaTheme="minorEastAsia" w:hAnsiTheme="minorHAnsi" w:cstheme="minorBidi"/>
                <w:noProof/>
                <w:sz w:val="22"/>
                <w:lang w:eastAsia="en-GB"/>
              </w:rPr>
              <w:tab/>
            </w:r>
            <w:r w:rsidR="00777EE0" w:rsidRPr="00C53B84">
              <w:rPr>
                <w:rStyle w:val="Hyperlink"/>
                <w:noProof/>
              </w:rPr>
              <w:t>Community-focused research</w:t>
            </w:r>
            <w:r w:rsidR="00777EE0">
              <w:rPr>
                <w:noProof/>
                <w:webHidden/>
              </w:rPr>
              <w:tab/>
            </w:r>
            <w:r w:rsidR="00777EE0">
              <w:rPr>
                <w:noProof/>
                <w:webHidden/>
              </w:rPr>
              <w:fldChar w:fldCharType="begin"/>
            </w:r>
            <w:r w:rsidR="00777EE0">
              <w:rPr>
                <w:noProof/>
                <w:webHidden/>
              </w:rPr>
              <w:instrText xml:space="preserve"> PAGEREF _Toc35892649 \h </w:instrText>
            </w:r>
            <w:r w:rsidR="00777EE0">
              <w:rPr>
                <w:noProof/>
                <w:webHidden/>
              </w:rPr>
            </w:r>
            <w:r w:rsidR="00777EE0">
              <w:rPr>
                <w:noProof/>
                <w:webHidden/>
              </w:rPr>
              <w:fldChar w:fldCharType="separate"/>
            </w:r>
            <w:r w:rsidR="0026579C">
              <w:rPr>
                <w:noProof/>
                <w:webHidden/>
              </w:rPr>
              <w:t>210</w:t>
            </w:r>
            <w:r w:rsidR="00777EE0">
              <w:rPr>
                <w:noProof/>
                <w:webHidden/>
              </w:rPr>
              <w:fldChar w:fldCharType="end"/>
            </w:r>
          </w:hyperlink>
        </w:p>
        <w:p w14:paraId="23E0634F" w14:textId="7D0C3370" w:rsidR="00777EE0" w:rsidRDefault="00251E9C">
          <w:pPr>
            <w:pStyle w:val="TOC3"/>
            <w:rPr>
              <w:rFonts w:asciiTheme="minorHAnsi" w:eastAsiaTheme="minorEastAsia" w:hAnsiTheme="minorHAnsi" w:cstheme="minorBidi"/>
              <w:noProof/>
              <w:sz w:val="22"/>
              <w:lang w:eastAsia="en-GB"/>
            </w:rPr>
          </w:pPr>
          <w:hyperlink w:anchor="_Toc35892650" w:history="1">
            <w:r w:rsidR="00777EE0" w:rsidRPr="00C53B84">
              <w:rPr>
                <w:rStyle w:val="Hyperlink"/>
                <w:noProof/>
              </w:rPr>
              <w:t>5.6.2</w:t>
            </w:r>
            <w:r w:rsidR="00777EE0">
              <w:rPr>
                <w:rFonts w:asciiTheme="minorHAnsi" w:eastAsiaTheme="minorEastAsia" w:hAnsiTheme="minorHAnsi" w:cstheme="minorBidi"/>
                <w:noProof/>
                <w:sz w:val="22"/>
                <w:lang w:eastAsia="en-GB"/>
              </w:rPr>
              <w:tab/>
            </w:r>
            <w:r w:rsidR="00777EE0" w:rsidRPr="00C53B84">
              <w:rPr>
                <w:rStyle w:val="Hyperlink"/>
                <w:noProof/>
              </w:rPr>
              <w:t>Focus groups</w:t>
            </w:r>
            <w:r w:rsidR="00777EE0">
              <w:rPr>
                <w:noProof/>
                <w:webHidden/>
              </w:rPr>
              <w:tab/>
            </w:r>
            <w:r w:rsidR="00777EE0">
              <w:rPr>
                <w:noProof/>
                <w:webHidden/>
              </w:rPr>
              <w:fldChar w:fldCharType="begin"/>
            </w:r>
            <w:r w:rsidR="00777EE0">
              <w:rPr>
                <w:noProof/>
                <w:webHidden/>
              </w:rPr>
              <w:instrText xml:space="preserve"> PAGEREF _Toc35892650 \h </w:instrText>
            </w:r>
            <w:r w:rsidR="00777EE0">
              <w:rPr>
                <w:noProof/>
                <w:webHidden/>
              </w:rPr>
            </w:r>
            <w:r w:rsidR="00777EE0">
              <w:rPr>
                <w:noProof/>
                <w:webHidden/>
              </w:rPr>
              <w:fldChar w:fldCharType="separate"/>
            </w:r>
            <w:r w:rsidR="0026579C">
              <w:rPr>
                <w:noProof/>
                <w:webHidden/>
              </w:rPr>
              <w:t>213</w:t>
            </w:r>
            <w:r w:rsidR="00777EE0">
              <w:rPr>
                <w:noProof/>
                <w:webHidden/>
              </w:rPr>
              <w:fldChar w:fldCharType="end"/>
            </w:r>
          </w:hyperlink>
        </w:p>
        <w:p w14:paraId="724E896A" w14:textId="1BF4A622" w:rsidR="00777EE0" w:rsidRDefault="00251E9C">
          <w:pPr>
            <w:pStyle w:val="TOC3"/>
            <w:rPr>
              <w:rFonts w:asciiTheme="minorHAnsi" w:eastAsiaTheme="minorEastAsia" w:hAnsiTheme="minorHAnsi" w:cstheme="minorBidi"/>
              <w:noProof/>
              <w:sz w:val="22"/>
              <w:lang w:eastAsia="en-GB"/>
            </w:rPr>
          </w:pPr>
          <w:hyperlink w:anchor="_Toc35892651" w:history="1">
            <w:r w:rsidR="00777EE0" w:rsidRPr="00C53B84">
              <w:rPr>
                <w:rStyle w:val="Hyperlink"/>
                <w:noProof/>
              </w:rPr>
              <w:t>5.6.3</w:t>
            </w:r>
            <w:r w:rsidR="00777EE0">
              <w:rPr>
                <w:rFonts w:asciiTheme="minorHAnsi" w:eastAsiaTheme="minorEastAsia" w:hAnsiTheme="minorHAnsi" w:cstheme="minorBidi"/>
                <w:noProof/>
                <w:sz w:val="22"/>
                <w:lang w:eastAsia="en-GB"/>
              </w:rPr>
              <w:tab/>
            </w:r>
            <w:r w:rsidR="00777EE0" w:rsidRPr="00C53B84">
              <w:rPr>
                <w:rStyle w:val="Hyperlink"/>
                <w:noProof/>
              </w:rPr>
              <w:t>Participants</w:t>
            </w:r>
            <w:r w:rsidR="00777EE0">
              <w:rPr>
                <w:noProof/>
                <w:webHidden/>
              </w:rPr>
              <w:tab/>
            </w:r>
            <w:r w:rsidR="00777EE0">
              <w:rPr>
                <w:noProof/>
                <w:webHidden/>
              </w:rPr>
              <w:fldChar w:fldCharType="begin"/>
            </w:r>
            <w:r w:rsidR="00777EE0">
              <w:rPr>
                <w:noProof/>
                <w:webHidden/>
              </w:rPr>
              <w:instrText xml:space="preserve"> PAGEREF _Toc35892651 \h </w:instrText>
            </w:r>
            <w:r w:rsidR="00777EE0">
              <w:rPr>
                <w:noProof/>
                <w:webHidden/>
              </w:rPr>
            </w:r>
            <w:r w:rsidR="00777EE0">
              <w:rPr>
                <w:noProof/>
                <w:webHidden/>
              </w:rPr>
              <w:fldChar w:fldCharType="separate"/>
            </w:r>
            <w:r w:rsidR="0026579C">
              <w:rPr>
                <w:noProof/>
                <w:webHidden/>
              </w:rPr>
              <w:t>214</w:t>
            </w:r>
            <w:r w:rsidR="00777EE0">
              <w:rPr>
                <w:noProof/>
                <w:webHidden/>
              </w:rPr>
              <w:fldChar w:fldCharType="end"/>
            </w:r>
          </w:hyperlink>
        </w:p>
        <w:p w14:paraId="49FA9ECB" w14:textId="04F01793" w:rsidR="00777EE0" w:rsidRDefault="00251E9C">
          <w:pPr>
            <w:pStyle w:val="TOC3"/>
            <w:rPr>
              <w:rFonts w:asciiTheme="minorHAnsi" w:eastAsiaTheme="minorEastAsia" w:hAnsiTheme="minorHAnsi" w:cstheme="minorBidi"/>
              <w:noProof/>
              <w:sz w:val="22"/>
              <w:lang w:eastAsia="en-GB"/>
            </w:rPr>
          </w:pPr>
          <w:hyperlink w:anchor="_Toc35892652" w:history="1">
            <w:r w:rsidR="00777EE0" w:rsidRPr="00C53B84">
              <w:rPr>
                <w:rStyle w:val="Hyperlink"/>
                <w:noProof/>
              </w:rPr>
              <w:t>5.6.4</w:t>
            </w:r>
            <w:r w:rsidR="00777EE0">
              <w:rPr>
                <w:rFonts w:asciiTheme="minorHAnsi" w:eastAsiaTheme="minorEastAsia" w:hAnsiTheme="minorHAnsi" w:cstheme="minorBidi"/>
                <w:noProof/>
                <w:sz w:val="22"/>
                <w:lang w:eastAsia="en-GB"/>
              </w:rPr>
              <w:tab/>
            </w:r>
            <w:r w:rsidR="00777EE0" w:rsidRPr="00C53B84">
              <w:rPr>
                <w:rStyle w:val="Hyperlink"/>
                <w:noProof/>
              </w:rPr>
              <w:t>Recruitment</w:t>
            </w:r>
            <w:r w:rsidR="00777EE0">
              <w:rPr>
                <w:noProof/>
                <w:webHidden/>
              </w:rPr>
              <w:tab/>
            </w:r>
            <w:r w:rsidR="00777EE0">
              <w:rPr>
                <w:noProof/>
                <w:webHidden/>
              </w:rPr>
              <w:fldChar w:fldCharType="begin"/>
            </w:r>
            <w:r w:rsidR="00777EE0">
              <w:rPr>
                <w:noProof/>
                <w:webHidden/>
              </w:rPr>
              <w:instrText xml:space="preserve"> PAGEREF _Toc35892652 \h </w:instrText>
            </w:r>
            <w:r w:rsidR="00777EE0">
              <w:rPr>
                <w:noProof/>
                <w:webHidden/>
              </w:rPr>
            </w:r>
            <w:r w:rsidR="00777EE0">
              <w:rPr>
                <w:noProof/>
                <w:webHidden/>
              </w:rPr>
              <w:fldChar w:fldCharType="separate"/>
            </w:r>
            <w:r w:rsidR="0026579C">
              <w:rPr>
                <w:noProof/>
                <w:webHidden/>
              </w:rPr>
              <w:t>215</w:t>
            </w:r>
            <w:r w:rsidR="00777EE0">
              <w:rPr>
                <w:noProof/>
                <w:webHidden/>
              </w:rPr>
              <w:fldChar w:fldCharType="end"/>
            </w:r>
          </w:hyperlink>
        </w:p>
        <w:p w14:paraId="2EAAB22E" w14:textId="67279E74" w:rsidR="00777EE0" w:rsidRDefault="00251E9C">
          <w:pPr>
            <w:pStyle w:val="TOC3"/>
            <w:rPr>
              <w:rFonts w:asciiTheme="minorHAnsi" w:eastAsiaTheme="minorEastAsia" w:hAnsiTheme="minorHAnsi" w:cstheme="minorBidi"/>
              <w:noProof/>
              <w:sz w:val="22"/>
              <w:lang w:eastAsia="en-GB"/>
            </w:rPr>
          </w:pPr>
          <w:hyperlink w:anchor="_Toc35892653" w:history="1">
            <w:r w:rsidR="00777EE0" w:rsidRPr="00C53B84">
              <w:rPr>
                <w:rStyle w:val="Hyperlink"/>
                <w:noProof/>
              </w:rPr>
              <w:t>5.6.5</w:t>
            </w:r>
            <w:r w:rsidR="00777EE0">
              <w:rPr>
                <w:rFonts w:asciiTheme="minorHAnsi" w:eastAsiaTheme="minorEastAsia" w:hAnsiTheme="minorHAnsi" w:cstheme="minorBidi"/>
                <w:noProof/>
                <w:sz w:val="22"/>
                <w:lang w:eastAsia="en-GB"/>
              </w:rPr>
              <w:tab/>
            </w:r>
            <w:r w:rsidR="00777EE0" w:rsidRPr="00C53B84">
              <w:rPr>
                <w:rStyle w:val="Hyperlink"/>
                <w:noProof/>
              </w:rPr>
              <w:t>Procedure</w:t>
            </w:r>
            <w:r w:rsidR="00777EE0">
              <w:rPr>
                <w:noProof/>
                <w:webHidden/>
              </w:rPr>
              <w:tab/>
            </w:r>
            <w:r w:rsidR="00777EE0">
              <w:rPr>
                <w:noProof/>
                <w:webHidden/>
              </w:rPr>
              <w:fldChar w:fldCharType="begin"/>
            </w:r>
            <w:r w:rsidR="00777EE0">
              <w:rPr>
                <w:noProof/>
                <w:webHidden/>
              </w:rPr>
              <w:instrText xml:space="preserve"> PAGEREF _Toc35892653 \h </w:instrText>
            </w:r>
            <w:r w:rsidR="00777EE0">
              <w:rPr>
                <w:noProof/>
                <w:webHidden/>
              </w:rPr>
            </w:r>
            <w:r w:rsidR="00777EE0">
              <w:rPr>
                <w:noProof/>
                <w:webHidden/>
              </w:rPr>
              <w:fldChar w:fldCharType="separate"/>
            </w:r>
            <w:r w:rsidR="0026579C">
              <w:rPr>
                <w:noProof/>
                <w:webHidden/>
              </w:rPr>
              <w:t>216</w:t>
            </w:r>
            <w:r w:rsidR="00777EE0">
              <w:rPr>
                <w:noProof/>
                <w:webHidden/>
              </w:rPr>
              <w:fldChar w:fldCharType="end"/>
            </w:r>
          </w:hyperlink>
        </w:p>
        <w:p w14:paraId="65825FC8" w14:textId="155CE192" w:rsidR="00777EE0" w:rsidRDefault="00251E9C">
          <w:pPr>
            <w:pStyle w:val="TOC3"/>
            <w:rPr>
              <w:rFonts w:asciiTheme="minorHAnsi" w:eastAsiaTheme="minorEastAsia" w:hAnsiTheme="minorHAnsi" w:cstheme="minorBidi"/>
              <w:noProof/>
              <w:sz w:val="22"/>
              <w:lang w:eastAsia="en-GB"/>
            </w:rPr>
          </w:pPr>
          <w:hyperlink w:anchor="_Toc35892654" w:history="1">
            <w:r w:rsidR="00777EE0" w:rsidRPr="00C53B84">
              <w:rPr>
                <w:rStyle w:val="Hyperlink"/>
                <w:noProof/>
              </w:rPr>
              <w:t>5.6.6</w:t>
            </w:r>
            <w:r w:rsidR="00777EE0">
              <w:rPr>
                <w:rFonts w:asciiTheme="minorHAnsi" w:eastAsiaTheme="minorEastAsia" w:hAnsiTheme="minorHAnsi" w:cstheme="minorBidi"/>
                <w:noProof/>
                <w:sz w:val="22"/>
                <w:lang w:eastAsia="en-GB"/>
              </w:rPr>
              <w:tab/>
            </w:r>
            <w:r w:rsidR="00777EE0" w:rsidRPr="00C53B84">
              <w:rPr>
                <w:rStyle w:val="Hyperlink"/>
                <w:noProof/>
              </w:rPr>
              <w:t>Defining the target behaviour</w:t>
            </w:r>
            <w:r w:rsidR="00777EE0">
              <w:rPr>
                <w:noProof/>
                <w:webHidden/>
              </w:rPr>
              <w:tab/>
            </w:r>
            <w:r w:rsidR="00777EE0">
              <w:rPr>
                <w:noProof/>
                <w:webHidden/>
              </w:rPr>
              <w:fldChar w:fldCharType="begin"/>
            </w:r>
            <w:r w:rsidR="00777EE0">
              <w:rPr>
                <w:noProof/>
                <w:webHidden/>
              </w:rPr>
              <w:instrText xml:space="preserve"> PAGEREF _Toc35892654 \h </w:instrText>
            </w:r>
            <w:r w:rsidR="00777EE0">
              <w:rPr>
                <w:noProof/>
                <w:webHidden/>
              </w:rPr>
            </w:r>
            <w:r w:rsidR="00777EE0">
              <w:rPr>
                <w:noProof/>
                <w:webHidden/>
              </w:rPr>
              <w:fldChar w:fldCharType="separate"/>
            </w:r>
            <w:r w:rsidR="0026579C">
              <w:rPr>
                <w:noProof/>
                <w:webHidden/>
              </w:rPr>
              <w:t>216</w:t>
            </w:r>
            <w:r w:rsidR="00777EE0">
              <w:rPr>
                <w:noProof/>
                <w:webHidden/>
              </w:rPr>
              <w:fldChar w:fldCharType="end"/>
            </w:r>
          </w:hyperlink>
        </w:p>
        <w:p w14:paraId="55A16A06" w14:textId="4EE8CFAD" w:rsidR="00777EE0" w:rsidRDefault="00251E9C">
          <w:pPr>
            <w:pStyle w:val="TOC3"/>
            <w:rPr>
              <w:rFonts w:asciiTheme="minorHAnsi" w:eastAsiaTheme="minorEastAsia" w:hAnsiTheme="minorHAnsi" w:cstheme="minorBidi"/>
              <w:noProof/>
              <w:sz w:val="22"/>
              <w:lang w:eastAsia="en-GB"/>
            </w:rPr>
          </w:pPr>
          <w:hyperlink w:anchor="_Toc35892655" w:history="1">
            <w:r w:rsidR="00777EE0" w:rsidRPr="00C53B84">
              <w:rPr>
                <w:rStyle w:val="Hyperlink"/>
                <w:noProof/>
              </w:rPr>
              <w:t>5.6.7</w:t>
            </w:r>
            <w:r w:rsidR="00777EE0">
              <w:rPr>
                <w:rFonts w:asciiTheme="minorHAnsi" w:eastAsiaTheme="minorEastAsia" w:hAnsiTheme="minorHAnsi" w:cstheme="minorBidi"/>
                <w:noProof/>
                <w:sz w:val="22"/>
                <w:lang w:eastAsia="en-GB"/>
              </w:rPr>
              <w:tab/>
            </w:r>
            <w:r w:rsidR="00777EE0" w:rsidRPr="00C53B84">
              <w:rPr>
                <w:rStyle w:val="Hyperlink"/>
                <w:noProof/>
              </w:rPr>
              <w:t>Action orientation</w:t>
            </w:r>
            <w:r w:rsidR="00777EE0">
              <w:rPr>
                <w:noProof/>
                <w:webHidden/>
              </w:rPr>
              <w:tab/>
            </w:r>
            <w:r w:rsidR="00777EE0">
              <w:rPr>
                <w:noProof/>
                <w:webHidden/>
              </w:rPr>
              <w:fldChar w:fldCharType="begin"/>
            </w:r>
            <w:r w:rsidR="00777EE0">
              <w:rPr>
                <w:noProof/>
                <w:webHidden/>
              </w:rPr>
              <w:instrText xml:space="preserve"> PAGEREF _Toc35892655 \h </w:instrText>
            </w:r>
            <w:r w:rsidR="00777EE0">
              <w:rPr>
                <w:noProof/>
                <w:webHidden/>
              </w:rPr>
            </w:r>
            <w:r w:rsidR="00777EE0">
              <w:rPr>
                <w:noProof/>
                <w:webHidden/>
              </w:rPr>
              <w:fldChar w:fldCharType="separate"/>
            </w:r>
            <w:r w:rsidR="0026579C">
              <w:rPr>
                <w:noProof/>
                <w:webHidden/>
              </w:rPr>
              <w:t>217</w:t>
            </w:r>
            <w:r w:rsidR="00777EE0">
              <w:rPr>
                <w:noProof/>
                <w:webHidden/>
              </w:rPr>
              <w:fldChar w:fldCharType="end"/>
            </w:r>
          </w:hyperlink>
        </w:p>
        <w:p w14:paraId="2C6D5760" w14:textId="032A04FD" w:rsidR="00777EE0" w:rsidRDefault="00251E9C">
          <w:pPr>
            <w:pStyle w:val="TOC3"/>
            <w:rPr>
              <w:rFonts w:asciiTheme="minorHAnsi" w:eastAsiaTheme="minorEastAsia" w:hAnsiTheme="minorHAnsi" w:cstheme="minorBidi"/>
              <w:noProof/>
              <w:sz w:val="22"/>
              <w:lang w:eastAsia="en-GB"/>
            </w:rPr>
          </w:pPr>
          <w:hyperlink w:anchor="_Toc35892656" w:history="1">
            <w:r w:rsidR="00777EE0" w:rsidRPr="00C53B84">
              <w:rPr>
                <w:rStyle w:val="Hyperlink"/>
                <w:noProof/>
              </w:rPr>
              <w:t>5.6.8</w:t>
            </w:r>
            <w:r w:rsidR="00777EE0">
              <w:rPr>
                <w:rFonts w:asciiTheme="minorHAnsi" w:eastAsiaTheme="minorEastAsia" w:hAnsiTheme="minorHAnsi" w:cstheme="minorBidi"/>
                <w:noProof/>
                <w:sz w:val="22"/>
                <w:lang w:eastAsia="en-GB"/>
              </w:rPr>
              <w:tab/>
            </w:r>
            <w:r w:rsidR="00777EE0" w:rsidRPr="00C53B84">
              <w:rPr>
                <w:rStyle w:val="Hyperlink"/>
                <w:noProof/>
              </w:rPr>
              <w:t>Measures and materials</w:t>
            </w:r>
            <w:r w:rsidR="00777EE0">
              <w:rPr>
                <w:noProof/>
                <w:webHidden/>
              </w:rPr>
              <w:tab/>
            </w:r>
            <w:r w:rsidR="00777EE0">
              <w:rPr>
                <w:noProof/>
                <w:webHidden/>
              </w:rPr>
              <w:fldChar w:fldCharType="begin"/>
            </w:r>
            <w:r w:rsidR="00777EE0">
              <w:rPr>
                <w:noProof/>
                <w:webHidden/>
              </w:rPr>
              <w:instrText xml:space="preserve"> PAGEREF _Toc35892656 \h </w:instrText>
            </w:r>
            <w:r w:rsidR="00777EE0">
              <w:rPr>
                <w:noProof/>
                <w:webHidden/>
              </w:rPr>
            </w:r>
            <w:r w:rsidR="00777EE0">
              <w:rPr>
                <w:noProof/>
                <w:webHidden/>
              </w:rPr>
              <w:fldChar w:fldCharType="separate"/>
            </w:r>
            <w:r w:rsidR="0026579C">
              <w:rPr>
                <w:noProof/>
                <w:webHidden/>
              </w:rPr>
              <w:t>218</w:t>
            </w:r>
            <w:r w:rsidR="00777EE0">
              <w:rPr>
                <w:noProof/>
                <w:webHidden/>
              </w:rPr>
              <w:fldChar w:fldCharType="end"/>
            </w:r>
          </w:hyperlink>
        </w:p>
        <w:p w14:paraId="79BDC6A1" w14:textId="7D1410C1"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57" w:history="1">
            <w:r w:rsidR="00777EE0" w:rsidRPr="00C53B84">
              <w:rPr>
                <w:rStyle w:val="Hyperlink"/>
                <w:noProof/>
              </w:rPr>
              <w:t>5.7</w:t>
            </w:r>
            <w:r w:rsidR="00777EE0">
              <w:rPr>
                <w:rFonts w:asciiTheme="minorHAnsi" w:eastAsiaTheme="minorEastAsia" w:hAnsiTheme="minorHAnsi" w:cstheme="minorBidi"/>
                <w:noProof/>
                <w:sz w:val="22"/>
                <w:lang w:eastAsia="en-GB"/>
              </w:rPr>
              <w:tab/>
            </w:r>
            <w:r w:rsidR="00777EE0" w:rsidRPr="00C53B84">
              <w:rPr>
                <w:rStyle w:val="Hyperlink"/>
                <w:noProof/>
              </w:rPr>
              <w:t>Analytical approach</w:t>
            </w:r>
            <w:r w:rsidR="00777EE0">
              <w:rPr>
                <w:noProof/>
                <w:webHidden/>
              </w:rPr>
              <w:tab/>
            </w:r>
            <w:r w:rsidR="00777EE0">
              <w:rPr>
                <w:noProof/>
                <w:webHidden/>
              </w:rPr>
              <w:fldChar w:fldCharType="begin"/>
            </w:r>
            <w:r w:rsidR="00777EE0">
              <w:rPr>
                <w:noProof/>
                <w:webHidden/>
              </w:rPr>
              <w:instrText xml:space="preserve"> PAGEREF _Toc35892657 \h </w:instrText>
            </w:r>
            <w:r w:rsidR="00777EE0">
              <w:rPr>
                <w:noProof/>
                <w:webHidden/>
              </w:rPr>
            </w:r>
            <w:r w:rsidR="00777EE0">
              <w:rPr>
                <w:noProof/>
                <w:webHidden/>
              </w:rPr>
              <w:fldChar w:fldCharType="separate"/>
            </w:r>
            <w:r w:rsidR="0026579C">
              <w:rPr>
                <w:noProof/>
                <w:webHidden/>
              </w:rPr>
              <w:t>219</w:t>
            </w:r>
            <w:r w:rsidR="00777EE0">
              <w:rPr>
                <w:noProof/>
                <w:webHidden/>
              </w:rPr>
              <w:fldChar w:fldCharType="end"/>
            </w:r>
          </w:hyperlink>
        </w:p>
        <w:p w14:paraId="0079F6A5" w14:textId="2908A8DC" w:rsidR="00777EE0" w:rsidRDefault="00251E9C">
          <w:pPr>
            <w:pStyle w:val="TOC3"/>
            <w:rPr>
              <w:rFonts w:asciiTheme="minorHAnsi" w:eastAsiaTheme="minorEastAsia" w:hAnsiTheme="minorHAnsi" w:cstheme="minorBidi"/>
              <w:noProof/>
              <w:sz w:val="22"/>
              <w:lang w:eastAsia="en-GB"/>
            </w:rPr>
          </w:pPr>
          <w:hyperlink w:anchor="_Toc35892658" w:history="1">
            <w:r w:rsidR="00777EE0" w:rsidRPr="00C53B84">
              <w:rPr>
                <w:rStyle w:val="Hyperlink"/>
                <w:noProof/>
              </w:rPr>
              <w:t>5.7.1</w:t>
            </w:r>
            <w:r w:rsidR="00777EE0">
              <w:rPr>
                <w:rFonts w:asciiTheme="minorHAnsi" w:eastAsiaTheme="minorEastAsia" w:hAnsiTheme="minorHAnsi" w:cstheme="minorBidi"/>
                <w:noProof/>
                <w:sz w:val="22"/>
                <w:lang w:eastAsia="en-GB"/>
              </w:rPr>
              <w:tab/>
            </w:r>
            <w:r w:rsidR="00777EE0" w:rsidRPr="00C53B84">
              <w:rPr>
                <w:rStyle w:val="Hyperlink"/>
                <w:noProof/>
              </w:rPr>
              <w:t>Analytical approach: Study 1</w:t>
            </w:r>
            <w:r w:rsidR="00777EE0">
              <w:rPr>
                <w:noProof/>
                <w:webHidden/>
              </w:rPr>
              <w:tab/>
            </w:r>
            <w:r w:rsidR="00777EE0">
              <w:rPr>
                <w:noProof/>
                <w:webHidden/>
              </w:rPr>
              <w:fldChar w:fldCharType="begin"/>
            </w:r>
            <w:r w:rsidR="00777EE0">
              <w:rPr>
                <w:noProof/>
                <w:webHidden/>
              </w:rPr>
              <w:instrText xml:space="preserve"> PAGEREF _Toc35892658 \h </w:instrText>
            </w:r>
            <w:r w:rsidR="00777EE0">
              <w:rPr>
                <w:noProof/>
                <w:webHidden/>
              </w:rPr>
            </w:r>
            <w:r w:rsidR="00777EE0">
              <w:rPr>
                <w:noProof/>
                <w:webHidden/>
              </w:rPr>
              <w:fldChar w:fldCharType="separate"/>
            </w:r>
            <w:r w:rsidR="0026579C">
              <w:rPr>
                <w:noProof/>
                <w:webHidden/>
              </w:rPr>
              <w:t>221</w:t>
            </w:r>
            <w:r w:rsidR="00777EE0">
              <w:rPr>
                <w:noProof/>
                <w:webHidden/>
              </w:rPr>
              <w:fldChar w:fldCharType="end"/>
            </w:r>
          </w:hyperlink>
        </w:p>
        <w:p w14:paraId="61F7B7A2" w14:textId="3B838132" w:rsidR="00777EE0" w:rsidRDefault="00251E9C">
          <w:pPr>
            <w:pStyle w:val="TOC3"/>
            <w:rPr>
              <w:rFonts w:asciiTheme="minorHAnsi" w:eastAsiaTheme="minorEastAsia" w:hAnsiTheme="minorHAnsi" w:cstheme="minorBidi"/>
              <w:noProof/>
              <w:sz w:val="22"/>
              <w:lang w:eastAsia="en-GB"/>
            </w:rPr>
          </w:pPr>
          <w:hyperlink w:anchor="_Toc35892659" w:history="1">
            <w:r w:rsidR="00777EE0" w:rsidRPr="00C53B84">
              <w:rPr>
                <w:rStyle w:val="Hyperlink"/>
                <w:noProof/>
              </w:rPr>
              <w:t>5.7.2</w:t>
            </w:r>
            <w:r w:rsidR="00777EE0">
              <w:rPr>
                <w:rFonts w:asciiTheme="minorHAnsi" w:eastAsiaTheme="minorEastAsia" w:hAnsiTheme="minorHAnsi" w:cstheme="minorBidi"/>
                <w:noProof/>
                <w:sz w:val="22"/>
                <w:lang w:eastAsia="en-GB"/>
              </w:rPr>
              <w:tab/>
            </w:r>
            <w:r w:rsidR="00777EE0" w:rsidRPr="00C53B84">
              <w:rPr>
                <w:rStyle w:val="Hyperlink"/>
                <w:noProof/>
              </w:rPr>
              <w:t>Data analysis</w:t>
            </w:r>
            <w:r w:rsidR="00777EE0">
              <w:rPr>
                <w:noProof/>
                <w:webHidden/>
              </w:rPr>
              <w:tab/>
            </w:r>
            <w:r w:rsidR="00777EE0">
              <w:rPr>
                <w:noProof/>
                <w:webHidden/>
              </w:rPr>
              <w:fldChar w:fldCharType="begin"/>
            </w:r>
            <w:r w:rsidR="00777EE0">
              <w:rPr>
                <w:noProof/>
                <w:webHidden/>
              </w:rPr>
              <w:instrText xml:space="preserve"> PAGEREF _Toc35892659 \h </w:instrText>
            </w:r>
            <w:r w:rsidR="00777EE0">
              <w:rPr>
                <w:noProof/>
                <w:webHidden/>
              </w:rPr>
            </w:r>
            <w:r w:rsidR="00777EE0">
              <w:rPr>
                <w:noProof/>
                <w:webHidden/>
              </w:rPr>
              <w:fldChar w:fldCharType="separate"/>
            </w:r>
            <w:r w:rsidR="0026579C">
              <w:rPr>
                <w:noProof/>
                <w:webHidden/>
              </w:rPr>
              <w:t>222</w:t>
            </w:r>
            <w:r w:rsidR="00777EE0">
              <w:rPr>
                <w:noProof/>
                <w:webHidden/>
              </w:rPr>
              <w:fldChar w:fldCharType="end"/>
            </w:r>
          </w:hyperlink>
        </w:p>
        <w:p w14:paraId="774CBBAF" w14:textId="0274C1C7" w:rsidR="00777EE0" w:rsidRDefault="00251E9C">
          <w:pPr>
            <w:pStyle w:val="TOC3"/>
            <w:rPr>
              <w:rFonts w:asciiTheme="minorHAnsi" w:eastAsiaTheme="minorEastAsia" w:hAnsiTheme="minorHAnsi" w:cstheme="minorBidi"/>
              <w:noProof/>
              <w:sz w:val="22"/>
              <w:lang w:eastAsia="en-GB"/>
            </w:rPr>
          </w:pPr>
          <w:hyperlink w:anchor="_Toc35892660" w:history="1">
            <w:r w:rsidR="00777EE0" w:rsidRPr="00C53B84">
              <w:rPr>
                <w:rStyle w:val="Hyperlink"/>
                <w:noProof/>
              </w:rPr>
              <w:t>5.7.3</w:t>
            </w:r>
            <w:r w:rsidR="00777EE0">
              <w:rPr>
                <w:rFonts w:asciiTheme="minorHAnsi" w:eastAsiaTheme="minorEastAsia" w:hAnsiTheme="minorHAnsi" w:cstheme="minorBidi"/>
                <w:noProof/>
                <w:sz w:val="22"/>
                <w:lang w:eastAsia="en-GB"/>
              </w:rPr>
              <w:tab/>
            </w:r>
            <w:r w:rsidR="00777EE0" w:rsidRPr="00C53B84">
              <w:rPr>
                <w:rStyle w:val="Hyperlink"/>
                <w:noProof/>
              </w:rPr>
              <w:t>Terminology</w:t>
            </w:r>
            <w:r w:rsidR="00777EE0">
              <w:rPr>
                <w:noProof/>
                <w:webHidden/>
              </w:rPr>
              <w:tab/>
            </w:r>
            <w:r w:rsidR="00777EE0">
              <w:rPr>
                <w:noProof/>
                <w:webHidden/>
              </w:rPr>
              <w:fldChar w:fldCharType="begin"/>
            </w:r>
            <w:r w:rsidR="00777EE0">
              <w:rPr>
                <w:noProof/>
                <w:webHidden/>
              </w:rPr>
              <w:instrText xml:space="preserve"> PAGEREF _Toc35892660 \h </w:instrText>
            </w:r>
            <w:r w:rsidR="00777EE0">
              <w:rPr>
                <w:noProof/>
                <w:webHidden/>
              </w:rPr>
            </w:r>
            <w:r w:rsidR="00777EE0">
              <w:rPr>
                <w:noProof/>
                <w:webHidden/>
              </w:rPr>
              <w:fldChar w:fldCharType="separate"/>
            </w:r>
            <w:r w:rsidR="0026579C">
              <w:rPr>
                <w:noProof/>
                <w:webHidden/>
              </w:rPr>
              <w:t>223</w:t>
            </w:r>
            <w:r w:rsidR="00777EE0">
              <w:rPr>
                <w:noProof/>
                <w:webHidden/>
              </w:rPr>
              <w:fldChar w:fldCharType="end"/>
            </w:r>
          </w:hyperlink>
        </w:p>
        <w:p w14:paraId="55C91B37" w14:textId="67835CC0" w:rsidR="00777EE0" w:rsidRDefault="00251E9C">
          <w:pPr>
            <w:pStyle w:val="TOC3"/>
            <w:rPr>
              <w:rFonts w:asciiTheme="minorHAnsi" w:eastAsiaTheme="minorEastAsia" w:hAnsiTheme="minorHAnsi" w:cstheme="minorBidi"/>
              <w:noProof/>
              <w:sz w:val="22"/>
              <w:lang w:eastAsia="en-GB"/>
            </w:rPr>
          </w:pPr>
          <w:hyperlink w:anchor="_Toc35892661" w:history="1">
            <w:r w:rsidR="00777EE0" w:rsidRPr="00C53B84">
              <w:rPr>
                <w:rStyle w:val="Hyperlink"/>
                <w:noProof/>
              </w:rPr>
              <w:t>5.7.4</w:t>
            </w:r>
            <w:r w:rsidR="00777EE0">
              <w:rPr>
                <w:rFonts w:asciiTheme="minorHAnsi" w:eastAsiaTheme="minorEastAsia" w:hAnsiTheme="minorHAnsi" w:cstheme="minorBidi"/>
                <w:noProof/>
                <w:sz w:val="22"/>
                <w:lang w:eastAsia="en-GB"/>
              </w:rPr>
              <w:tab/>
            </w:r>
            <w:r w:rsidR="00777EE0" w:rsidRPr="00C53B84">
              <w:rPr>
                <w:rStyle w:val="Hyperlink"/>
                <w:noProof/>
              </w:rPr>
              <w:t>Process</w:t>
            </w:r>
            <w:r w:rsidR="00777EE0">
              <w:rPr>
                <w:noProof/>
                <w:webHidden/>
              </w:rPr>
              <w:tab/>
            </w:r>
            <w:r w:rsidR="00777EE0">
              <w:rPr>
                <w:noProof/>
                <w:webHidden/>
              </w:rPr>
              <w:fldChar w:fldCharType="begin"/>
            </w:r>
            <w:r w:rsidR="00777EE0">
              <w:rPr>
                <w:noProof/>
                <w:webHidden/>
              </w:rPr>
              <w:instrText xml:space="preserve"> PAGEREF _Toc35892661 \h </w:instrText>
            </w:r>
            <w:r w:rsidR="00777EE0">
              <w:rPr>
                <w:noProof/>
                <w:webHidden/>
              </w:rPr>
            </w:r>
            <w:r w:rsidR="00777EE0">
              <w:rPr>
                <w:noProof/>
                <w:webHidden/>
              </w:rPr>
              <w:fldChar w:fldCharType="separate"/>
            </w:r>
            <w:r w:rsidR="0026579C">
              <w:rPr>
                <w:noProof/>
                <w:webHidden/>
              </w:rPr>
              <w:t>224</w:t>
            </w:r>
            <w:r w:rsidR="00777EE0">
              <w:rPr>
                <w:noProof/>
                <w:webHidden/>
              </w:rPr>
              <w:fldChar w:fldCharType="end"/>
            </w:r>
          </w:hyperlink>
        </w:p>
        <w:p w14:paraId="1F25E386" w14:textId="0CC5E7B4" w:rsidR="00777EE0" w:rsidRDefault="00251E9C">
          <w:pPr>
            <w:pStyle w:val="TOC3"/>
            <w:rPr>
              <w:rFonts w:asciiTheme="minorHAnsi" w:eastAsiaTheme="minorEastAsia" w:hAnsiTheme="minorHAnsi" w:cstheme="minorBidi"/>
              <w:noProof/>
              <w:sz w:val="22"/>
              <w:lang w:eastAsia="en-GB"/>
            </w:rPr>
          </w:pPr>
          <w:hyperlink w:anchor="_Toc35892662" w:history="1">
            <w:r w:rsidR="00777EE0" w:rsidRPr="00C53B84">
              <w:rPr>
                <w:rStyle w:val="Hyperlink"/>
                <w:noProof/>
              </w:rPr>
              <w:t>5.7.5</w:t>
            </w:r>
            <w:r w:rsidR="00777EE0">
              <w:rPr>
                <w:rFonts w:asciiTheme="minorHAnsi" w:eastAsiaTheme="minorEastAsia" w:hAnsiTheme="minorHAnsi" w:cstheme="minorBidi"/>
                <w:noProof/>
                <w:sz w:val="22"/>
                <w:lang w:eastAsia="en-GB"/>
              </w:rPr>
              <w:tab/>
            </w:r>
            <w:r w:rsidR="00777EE0" w:rsidRPr="00C53B84">
              <w:rPr>
                <w:rStyle w:val="Hyperlink"/>
                <w:noProof/>
              </w:rPr>
              <w:t>Stage 1: Development of the analytic framework</w:t>
            </w:r>
            <w:r w:rsidR="00777EE0">
              <w:rPr>
                <w:noProof/>
                <w:webHidden/>
              </w:rPr>
              <w:tab/>
            </w:r>
            <w:r w:rsidR="00777EE0">
              <w:rPr>
                <w:noProof/>
                <w:webHidden/>
              </w:rPr>
              <w:fldChar w:fldCharType="begin"/>
            </w:r>
            <w:r w:rsidR="00777EE0">
              <w:rPr>
                <w:noProof/>
                <w:webHidden/>
              </w:rPr>
              <w:instrText xml:space="preserve"> PAGEREF _Toc35892662 \h </w:instrText>
            </w:r>
            <w:r w:rsidR="00777EE0">
              <w:rPr>
                <w:noProof/>
                <w:webHidden/>
              </w:rPr>
            </w:r>
            <w:r w:rsidR="00777EE0">
              <w:rPr>
                <w:noProof/>
                <w:webHidden/>
              </w:rPr>
              <w:fldChar w:fldCharType="separate"/>
            </w:r>
            <w:r w:rsidR="0026579C">
              <w:rPr>
                <w:noProof/>
                <w:webHidden/>
              </w:rPr>
              <w:t>224</w:t>
            </w:r>
            <w:r w:rsidR="00777EE0">
              <w:rPr>
                <w:noProof/>
                <w:webHidden/>
              </w:rPr>
              <w:fldChar w:fldCharType="end"/>
            </w:r>
          </w:hyperlink>
        </w:p>
        <w:p w14:paraId="0B965DA8" w14:textId="570A3CF5" w:rsidR="00777EE0" w:rsidRDefault="00251E9C">
          <w:pPr>
            <w:pStyle w:val="TOC3"/>
            <w:rPr>
              <w:rFonts w:asciiTheme="minorHAnsi" w:eastAsiaTheme="minorEastAsia" w:hAnsiTheme="minorHAnsi" w:cstheme="minorBidi"/>
              <w:noProof/>
              <w:sz w:val="22"/>
              <w:lang w:eastAsia="en-GB"/>
            </w:rPr>
          </w:pPr>
          <w:hyperlink w:anchor="_Toc35892663" w:history="1">
            <w:r w:rsidR="00777EE0" w:rsidRPr="00C53B84">
              <w:rPr>
                <w:rStyle w:val="Hyperlink"/>
                <w:noProof/>
              </w:rPr>
              <w:t>5.7.6</w:t>
            </w:r>
            <w:r w:rsidR="00777EE0">
              <w:rPr>
                <w:rFonts w:asciiTheme="minorHAnsi" w:eastAsiaTheme="minorEastAsia" w:hAnsiTheme="minorHAnsi" w:cstheme="minorBidi"/>
                <w:noProof/>
                <w:sz w:val="22"/>
                <w:lang w:eastAsia="en-GB"/>
              </w:rPr>
              <w:tab/>
            </w:r>
            <w:r w:rsidR="00777EE0" w:rsidRPr="00C53B84">
              <w:rPr>
                <w:rStyle w:val="Hyperlink"/>
                <w:noProof/>
              </w:rPr>
              <w:t>Stage 2: Identification of underlying motivations</w:t>
            </w:r>
            <w:r w:rsidR="00777EE0">
              <w:rPr>
                <w:noProof/>
                <w:webHidden/>
              </w:rPr>
              <w:tab/>
            </w:r>
            <w:r w:rsidR="00777EE0">
              <w:rPr>
                <w:noProof/>
                <w:webHidden/>
              </w:rPr>
              <w:fldChar w:fldCharType="begin"/>
            </w:r>
            <w:r w:rsidR="00777EE0">
              <w:rPr>
                <w:noProof/>
                <w:webHidden/>
              </w:rPr>
              <w:instrText xml:space="preserve"> PAGEREF _Toc35892663 \h </w:instrText>
            </w:r>
            <w:r w:rsidR="00777EE0">
              <w:rPr>
                <w:noProof/>
                <w:webHidden/>
              </w:rPr>
            </w:r>
            <w:r w:rsidR="00777EE0">
              <w:rPr>
                <w:noProof/>
                <w:webHidden/>
              </w:rPr>
              <w:fldChar w:fldCharType="separate"/>
            </w:r>
            <w:r w:rsidR="0026579C">
              <w:rPr>
                <w:noProof/>
                <w:webHidden/>
              </w:rPr>
              <w:t>225</w:t>
            </w:r>
            <w:r w:rsidR="00777EE0">
              <w:rPr>
                <w:noProof/>
                <w:webHidden/>
              </w:rPr>
              <w:fldChar w:fldCharType="end"/>
            </w:r>
          </w:hyperlink>
        </w:p>
        <w:p w14:paraId="22939E92" w14:textId="04A970B1" w:rsidR="00777EE0" w:rsidRDefault="00251E9C">
          <w:pPr>
            <w:pStyle w:val="TOC3"/>
            <w:rPr>
              <w:rFonts w:asciiTheme="minorHAnsi" w:eastAsiaTheme="minorEastAsia" w:hAnsiTheme="minorHAnsi" w:cstheme="minorBidi"/>
              <w:noProof/>
              <w:sz w:val="22"/>
              <w:lang w:eastAsia="en-GB"/>
            </w:rPr>
          </w:pPr>
          <w:hyperlink w:anchor="_Toc35892664" w:history="1">
            <w:r w:rsidR="00777EE0" w:rsidRPr="00C53B84">
              <w:rPr>
                <w:rStyle w:val="Hyperlink"/>
                <w:noProof/>
              </w:rPr>
              <w:t>5.7.7</w:t>
            </w:r>
            <w:r w:rsidR="00777EE0">
              <w:rPr>
                <w:rFonts w:asciiTheme="minorHAnsi" w:eastAsiaTheme="minorEastAsia" w:hAnsiTheme="minorHAnsi" w:cstheme="minorBidi"/>
                <w:noProof/>
                <w:sz w:val="22"/>
                <w:lang w:eastAsia="en-GB"/>
              </w:rPr>
              <w:tab/>
            </w:r>
            <w:r w:rsidR="00777EE0" w:rsidRPr="00C53B84">
              <w:rPr>
                <w:rStyle w:val="Hyperlink"/>
                <w:noProof/>
              </w:rPr>
              <w:t>Stage 3: Mapping salient beliefs to model constructs</w:t>
            </w:r>
            <w:r w:rsidR="00777EE0">
              <w:rPr>
                <w:noProof/>
                <w:webHidden/>
              </w:rPr>
              <w:tab/>
            </w:r>
            <w:r w:rsidR="00777EE0">
              <w:rPr>
                <w:noProof/>
                <w:webHidden/>
              </w:rPr>
              <w:fldChar w:fldCharType="begin"/>
            </w:r>
            <w:r w:rsidR="00777EE0">
              <w:rPr>
                <w:noProof/>
                <w:webHidden/>
              </w:rPr>
              <w:instrText xml:space="preserve"> PAGEREF _Toc35892664 \h </w:instrText>
            </w:r>
            <w:r w:rsidR="00777EE0">
              <w:rPr>
                <w:noProof/>
                <w:webHidden/>
              </w:rPr>
            </w:r>
            <w:r w:rsidR="00777EE0">
              <w:rPr>
                <w:noProof/>
                <w:webHidden/>
              </w:rPr>
              <w:fldChar w:fldCharType="separate"/>
            </w:r>
            <w:r w:rsidR="0026579C">
              <w:rPr>
                <w:noProof/>
                <w:webHidden/>
              </w:rPr>
              <w:t>226</w:t>
            </w:r>
            <w:r w:rsidR="00777EE0">
              <w:rPr>
                <w:noProof/>
                <w:webHidden/>
              </w:rPr>
              <w:fldChar w:fldCharType="end"/>
            </w:r>
          </w:hyperlink>
        </w:p>
        <w:p w14:paraId="143704C8" w14:textId="1AFE0FF3"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65" w:history="1">
            <w:r w:rsidR="00777EE0" w:rsidRPr="00C53B84">
              <w:rPr>
                <w:rStyle w:val="Hyperlink"/>
                <w:noProof/>
              </w:rPr>
              <w:t>5.8</w:t>
            </w:r>
            <w:r w:rsidR="00777EE0">
              <w:rPr>
                <w:rFonts w:asciiTheme="minorHAnsi" w:eastAsiaTheme="minorEastAsia" w:hAnsiTheme="minorHAnsi" w:cstheme="minorBidi"/>
                <w:noProof/>
                <w:sz w:val="22"/>
                <w:lang w:eastAsia="en-GB"/>
              </w:rPr>
              <w:tab/>
            </w:r>
            <w:r w:rsidR="00777EE0" w:rsidRPr="00C53B84">
              <w:rPr>
                <w:rStyle w:val="Hyperlink"/>
                <w:noProof/>
              </w:rPr>
              <w:t>Analytical approach: Study 2</w:t>
            </w:r>
            <w:r w:rsidR="00777EE0">
              <w:rPr>
                <w:noProof/>
                <w:webHidden/>
              </w:rPr>
              <w:tab/>
            </w:r>
            <w:r w:rsidR="00777EE0">
              <w:rPr>
                <w:noProof/>
                <w:webHidden/>
              </w:rPr>
              <w:fldChar w:fldCharType="begin"/>
            </w:r>
            <w:r w:rsidR="00777EE0">
              <w:rPr>
                <w:noProof/>
                <w:webHidden/>
              </w:rPr>
              <w:instrText xml:space="preserve"> PAGEREF _Toc35892665 \h </w:instrText>
            </w:r>
            <w:r w:rsidR="00777EE0">
              <w:rPr>
                <w:noProof/>
                <w:webHidden/>
              </w:rPr>
            </w:r>
            <w:r w:rsidR="00777EE0">
              <w:rPr>
                <w:noProof/>
                <w:webHidden/>
              </w:rPr>
              <w:fldChar w:fldCharType="separate"/>
            </w:r>
            <w:r w:rsidR="0026579C">
              <w:rPr>
                <w:noProof/>
                <w:webHidden/>
              </w:rPr>
              <w:t>226</w:t>
            </w:r>
            <w:r w:rsidR="00777EE0">
              <w:rPr>
                <w:noProof/>
                <w:webHidden/>
              </w:rPr>
              <w:fldChar w:fldCharType="end"/>
            </w:r>
          </w:hyperlink>
        </w:p>
        <w:p w14:paraId="1DBF39E9" w14:textId="3E65598A" w:rsidR="00777EE0" w:rsidRDefault="00251E9C">
          <w:pPr>
            <w:pStyle w:val="TOC3"/>
            <w:rPr>
              <w:rFonts w:asciiTheme="minorHAnsi" w:eastAsiaTheme="minorEastAsia" w:hAnsiTheme="minorHAnsi" w:cstheme="minorBidi"/>
              <w:noProof/>
              <w:sz w:val="22"/>
              <w:lang w:eastAsia="en-GB"/>
            </w:rPr>
          </w:pPr>
          <w:hyperlink w:anchor="_Toc35892666" w:history="1">
            <w:r w:rsidR="00777EE0" w:rsidRPr="00C53B84">
              <w:rPr>
                <w:rStyle w:val="Hyperlink"/>
                <w:noProof/>
              </w:rPr>
              <w:t>5.8.1</w:t>
            </w:r>
            <w:r w:rsidR="00777EE0">
              <w:rPr>
                <w:rFonts w:asciiTheme="minorHAnsi" w:eastAsiaTheme="minorEastAsia" w:hAnsiTheme="minorHAnsi" w:cstheme="minorBidi"/>
                <w:noProof/>
                <w:sz w:val="22"/>
                <w:lang w:eastAsia="en-GB"/>
              </w:rPr>
              <w:tab/>
            </w:r>
            <w:r w:rsidR="00777EE0" w:rsidRPr="00C53B84">
              <w:rPr>
                <w:rStyle w:val="Hyperlink"/>
                <w:noProof/>
              </w:rPr>
              <w:t>Pre- and post-ban comparison</w:t>
            </w:r>
            <w:r w:rsidR="00777EE0">
              <w:rPr>
                <w:noProof/>
                <w:webHidden/>
              </w:rPr>
              <w:tab/>
            </w:r>
            <w:r w:rsidR="00777EE0">
              <w:rPr>
                <w:noProof/>
                <w:webHidden/>
              </w:rPr>
              <w:fldChar w:fldCharType="begin"/>
            </w:r>
            <w:r w:rsidR="00777EE0">
              <w:rPr>
                <w:noProof/>
                <w:webHidden/>
              </w:rPr>
              <w:instrText xml:space="preserve"> PAGEREF _Toc35892666 \h </w:instrText>
            </w:r>
            <w:r w:rsidR="00777EE0">
              <w:rPr>
                <w:noProof/>
                <w:webHidden/>
              </w:rPr>
            </w:r>
            <w:r w:rsidR="00777EE0">
              <w:rPr>
                <w:noProof/>
                <w:webHidden/>
              </w:rPr>
              <w:fldChar w:fldCharType="separate"/>
            </w:r>
            <w:r w:rsidR="0026579C">
              <w:rPr>
                <w:noProof/>
                <w:webHidden/>
              </w:rPr>
              <w:t>227</w:t>
            </w:r>
            <w:r w:rsidR="00777EE0">
              <w:rPr>
                <w:noProof/>
                <w:webHidden/>
              </w:rPr>
              <w:fldChar w:fldCharType="end"/>
            </w:r>
          </w:hyperlink>
        </w:p>
        <w:p w14:paraId="4C1D5D89" w14:textId="2556694A"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67" w:history="1">
            <w:r w:rsidR="00777EE0" w:rsidRPr="00C53B84">
              <w:rPr>
                <w:rStyle w:val="Hyperlink"/>
                <w:noProof/>
              </w:rPr>
              <w:t>5.9</w:t>
            </w:r>
            <w:r w:rsidR="00777EE0">
              <w:rPr>
                <w:rFonts w:asciiTheme="minorHAnsi" w:eastAsiaTheme="minorEastAsia" w:hAnsiTheme="minorHAnsi" w:cstheme="minorBidi"/>
                <w:noProof/>
                <w:sz w:val="22"/>
                <w:lang w:eastAsia="en-GB"/>
              </w:rPr>
              <w:tab/>
            </w:r>
            <w:r w:rsidR="00777EE0" w:rsidRPr="00C53B84">
              <w:rPr>
                <w:rStyle w:val="Hyperlink"/>
                <w:noProof/>
              </w:rPr>
              <w:t>Analytical approach: Study 3</w:t>
            </w:r>
            <w:r w:rsidR="00777EE0">
              <w:rPr>
                <w:noProof/>
                <w:webHidden/>
              </w:rPr>
              <w:tab/>
            </w:r>
            <w:r w:rsidR="00777EE0">
              <w:rPr>
                <w:noProof/>
                <w:webHidden/>
              </w:rPr>
              <w:fldChar w:fldCharType="begin"/>
            </w:r>
            <w:r w:rsidR="00777EE0">
              <w:rPr>
                <w:noProof/>
                <w:webHidden/>
              </w:rPr>
              <w:instrText xml:space="preserve"> PAGEREF _Toc35892667 \h </w:instrText>
            </w:r>
            <w:r w:rsidR="00777EE0">
              <w:rPr>
                <w:noProof/>
                <w:webHidden/>
              </w:rPr>
            </w:r>
            <w:r w:rsidR="00777EE0">
              <w:rPr>
                <w:noProof/>
                <w:webHidden/>
              </w:rPr>
              <w:fldChar w:fldCharType="separate"/>
            </w:r>
            <w:r w:rsidR="0026579C">
              <w:rPr>
                <w:noProof/>
                <w:webHidden/>
              </w:rPr>
              <w:t>228</w:t>
            </w:r>
            <w:r w:rsidR="00777EE0">
              <w:rPr>
                <w:noProof/>
                <w:webHidden/>
              </w:rPr>
              <w:fldChar w:fldCharType="end"/>
            </w:r>
          </w:hyperlink>
        </w:p>
        <w:p w14:paraId="1D9A2BF6" w14:textId="713D49E1"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668" w:history="1">
            <w:r w:rsidR="00777EE0" w:rsidRPr="00C53B84">
              <w:rPr>
                <w:rStyle w:val="Hyperlink"/>
                <w:noProof/>
                <w14:scene3d>
                  <w14:camera w14:prst="orthographicFront"/>
                  <w14:lightRig w14:rig="threePt" w14:dir="t">
                    <w14:rot w14:lat="0" w14:lon="0" w14:rev="0"/>
                  </w14:lightRig>
                </w14:scene3d>
              </w:rPr>
              <w:t>Chapter 6</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Study 1: Young people’s motivations for NPS use and non-use prior to the introduction of the Psychoactive Substances Act 2016</w:t>
            </w:r>
            <w:r w:rsidR="00777EE0">
              <w:rPr>
                <w:noProof/>
                <w:webHidden/>
              </w:rPr>
              <w:tab/>
            </w:r>
            <w:r w:rsidR="00777EE0">
              <w:rPr>
                <w:noProof/>
                <w:webHidden/>
              </w:rPr>
              <w:fldChar w:fldCharType="begin"/>
            </w:r>
            <w:r w:rsidR="00777EE0">
              <w:rPr>
                <w:noProof/>
                <w:webHidden/>
              </w:rPr>
              <w:instrText xml:space="preserve"> PAGEREF _Toc35892668 \h </w:instrText>
            </w:r>
            <w:r w:rsidR="00777EE0">
              <w:rPr>
                <w:noProof/>
                <w:webHidden/>
              </w:rPr>
            </w:r>
            <w:r w:rsidR="00777EE0">
              <w:rPr>
                <w:noProof/>
                <w:webHidden/>
              </w:rPr>
              <w:fldChar w:fldCharType="separate"/>
            </w:r>
            <w:r w:rsidR="0026579C">
              <w:rPr>
                <w:noProof/>
                <w:webHidden/>
              </w:rPr>
              <w:t>231</w:t>
            </w:r>
            <w:r w:rsidR="00777EE0">
              <w:rPr>
                <w:noProof/>
                <w:webHidden/>
              </w:rPr>
              <w:fldChar w:fldCharType="end"/>
            </w:r>
          </w:hyperlink>
        </w:p>
        <w:p w14:paraId="3E953204" w14:textId="08D840F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69" w:history="1">
            <w:r w:rsidR="00777EE0" w:rsidRPr="00C53B84">
              <w:rPr>
                <w:rStyle w:val="Hyperlink"/>
                <w:noProof/>
              </w:rPr>
              <w:t>6.1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_Toc35892669 \h </w:instrText>
            </w:r>
            <w:r w:rsidR="00777EE0">
              <w:rPr>
                <w:noProof/>
                <w:webHidden/>
              </w:rPr>
            </w:r>
            <w:r w:rsidR="00777EE0">
              <w:rPr>
                <w:noProof/>
                <w:webHidden/>
              </w:rPr>
              <w:fldChar w:fldCharType="separate"/>
            </w:r>
            <w:r w:rsidR="0026579C">
              <w:rPr>
                <w:noProof/>
                <w:webHidden/>
              </w:rPr>
              <w:t>231</w:t>
            </w:r>
            <w:r w:rsidR="00777EE0">
              <w:rPr>
                <w:noProof/>
                <w:webHidden/>
              </w:rPr>
              <w:fldChar w:fldCharType="end"/>
            </w:r>
          </w:hyperlink>
        </w:p>
        <w:p w14:paraId="7CAC9F63" w14:textId="5DFE5546"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70" w:history="1">
            <w:r w:rsidR="00777EE0" w:rsidRPr="00C53B84">
              <w:rPr>
                <w:rStyle w:val="Hyperlink"/>
                <w:noProof/>
              </w:rPr>
              <w:t>6.2</w:t>
            </w:r>
            <w:r w:rsidR="00777EE0">
              <w:rPr>
                <w:rFonts w:asciiTheme="minorHAnsi" w:eastAsiaTheme="minorEastAsia" w:hAnsiTheme="minorHAnsi" w:cstheme="minorBidi"/>
                <w:noProof/>
                <w:sz w:val="22"/>
                <w:lang w:eastAsia="en-GB"/>
              </w:rPr>
              <w:tab/>
            </w:r>
            <w:r w:rsidR="00777EE0" w:rsidRPr="00C53B84">
              <w:rPr>
                <w:rStyle w:val="Hyperlink"/>
                <w:noProof/>
              </w:rPr>
              <w:t>Research aims and objectives:</w:t>
            </w:r>
            <w:r w:rsidR="00777EE0">
              <w:rPr>
                <w:noProof/>
                <w:webHidden/>
              </w:rPr>
              <w:tab/>
            </w:r>
            <w:r w:rsidR="00777EE0">
              <w:rPr>
                <w:noProof/>
                <w:webHidden/>
              </w:rPr>
              <w:fldChar w:fldCharType="begin"/>
            </w:r>
            <w:r w:rsidR="00777EE0">
              <w:rPr>
                <w:noProof/>
                <w:webHidden/>
              </w:rPr>
              <w:instrText xml:space="preserve"> PAGEREF _Toc35892670 \h </w:instrText>
            </w:r>
            <w:r w:rsidR="00777EE0">
              <w:rPr>
                <w:noProof/>
                <w:webHidden/>
              </w:rPr>
            </w:r>
            <w:r w:rsidR="00777EE0">
              <w:rPr>
                <w:noProof/>
                <w:webHidden/>
              </w:rPr>
              <w:fldChar w:fldCharType="separate"/>
            </w:r>
            <w:r w:rsidR="0026579C">
              <w:rPr>
                <w:noProof/>
                <w:webHidden/>
              </w:rPr>
              <w:t>232</w:t>
            </w:r>
            <w:r w:rsidR="00777EE0">
              <w:rPr>
                <w:noProof/>
                <w:webHidden/>
              </w:rPr>
              <w:fldChar w:fldCharType="end"/>
            </w:r>
          </w:hyperlink>
        </w:p>
        <w:p w14:paraId="056B944D" w14:textId="69DB9379"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71" w:history="1">
            <w:r w:rsidR="00777EE0" w:rsidRPr="00C53B84">
              <w:rPr>
                <w:rStyle w:val="Hyperlink"/>
                <w:noProof/>
              </w:rPr>
              <w:t>6.3</w:t>
            </w:r>
            <w:r w:rsidR="00777EE0">
              <w:rPr>
                <w:rFonts w:asciiTheme="minorHAnsi" w:eastAsiaTheme="minorEastAsia" w:hAnsiTheme="minorHAnsi" w:cstheme="minorBidi"/>
                <w:noProof/>
                <w:sz w:val="22"/>
                <w:lang w:eastAsia="en-GB"/>
              </w:rPr>
              <w:tab/>
            </w:r>
            <w:r w:rsidR="00777EE0" w:rsidRPr="00C53B84">
              <w:rPr>
                <w:rStyle w:val="Hyperlink"/>
                <w:noProof/>
              </w:rPr>
              <w:t>Method overview</w:t>
            </w:r>
            <w:r w:rsidR="00777EE0">
              <w:rPr>
                <w:noProof/>
                <w:webHidden/>
              </w:rPr>
              <w:tab/>
            </w:r>
            <w:r w:rsidR="00777EE0">
              <w:rPr>
                <w:noProof/>
                <w:webHidden/>
              </w:rPr>
              <w:fldChar w:fldCharType="begin"/>
            </w:r>
            <w:r w:rsidR="00777EE0">
              <w:rPr>
                <w:noProof/>
                <w:webHidden/>
              </w:rPr>
              <w:instrText xml:space="preserve"> PAGEREF _Toc35892671 \h </w:instrText>
            </w:r>
            <w:r w:rsidR="00777EE0">
              <w:rPr>
                <w:noProof/>
                <w:webHidden/>
              </w:rPr>
            </w:r>
            <w:r w:rsidR="00777EE0">
              <w:rPr>
                <w:noProof/>
                <w:webHidden/>
              </w:rPr>
              <w:fldChar w:fldCharType="separate"/>
            </w:r>
            <w:r w:rsidR="0026579C">
              <w:rPr>
                <w:noProof/>
                <w:webHidden/>
              </w:rPr>
              <w:t>232</w:t>
            </w:r>
            <w:r w:rsidR="00777EE0">
              <w:rPr>
                <w:noProof/>
                <w:webHidden/>
              </w:rPr>
              <w:fldChar w:fldCharType="end"/>
            </w:r>
          </w:hyperlink>
        </w:p>
        <w:p w14:paraId="0B2500DA" w14:textId="76DAEF61" w:rsidR="00777EE0" w:rsidRDefault="00251E9C">
          <w:pPr>
            <w:pStyle w:val="TOC3"/>
            <w:rPr>
              <w:rFonts w:asciiTheme="minorHAnsi" w:eastAsiaTheme="minorEastAsia" w:hAnsiTheme="minorHAnsi" w:cstheme="minorBidi"/>
              <w:noProof/>
              <w:sz w:val="22"/>
              <w:lang w:eastAsia="en-GB"/>
            </w:rPr>
          </w:pPr>
          <w:hyperlink w:anchor="_Toc35892672" w:history="1">
            <w:r w:rsidR="00777EE0" w:rsidRPr="00C53B84">
              <w:rPr>
                <w:rStyle w:val="Hyperlink"/>
                <w:noProof/>
              </w:rPr>
              <w:t>6.3.1</w:t>
            </w:r>
            <w:r w:rsidR="00777EE0">
              <w:rPr>
                <w:rFonts w:asciiTheme="minorHAnsi" w:eastAsiaTheme="minorEastAsia" w:hAnsiTheme="minorHAnsi" w:cstheme="minorBidi"/>
                <w:noProof/>
                <w:sz w:val="22"/>
                <w:lang w:eastAsia="en-GB"/>
              </w:rPr>
              <w:tab/>
            </w:r>
            <w:r w:rsidR="00777EE0" w:rsidRPr="00C53B84">
              <w:rPr>
                <w:rStyle w:val="Hyperlink"/>
                <w:noProof/>
              </w:rPr>
              <w:t>Participants and procedure</w:t>
            </w:r>
            <w:r w:rsidR="00777EE0">
              <w:rPr>
                <w:noProof/>
                <w:webHidden/>
              </w:rPr>
              <w:tab/>
            </w:r>
            <w:r w:rsidR="00777EE0">
              <w:rPr>
                <w:noProof/>
                <w:webHidden/>
              </w:rPr>
              <w:fldChar w:fldCharType="begin"/>
            </w:r>
            <w:r w:rsidR="00777EE0">
              <w:rPr>
                <w:noProof/>
                <w:webHidden/>
              </w:rPr>
              <w:instrText xml:space="preserve"> PAGEREF _Toc35892672 \h </w:instrText>
            </w:r>
            <w:r w:rsidR="00777EE0">
              <w:rPr>
                <w:noProof/>
                <w:webHidden/>
              </w:rPr>
            </w:r>
            <w:r w:rsidR="00777EE0">
              <w:rPr>
                <w:noProof/>
                <w:webHidden/>
              </w:rPr>
              <w:fldChar w:fldCharType="separate"/>
            </w:r>
            <w:r w:rsidR="0026579C">
              <w:rPr>
                <w:noProof/>
                <w:webHidden/>
              </w:rPr>
              <w:t>233</w:t>
            </w:r>
            <w:r w:rsidR="00777EE0">
              <w:rPr>
                <w:noProof/>
                <w:webHidden/>
              </w:rPr>
              <w:fldChar w:fldCharType="end"/>
            </w:r>
          </w:hyperlink>
        </w:p>
        <w:p w14:paraId="259E6B7C" w14:textId="4BBF7B8F" w:rsidR="00777EE0" w:rsidRDefault="00251E9C">
          <w:pPr>
            <w:pStyle w:val="TOC3"/>
            <w:rPr>
              <w:rFonts w:asciiTheme="minorHAnsi" w:eastAsiaTheme="minorEastAsia" w:hAnsiTheme="minorHAnsi" w:cstheme="minorBidi"/>
              <w:noProof/>
              <w:sz w:val="22"/>
              <w:lang w:eastAsia="en-GB"/>
            </w:rPr>
          </w:pPr>
          <w:hyperlink w:anchor="_Toc35892673" w:history="1">
            <w:r w:rsidR="00777EE0" w:rsidRPr="00C53B84">
              <w:rPr>
                <w:rStyle w:val="Hyperlink"/>
                <w:noProof/>
              </w:rPr>
              <w:t>6.3.2</w:t>
            </w:r>
            <w:r w:rsidR="00777EE0">
              <w:rPr>
                <w:rFonts w:asciiTheme="minorHAnsi" w:eastAsiaTheme="minorEastAsia" w:hAnsiTheme="minorHAnsi" w:cstheme="minorBidi"/>
                <w:noProof/>
                <w:sz w:val="22"/>
                <w:lang w:eastAsia="en-GB"/>
              </w:rPr>
              <w:tab/>
            </w:r>
            <w:r w:rsidR="00777EE0" w:rsidRPr="00C53B84">
              <w:rPr>
                <w:rStyle w:val="Hyperlink"/>
                <w:noProof/>
              </w:rPr>
              <w:t>Target behaviour</w:t>
            </w:r>
            <w:r w:rsidR="00777EE0">
              <w:rPr>
                <w:noProof/>
                <w:webHidden/>
              </w:rPr>
              <w:tab/>
            </w:r>
            <w:r w:rsidR="00777EE0">
              <w:rPr>
                <w:noProof/>
                <w:webHidden/>
              </w:rPr>
              <w:fldChar w:fldCharType="begin"/>
            </w:r>
            <w:r w:rsidR="00777EE0">
              <w:rPr>
                <w:noProof/>
                <w:webHidden/>
              </w:rPr>
              <w:instrText xml:space="preserve"> PAGEREF _Toc35892673 \h </w:instrText>
            </w:r>
            <w:r w:rsidR="00777EE0">
              <w:rPr>
                <w:noProof/>
                <w:webHidden/>
              </w:rPr>
            </w:r>
            <w:r w:rsidR="00777EE0">
              <w:rPr>
                <w:noProof/>
                <w:webHidden/>
              </w:rPr>
              <w:fldChar w:fldCharType="separate"/>
            </w:r>
            <w:r w:rsidR="0026579C">
              <w:rPr>
                <w:noProof/>
                <w:webHidden/>
              </w:rPr>
              <w:t>234</w:t>
            </w:r>
            <w:r w:rsidR="00777EE0">
              <w:rPr>
                <w:noProof/>
                <w:webHidden/>
              </w:rPr>
              <w:fldChar w:fldCharType="end"/>
            </w:r>
          </w:hyperlink>
        </w:p>
        <w:p w14:paraId="498E480B" w14:textId="2A100C64" w:rsidR="00777EE0" w:rsidRDefault="00251E9C">
          <w:pPr>
            <w:pStyle w:val="TOC3"/>
            <w:rPr>
              <w:rFonts w:asciiTheme="minorHAnsi" w:eastAsiaTheme="minorEastAsia" w:hAnsiTheme="minorHAnsi" w:cstheme="minorBidi"/>
              <w:noProof/>
              <w:sz w:val="22"/>
              <w:lang w:eastAsia="en-GB"/>
            </w:rPr>
          </w:pPr>
          <w:hyperlink w:anchor="_Toc35892674" w:history="1">
            <w:r w:rsidR="00777EE0" w:rsidRPr="00C53B84">
              <w:rPr>
                <w:rStyle w:val="Hyperlink"/>
                <w:noProof/>
              </w:rPr>
              <w:t>6.3.3</w:t>
            </w:r>
            <w:r w:rsidR="00777EE0">
              <w:rPr>
                <w:rFonts w:asciiTheme="minorHAnsi" w:eastAsiaTheme="minorEastAsia" w:hAnsiTheme="minorHAnsi" w:cstheme="minorBidi"/>
                <w:noProof/>
                <w:sz w:val="22"/>
                <w:lang w:eastAsia="en-GB"/>
              </w:rPr>
              <w:tab/>
            </w:r>
            <w:r w:rsidR="00777EE0" w:rsidRPr="00C53B84">
              <w:rPr>
                <w:rStyle w:val="Hyperlink"/>
                <w:noProof/>
              </w:rPr>
              <w:t>Measures</w:t>
            </w:r>
            <w:r w:rsidR="00777EE0">
              <w:rPr>
                <w:noProof/>
                <w:webHidden/>
              </w:rPr>
              <w:tab/>
            </w:r>
            <w:r w:rsidR="00777EE0">
              <w:rPr>
                <w:noProof/>
                <w:webHidden/>
              </w:rPr>
              <w:fldChar w:fldCharType="begin"/>
            </w:r>
            <w:r w:rsidR="00777EE0">
              <w:rPr>
                <w:noProof/>
                <w:webHidden/>
              </w:rPr>
              <w:instrText xml:space="preserve"> PAGEREF _Toc35892674 \h </w:instrText>
            </w:r>
            <w:r w:rsidR="00777EE0">
              <w:rPr>
                <w:noProof/>
                <w:webHidden/>
              </w:rPr>
            </w:r>
            <w:r w:rsidR="00777EE0">
              <w:rPr>
                <w:noProof/>
                <w:webHidden/>
              </w:rPr>
              <w:fldChar w:fldCharType="separate"/>
            </w:r>
            <w:r w:rsidR="0026579C">
              <w:rPr>
                <w:noProof/>
                <w:webHidden/>
              </w:rPr>
              <w:t>234</w:t>
            </w:r>
            <w:r w:rsidR="00777EE0">
              <w:rPr>
                <w:noProof/>
                <w:webHidden/>
              </w:rPr>
              <w:fldChar w:fldCharType="end"/>
            </w:r>
          </w:hyperlink>
        </w:p>
        <w:p w14:paraId="726E9939" w14:textId="6835DB21" w:rsidR="00777EE0" w:rsidRDefault="00251E9C">
          <w:pPr>
            <w:pStyle w:val="TOC3"/>
            <w:rPr>
              <w:rFonts w:asciiTheme="minorHAnsi" w:eastAsiaTheme="minorEastAsia" w:hAnsiTheme="minorHAnsi" w:cstheme="minorBidi"/>
              <w:noProof/>
              <w:sz w:val="22"/>
              <w:lang w:eastAsia="en-GB"/>
            </w:rPr>
          </w:pPr>
          <w:hyperlink w:anchor="_Toc35892675" w:history="1">
            <w:r w:rsidR="00777EE0" w:rsidRPr="00C53B84">
              <w:rPr>
                <w:rStyle w:val="Hyperlink"/>
                <w:noProof/>
              </w:rPr>
              <w:t>6.3.4</w:t>
            </w:r>
            <w:r w:rsidR="00777EE0">
              <w:rPr>
                <w:rFonts w:asciiTheme="minorHAnsi" w:eastAsiaTheme="minorEastAsia" w:hAnsiTheme="minorHAnsi" w:cstheme="minorBidi"/>
                <w:noProof/>
                <w:sz w:val="22"/>
                <w:lang w:eastAsia="en-GB"/>
              </w:rPr>
              <w:tab/>
            </w:r>
            <w:r w:rsidR="00777EE0" w:rsidRPr="00C53B84">
              <w:rPr>
                <w:rStyle w:val="Hyperlink"/>
                <w:noProof/>
              </w:rPr>
              <w:t>Focus group questions</w:t>
            </w:r>
            <w:r w:rsidR="00777EE0">
              <w:rPr>
                <w:noProof/>
                <w:webHidden/>
              </w:rPr>
              <w:tab/>
            </w:r>
            <w:r w:rsidR="00777EE0">
              <w:rPr>
                <w:noProof/>
                <w:webHidden/>
              </w:rPr>
              <w:fldChar w:fldCharType="begin"/>
            </w:r>
            <w:r w:rsidR="00777EE0">
              <w:rPr>
                <w:noProof/>
                <w:webHidden/>
              </w:rPr>
              <w:instrText xml:space="preserve"> PAGEREF _Toc35892675 \h </w:instrText>
            </w:r>
            <w:r w:rsidR="00777EE0">
              <w:rPr>
                <w:noProof/>
                <w:webHidden/>
              </w:rPr>
            </w:r>
            <w:r w:rsidR="00777EE0">
              <w:rPr>
                <w:noProof/>
                <w:webHidden/>
              </w:rPr>
              <w:fldChar w:fldCharType="separate"/>
            </w:r>
            <w:r w:rsidR="0026579C">
              <w:rPr>
                <w:noProof/>
                <w:webHidden/>
              </w:rPr>
              <w:t>234</w:t>
            </w:r>
            <w:r w:rsidR="00777EE0">
              <w:rPr>
                <w:noProof/>
                <w:webHidden/>
              </w:rPr>
              <w:fldChar w:fldCharType="end"/>
            </w:r>
          </w:hyperlink>
        </w:p>
        <w:p w14:paraId="17F907A3" w14:textId="118348BF"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76" w:history="1">
            <w:r w:rsidR="00777EE0" w:rsidRPr="00C53B84">
              <w:rPr>
                <w:rStyle w:val="Hyperlink"/>
                <w:noProof/>
              </w:rPr>
              <w:t>6.4</w:t>
            </w:r>
            <w:r w:rsidR="00777EE0">
              <w:rPr>
                <w:rFonts w:asciiTheme="minorHAnsi" w:eastAsiaTheme="minorEastAsia" w:hAnsiTheme="minorHAnsi" w:cstheme="minorBidi"/>
                <w:noProof/>
                <w:sz w:val="22"/>
                <w:lang w:eastAsia="en-GB"/>
              </w:rPr>
              <w:tab/>
            </w:r>
            <w:r w:rsidR="00777EE0" w:rsidRPr="00C53B84">
              <w:rPr>
                <w:rStyle w:val="Hyperlink"/>
                <w:noProof/>
              </w:rPr>
              <w:t>Results</w:t>
            </w:r>
            <w:r w:rsidR="00777EE0">
              <w:rPr>
                <w:noProof/>
                <w:webHidden/>
              </w:rPr>
              <w:tab/>
            </w:r>
            <w:r w:rsidR="00777EE0">
              <w:rPr>
                <w:noProof/>
                <w:webHidden/>
              </w:rPr>
              <w:fldChar w:fldCharType="begin"/>
            </w:r>
            <w:r w:rsidR="00777EE0">
              <w:rPr>
                <w:noProof/>
                <w:webHidden/>
              </w:rPr>
              <w:instrText xml:space="preserve"> PAGEREF _Toc35892676 \h </w:instrText>
            </w:r>
            <w:r w:rsidR="00777EE0">
              <w:rPr>
                <w:noProof/>
                <w:webHidden/>
              </w:rPr>
            </w:r>
            <w:r w:rsidR="00777EE0">
              <w:rPr>
                <w:noProof/>
                <w:webHidden/>
              </w:rPr>
              <w:fldChar w:fldCharType="separate"/>
            </w:r>
            <w:r w:rsidR="0026579C">
              <w:rPr>
                <w:noProof/>
                <w:webHidden/>
              </w:rPr>
              <w:t>238</w:t>
            </w:r>
            <w:r w:rsidR="00777EE0">
              <w:rPr>
                <w:noProof/>
                <w:webHidden/>
              </w:rPr>
              <w:fldChar w:fldCharType="end"/>
            </w:r>
          </w:hyperlink>
        </w:p>
        <w:p w14:paraId="47A6A94B" w14:textId="0238E3B3" w:rsidR="00777EE0" w:rsidRDefault="00251E9C">
          <w:pPr>
            <w:pStyle w:val="TOC3"/>
            <w:rPr>
              <w:rFonts w:asciiTheme="minorHAnsi" w:eastAsiaTheme="minorEastAsia" w:hAnsiTheme="minorHAnsi" w:cstheme="minorBidi"/>
              <w:noProof/>
              <w:sz w:val="22"/>
              <w:lang w:eastAsia="en-GB"/>
            </w:rPr>
          </w:pPr>
          <w:hyperlink w:anchor="_Toc35892677" w:history="1">
            <w:r w:rsidR="00777EE0" w:rsidRPr="00C53B84">
              <w:rPr>
                <w:rStyle w:val="Hyperlink"/>
                <w:noProof/>
              </w:rPr>
              <w:t>6.4.1</w:t>
            </w:r>
            <w:r w:rsidR="00777EE0">
              <w:rPr>
                <w:rFonts w:asciiTheme="minorHAnsi" w:eastAsiaTheme="minorEastAsia" w:hAnsiTheme="minorHAnsi" w:cstheme="minorBidi"/>
                <w:noProof/>
                <w:sz w:val="22"/>
                <w:lang w:eastAsia="en-GB"/>
              </w:rPr>
              <w:tab/>
            </w:r>
            <w:r w:rsidR="00777EE0" w:rsidRPr="00C53B84">
              <w:rPr>
                <w:rStyle w:val="Hyperlink"/>
                <w:noProof/>
              </w:rPr>
              <w:t>Sample characteristics</w:t>
            </w:r>
            <w:r w:rsidR="00777EE0">
              <w:rPr>
                <w:noProof/>
                <w:webHidden/>
              </w:rPr>
              <w:tab/>
            </w:r>
            <w:r w:rsidR="00777EE0">
              <w:rPr>
                <w:noProof/>
                <w:webHidden/>
              </w:rPr>
              <w:fldChar w:fldCharType="begin"/>
            </w:r>
            <w:r w:rsidR="00777EE0">
              <w:rPr>
                <w:noProof/>
                <w:webHidden/>
              </w:rPr>
              <w:instrText xml:space="preserve"> PAGEREF _Toc35892677 \h </w:instrText>
            </w:r>
            <w:r w:rsidR="00777EE0">
              <w:rPr>
                <w:noProof/>
                <w:webHidden/>
              </w:rPr>
            </w:r>
            <w:r w:rsidR="00777EE0">
              <w:rPr>
                <w:noProof/>
                <w:webHidden/>
              </w:rPr>
              <w:fldChar w:fldCharType="separate"/>
            </w:r>
            <w:r w:rsidR="0026579C">
              <w:rPr>
                <w:noProof/>
                <w:webHidden/>
              </w:rPr>
              <w:t>238</w:t>
            </w:r>
            <w:r w:rsidR="00777EE0">
              <w:rPr>
                <w:noProof/>
                <w:webHidden/>
              </w:rPr>
              <w:fldChar w:fldCharType="end"/>
            </w:r>
          </w:hyperlink>
        </w:p>
        <w:p w14:paraId="5FB97B1C" w14:textId="70C6995D" w:rsidR="00777EE0" w:rsidRDefault="00251E9C">
          <w:pPr>
            <w:pStyle w:val="TOC3"/>
            <w:rPr>
              <w:rFonts w:asciiTheme="minorHAnsi" w:eastAsiaTheme="minorEastAsia" w:hAnsiTheme="minorHAnsi" w:cstheme="minorBidi"/>
              <w:noProof/>
              <w:sz w:val="22"/>
              <w:lang w:eastAsia="en-GB"/>
            </w:rPr>
          </w:pPr>
          <w:hyperlink w:anchor="_Toc35892678" w:history="1">
            <w:r w:rsidR="00777EE0" w:rsidRPr="00C53B84">
              <w:rPr>
                <w:rStyle w:val="Hyperlink"/>
                <w:noProof/>
              </w:rPr>
              <w:t>6.4.2</w:t>
            </w:r>
            <w:r w:rsidR="00777EE0">
              <w:rPr>
                <w:rFonts w:asciiTheme="minorHAnsi" w:eastAsiaTheme="minorEastAsia" w:hAnsiTheme="minorHAnsi" w:cstheme="minorBidi"/>
                <w:noProof/>
                <w:sz w:val="22"/>
                <w:lang w:eastAsia="en-GB"/>
              </w:rPr>
              <w:tab/>
            </w:r>
            <w:r w:rsidR="00777EE0" w:rsidRPr="00C53B84">
              <w:rPr>
                <w:rStyle w:val="Hyperlink"/>
                <w:noProof/>
              </w:rPr>
              <w:t>Substances</w:t>
            </w:r>
            <w:r w:rsidR="00777EE0">
              <w:rPr>
                <w:noProof/>
                <w:webHidden/>
              </w:rPr>
              <w:tab/>
            </w:r>
            <w:r w:rsidR="00777EE0">
              <w:rPr>
                <w:noProof/>
                <w:webHidden/>
              </w:rPr>
              <w:fldChar w:fldCharType="begin"/>
            </w:r>
            <w:r w:rsidR="00777EE0">
              <w:rPr>
                <w:noProof/>
                <w:webHidden/>
              </w:rPr>
              <w:instrText xml:space="preserve"> PAGEREF _Toc35892678 \h </w:instrText>
            </w:r>
            <w:r w:rsidR="00777EE0">
              <w:rPr>
                <w:noProof/>
                <w:webHidden/>
              </w:rPr>
            </w:r>
            <w:r w:rsidR="00777EE0">
              <w:rPr>
                <w:noProof/>
                <w:webHidden/>
              </w:rPr>
              <w:fldChar w:fldCharType="separate"/>
            </w:r>
            <w:r w:rsidR="0026579C">
              <w:rPr>
                <w:noProof/>
                <w:webHidden/>
              </w:rPr>
              <w:t>240</w:t>
            </w:r>
            <w:r w:rsidR="00777EE0">
              <w:rPr>
                <w:noProof/>
                <w:webHidden/>
              </w:rPr>
              <w:fldChar w:fldCharType="end"/>
            </w:r>
          </w:hyperlink>
        </w:p>
        <w:p w14:paraId="69B4CB58" w14:textId="43EBA002" w:rsidR="00777EE0" w:rsidRDefault="00251E9C">
          <w:pPr>
            <w:pStyle w:val="TOC3"/>
            <w:rPr>
              <w:rFonts w:asciiTheme="minorHAnsi" w:eastAsiaTheme="minorEastAsia" w:hAnsiTheme="minorHAnsi" w:cstheme="minorBidi"/>
              <w:noProof/>
              <w:sz w:val="22"/>
              <w:lang w:eastAsia="en-GB"/>
            </w:rPr>
          </w:pPr>
          <w:hyperlink w:anchor="_Toc35892679" w:history="1">
            <w:r w:rsidR="00777EE0" w:rsidRPr="00C53B84">
              <w:rPr>
                <w:rStyle w:val="Hyperlink"/>
                <w:noProof/>
              </w:rPr>
              <w:t>6.4.3</w:t>
            </w:r>
            <w:r w:rsidR="00777EE0">
              <w:rPr>
                <w:rFonts w:asciiTheme="minorHAnsi" w:eastAsiaTheme="minorEastAsia" w:hAnsiTheme="minorHAnsi" w:cstheme="minorBidi"/>
                <w:noProof/>
                <w:sz w:val="22"/>
                <w:lang w:eastAsia="en-GB"/>
              </w:rPr>
              <w:tab/>
            </w:r>
            <w:r w:rsidR="00777EE0" w:rsidRPr="00C53B84">
              <w:rPr>
                <w:rStyle w:val="Hyperlink"/>
                <w:noProof/>
              </w:rPr>
              <w:t>Data analysis</w:t>
            </w:r>
            <w:r w:rsidR="00777EE0">
              <w:rPr>
                <w:noProof/>
                <w:webHidden/>
              </w:rPr>
              <w:tab/>
            </w:r>
            <w:r w:rsidR="00777EE0">
              <w:rPr>
                <w:noProof/>
                <w:webHidden/>
              </w:rPr>
              <w:fldChar w:fldCharType="begin"/>
            </w:r>
            <w:r w:rsidR="00777EE0">
              <w:rPr>
                <w:noProof/>
                <w:webHidden/>
              </w:rPr>
              <w:instrText xml:space="preserve"> PAGEREF _Toc35892679 \h </w:instrText>
            </w:r>
            <w:r w:rsidR="00777EE0">
              <w:rPr>
                <w:noProof/>
                <w:webHidden/>
              </w:rPr>
            </w:r>
            <w:r w:rsidR="00777EE0">
              <w:rPr>
                <w:noProof/>
                <w:webHidden/>
              </w:rPr>
              <w:fldChar w:fldCharType="separate"/>
            </w:r>
            <w:r w:rsidR="0026579C">
              <w:rPr>
                <w:noProof/>
                <w:webHidden/>
              </w:rPr>
              <w:t>240</w:t>
            </w:r>
            <w:r w:rsidR="00777EE0">
              <w:rPr>
                <w:noProof/>
                <w:webHidden/>
              </w:rPr>
              <w:fldChar w:fldCharType="end"/>
            </w:r>
          </w:hyperlink>
        </w:p>
        <w:p w14:paraId="57E9D791" w14:textId="098EB2CB" w:rsidR="00777EE0" w:rsidRDefault="00251E9C">
          <w:pPr>
            <w:pStyle w:val="TOC3"/>
            <w:rPr>
              <w:rFonts w:asciiTheme="minorHAnsi" w:eastAsiaTheme="minorEastAsia" w:hAnsiTheme="minorHAnsi" w:cstheme="minorBidi"/>
              <w:noProof/>
              <w:sz w:val="22"/>
              <w:lang w:eastAsia="en-GB"/>
            </w:rPr>
          </w:pPr>
          <w:hyperlink w:anchor="_Toc35892680" w:history="1">
            <w:r w:rsidR="00777EE0" w:rsidRPr="00C53B84">
              <w:rPr>
                <w:rStyle w:val="Hyperlink"/>
                <w:noProof/>
              </w:rPr>
              <w:t>6.4.4</w:t>
            </w:r>
            <w:r w:rsidR="00777EE0">
              <w:rPr>
                <w:rFonts w:asciiTheme="minorHAnsi" w:eastAsiaTheme="minorEastAsia" w:hAnsiTheme="minorHAnsi" w:cstheme="minorBidi"/>
                <w:noProof/>
                <w:sz w:val="22"/>
                <w:lang w:eastAsia="en-GB"/>
              </w:rPr>
              <w:tab/>
            </w:r>
            <w:r w:rsidR="00777EE0" w:rsidRPr="00C53B84">
              <w:rPr>
                <w:rStyle w:val="Hyperlink"/>
                <w:noProof/>
              </w:rPr>
              <w:t>Motivations and model fit</w:t>
            </w:r>
            <w:r w:rsidR="00777EE0">
              <w:rPr>
                <w:noProof/>
                <w:webHidden/>
              </w:rPr>
              <w:tab/>
            </w:r>
            <w:r w:rsidR="00777EE0">
              <w:rPr>
                <w:noProof/>
                <w:webHidden/>
              </w:rPr>
              <w:fldChar w:fldCharType="begin"/>
            </w:r>
            <w:r w:rsidR="00777EE0">
              <w:rPr>
                <w:noProof/>
                <w:webHidden/>
              </w:rPr>
              <w:instrText xml:space="preserve"> PAGEREF _Toc35892680 \h </w:instrText>
            </w:r>
            <w:r w:rsidR="00777EE0">
              <w:rPr>
                <w:noProof/>
                <w:webHidden/>
              </w:rPr>
            </w:r>
            <w:r w:rsidR="00777EE0">
              <w:rPr>
                <w:noProof/>
                <w:webHidden/>
              </w:rPr>
              <w:fldChar w:fldCharType="separate"/>
            </w:r>
            <w:r w:rsidR="0026579C">
              <w:rPr>
                <w:noProof/>
                <w:webHidden/>
              </w:rPr>
              <w:t>247</w:t>
            </w:r>
            <w:r w:rsidR="00777EE0">
              <w:rPr>
                <w:noProof/>
                <w:webHidden/>
              </w:rPr>
              <w:fldChar w:fldCharType="end"/>
            </w:r>
          </w:hyperlink>
        </w:p>
        <w:p w14:paraId="40FFC565" w14:textId="0A79AE1D" w:rsidR="00777EE0" w:rsidRDefault="00251E9C">
          <w:pPr>
            <w:pStyle w:val="TOC3"/>
            <w:rPr>
              <w:rFonts w:asciiTheme="minorHAnsi" w:eastAsiaTheme="minorEastAsia" w:hAnsiTheme="minorHAnsi" w:cstheme="minorBidi"/>
              <w:noProof/>
              <w:sz w:val="22"/>
              <w:lang w:eastAsia="en-GB"/>
            </w:rPr>
          </w:pPr>
          <w:hyperlink w:anchor="_Toc35892681" w:history="1">
            <w:r w:rsidR="00777EE0" w:rsidRPr="00C53B84">
              <w:rPr>
                <w:rStyle w:val="Hyperlink"/>
                <w:noProof/>
              </w:rPr>
              <w:t>6.4.5</w:t>
            </w:r>
            <w:r w:rsidR="00777EE0">
              <w:rPr>
                <w:rFonts w:asciiTheme="minorHAnsi" w:eastAsiaTheme="minorEastAsia" w:hAnsiTheme="minorHAnsi" w:cstheme="minorBidi"/>
                <w:noProof/>
                <w:sz w:val="22"/>
                <w:lang w:eastAsia="en-GB"/>
              </w:rPr>
              <w:tab/>
            </w:r>
            <w:r w:rsidR="00777EE0" w:rsidRPr="00C53B84">
              <w:rPr>
                <w:rStyle w:val="Hyperlink"/>
                <w:noProof/>
              </w:rPr>
              <w:t>Salient behavioural beliefs</w:t>
            </w:r>
            <w:r w:rsidR="00777EE0">
              <w:rPr>
                <w:noProof/>
                <w:webHidden/>
              </w:rPr>
              <w:tab/>
            </w:r>
            <w:r w:rsidR="00777EE0">
              <w:rPr>
                <w:noProof/>
                <w:webHidden/>
              </w:rPr>
              <w:fldChar w:fldCharType="begin"/>
            </w:r>
            <w:r w:rsidR="00777EE0">
              <w:rPr>
                <w:noProof/>
                <w:webHidden/>
              </w:rPr>
              <w:instrText xml:space="preserve"> PAGEREF _Toc35892681 \h </w:instrText>
            </w:r>
            <w:r w:rsidR="00777EE0">
              <w:rPr>
                <w:noProof/>
                <w:webHidden/>
              </w:rPr>
            </w:r>
            <w:r w:rsidR="00777EE0">
              <w:rPr>
                <w:noProof/>
                <w:webHidden/>
              </w:rPr>
              <w:fldChar w:fldCharType="separate"/>
            </w:r>
            <w:r w:rsidR="0026579C">
              <w:rPr>
                <w:noProof/>
                <w:webHidden/>
              </w:rPr>
              <w:t>249</w:t>
            </w:r>
            <w:r w:rsidR="00777EE0">
              <w:rPr>
                <w:noProof/>
                <w:webHidden/>
              </w:rPr>
              <w:fldChar w:fldCharType="end"/>
            </w:r>
          </w:hyperlink>
        </w:p>
        <w:p w14:paraId="2F4486DD" w14:textId="58EC5FED" w:rsidR="00777EE0" w:rsidRDefault="00251E9C">
          <w:pPr>
            <w:pStyle w:val="TOC3"/>
            <w:rPr>
              <w:rFonts w:asciiTheme="minorHAnsi" w:eastAsiaTheme="minorEastAsia" w:hAnsiTheme="minorHAnsi" w:cstheme="minorBidi"/>
              <w:noProof/>
              <w:sz w:val="22"/>
              <w:lang w:eastAsia="en-GB"/>
            </w:rPr>
          </w:pPr>
          <w:hyperlink w:anchor="_Toc35892682" w:history="1">
            <w:r w:rsidR="00777EE0" w:rsidRPr="00C53B84">
              <w:rPr>
                <w:rStyle w:val="Hyperlink"/>
                <w:iCs/>
                <w:noProof/>
              </w:rPr>
              <w:t>6.4.6</w:t>
            </w:r>
            <w:r w:rsidR="00777EE0">
              <w:rPr>
                <w:rFonts w:asciiTheme="minorHAnsi" w:eastAsiaTheme="minorEastAsia" w:hAnsiTheme="minorHAnsi" w:cstheme="minorBidi"/>
                <w:noProof/>
                <w:sz w:val="22"/>
                <w:lang w:eastAsia="en-GB"/>
              </w:rPr>
              <w:tab/>
            </w:r>
            <w:r w:rsidR="00777EE0" w:rsidRPr="00C53B84">
              <w:rPr>
                <w:rStyle w:val="Hyperlink"/>
                <w:noProof/>
              </w:rPr>
              <w:t>Description of themes and motivations</w:t>
            </w:r>
            <w:r w:rsidR="00777EE0">
              <w:rPr>
                <w:noProof/>
                <w:webHidden/>
              </w:rPr>
              <w:tab/>
            </w:r>
            <w:r w:rsidR="00777EE0">
              <w:rPr>
                <w:noProof/>
                <w:webHidden/>
              </w:rPr>
              <w:fldChar w:fldCharType="begin"/>
            </w:r>
            <w:r w:rsidR="00777EE0">
              <w:rPr>
                <w:noProof/>
                <w:webHidden/>
              </w:rPr>
              <w:instrText xml:space="preserve"> PAGEREF _Toc35892682 \h </w:instrText>
            </w:r>
            <w:r w:rsidR="00777EE0">
              <w:rPr>
                <w:noProof/>
                <w:webHidden/>
              </w:rPr>
            </w:r>
            <w:r w:rsidR="00777EE0">
              <w:rPr>
                <w:noProof/>
                <w:webHidden/>
              </w:rPr>
              <w:fldChar w:fldCharType="separate"/>
            </w:r>
            <w:r w:rsidR="0026579C">
              <w:rPr>
                <w:noProof/>
                <w:webHidden/>
              </w:rPr>
              <w:t>252</w:t>
            </w:r>
            <w:r w:rsidR="00777EE0">
              <w:rPr>
                <w:noProof/>
                <w:webHidden/>
              </w:rPr>
              <w:fldChar w:fldCharType="end"/>
            </w:r>
          </w:hyperlink>
        </w:p>
        <w:p w14:paraId="72F69796" w14:textId="5E0AEBB4" w:rsidR="00777EE0" w:rsidRDefault="00251E9C">
          <w:pPr>
            <w:pStyle w:val="TOC3"/>
            <w:rPr>
              <w:rFonts w:asciiTheme="minorHAnsi" w:eastAsiaTheme="minorEastAsia" w:hAnsiTheme="minorHAnsi" w:cstheme="minorBidi"/>
              <w:noProof/>
              <w:sz w:val="22"/>
              <w:lang w:eastAsia="en-GB"/>
            </w:rPr>
          </w:pPr>
          <w:hyperlink w:anchor="_Toc35892683" w:history="1">
            <w:r w:rsidR="00777EE0" w:rsidRPr="00C53B84">
              <w:rPr>
                <w:rStyle w:val="Hyperlink"/>
                <w:iCs/>
                <w:noProof/>
              </w:rPr>
              <w:t>6.4.6.1</w:t>
            </w:r>
            <w:r w:rsidR="00777EE0">
              <w:rPr>
                <w:rFonts w:asciiTheme="minorHAnsi" w:eastAsiaTheme="minorEastAsia" w:hAnsiTheme="minorHAnsi" w:cstheme="minorBidi"/>
                <w:noProof/>
                <w:sz w:val="22"/>
                <w:lang w:eastAsia="en-GB"/>
              </w:rPr>
              <w:tab/>
            </w:r>
            <w:r w:rsidR="00777EE0" w:rsidRPr="00C53B84">
              <w:rPr>
                <w:rStyle w:val="Hyperlink"/>
                <w:iCs/>
                <w:noProof/>
              </w:rPr>
              <w:t>Risk perception and health motivation</w:t>
            </w:r>
            <w:r w:rsidR="00777EE0">
              <w:rPr>
                <w:noProof/>
                <w:webHidden/>
              </w:rPr>
              <w:tab/>
            </w:r>
            <w:r w:rsidR="00777EE0">
              <w:rPr>
                <w:noProof/>
                <w:webHidden/>
              </w:rPr>
              <w:fldChar w:fldCharType="begin"/>
            </w:r>
            <w:r w:rsidR="00777EE0">
              <w:rPr>
                <w:noProof/>
                <w:webHidden/>
              </w:rPr>
              <w:instrText xml:space="preserve"> PAGEREF _Toc35892683 \h </w:instrText>
            </w:r>
            <w:r w:rsidR="00777EE0">
              <w:rPr>
                <w:noProof/>
                <w:webHidden/>
              </w:rPr>
            </w:r>
            <w:r w:rsidR="00777EE0">
              <w:rPr>
                <w:noProof/>
                <w:webHidden/>
              </w:rPr>
              <w:fldChar w:fldCharType="separate"/>
            </w:r>
            <w:r w:rsidR="0026579C">
              <w:rPr>
                <w:noProof/>
                <w:webHidden/>
              </w:rPr>
              <w:t>252</w:t>
            </w:r>
            <w:r w:rsidR="00777EE0">
              <w:rPr>
                <w:noProof/>
                <w:webHidden/>
              </w:rPr>
              <w:fldChar w:fldCharType="end"/>
            </w:r>
          </w:hyperlink>
        </w:p>
        <w:p w14:paraId="79224462" w14:textId="1EF63BD4" w:rsidR="00777EE0" w:rsidRDefault="00251E9C">
          <w:pPr>
            <w:pStyle w:val="TOC3"/>
            <w:rPr>
              <w:rFonts w:asciiTheme="minorHAnsi" w:eastAsiaTheme="minorEastAsia" w:hAnsiTheme="minorHAnsi" w:cstheme="minorBidi"/>
              <w:noProof/>
              <w:sz w:val="22"/>
              <w:lang w:eastAsia="en-GB"/>
            </w:rPr>
          </w:pPr>
          <w:hyperlink w:anchor="_Toc35892684" w:history="1">
            <w:r w:rsidR="00777EE0" w:rsidRPr="00C53B84">
              <w:rPr>
                <w:rStyle w:val="Hyperlink"/>
                <w:iCs/>
                <w:noProof/>
              </w:rPr>
              <w:t>6.4.6.2</w:t>
            </w:r>
            <w:r w:rsidR="00777EE0">
              <w:rPr>
                <w:rFonts w:asciiTheme="minorHAnsi" w:eastAsiaTheme="minorEastAsia" w:hAnsiTheme="minorHAnsi" w:cstheme="minorBidi"/>
                <w:noProof/>
                <w:sz w:val="22"/>
                <w:lang w:eastAsia="en-GB"/>
              </w:rPr>
              <w:tab/>
            </w:r>
            <w:r w:rsidR="00777EE0" w:rsidRPr="00C53B84">
              <w:rPr>
                <w:rStyle w:val="Hyperlink"/>
                <w:iCs/>
                <w:noProof/>
              </w:rPr>
              <w:t>Accessibility, financial motivation and effort</w:t>
            </w:r>
            <w:r w:rsidR="00777EE0">
              <w:rPr>
                <w:noProof/>
                <w:webHidden/>
              </w:rPr>
              <w:tab/>
            </w:r>
            <w:r w:rsidR="00777EE0">
              <w:rPr>
                <w:noProof/>
                <w:webHidden/>
              </w:rPr>
              <w:fldChar w:fldCharType="begin"/>
            </w:r>
            <w:r w:rsidR="00777EE0">
              <w:rPr>
                <w:noProof/>
                <w:webHidden/>
              </w:rPr>
              <w:instrText xml:space="preserve"> PAGEREF _Toc35892684 \h </w:instrText>
            </w:r>
            <w:r w:rsidR="00777EE0">
              <w:rPr>
                <w:noProof/>
                <w:webHidden/>
              </w:rPr>
            </w:r>
            <w:r w:rsidR="00777EE0">
              <w:rPr>
                <w:noProof/>
                <w:webHidden/>
              </w:rPr>
              <w:fldChar w:fldCharType="separate"/>
            </w:r>
            <w:r w:rsidR="0026579C">
              <w:rPr>
                <w:noProof/>
                <w:webHidden/>
              </w:rPr>
              <w:t>254</w:t>
            </w:r>
            <w:r w:rsidR="00777EE0">
              <w:rPr>
                <w:noProof/>
                <w:webHidden/>
              </w:rPr>
              <w:fldChar w:fldCharType="end"/>
            </w:r>
          </w:hyperlink>
        </w:p>
        <w:p w14:paraId="32A65D36" w14:textId="35BAB340" w:rsidR="00777EE0" w:rsidRDefault="00251E9C">
          <w:pPr>
            <w:pStyle w:val="TOC3"/>
            <w:rPr>
              <w:rFonts w:asciiTheme="minorHAnsi" w:eastAsiaTheme="minorEastAsia" w:hAnsiTheme="minorHAnsi" w:cstheme="minorBidi"/>
              <w:noProof/>
              <w:sz w:val="22"/>
              <w:lang w:eastAsia="en-GB"/>
            </w:rPr>
          </w:pPr>
          <w:hyperlink w:anchor="_Toc35892685" w:history="1">
            <w:r w:rsidR="00777EE0" w:rsidRPr="00C53B84">
              <w:rPr>
                <w:rStyle w:val="Hyperlink"/>
                <w:iCs/>
                <w:noProof/>
              </w:rPr>
              <w:t>6.4.6.3</w:t>
            </w:r>
            <w:r w:rsidR="00777EE0">
              <w:rPr>
                <w:rFonts w:asciiTheme="minorHAnsi" w:eastAsiaTheme="minorEastAsia" w:hAnsiTheme="minorHAnsi" w:cstheme="minorBidi"/>
                <w:noProof/>
                <w:sz w:val="22"/>
                <w:lang w:eastAsia="en-GB"/>
              </w:rPr>
              <w:tab/>
            </w:r>
            <w:r w:rsidR="00777EE0" w:rsidRPr="00C53B84">
              <w:rPr>
                <w:rStyle w:val="Hyperlink"/>
                <w:iCs/>
                <w:noProof/>
              </w:rPr>
              <w:t>Authority, parent’s approval and autonomy</w:t>
            </w:r>
            <w:r w:rsidR="00777EE0">
              <w:rPr>
                <w:noProof/>
                <w:webHidden/>
              </w:rPr>
              <w:tab/>
            </w:r>
            <w:r w:rsidR="00777EE0">
              <w:rPr>
                <w:noProof/>
                <w:webHidden/>
              </w:rPr>
              <w:fldChar w:fldCharType="begin"/>
            </w:r>
            <w:r w:rsidR="00777EE0">
              <w:rPr>
                <w:noProof/>
                <w:webHidden/>
              </w:rPr>
              <w:instrText xml:space="preserve"> PAGEREF _Toc35892685 \h </w:instrText>
            </w:r>
            <w:r w:rsidR="00777EE0">
              <w:rPr>
                <w:noProof/>
                <w:webHidden/>
              </w:rPr>
            </w:r>
            <w:r w:rsidR="00777EE0">
              <w:rPr>
                <w:noProof/>
                <w:webHidden/>
              </w:rPr>
              <w:fldChar w:fldCharType="separate"/>
            </w:r>
            <w:r w:rsidR="0026579C">
              <w:rPr>
                <w:noProof/>
                <w:webHidden/>
              </w:rPr>
              <w:t>255</w:t>
            </w:r>
            <w:r w:rsidR="00777EE0">
              <w:rPr>
                <w:noProof/>
                <w:webHidden/>
              </w:rPr>
              <w:fldChar w:fldCharType="end"/>
            </w:r>
          </w:hyperlink>
        </w:p>
        <w:p w14:paraId="3352B2F7" w14:textId="5A5BD4C9" w:rsidR="00777EE0" w:rsidRDefault="00251E9C">
          <w:pPr>
            <w:pStyle w:val="TOC3"/>
            <w:rPr>
              <w:rFonts w:asciiTheme="minorHAnsi" w:eastAsiaTheme="minorEastAsia" w:hAnsiTheme="minorHAnsi" w:cstheme="minorBidi"/>
              <w:noProof/>
              <w:sz w:val="22"/>
              <w:lang w:eastAsia="en-GB"/>
            </w:rPr>
          </w:pPr>
          <w:hyperlink w:anchor="_Toc35892686" w:history="1">
            <w:r w:rsidR="00777EE0" w:rsidRPr="00C53B84">
              <w:rPr>
                <w:rStyle w:val="Hyperlink"/>
                <w:iCs/>
                <w:noProof/>
              </w:rPr>
              <w:t>6.4.6.4</w:t>
            </w:r>
            <w:r w:rsidR="00777EE0">
              <w:rPr>
                <w:rFonts w:asciiTheme="minorHAnsi" w:eastAsiaTheme="minorEastAsia" w:hAnsiTheme="minorHAnsi" w:cstheme="minorBidi"/>
                <w:noProof/>
                <w:sz w:val="22"/>
                <w:lang w:eastAsia="en-GB"/>
              </w:rPr>
              <w:tab/>
            </w:r>
            <w:r w:rsidR="00777EE0" w:rsidRPr="00C53B84">
              <w:rPr>
                <w:rStyle w:val="Hyperlink"/>
                <w:iCs/>
                <w:noProof/>
              </w:rPr>
              <w:t>Drug effects and pleasure motives</w:t>
            </w:r>
            <w:r w:rsidR="00777EE0">
              <w:rPr>
                <w:noProof/>
                <w:webHidden/>
              </w:rPr>
              <w:tab/>
            </w:r>
            <w:r w:rsidR="00777EE0">
              <w:rPr>
                <w:noProof/>
                <w:webHidden/>
              </w:rPr>
              <w:fldChar w:fldCharType="begin"/>
            </w:r>
            <w:r w:rsidR="00777EE0">
              <w:rPr>
                <w:noProof/>
                <w:webHidden/>
              </w:rPr>
              <w:instrText xml:space="preserve"> PAGEREF _Toc35892686 \h </w:instrText>
            </w:r>
            <w:r w:rsidR="00777EE0">
              <w:rPr>
                <w:noProof/>
                <w:webHidden/>
              </w:rPr>
            </w:r>
            <w:r w:rsidR="00777EE0">
              <w:rPr>
                <w:noProof/>
                <w:webHidden/>
              </w:rPr>
              <w:fldChar w:fldCharType="separate"/>
            </w:r>
            <w:r w:rsidR="0026579C">
              <w:rPr>
                <w:noProof/>
                <w:webHidden/>
              </w:rPr>
              <w:t>257</w:t>
            </w:r>
            <w:r w:rsidR="00777EE0">
              <w:rPr>
                <w:noProof/>
                <w:webHidden/>
              </w:rPr>
              <w:fldChar w:fldCharType="end"/>
            </w:r>
          </w:hyperlink>
        </w:p>
        <w:p w14:paraId="06A8791D" w14:textId="440F1768" w:rsidR="00777EE0" w:rsidRDefault="00251E9C">
          <w:pPr>
            <w:pStyle w:val="TOC3"/>
            <w:rPr>
              <w:rFonts w:asciiTheme="minorHAnsi" w:eastAsiaTheme="minorEastAsia" w:hAnsiTheme="minorHAnsi" w:cstheme="minorBidi"/>
              <w:noProof/>
              <w:sz w:val="22"/>
              <w:lang w:eastAsia="en-GB"/>
            </w:rPr>
          </w:pPr>
          <w:hyperlink w:anchor="_Toc35892687" w:history="1">
            <w:r w:rsidR="00777EE0" w:rsidRPr="00C53B84">
              <w:rPr>
                <w:rStyle w:val="Hyperlink"/>
                <w:iCs/>
                <w:noProof/>
              </w:rPr>
              <w:t>6.4.6.5</w:t>
            </w:r>
            <w:r w:rsidR="00777EE0">
              <w:rPr>
                <w:rFonts w:asciiTheme="minorHAnsi" w:eastAsiaTheme="minorEastAsia" w:hAnsiTheme="minorHAnsi" w:cstheme="minorBidi"/>
                <w:noProof/>
                <w:sz w:val="22"/>
                <w:lang w:eastAsia="en-GB"/>
              </w:rPr>
              <w:tab/>
            </w:r>
            <w:r w:rsidR="00777EE0" w:rsidRPr="00C53B84">
              <w:rPr>
                <w:rStyle w:val="Hyperlink"/>
                <w:iCs/>
                <w:noProof/>
              </w:rPr>
              <w:t>Legal status</w:t>
            </w:r>
            <w:r w:rsidR="00777EE0">
              <w:rPr>
                <w:noProof/>
                <w:webHidden/>
              </w:rPr>
              <w:tab/>
            </w:r>
            <w:r w:rsidR="00777EE0">
              <w:rPr>
                <w:noProof/>
                <w:webHidden/>
              </w:rPr>
              <w:fldChar w:fldCharType="begin"/>
            </w:r>
            <w:r w:rsidR="00777EE0">
              <w:rPr>
                <w:noProof/>
                <w:webHidden/>
              </w:rPr>
              <w:instrText xml:space="preserve"> PAGEREF _Toc35892687 \h </w:instrText>
            </w:r>
            <w:r w:rsidR="00777EE0">
              <w:rPr>
                <w:noProof/>
                <w:webHidden/>
              </w:rPr>
            </w:r>
            <w:r w:rsidR="00777EE0">
              <w:rPr>
                <w:noProof/>
                <w:webHidden/>
              </w:rPr>
              <w:fldChar w:fldCharType="separate"/>
            </w:r>
            <w:r w:rsidR="0026579C">
              <w:rPr>
                <w:noProof/>
                <w:webHidden/>
              </w:rPr>
              <w:t>257</w:t>
            </w:r>
            <w:r w:rsidR="00777EE0">
              <w:rPr>
                <w:noProof/>
                <w:webHidden/>
              </w:rPr>
              <w:fldChar w:fldCharType="end"/>
            </w:r>
          </w:hyperlink>
        </w:p>
        <w:p w14:paraId="083AF6AD" w14:textId="66DBA90E" w:rsidR="00777EE0" w:rsidRDefault="00251E9C">
          <w:pPr>
            <w:pStyle w:val="TOC3"/>
            <w:rPr>
              <w:rFonts w:asciiTheme="minorHAnsi" w:eastAsiaTheme="minorEastAsia" w:hAnsiTheme="minorHAnsi" w:cstheme="minorBidi"/>
              <w:noProof/>
              <w:sz w:val="22"/>
              <w:lang w:eastAsia="en-GB"/>
            </w:rPr>
          </w:pPr>
          <w:hyperlink w:anchor="_Toc35892688" w:history="1">
            <w:r w:rsidR="00777EE0" w:rsidRPr="00C53B84">
              <w:rPr>
                <w:rStyle w:val="Hyperlink"/>
                <w:iCs/>
                <w:noProof/>
              </w:rPr>
              <w:t>6.4.6.6</w:t>
            </w:r>
            <w:r w:rsidR="00777EE0">
              <w:rPr>
                <w:rFonts w:asciiTheme="minorHAnsi" w:eastAsiaTheme="minorEastAsia" w:hAnsiTheme="minorHAnsi" w:cstheme="minorBidi"/>
                <w:noProof/>
                <w:sz w:val="22"/>
                <w:lang w:eastAsia="en-GB"/>
              </w:rPr>
              <w:tab/>
            </w:r>
            <w:r w:rsidR="00777EE0" w:rsidRPr="00C53B84">
              <w:rPr>
                <w:rStyle w:val="Hyperlink"/>
                <w:iCs/>
                <w:noProof/>
              </w:rPr>
              <w:t>Social influences</w:t>
            </w:r>
            <w:r w:rsidR="00777EE0">
              <w:rPr>
                <w:noProof/>
                <w:webHidden/>
              </w:rPr>
              <w:tab/>
            </w:r>
            <w:r w:rsidR="00777EE0">
              <w:rPr>
                <w:noProof/>
                <w:webHidden/>
              </w:rPr>
              <w:fldChar w:fldCharType="begin"/>
            </w:r>
            <w:r w:rsidR="00777EE0">
              <w:rPr>
                <w:noProof/>
                <w:webHidden/>
              </w:rPr>
              <w:instrText xml:space="preserve"> PAGEREF _Toc35892688 \h </w:instrText>
            </w:r>
            <w:r w:rsidR="00777EE0">
              <w:rPr>
                <w:noProof/>
                <w:webHidden/>
              </w:rPr>
            </w:r>
            <w:r w:rsidR="00777EE0">
              <w:rPr>
                <w:noProof/>
                <w:webHidden/>
              </w:rPr>
              <w:fldChar w:fldCharType="separate"/>
            </w:r>
            <w:r w:rsidR="0026579C">
              <w:rPr>
                <w:noProof/>
                <w:webHidden/>
              </w:rPr>
              <w:t>258</w:t>
            </w:r>
            <w:r w:rsidR="00777EE0">
              <w:rPr>
                <w:noProof/>
                <w:webHidden/>
              </w:rPr>
              <w:fldChar w:fldCharType="end"/>
            </w:r>
          </w:hyperlink>
        </w:p>
        <w:p w14:paraId="5915F39C" w14:textId="320DF3FD" w:rsidR="00777EE0" w:rsidRDefault="00251E9C">
          <w:pPr>
            <w:pStyle w:val="TOC3"/>
            <w:rPr>
              <w:rFonts w:asciiTheme="minorHAnsi" w:eastAsiaTheme="minorEastAsia" w:hAnsiTheme="minorHAnsi" w:cstheme="minorBidi"/>
              <w:noProof/>
              <w:sz w:val="22"/>
              <w:lang w:eastAsia="en-GB"/>
            </w:rPr>
          </w:pPr>
          <w:hyperlink w:anchor="_Toc35892689" w:history="1">
            <w:r w:rsidR="00777EE0" w:rsidRPr="00C53B84">
              <w:rPr>
                <w:rStyle w:val="Hyperlink"/>
                <w:iCs/>
                <w:noProof/>
              </w:rPr>
              <w:t>6.4.6.7</w:t>
            </w:r>
            <w:r w:rsidR="00777EE0">
              <w:rPr>
                <w:rFonts w:asciiTheme="minorHAnsi" w:eastAsiaTheme="minorEastAsia" w:hAnsiTheme="minorHAnsi" w:cstheme="minorBidi"/>
                <w:noProof/>
                <w:sz w:val="22"/>
                <w:lang w:eastAsia="en-GB"/>
              </w:rPr>
              <w:tab/>
            </w:r>
            <w:r w:rsidR="00777EE0" w:rsidRPr="00C53B84">
              <w:rPr>
                <w:rStyle w:val="Hyperlink"/>
                <w:iCs/>
                <w:noProof/>
              </w:rPr>
              <w:t>User types</w:t>
            </w:r>
            <w:r w:rsidR="00777EE0">
              <w:rPr>
                <w:noProof/>
                <w:webHidden/>
              </w:rPr>
              <w:tab/>
            </w:r>
            <w:r w:rsidR="00777EE0">
              <w:rPr>
                <w:noProof/>
                <w:webHidden/>
              </w:rPr>
              <w:fldChar w:fldCharType="begin"/>
            </w:r>
            <w:r w:rsidR="00777EE0">
              <w:rPr>
                <w:noProof/>
                <w:webHidden/>
              </w:rPr>
              <w:instrText xml:space="preserve"> PAGEREF _Toc35892689 \h </w:instrText>
            </w:r>
            <w:r w:rsidR="00777EE0">
              <w:rPr>
                <w:noProof/>
                <w:webHidden/>
              </w:rPr>
            </w:r>
            <w:r w:rsidR="00777EE0">
              <w:rPr>
                <w:noProof/>
                <w:webHidden/>
              </w:rPr>
              <w:fldChar w:fldCharType="separate"/>
            </w:r>
            <w:r w:rsidR="0026579C">
              <w:rPr>
                <w:noProof/>
                <w:webHidden/>
              </w:rPr>
              <w:t>259</w:t>
            </w:r>
            <w:r w:rsidR="00777EE0">
              <w:rPr>
                <w:noProof/>
                <w:webHidden/>
              </w:rPr>
              <w:fldChar w:fldCharType="end"/>
            </w:r>
          </w:hyperlink>
        </w:p>
        <w:p w14:paraId="3A2F7A52" w14:textId="69075A87" w:rsidR="00777EE0" w:rsidRDefault="00251E9C">
          <w:pPr>
            <w:pStyle w:val="TOC3"/>
            <w:rPr>
              <w:rFonts w:asciiTheme="minorHAnsi" w:eastAsiaTheme="minorEastAsia" w:hAnsiTheme="minorHAnsi" w:cstheme="minorBidi"/>
              <w:noProof/>
              <w:sz w:val="22"/>
              <w:lang w:eastAsia="en-GB"/>
            </w:rPr>
          </w:pPr>
          <w:hyperlink w:anchor="_Toc35892690" w:history="1">
            <w:r w:rsidR="00777EE0" w:rsidRPr="00C53B84">
              <w:rPr>
                <w:rStyle w:val="Hyperlink"/>
                <w:iCs/>
                <w:noProof/>
              </w:rPr>
              <w:t>6.4.6.8</w:t>
            </w:r>
            <w:r w:rsidR="00777EE0">
              <w:rPr>
                <w:rFonts w:asciiTheme="minorHAnsi" w:eastAsiaTheme="minorEastAsia" w:hAnsiTheme="minorHAnsi" w:cstheme="minorBidi"/>
                <w:noProof/>
                <w:sz w:val="22"/>
                <w:lang w:eastAsia="en-GB"/>
              </w:rPr>
              <w:tab/>
            </w:r>
            <w:r w:rsidR="00777EE0" w:rsidRPr="00C53B84">
              <w:rPr>
                <w:rStyle w:val="Hyperlink"/>
                <w:iCs/>
                <w:noProof/>
              </w:rPr>
              <w:t>Substitution</w:t>
            </w:r>
            <w:r w:rsidR="00777EE0">
              <w:rPr>
                <w:noProof/>
                <w:webHidden/>
              </w:rPr>
              <w:tab/>
            </w:r>
            <w:r w:rsidR="00777EE0">
              <w:rPr>
                <w:noProof/>
                <w:webHidden/>
              </w:rPr>
              <w:fldChar w:fldCharType="begin"/>
            </w:r>
            <w:r w:rsidR="00777EE0">
              <w:rPr>
                <w:noProof/>
                <w:webHidden/>
              </w:rPr>
              <w:instrText xml:space="preserve"> PAGEREF _Toc35892690 \h </w:instrText>
            </w:r>
            <w:r w:rsidR="00777EE0">
              <w:rPr>
                <w:noProof/>
                <w:webHidden/>
              </w:rPr>
            </w:r>
            <w:r w:rsidR="00777EE0">
              <w:rPr>
                <w:noProof/>
                <w:webHidden/>
              </w:rPr>
              <w:fldChar w:fldCharType="separate"/>
            </w:r>
            <w:r w:rsidR="0026579C">
              <w:rPr>
                <w:noProof/>
                <w:webHidden/>
              </w:rPr>
              <w:t>260</w:t>
            </w:r>
            <w:r w:rsidR="00777EE0">
              <w:rPr>
                <w:noProof/>
                <w:webHidden/>
              </w:rPr>
              <w:fldChar w:fldCharType="end"/>
            </w:r>
          </w:hyperlink>
        </w:p>
        <w:p w14:paraId="4A745CAD" w14:textId="6C313D71" w:rsidR="00777EE0" w:rsidRDefault="00251E9C">
          <w:pPr>
            <w:pStyle w:val="TOC3"/>
            <w:rPr>
              <w:rFonts w:asciiTheme="minorHAnsi" w:eastAsiaTheme="minorEastAsia" w:hAnsiTheme="minorHAnsi" w:cstheme="minorBidi"/>
              <w:noProof/>
              <w:sz w:val="22"/>
              <w:lang w:eastAsia="en-GB"/>
            </w:rPr>
          </w:pPr>
          <w:hyperlink w:anchor="_Toc35892691" w:history="1">
            <w:r w:rsidR="00777EE0" w:rsidRPr="00C53B84">
              <w:rPr>
                <w:rStyle w:val="Hyperlink"/>
                <w:iCs/>
                <w:noProof/>
              </w:rPr>
              <w:t>6.4.6.9</w:t>
            </w:r>
            <w:r w:rsidR="00777EE0">
              <w:rPr>
                <w:rFonts w:asciiTheme="minorHAnsi" w:eastAsiaTheme="minorEastAsia" w:hAnsiTheme="minorHAnsi" w:cstheme="minorBidi"/>
                <w:noProof/>
                <w:sz w:val="22"/>
                <w:lang w:eastAsia="en-GB"/>
              </w:rPr>
              <w:tab/>
            </w:r>
            <w:r w:rsidR="00777EE0" w:rsidRPr="00C53B84">
              <w:rPr>
                <w:rStyle w:val="Hyperlink"/>
                <w:iCs/>
                <w:noProof/>
              </w:rPr>
              <w:t>Curiosity</w:t>
            </w:r>
            <w:r w:rsidR="00777EE0">
              <w:rPr>
                <w:noProof/>
                <w:webHidden/>
              </w:rPr>
              <w:tab/>
            </w:r>
            <w:r w:rsidR="00777EE0">
              <w:rPr>
                <w:noProof/>
                <w:webHidden/>
              </w:rPr>
              <w:fldChar w:fldCharType="begin"/>
            </w:r>
            <w:r w:rsidR="00777EE0">
              <w:rPr>
                <w:noProof/>
                <w:webHidden/>
              </w:rPr>
              <w:instrText xml:space="preserve"> PAGEREF _Toc35892691 \h </w:instrText>
            </w:r>
            <w:r w:rsidR="00777EE0">
              <w:rPr>
                <w:noProof/>
                <w:webHidden/>
              </w:rPr>
            </w:r>
            <w:r w:rsidR="00777EE0">
              <w:rPr>
                <w:noProof/>
                <w:webHidden/>
              </w:rPr>
              <w:fldChar w:fldCharType="separate"/>
            </w:r>
            <w:r w:rsidR="0026579C">
              <w:rPr>
                <w:noProof/>
                <w:webHidden/>
              </w:rPr>
              <w:t>261</w:t>
            </w:r>
            <w:r w:rsidR="00777EE0">
              <w:rPr>
                <w:noProof/>
                <w:webHidden/>
              </w:rPr>
              <w:fldChar w:fldCharType="end"/>
            </w:r>
          </w:hyperlink>
        </w:p>
        <w:p w14:paraId="6D143E39" w14:textId="312600C8" w:rsidR="00777EE0" w:rsidRDefault="00251E9C">
          <w:pPr>
            <w:pStyle w:val="TOC3"/>
            <w:rPr>
              <w:rFonts w:asciiTheme="minorHAnsi" w:eastAsiaTheme="minorEastAsia" w:hAnsiTheme="minorHAnsi" w:cstheme="minorBidi"/>
              <w:noProof/>
              <w:sz w:val="22"/>
              <w:lang w:eastAsia="en-GB"/>
            </w:rPr>
          </w:pPr>
          <w:hyperlink w:anchor="_Toc35892692" w:history="1">
            <w:r w:rsidR="00777EE0" w:rsidRPr="00C53B84">
              <w:rPr>
                <w:rStyle w:val="Hyperlink"/>
                <w:iCs/>
                <w:noProof/>
              </w:rPr>
              <w:t>6.4.6.10</w:t>
            </w:r>
            <w:r w:rsidR="00777EE0">
              <w:rPr>
                <w:rFonts w:asciiTheme="minorHAnsi" w:eastAsiaTheme="minorEastAsia" w:hAnsiTheme="minorHAnsi" w:cstheme="minorBidi"/>
                <w:noProof/>
                <w:sz w:val="22"/>
                <w:lang w:eastAsia="en-GB"/>
              </w:rPr>
              <w:tab/>
            </w:r>
            <w:r w:rsidR="00777EE0" w:rsidRPr="00C53B84">
              <w:rPr>
                <w:rStyle w:val="Hyperlink"/>
                <w:iCs/>
                <w:noProof/>
              </w:rPr>
              <w:t>Coping</w:t>
            </w:r>
            <w:r w:rsidR="00777EE0">
              <w:rPr>
                <w:noProof/>
                <w:webHidden/>
              </w:rPr>
              <w:tab/>
            </w:r>
            <w:r w:rsidR="00777EE0">
              <w:rPr>
                <w:noProof/>
                <w:webHidden/>
              </w:rPr>
              <w:fldChar w:fldCharType="begin"/>
            </w:r>
            <w:r w:rsidR="00777EE0">
              <w:rPr>
                <w:noProof/>
                <w:webHidden/>
              </w:rPr>
              <w:instrText xml:space="preserve"> PAGEREF _Toc35892692 \h </w:instrText>
            </w:r>
            <w:r w:rsidR="00777EE0">
              <w:rPr>
                <w:noProof/>
                <w:webHidden/>
              </w:rPr>
            </w:r>
            <w:r w:rsidR="00777EE0">
              <w:rPr>
                <w:noProof/>
                <w:webHidden/>
              </w:rPr>
              <w:fldChar w:fldCharType="separate"/>
            </w:r>
            <w:r w:rsidR="0026579C">
              <w:rPr>
                <w:noProof/>
                <w:webHidden/>
              </w:rPr>
              <w:t>262</w:t>
            </w:r>
            <w:r w:rsidR="00777EE0">
              <w:rPr>
                <w:noProof/>
                <w:webHidden/>
              </w:rPr>
              <w:fldChar w:fldCharType="end"/>
            </w:r>
          </w:hyperlink>
        </w:p>
        <w:p w14:paraId="3CA407B2" w14:textId="78E9CCBB"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93" w:history="1">
            <w:r w:rsidR="00777EE0" w:rsidRPr="00C53B84">
              <w:rPr>
                <w:rStyle w:val="Hyperlink"/>
                <w:noProof/>
              </w:rPr>
              <w:t>6.5</w:t>
            </w:r>
            <w:r w:rsidR="00777EE0">
              <w:rPr>
                <w:rFonts w:asciiTheme="minorHAnsi" w:eastAsiaTheme="minorEastAsia" w:hAnsiTheme="minorHAnsi" w:cstheme="minorBidi"/>
                <w:noProof/>
                <w:sz w:val="22"/>
                <w:lang w:eastAsia="en-GB"/>
              </w:rPr>
              <w:tab/>
            </w:r>
            <w:r w:rsidR="00777EE0" w:rsidRPr="00C53B84">
              <w:rPr>
                <w:rStyle w:val="Hyperlink"/>
                <w:noProof/>
              </w:rPr>
              <w:t>Discussion</w:t>
            </w:r>
            <w:r w:rsidR="00777EE0">
              <w:rPr>
                <w:noProof/>
                <w:webHidden/>
              </w:rPr>
              <w:tab/>
            </w:r>
            <w:r w:rsidR="00777EE0">
              <w:rPr>
                <w:noProof/>
                <w:webHidden/>
              </w:rPr>
              <w:fldChar w:fldCharType="begin"/>
            </w:r>
            <w:r w:rsidR="00777EE0">
              <w:rPr>
                <w:noProof/>
                <w:webHidden/>
              </w:rPr>
              <w:instrText xml:space="preserve"> PAGEREF _Toc35892693 \h </w:instrText>
            </w:r>
            <w:r w:rsidR="00777EE0">
              <w:rPr>
                <w:noProof/>
                <w:webHidden/>
              </w:rPr>
            </w:r>
            <w:r w:rsidR="00777EE0">
              <w:rPr>
                <w:noProof/>
                <w:webHidden/>
              </w:rPr>
              <w:fldChar w:fldCharType="separate"/>
            </w:r>
            <w:r w:rsidR="0026579C">
              <w:rPr>
                <w:noProof/>
                <w:webHidden/>
              </w:rPr>
              <w:t>263</w:t>
            </w:r>
            <w:r w:rsidR="00777EE0">
              <w:rPr>
                <w:noProof/>
                <w:webHidden/>
              </w:rPr>
              <w:fldChar w:fldCharType="end"/>
            </w:r>
          </w:hyperlink>
        </w:p>
        <w:p w14:paraId="7BC7FC38" w14:textId="4B97F217" w:rsidR="00777EE0" w:rsidRDefault="00251E9C">
          <w:pPr>
            <w:pStyle w:val="TOC3"/>
            <w:rPr>
              <w:rFonts w:asciiTheme="minorHAnsi" w:eastAsiaTheme="minorEastAsia" w:hAnsiTheme="minorHAnsi" w:cstheme="minorBidi"/>
              <w:noProof/>
              <w:sz w:val="22"/>
              <w:lang w:eastAsia="en-GB"/>
            </w:rPr>
          </w:pPr>
          <w:hyperlink w:anchor="_Toc35892694" w:history="1">
            <w:r w:rsidR="00777EE0" w:rsidRPr="00C53B84">
              <w:rPr>
                <w:rStyle w:val="Hyperlink"/>
                <w:noProof/>
              </w:rPr>
              <w:t>6.5.1</w:t>
            </w:r>
            <w:r w:rsidR="00777EE0">
              <w:rPr>
                <w:rFonts w:asciiTheme="minorHAnsi" w:eastAsiaTheme="minorEastAsia" w:hAnsiTheme="minorHAnsi" w:cstheme="minorBidi"/>
                <w:noProof/>
                <w:sz w:val="22"/>
                <w:lang w:eastAsia="en-GB"/>
              </w:rPr>
              <w:tab/>
            </w:r>
            <w:r w:rsidR="00777EE0" w:rsidRPr="00C53B84">
              <w:rPr>
                <w:rStyle w:val="Hyperlink"/>
                <w:noProof/>
              </w:rPr>
              <w:t>Principal findings</w:t>
            </w:r>
            <w:r w:rsidR="00777EE0">
              <w:rPr>
                <w:noProof/>
                <w:webHidden/>
              </w:rPr>
              <w:tab/>
            </w:r>
            <w:r w:rsidR="00777EE0">
              <w:rPr>
                <w:noProof/>
                <w:webHidden/>
              </w:rPr>
              <w:fldChar w:fldCharType="begin"/>
            </w:r>
            <w:r w:rsidR="00777EE0">
              <w:rPr>
                <w:noProof/>
                <w:webHidden/>
              </w:rPr>
              <w:instrText xml:space="preserve"> PAGEREF _Toc35892694 \h </w:instrText>
            </w:r>
            <w:r w:rsidR="00777EE0">
              <w:rPr>
                <w:noProof/>
                <w:webHidden/>
              </w:rPr>
            </w:r>
            <w:r w:rsidR="00777EE0">
              <w:rPr>
                <w:noProof/>
                <w:webHidden/>
              </w:rPr>
              <w:fldChar w:fldCharType="separate"/>
            </w:r>
            <w:r w:rsidR="0026579C">
              <w:rPr>
                <w:noProof/>
                <w:webHidden/>
              </w:rPr>
              <w:t>263</w:t>
            </w:r>
            <w:r w:rsidR="00777EE0">
              <w:rPr>
                <w:noProof/>
                <w:webHidden/>
              </w:rPr>
              <w:fldChar w:fldCharType="end"/>
            </w:r>
          </w:hyperlink>
        </w:p>
        <w:p w14:paraId="4223F844" w14:textId="710E1008" w:rsidR="00777EE0" w:rsidRDefault="00251E9C">
          <w:pPr>
            <w:pStyle w:val="TOC3"/>
            <w:rPr>
              <w:rFonts w:asciiTheme="minorHAnsi" w:eastAsiaTheme="minorEastAsia" w:hAnsiTheme="minorHAnsi" w:cstheme="minorBidi"/>
              <w:noProof/>
              <w:sz w:val="22"/>
              <w:lang w:eastAsia="en-GB"/>
            </w:rPr>
          </w:pPr>
          <w:hyperlink w:anchor="_Toc35892695" w:history="1">
            <w:r w:rsidR="00777EE0" w:rsidRPr="00C53B84">
              <w:rPr>
                <w:rStyle w:val="Hyperlink"/>
                <w:noProof/>
              </w:rPr>
              <w:t>6.5.2</w:t>
            </w:r>
            <w:r w:rsidR="00777EE0">
              <w:rPr>
                <w:rFonts w:asciiTheme="minorHAnsi" w:eastAsiaTheme="minorEastAsia" w:hAnsiTheme="minorHAnsi" w:cstheme="minorBidi"/>
                <w:noProof/>
                <w:sz w:val="22"/>
                <w:lang w:eastAsia="en-GB"/>
              </w:rPr>
              <w:tab/>
            </w:r>
            <w:r w:rsidR="00777EE0" w:rsidRPr="00C53B84">
              <w:rPr>
                <w:rStyle w:val="Hyperlink"/>
                <w:noProof/>
              </w:rPr>
              <w:t>Reconciling NPS use and non-use with social cognition models</w:t>
            </w:r>
            <w:r w:rsidR="00777EE0">
              <w:rPr>
                <w:noProof/>
                <w:webHidden/>
              </w:rPr>
              <w:tab/>
            </w:r>
            <w:r w:rsidR="00777EE0">
              <w:rPr>
                <w:noProof/>
                <w:webHidden/>
              </w:rPr>
              <w:fldChar w:fldCharType="begin"/>
            </w:r>
            <w:r w:rsidR="00777EE0">
              <w:rPr>
                <w:noProof/>
                <w:webHidden/>
              </w:rPr>
              <w:instrText xml:space="preserve"> PAGEREF _Toc35892695 \h </w:instrText>
            </w:r>
            <w:r w:rsidR="00777EE0">
              <w:rPr>
                <w:noProof/>
                <w:webHidden/>
              </w:rPr>
            </w:r>
            <w:r w:rsidR="00777EE0">
              <w:rPr>
                <w:noProof/>
                <w:webHidden/>
              </w:rPr>
              <w:fldChar w:fldCharType="separate"/>
            </w:r>
            <w:r w:rsidR="0026579C">
              <w:rPr>
                <w:noProof/>
                <w:webHidden/>
              </w:rPr>
              <w:t>265</w:t>
            </w:r>
            <w:r w:rsidR="00777EE0">
              <w:rPr>
                <w:noProof/>
                <w:webHidden/>
              </w:rPr>
              <w:fldChar w:fldCharType="end"/>
            </w:r>
          </w:hyperlink>
        </w:p>
        <w:p w14:paraId="78F80F5B" w14:textId="1F950722" w:rsidR="00777EE0" w:rsidRDefault="00251E9C">
          <w:pPr>
            <w:pStyle w:val="TOC3"/>
            <w:rPr>
              <w:rFonts w:asciiTheme="minorHAnsi" w:eastAsiaTheme="minorEastAsia" w:hAnsiTheme="minorHAnsi" w:cstheme="minorBidi"/>
              <w:noProof/>
              <w:sz w:val="22"/>
              <w:lang w:eastAsia="en-GB"/>
            </w:rPr>
          </w:pPr>
          <w:hyperlink w:anchor="_Toc35892696" w:history="1">
            <w:r w:rsidR="00777EE0" w:rsidRPr="00C53B84">
              <w:rPr>
                <w:rStyle w:val="Hyperlink"/>
                <w:noProof/>
              </w:rPr>
              <w:t>6.5.3</w:t>
            </w:r>
            <w:r w:rsidR="00777EE0">
              <w:rPr>
                <w:rFonts w:asciiTheme="minorHAnsi" w:eastAsiaTheme="minorEastAsia" w:hAnsiTheme="minorHAnsi" w:cstheme="minorBidi"/>
                <w:noProof/>
                <w:sz w:val="22"/>
                <w:lang w:eastAsia="en-GB"/>
              </w:rPr>
              <w:tab/>
            </w:r>
            <w:r w:rsidR="00777EE0" w:rsidRPr="00C53B84">
              <w:rPr>
                <w:rStyle w:val="Hyperlink"/>
                <w:noProof/>
              </w:rPr>
              <w:t>Implications for intervention development</w:t>
            </w:r>
            <w:r w:rsidR="00777EE0">
              <w:rPr>
                <w:noProof/>
                <w:webHidden/>
              </w:rPr>
              <w:tab/>
            </w:r>
            <w:r w:rsidR="00777EE0">
              <w:rPr>
                <w:noProof/>
                <w:webHidden/>
              </w:rPr>
              <w:fldChar w:fldCharType="begin"/>
            </w:r>
            <w:r w:rsidR="00777EE0">
              <w:rPr>
                <w:noProof/>
                <w:webHidden/>
              </w:rPr>
              <w:instrText xml:space="preserve"> PAGEREF _Toc35892696 \h </w:instrText>
            </w:r>
            <w:r w:rsidR="00777EE0">
              <w:rPr>
                <w:noProof/>
                <w:webHidden/>
              </w:rPr>
            </w:r>
            <w:r w:rsidR="00777EE0">
              <w:rPr>
                <w:noProof/>
                <w:webHidden/>
              </w:rPr>
              <w:fldChar w:fldCharType="separate"/>
            </w:r>
            <w:r w:rsidR="0026579C">
              <w:rPr>
                <w:noProof/>
                <w:webHidden/>
              </w:rPr>
              <w:t>275</w:t>
            </w:r>
            <w:r w:rsidR="00777EE0">
              <w:rPr>
                <w:noProof/>
                <w:webHidden/>
              </w:rPr>
              <w:fldChar w:fldCharType="end"/>
            </w:r>
          </w:hyperlink>
        </w:p>
        <w:p w14:paraId="5F722146" w14:textId="210F67E3" w:rsidR="00777EE0" w:rsidRDefault="00251E9C">
          <w:pPr>
            <w:pStyle w:val="TOC3"/>
            <w:rPr>
              <w:rFonts w:asciiTheme="minorHAnsi" w:eastAsiaTheme="minorEastAsia" w:hAnsiTheme="minorHAnsi" w:cstheme="minorBidi"/>
              <w:noProof/>
              <w:sz w:val="22"/>
              <w:lang w:eastAsia="en-GB"/>
            </w:rPr>
          </w:pPr>
          <w:hyperlink w:anchor="_Toc35892697" w:history="1">
            <w:r w:rsidR="00777EE0" w:rsidRPr="00C53B84">
              <w:rPr>
                <w:rStyle w:val="Hyperlink"/>
                <w:noProof/>
              </w:rPr>
              <w:t>6.5.4</w:t>
            </w:r>
            <w:r w:rsidR="00777EE0">
              <w:rPr>
                <w:rFonts w:asciiTheme="minorHAnsi" w:eastAsiaTheme="minorEastAsia" w:hAnsiTheme="minorHAnsi" w:cstheme="minorBidi"/>
                <w:noProof/>
                <w:sz w:val="22"/>
                <w:lang w:eastAsia="en-GB"/>
              </w:rPr>
              <w:tab/>
            </w:r>
            <w:r w:rsidR="00777EE0" w:rsidRPr="00C53B84">
              <w:rPr>
                <w:rStyle w:val="Hyperlink"/>
                <w:noProof/>
              </w:rPr>
              <w:t>Strengths and limitations</w:t>
            </w:r>
            <w:r w:rsidR="00777EE0">
              <w:rPr>
                <w:noProof/>
                <w:webHidden/>
              </w:rPr>
              <w:tab/>
            </w:r>
            <w:r w:rsidR="00777EE0">
              <w:rPr>
                <w:noProof/>
                <w:webHidden/>
              </w:rPr>
              <w:fldChar w:fldCharType="begin"/>
            </w:r>
            <w:r w:rsidR="00777EE0">
              <w:rPr>
                <w:noProof/>
                <w:webHidden/>
              </w:rPr>
              <w:instrText xml:space="preserve"> PAGEREF _Toc35892697 \h </w:instrText>
            </w:r>
            <w:r w:rsidR="00777EE0">
              <w:rPr>
                <w:noProof/>
                <w:webHidden/>
              </w:rPr>
            </w:r>
            <w:r w:rsidR="00777EE0">
              <w:rPr>
                <w:noProof/>
                <w:webHidden/>
              </w:rPr>
              <w:fldChar w:fldCharType="separate"/>
            </w:r>
            <w:r w:rsidR="0026579C">
              <w:rPr>
                <w:noProof/>
                <w:webHidden/>
              </w:rPr>
              <w:t>279</w:t>
            </w:r>
            <w:r w:rsidR="00777EE0">
              <w:rPr>
                <w:noProof/>
                <w:webHidden/>
              </w:rPr>
              <w:fldChar w:fldCharType="end"/>
            </w:r>
          </w:hyperlink>
        </w:p>
        <w:p w14:paraId="38736727" w14:textId="197E91D1"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698" w:history="1">
            <w:r w:rsidR="00777EE0" w:rsidRPr="00C53B84">
              <w:rPr>
                <w:rStyle w:val="Hyperlink"/>
                <w:noProof/>
              </w:rPr>
              <w:t>6.6</w:t>
            </w:r>
            <w:r w:rsidR="00777EE0">
              <w:rPr>
                <w:rFonts w:asciiTheme="minorHAnsi" w:eastAsiaTheme="minorEastAsia" w:hAnsiTheme="minorHAnsi" w:cstheme="minorBidi"/>
                <w:noProof/>
                <w:sz w:val="22"/>
                <w:lang w:eastAsia="en-GB"/>
              </w:rPr>
              <w:tab/>
            </w:r>
            <w:r w:rsidR="00777EE0" w:rsidRPr="00C53B84">
              <w:rPr>
                <w:rStyle w:val="Hyperlink"/>
                <w:noProof/>
              </w:rPr>
              <w:t>Conclusion</w:t>
            </w:r>
            <w:r w:rsidR="00777EE0">
              <w:rPr>
                <w:noProof/>
                <w:webHidden/>
              </w:rPr>
              <w:tab/>
            </w:r>
            <w:r w:rsidR="00777EE0">
              <w:rPr>
                <w:noProof/>
                <w:webHidden/>
              </w:rPr>
              <w:fldChar w:fldCharType="begin"/>
            </w:r>
            <w:r w:rsidR="00777EE0">
              <w:rPr>
                <w:noProof/>
                <w:webHidden/>
              </w:rPr>
              <w:instrText xml:space="preserve"> PAGEREF _Toc35892698 \h </w:instrText>
            </w:r>
            <w:r w:rsidR="00777EE0">
              <w:rPr>
                <w:noProof/>
                <w:webHidden/>
              </w:rPr>
            </w:r>
            <w:r w:rsidR="00777EE0">
              <w:rPr>
                <w:noProof/>
                <w:webHidden/>
              </w:rPr>
              <w:fldChar w:fldCharType="separate"/>
            </w:r>
            <w:r w:rsidR="0026579C">
              <w:rPr>
                <w:noProof/>
                <w:webHidden/>
              </w:rPr>
              <w:t>281</w:t>
            </w:r>
            <w:r w:rsidR="00777EE0">
              <w:rPr>
                <w:noProof/>
                <w:webHidden/>
              </w:rPr>
              <w:fldChar w:fldCharType="end"/>
            </w:r>
          </w:hyperlink>
        </w:p>
        <w:p w14:paraId="3E490C26" w14:textId="2A66E702"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699" w:history="1">
            <w:r w:rsidR="00777EE0" w:rsidRPr="00C53B84">
              <w:rPr>
                <w:rStyle w:val="Hyperlink"/>
                <w:noProof/>
                <w14:scene3d>
                  <w14:camera w14:prst="orthographicFront"/>
                  <w14:lightRig w14:rig="threePt" w14:dir="t">
                    <w14:rot w14:lat="0" w14:lon="0" w14:rev="0"/>
                  </w14:lightRig>
                </w14:scene3d>
              </w:rPr>
              <w:t>Chapter 7</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Study 2: Pre- and post-ban comparison of young people’s beliefs, reasons and motivations for NPS use and non-use following implementation of the Psychoactive Substances Act 2016</w:t>
            </w:r>
            <w:r w:rsidR="00777EE0">
              <w:rPr>
                <w:noProof/>
                <w:webHidden/>
              </w:rPr>
              <w:tab/>
            </w:r>
            <w:r w:rsidR="00777EE0">
              <w:rPr>
                <w:noProof/>
                <w:webHidden/>
              </w:rPr>
              <w:fldChar w:fldCharType="begin"/>
            </w:r>
            <w:r w:rsidR="00777EE0">
              <w:rPr>
                <w:noProof/>
                <w:webHidden/>
              </w:rPr>
              <w:instrText xml:space="preserve"> PAGEREF _Toc35892699 \h </w:instrText>
            </w:r>
            <w:r w:rsidR="00777EE0">
              <w:rPr>
                <w:noProof/>
                <w:webHidden/>
              </w:rPr>
            </w:r>
            <w:r w:rsidR="00777EE0">
              <w:rPr>
                <w:noProof/>
                <w:webHidden/>
              </w:rPr>
              <w:fldChar w:fldCharType="separate"/>
            </w:r>
            <w:r w:rsidR="0026579C">
              <w:rPr>
                <w:noProof/>
                <w:webHidden/>
              </w:rPr>
              <w:t>283</w:t>
            </w:r>
            <w:r w:rsidR="00777EE0">
              <w:rPr>
                <w:noProof/>
                <w:webHidden/>
              </w:rPr>
              <w:fldChar w:fldCharType="end"/>
            </w:r>
          </w:hyperlink>
        </w:p>
        <w:p w14:paraId="1363E480" w14:textId="7EFD982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00" w:history="1">
            <w:r w:rsidR="00777EE0" w:rsidRPr="00C53B84">
              <w:rPr>
                <w:rStyle w:val="Hyperlink"/>
                <w:noProof/>
              </w:rPr>
              <w:t>7.1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_Toc35892700 \h </w:instrText>
            </w:r>
            <w:r w:rsidR="00777EE0">
              <w:rPr>
                <w:noProof/>
                <w:webHidden/>
              </w:rPr>
            </w:r>
            <w:r w:rsidR="00777EE0">
              <w:rPr>
                <w:noProof/>
                <w:webHidden/>
              </w:rPr>
              <w:fldChar w:fldCharType="separate"/>
            </w:r>
            <w:r w:rsidR="0026579C">
              <w:rPr>
                <w:noProof/>
                <w:webHidden/>
              </w:rPr>
              <w:t>283</w:t>
            </w:r>
            <w:r w:rsidR="00777EE0">
              <w:rPr>
                <w:noProof/>
                <w:webHidden/>
              </w:rPr>
              <w:fldChar w:fldCharType="end"/>
            </w:r>
          </w:hyperlink>
        </w:p>
        <w:p w14:paraId="7A41BC0B" w14:textId="3BB5AD68"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01" w:history="1">
            <w:r w:rsidR="00777EE0" w:rsidRPr="00C53B84">
              <w:rPr>
                <w:rStyle w:val="Hyperlink"/>
                <w:noProof/>
              </w:rPr>
              <w:t>7.2</w:t>
            </w:r>
            <w:r w:rsidR="00777EE0">
              <w:rPr>
                <w:rFonts w:asciiTheme="minorHAnsi" w:eastAsiaTheme="minorEastAsia" w:hAnsiTheme="minorHAnsi" w:cstheme="minorBidi"/>
                <w:noProof/>
                <w:sz w:val="22"/>
                <w:lang w:eastAsia="en-GB"/>
              </w:rPr>
              <w:tab/>
            </w:r>
            <w:r w:rsidR="00777EE0" w:rsidRPr="00C53B84">
              <w:rPr>
                <w:rStyle w:val="Hyperlink"/>
                <w:noProof/>
              </w:rPr>
              <w:t>Research aims and objectives:</w:t>
            </w:r>
            <w:r w:rsidR="00777EE0">
              <w:rPr>
                <w:noProof/>
                <w:webHidden/>
              </w:rPr>
              <w:tab/>
            </w:r>
            <w:r w:rsidR="00777EE0">
              <w:rPr>
                <w:noProof/>
                <w:webHidden/>
              </w:rPr>
              <w:fldChar w:fldCharType="begin"/>
            </w:r>
            <w:r w:rsidR="00777EE0">
              <w:rPr>
                <w:noProof/>
                <w:webHidden/>
              </w:rPr>
              <w:instrText xml:space="preserve"> PAGEREF _Toc35892701 \h </w:instrText>
            </w:r>
            <w:r w:rsidR="00777EE0">
              <w:rPr>
                <w:noProof/>
                <w:webHidden/>
              </w:rPr>
            </w:r>
            <w:r w:rsidR="00777EE0">
              <w:rPr>
                <w:noProof/>
                <w:webHidden/>
              </w:rPr>
              <w:fldChar w:fldCharType="separate"/>
            </w:r>
            <w:r w:rsidR="0026579C">
              <w:rPr>
                <w:noProof/>
                <w:webHidden/>
              </w:rPr>
              <w:t>285</w:t>
            </w:r>
            <w:r w:rsidR="00777EE0">
              <w:rPr>
                <w:noProof/>
                <w:webHidden/>
              </w:rPr>
              <w:fldChar w:fldCharType="end"/>
            </w:r>
          </w:hyperlink>
        </w:p>
        <w:p w14:paraId="46D7DF04" w14:textId="434AE22F"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02" w:history="1">
            <w:r w:rsidR="00777EE0" w:rsidRPr="00C53B84">
              <w:rPr>
                <w:rStyle w:val="Hyperlink"/>
                <w:noProof/>
              </w:rPr>
              <w:t>7.3</w:t>
            </w:r>
            <w:r w:rsidR="00777EE0">
              <w:rPr>
                <w:rFonts w:asciiTheme="minorHAnsi" w:eastAsiaTheme="minorEastAsia" w:hAnsiTheme="minorHAnsi" w:cstheme="minorBidi"/>
                <w:noProof/>
                <w:sz w:val="22"/>
                <w:lang w:eastAsia="en-GB"/>
              </w:rPr>
              <w:tab/>
            </w:r>
            <w:r w:rsidR="00777EE0" w:rsidRPr="00C53B84">
              <w:rPr>
                <w:rStyle w:val="Hyperlink"/>
                <w:noProof/>
              </w:rPr>
              <w:t>Method</w:t>
            </w:r>
            <w:r w:rsidR="00777EE0">
              <w:rPr>
                <w:noProof/>
                <w:webHidden/>
              </w:rPr>
              <w:tab/>
            </w:r>
            <w:r w:rsidR="00777EE0">
              <w:rPr>
                <w:noProof/>
                <w:webHidden/>
              </w:rPr>
              <w:fldChar w:fldCharType="begin"/>
            </w:r>
            <w:r w:rsidR="00777EE0">
              <w:rPr>
                <w:noProof/>
                <w:webHidden/>
              </w:rPr>
              <w:instrText xml:space="preserve"> PAGEREF _Toc35892702 \h </w:instrText>
            </w:r>
            <w:r w:rsidR="00777EE0">
              <w:rPr>
                <w:noProof/>
                <w:webHidden/>
              </w:rPr>
            </w:r>
            <w:r w:rsidR="00777EE0">
              <w:rPr>
                <w:noProof/>
                <w:webHidden/>
              </w:rPr>
              <w:fldChar w:fldCharType="separate"/>
            </w:r>
            <w:r w:rsidR="0026579C">
              <w:rPr>
                <w:noProof/>
                <w:webHidden/>
              </w:rPr>
              <w:t>285</w:t>
            </w:r>
            <w:r w:rsidR="00777EE0">
              <w:rPr>
                <w:noProof/>
                <w:webHidden/>
              </w:rPr>
              <w:fldChar w:fldCharType="end"/>
            </w:r>
          </w:hyperlink>
        </w:p>
        <w:p w14:paraId="62938161" w14:textId="1FD92059" w:rsidR="00777EE0" w:rsidRDefault="00251E9C">
          <w:pPr>
            <w:pStyle w:val="TOC3"/>
            <w:rPr>
              <w:rFonts w:asciiTheme="minorHAnsi" w:eastAsiaTheme="minorEastAsia" w:hAnsiTheme="minorHAnsi" w:cstheme="minorBidi"/>
              <w:noProof/>
              <w:sz w:val="22"/>
              <w:lang w:eastAsia="en-GB"/>
            </w:rPr>
          </w:pPr>
          <w:hyperlink w:anchor="_Toc35892703" w:history="1">
            <w:r w:rsidR="00777EE0" w:rsidRPr="00C53B84">
              <w:rPr>
                <w:rStyle w:val="Hyperlink"/>
                <w:noProof/>
              </w:rPr>
              <w:t>7.3.1</w:t>
            </w:r>
            <w:r w:rsidR="00777EE0">
              <w:rPr>
                <w:rFonts w:asciiTheme="minorHAnsi" w:eastAsiaTheme="minorEastAsia" w:hAnsiTheme="minorHAnsi" w:cstheme="minorBidi"/>
                <w:noProof/>
                <w:sz w:val="22"/>
                <w:lang w:eastAsia="en-GB"/>
              </w:rPr>
              <w:tab/>
            </w:r>
            <w:r w:rsidR="00777EE0" w:rsidRPr="00C53B84">
              <w:rPr>
                <w:rStyle w:val="Hyperlink"/>
                <w:noProof/>
              </w:rPr>
              <w:t>Participants and procedure</w:t>
            </w:r>
            <w:r w:rsidR="00777EE0">
              <w:rPr>
                <w:noProof/>
                <w:webHidden/>
              </w:rPr>
              <w:tab/>
            </w:r>
            <w:r w:rsidR="00777EE0">
              <w:rPr>
                <w:noProof/>
                <w:webHidden/>
              </w:rPr>
              <w:fldChar w:fldCharType="begin"/>
            </w:r>
            <w:r w:rsidR="00777EE0">
              <w:rPr>
                <w:noProof/>
                <w:webHidden/>
              </w:rPr>
              <w:instrText xml:space="preserve"> PAGEREF _Toc35892703 \h </w:instrText>
            </w:r>
            <w:r w:rsidR="00777EE0">
              <w:rPr>
                <w:noProof/>
                <w:webHidden/>
              </w:rPr>
            </w:r>
            <w:r w:rsidR="00777EE0">
              <w:rPr>
                <w:noProof/>
                <w:webHidden/>
              </w:rPr>
              <w:fldChar w:fldCharType="separate"/>
            </w:r>
            <w:r w:rsidR="0026579C">
              <w:rPr>
                <w:noProof/>
                <w:webHidden/>
              </w:rPr>
              <w:t>286</w:t>
            </w:r>
            <w:r w:rsidR="00777EE0">
              <w:rPr>
                <w:noProof/>
                <w:webHidden/>
              </w:rPr>
              <w:fldChar w:fldCharType="end"/>
            </w:r>
          </w:hyperlink>
        </w:p>
        <w:p w14:paraId="4FD759C7" w14:textId="02C8B111" w:rsidR="00777EE0" w:rsidRDefault="00251E9C">
          <w:pPr>
            <w:pStyle w:val="TOC3"/>
            <w:rPr>
              <w:rFonts w:asciiTheme="minorHAnsi" w:eastAsiaTheme="minorEastAsia" w:hAnsiTheme="minorHAnsi" w:cstheme="minorBidi"/>
              <w:noProof/>
              <w:sz w:val="22"/>
              <w:lang w:eastAsia="en-GB"/>
            </w:rPr>
          </w:pPr>
          <w:hyperlink w:anchor="_Toc35892704" w:history="1">
            <w:r w:rsidR="00777EE0" w:rsidRPr="00C53B84">
              <w:rPr>
                <w:rStyle w:val="Hyperlink"/>
                <w:noProof/>
              </w:rPr>
              <w:t>7.3.2</w:t>
            </w:r>
            <w:r w:rsidR="00777EE0">
              <w:rPr>
                <w:rFonts w:asciiTheme="minorHAnsi" w:eastAsiaTheme="minorEastAsia" w:hAnsiTheme="minorHAnsi" w:cstheme="minorBidi"/>
                <w:noProof/>
                <w:sz w:val="22"/>
                <w:lang w:eastAsia="en-GB"/>
              </w:rPr>
              <w:tab/>
            </w:r>
            <w:r w:rsidR="00777EE0" w:rsidRPr="00C53B84">
              <w:rPr>
                <w:rStyle w:val="Hyperlink"/>
                <w:noProof/>
              </w:rPr>
              <w:t>Definitions</w:t>
            </w:r>
            <w:r w:rsidR="00777EE0">
              <w:rPr>
                <w:noProof/>
                <w:webHidden/>
              </w:rPr>
              <w:tab/>
            </w:r>
            <w:r w:rsidR="00777EE0">
              <w:rPr>
                <w:noProof/>
                <w:webHidden/>
              </w:rPr>
              <w:fldChar w:fldCharType="begin"/>
            </w:r>
            <w:r w:rsidR="00777EE0">
              <w:rPr>
                <w:noProof/>
                <w:webHidden/>
              </w:rPr>
              <w:instrText xml:space="preserve"> PAGEREF _Toc35892704 \h </w:instrText>
            </w:r>
            <w:r w:rsidR="00777EE0">
              <w:rPr>
                <w:noProof/>
                <w:webHidden/>
              </w:rPr>
            </w:r>
            <w:r w:rsidR="00777EE0">
              <w:rPr>
                <w:noProof/>
                <w:webHidden/>
              </w:rPr>
              <w:fldChar w:fldCharType="separate"/>
            </w:r>
            <w:r w:rsidR="0026579C">
              <w:rPr>
                <w:noProof/>
                <w:webHidden/>
              </w:rPr>
              <w:t>287</w:t>
            </w:r>
            <w:r w:rsidR="00777EE0">
              <w:rPr>
                <w:noProof/>
                <w:webHidden/>
              </w:rPr>
              <w:fldChar w:fldCharType="end"/>
            </w:r>
          </w:hyperlink>
        </w:p>
        <w:p w14:paraId="139C0495" w14:textId="1EC4F7C3" w:rsidR="00777EE0" w:rsidRDefault="00251E9C">
          <w:pPr>
            <w:pStyle w:val="TOC3"/>
            <w:rPr>
              <w:rFonts w:asciiTheme="minorHAnsi" w:eastAsiaTheme="minorEastAsia" w:hAnsiTheme="minorHAnsi" w:cstheme="minorBidi"/>
              <w:noProof/>
              <w:sz w:val="22"/>
              <w:lang w:eastAsia="en-GB"/>
            </w:rPr>
          </w:pPr>
          <w:hyperlink w:anchor="_Toc35892705" w:history="1">
            <w:r w:rsidR="00777EE0" w:rsidRPr="00C53B84">
              <w:rPr>
                <w:rStyle w:val="Hyperlink"/>
                <w:noProof/>
              </w:rPr>
              <w:t>7.3.3</w:t>
            </w:r>
            <w:r w:rsidR="00777EE0">
              <w:rPr>
                <w:rFonts w:asciiTheme="minorHAnsi" w:eastAsiaTheme="minorEastAsia" w:hAnsiTheme="minorHAnsi" w:cstheme="minorBidi"/>
                <w:noProof/>
                <w:sz w:val="22"/>
                <w:lang w:eastAsia="en-GB"/>
              </w:rPr>
              <w:tab/>
            </w:r>
            <w:r w:rsidR="00777EE0" w:rsidRPr="00C53B84">
              <w:rPr>
                <w:rStyle w:val="Hyperlink"/>
                <w:noProof/>
              </w:rPr>
              <w:t>Legal status</w:t>
            </w:r>
            <w:r w:rsidR="00777EE0">
              <w:rPr>
                <w:noProof/>
                <w:webHidden/>
              </w:rPr>
              <w:tab/>
            </w:r>
            <w:r w:rsidR="00777EE0">
              <w:rPr>
                <w:noProof/>
                <w:webHidden/>
              </w:rPr>
              <w:fldChar w:fldCharType="begin"/>
            </w:r>
            <w:r w:rsidR="00777EE0">
              <w:rPr>
                <w:noProof/>
                <w:webHidden/>
              </w:rPr>
              <w:instrText xml:space="preserve"> PAGEREF _Toc35892705 \h </w:instrText>
            </w:r>
            <w:r w:rsidR="00777EE0">
              <w:rPr>
                <w:noProof/>
                <w:webHidden/>
              </w:rPr>
            </w:r>
            <w:r w:rsidR="00777EE0">
              <w:rPr>
                <w:noProof/>
                <w:webHidden/>
              </w:rPr>
              <w:fldChar w:fldCharType="separate"/>
            </w:r>
            <w:r w:rsidR="0026579C">
              <w:rPr>
                <w:noProof/>
                <w:webHidden/>
              </w:rPr>
              <w:t>288</w:t>
            </w:r>
            <w:r w:rsidR="00777EE0">
              <w:rPr>
                <w:noProof/>
                <w:webHidden/>
              </w:rPr>
              <w:fldChar w:fldCharType="end"/>
            </w:r>
          </w:hyperlink>
        </w:p>
        <w:p w14:paraId="63688113" w14:textId="133C27F9" w:rsidR="00777EE0" w:rsidRDefault="00251E9C">
          <w:pPr>
            <w:pStyle w:val="TOC3"/>
            <w:rPr>
              <w:rFonts w:asciiTheme="minorHAnsi" w:eastAsiaTheme="minorEastAsia" w:hAnsiTheme="minorHAnsi" w:cstheme="minorBidi"/>
              <w:noProof/>
              <w:sz w:val="22"/>
              <w:lang w:eastAsia="en-GB"/>
            </w:rPr>
          </w:pPr>
          <w:hyperlink w:anchor="_Toc35892706" w:history="1">
            <w:r w:rsidR="00777EE0" w:rsidRPr="00C53B84">
              <w:rPr>
                <w:rStyle w:val="Hyperlink"/>
                <w:noProof/>
              </w:rPr>
              <w:t>7.3.4</w:t>
            </w:r>
            <w:r w:rsidR="00777EE0">
              <w:rPr>
                <w:rFonts w:asciiTheme="minorHAnsi" w:eastAsiaTheme="minorEastAsia" w:hAnsiTheme="minorHAnsi" w:cstheme="minorBidi"/>
                <w:noProof/>
                <w:sz w:val="22"/>
                <w:lang w:eastAsia="en-GB"/>
              </w:rPr>
              <w:tab/>
            </w:r>
            <w:r w:rsidR="00777EE0" w:rsidRPr="00C53B84">
              <w:rPr>
                <w:rStyle w:val="Hyperlink"/>
                <w:noProof/>
              </w:rPr>
              <w:t>Measures</w:t>
            </w:r>
            <w:r w:rsidR="00777EE0">
              <w:rPr>
                <w:noProof/>
                <w:webHidden/>
              </w:rPr>
              <w:tab/>
            </w:r>
            <w:r w:rsidR="00777EE0">
              <w:rPr>
                <w:noProof/>
                <w:webHidden/>
              </w:rPr>
              <w:fldChar w:fldCharType="begin"/>
            </w:r>
            <w:r w:rsidR="00777EE0">
              <w:rPr>
                <w:noProof/>
                <w:webHidden/>
              </w:rPr>
              <w:instrText xml:space="preserve"> PAGEREF _Toc35892706 \h </w:instrText>
            </w:r>
            <w:r w:rsidR="00777EE0">
              <w:rPr>
                <w:noProof/>
                <w:webHidden/>
              </w:rPr>
            </w:r>
            <w:r w:rsidR="00777EE0">
              <w:rPr>
                <w:noProof/>
                <w:webHidden/>
              </w:rPr>
              <w:fldChar w:fldCharType="separate"/>
            </w:r>
            <w:r w:rsidR="0026579C">
              <w:rPr>
                <w:noProof/>
                <w:webHidden/>
              </w:rPr>
              <w:t>288</w:t>
            </w:r>
            <w:r w:rsidR="00777EE0">
              <w:rPr>
                <w:noProof/>
                <w:webHidden/>
              </w:rPr>
              <w:fldChar w:fldCharType="end"/>
            </w:r>
          </w:hyperlink>
        </w:p>
        <w:p w14:paraId="3B2C918A" w14:textId="06EFC030" w:rsidR="00777EE0" w:rsidRDefault="00251E9C">
          <w:pPr>
            <w:pStyle w:val="TOC3"/>
            <w:rPr>
              <w:rFonts w:asciiTheme="minorHAnsi" w:eastAsiaTheme="minorEastAsia" w:hAnsiTheme="minorHAnsi" w:cstheme="minorBidi"/>
              <w:noProof/>
              <w:sz w:val="22"/>
              <w:lang w:eastAsia="en-GB"/>
            </w:rPr>
          </w:pPr>
          <w:hyperlink w:anchor="_Toc35892707" w:history="1">
            <w:r w:rsidR="00777EE0" w:rsidRPr="00C53B84">
              <w:rPr>
                <w:rStyle w:val="Hyperlink"/>
                <w:noProof/>
              </w:rPr>
              <w:t>7.3.5</w:t>
            </w:r>
            <w:r w:rsidR="00777EE0">
              <w:rPr>
                <w:rFonts w:asciiTheme="minorHAnsi" w:eastAsiaTheme="minorEastAsia" w:hAnsiTheme="minorHAnsi" w:cstheme="minorBidi"/>
                <w:noProof/>
                <w:sz w:val="22"/>
                <w:lang w:eastAsia="en-GB"/>
              </w:rPr>
              <w:tab/>
            </w:r>
            <w:r w:rsidR="00777EE0" w:rsidRPr="00C53B84">
              <w:rPr>
                <w:rStyle w:val="Hyperlink"/>
                <w:noProof/>
              </w:rPr>
              <w:t>Focus group questions</w:t>
            </w:r>
            <w:r w:rsidR="00777EE0">
              <w:rPr>
                <w:noProof/>
                <w:webHidden/>
              </w:rPr>
              <w:tab/>
            </w:r>
            <w:r w:rsidR="00777EE0">
              <w:rPr>
                <w:noProof/>
                <w:webHidden/>
              </w:rPr>
              <w:fldChar w:fldCharType="begin"/>
            </w:r>
            <w:r w:rsidR="00777EE0">
              <w:rPr>
                <w:noProof/>
                <w:webHidden/>
              </w:rPr>
              <w:instrText xml:space="preserve"> PAGEREF _Toc35892707 \h </w:instrText>
            </w:r>
            <w:r w:rsidR="00777EE0">
              <w:rPr>
                <w:noProof/>
                <w:webHidden/>
              </w:rPr>
            </w:r>
            <w:r w:rsidR="00777EE0">
              <w:rPr>
                <w:noProof/>
                <w:webHidden/>
              </w:rPr>
              <w:fldChar w:fldCharType="separate"/>
            </w:r>
            <w:r w:rsidR="0026579C">
              <w:rPr>
                <w:noProof/>
                <w:webHidden/>
              </w:rPr>
              <w:t>289</w:t>
            </w:r>
            <w:r w:rsidR="00777EE0">
              <w:rPr>
                <w:noProof/>
                <w:webHidden/>
              </w:rPr>
              <w:fldChar w:fldCharType="end"/>
            </w:r>
          </w:hyperlink>
        </w:p>
        <w:p w14:paraId="37D83A98" w14:textId="170EC464"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08" w:history="1">
            <w:r w:rsidR="00777EE0" w:rsidRPr="00C53B84">
              <w:rPr>
                <w:rStyle w:val="Hyperlink"/>
                <w:noProof/>
              </w:rPr>
              <w:t>7.4</w:t>
            </w:r>
            <w:r w:rsidR="00777EE0">
              <w:rPr>
                <w:rFonts w:asciiTheme="minorHAnsi" w:eastAsiaTheme="minorEastAsia" w:hAnsiTheme="minorHAnsi" w:cstheme="minorBidi"/>
                <w:noProof/>
                <w:sz w:val="22"/>
                <w:lang w:eastAsia="en-GB"/>
              </w:rPr>
              <w:tab/>
            </w:r>
            <w:r w:rsidR="00777EE0" w:rsidRPr="00C53B84">
              <w:rPr>
                <w:rStyle w:val="Hyperlink"/>
                <w:noProof/>
              </w:rPr>
              <w:t>Results</w:t>
            </w:r>
            <w:r w:rsidR="00777EE0">
              <w:rPr>
                <w:noProof/>
                <w:webHidden/>
              </w:rPr>
              <w:tab/>
            </w:r>
            <w:r w:rsidR="00777EE0">
              <w:rPr>
                <w:noProof/>
                <w:webHidden/>
              </w:rPr>
              <w:fldChar w:fldCharType="begin"/>
            </w:r>
            <w:r w:rsidR="00777EE0">
              <w:rPr>
                <w:noProof/>
                <w:webHidden/>
              </w:rPr>
              <w:instrText xml:space="preserve"> PAGEREF _Toc35892708 \h </w:instrText>
            </w:r>
            <w:r w:rsidR="00777EE0">
              <w:rPr>
                <w:noProof/>
                <w:webHidden/>
              </w:rPr>
            </w:r>
            <w:r w:rsidR="00777EE0">
              <w:rPr>
                <w:noProof/>
                <w:webHidden/>
              </w:rPr>
              <w:fldChar w:fldCharType="separate"/>
            </w:r>
            <w:r w:rsidR="0026579C">
              <w:rPr>
                <w:noProof/>
                <w:webHidden/>
              </w:rPr>
              <w:t>290</w:t>
            </w:r>
            <w:r w:rsidR="00777EE0">
              <w:rPr>
                <w:noProof/>
                <w:webHidden/>
              </w:rPr>
              <w:fldChar w:fldCharType="end"/>
            </w:r>
          </w:hyperlink>
        </w:p>
        <w:p w14:paraId="7D4C9C6D" w14:textId="4FA80EAD" w:rsidR="00777EE0" w:rsidRDefault="00251E9C">
          <w:pPr>
            <w:pStyle w:val="TOC3"/>
            <w:rPr>
              <w:rFonts w:asciiTheme="minorHAnsi" w:eastAsiaTheme="minorEastAsia" w:hAnsiTheme="minorHAnsi" w:cstheme="minorBidi"/>
              <w:noProof/>
              <w:sz w:val="22"/>
              <w:lang w:eastAsia="en-GB"/>
            </w:rPr>
          </w:pPr>
          <w:hyperlink w:anchor="_Toc35892709" w:history="1">
            <w:r w:rsidR="00777EE0" w:rsidRPr="00C53B84">
              <w:rPr>
                <w:rStyle w:val="Hyperlink"/>
                <w:noProof/>
              </w:rPr>
              <w:t>7.4.1</w:t>
            </w:r>
            <w:r w:rsidR="00777EE0">
              <w:rPr>
                <w:rFonts w:asciiTheme="minorHAnsi" w:eastAsiaTheme="minorEastAsia" w:hAnsiTheme="minorHAnsi" w:cstheme="minorBidi"/>
                <w:noProof/>
                <w:sz w:val="22"/>
                <w:lang w:eastAsia="en-GB"/>
              </w:rPr>
              <w:tab/>
            </w:r>
            <w:r w:rsidR="00777EE0" w:rsidRPr="00C53B84">
              <w:rPr>
                <w:rStyle w:val="Hyperlink"/>
                <w:noProof/>
              </w:rPr>
              <w:t>Sample characteristics</w:t>
            </w:r>
            <w:r w:rsidR="00777EE0">
              <w:rPr>
                <w:noProof/>
                <w:webHidden/>
              </w:rPr>
              <w:tab/>
            </w:r>
            <w:r w:rsidR="00777EE0">
              <w:rPr>
                <w:noProof/>
                <w:webHidden/>
              </w:rPr>
              <w:fldChar w:fldCharType="begin"/>
            </w:r>
            <w:r w:rsidR="00777EE0">
              <w:rPr>
                <w:noProof/>
                <w:webHidden/>
              </w:rPr>
              <w:instrText xml:space="preserve"> PAGEREF _Toc35892709 \h </w:instrText>
            </w:r>
            <w:r w:rsidR="00777EE0">
              <w:rPr>
                <w:noProof/>
                <w:webHidden/>
              </w:rPr>
            </w:r>
            <w:r w:rsidR="00777EE0">
              <w:rPr>
                <w:noProof/>
                <w:webHidden/>
              </w:rPr>
              <w:fldChar w:fldCharType="separate"/>
            </w:r>
            <w:r w:rsidR="0026579C">
              <w:rPr>
                <w:noProof/>
                <w:webHidden/>
              </w:rPr>
              <w:t>291</w:t>
            </w:r>
            <w:r w:rsidR="00777EE0">
              <w:rPr>
                <w:noProof/>
                <w:webHidden/>
              </w:rPr>
              <w:fldChar w:fldCharType="end"/>
            </w:r>
          </w:hyperlink>
        </w:p>
        <w:p w14:paraId="7F19FF2D" w14:textId="4B00C58E" w:rsidR="00777EE0" w:rsidRDefault="00251E9C">
          <w:pPr>
            <w:pStyle w:val="TOC3"/>
            <w:rPr>
              <w:rFonts w:asciiTheme="minorHAnsi" w:eastAsiaTheme="minorEastAsia" w:hAnsiTheme="minorHAnsi" w:cstheme="minorBidi"/>
              <w:noProof/>
              <w:sz w:val="22"/>
              <w:lang w:eastAsia="en-GB"/>
            </w:rPr>
          </w:pPr>
          <w:hyperlink w:anchor="_Toc35892710" w:history="1">
            <w:r w:rsidR="00777EE0" w:rsidRPr="00C53B84">
              <w:rPr>
                <w:rStyle w:val="Hyperlink"/>
                <w:noProof/>
              </w:rPr>
              <w:t>7.4.2</w:t>
            </w:r>
            <w:r w:rsidR="00777EE0">
              <w:rPr>
                <w:rFonts w:asciiTheme="minorHAnsi" w:eastAsiaTheme="minorEastAsia" w:hAnsiTheme="minorHAnsi" w:cstheme="minorBidi"/>
                <w:noProof/>
                <w:sz w:val="22"/>
                <w:lang w:eastAsia="en-GB"/>
              </w:rPr>
              <w:tab/>
            </w:r>
            <w:r w:rsidR="00777EE0" w:rsidRPr="00C53B84">
              <w:rPr>
                <w:rStyle w:val="Hyperlink"/>
                <w:noProof/>
                <w:shd w:val="clear" w:color="auto" w:fill="FFFFFF"/>
              </w:rPr>
              <w:t>Previous use of NPS</w:t>
            </w:r>
            <w:r w:rsidR="00777EE0">
              <w:rPr>
                <w:noProof/>
                <w:webHidden/>
              </w:rPr>
              <w:tab/>
            </w:r>
            <w:r w:rsidR="00777EE0">
              <w:rPr>
                <w:noProof/>
                <w:webHidden/>
              </w:rPr>
              <w:fldChar w:fldCharType="begin"/>
            </w:r>
            <w:r w:rsidR="00777EE0">
              <w:rPr>
                <w:noProof/>
                <w:webHidden/>
              </w:rPr>
              <w:instrText xml:space="preserve"> PAGEREF _Toc35892710 \h </w:instrText>
            </w:r>
            <w:r w:rsidR="00777EE0">
              <w:rPr>
                <w:noProof/>
                <w:webHidden/>
              </w:rPr>
            </w:r>
            <w:r w:rsidR="00777EE0">
              <w:rPr>
                <w:noProof/>
                <w:webHidden/>
              </w:rPr>
              <w:fldChar w:fldCharType="separate"/>
            </w:r>
            <w:r w:rsidR="0026579C">
              <w:rPr>
                <w:noProof/>
                <w:webHidden/>
              </w:rPr>
              <w:t>293</w:t>
            </w:r>
            <w:r w:rsidR="00777EE0">
              <w:rPr>
                <w:noProof/>
                <w:webHidden/>
              </w:rPr>
              <w:fldChar w:fldCharType="end"/>
            </w:r>
          </w:hyperlink>
        </w:p>
        <w:p w14:paraId="235F4BAC" w14:textId="778050C0" w:rsidR="00777EE0" w:rsidRDefault="00251E9C">
          <w:pPr>
            <w:pStyle w:val="TOC3"/>
            <w:rPr>
              <w:rFonts w:asciiTheme="minorHAnsi" w:eastAsiaTheme="minorEastAsia" w:hAnsiTheme="minorHAnsi" w:cstheme="minorBidi"/>
              <w:noProof/>
              <w:sz w:val="22"/>
              <w:lang w:eastAsia="en-GB"/>
            </w:rPr>
          </w:pPr>
          <w:hyperlink w:anchor="_Toc35892711" w:history="1">
            <w:r w:rsidR="00777EE0" w:rsidRPr="00C53B84">
              <w:rPr>
                <w:rStyle w:val="Hyperlink"/>
                <w:noProof/>
              </w:rPr>
              <w:t>7.4.3</w:t>
            </w:r>
            <w:r w:rsidR="00777EE0">
              <w:rPr>
                <w:rFonts w:asciiTheme="minorHAnsi" w:eastAsiaTheme="minorEastAsia" w:hAnsiTheme="minorHAnsi" w:cstheme="minorBidi"/>
                <w:noProof/>
                <w:sz w:val="22"/>
                <w:lang w:eastAsia="en-GB"/>
              </w:rPr>
              <w:tab/>
            </w:r>
            <w:r w:rsidR="00777EE0" w:rsidRPr="00C53B84">
              <w:rPr>
                <w:rStyle w:val="Hyperlink"/>
                <w:noProof/>
                <w:shd w:val="clear" w:color="auto" w:fill="FFFFFF"/>
              </w:rPr>
              <w:t>Previous use of illicit drugs</w:t>
            </w:r>
            <w:r w:rsidR="00777EE0">
              <w:rPr>
                <w:noProof/>
                <w:webHidden/>
              </w:rPr>
              <w:tab/>
            </w:r>
            <w:r w:rsidR="00777EE0">
              <w:rPr>
                <w:noProof/>
                <w:webHidden/>
              </w:rPr>
              <w:fldChar w:fldCharType="begin"/>
            </w:r>
            <w:r w:rsidR="00777EE0">
              <w:rPr>
                <w:noProof/>
                <w:webHidden/>
              </w:rPr>
              <w:instrText xml:space="preserve"> PAGEREF _Toc35892711 \h </w:instrText>
            </w:r>
            <w:r w:rsidR="00777EE0">
              <w:rPr>
                <w:noProof/>
                <w:webHidden/>
              </w:rPr>
            </w:r>
            <w:r w:rsidR="00777EE0">
              <w:rPr>
                <w:noProof/>
                <w:webHidden/>
              </w:rPr>
              <w:fldChar w:fldCharType="separate"/>
            </w:r>
            <w:r w:rsidR="0026579C">
              <w:rPr>
                <w:noProof/>
                <w:webHidden/>
              </w:rPr>
              <w:t>295</w:t>
            </w:r>
            <w:r w:rsidR="00777EE0">
              <w:rPr>
                <w:noProof/>
                <w:webHidden/>
              </w:rPr>
              <w:fldChar w:fldCharType="end"/>
            </w:r>
          </w:hyperlink>
        </w:p>
        <w:p w14:paraId="19E6D5BC" w14:textId="68E6E05B" w:rsidR="00777EE0" w:rsidRDefault="00251E9C">
          <w:pPr>
            <w:pStyle w:val="TOC3"/>
            <w:rPr>
              <w:rFonts w:asciiTheme="minorHAnsi" w:eastAsiaTheme="minorEastAsia" w:hAnsiTheme="minorHAnsi" w:cstheme="minorBidi"/>
              <w:noProof/>
              <w:sz w:val="22"/>
              <w:lang w:eastAsia="en-GB"/>
            </w:rPr>
          </w:pPr>
          <w:hyperlink w:anchor="_Toc35892712" w:history="1">
            <w:r w:rsidR="00777EE0" w:rsidRPr="00C53B84">
              <w:rPr>
                <w:rStyle w:val="Hyperlink"/>
                <w:noProof/>
              </w:rPr>
              <w:t>7.4.4</w:t>
            </w:r>
            <w:r w:rsidR="00777EE0">
              <w:rPr>
                <w:rFonts w:asciiTheme="minorHAnsi" w:eastAsiaTheme="minorEastAsia" w:hAnsiTheme="minorHAnsi" w:cstheme="minorBidi"/>
                <w:noProof/>
                <w:sz w:val="22"/>
                <w:lang w:eastAsia="en-GB"/>
              </w:rPr>
              <w:tab/>
            </w:r>
            <w:r w:rsidR="00777EE0" w:rsidRPr="00C53B84">
              <w:rPr>
                <w:rStyle w:val="Hyperlink"/>
                <w:noProof/>
              </w:rPr>
              <w:t>Substances</w:t>
            </w:r>
            <w:r w:rsidR="00777EE0">
              <w:rPr>
                <w:noProof/>
                <w:webHidden/>
              </w:rPr>
              <w:tab/>
            </w:r>
            <w:r w:rsidR="00777EE0">
              <w:rPr>
                <w:noProof/>
                <w:webHidden/>
              </w:rPr>
              <w:fldChar w:fldCharType="begin"/>
            </w:r>
            <w:r w:rsidR="00777EE0">
              <w:rPr>
                <w:noProof/>
                <w:webHidden/>
              </w:rPr>
              <w:instrText xml:space="preserve"> PAGEREF _Toc35892712 \h </w:instrText>
            </w:r>
            <w:r w:rsidR="00777EE0">
              <w:rPr>
                <w:noProof/>
                <w:webHidden/>
              </w:rPr>
            </w:r>
            <w:r w:rsidR="00777EE0">
              <w:rPr>
                <w:noProof/>
                <w:webHidden/>
              </w:rPr>
              <w:fldChar w:fldCharType="separate"/>
            </w:r>
            <w:r w:rsidR="0026579C">
              <w:rPr>
                <w:noProof/>
                <w:webHidden/>
              </w:rPr>
              <w:t>295</w:t>
            </w:r>
            <w:r w:rsidR="00777EE0">
              <w:rPr>
                <w:noProof/>
                <w:webHidden/>
              </w:rPr>
              <w:fldChar w:fldCharType="end"/>
            </w:r>
          </w:hyperlink>
        </w:p>
        <w:p w14:paraId="47A25561" w14:textId="543245D6" w:rsidR="00777EE0" w:rsidRDefault="00251E9C">
          <w:pPr>
            <w:pStyle w:val="TOC3"/>
            <w:rPr>
              <w:rFonts w:asciiTheme="minorHAnsi" w:eastAsiaTheme="minorEastAsia" w:hAnsiTheme="minorHAnsi" w:cstheme="minorBidi"/>
              <w:noProof/>
              <w:sz w:val="22"/>
              <w:lang w:eastAsia="en-GB"/>
            </w:rPr>
          </w:pPr>
          <w:hyperlink w:anchor="_Toc35892713" w:history="1">
            <w:r w:rsidR="00777EE0" w:rsidRPr="00C53B84">
              <w:rPr>
                <w:rStyle w:val="Hyperlink"/>
                <w:noProof/>
              </w:rPr>
              <w:t>7.4.5</w:t>
            </w:r>
            <w:r w:rsidR="00777EE0">
              <w:rPr>
                <w:rFonts w:asciiTheme="minorHAnsi" w:eastAsiaTheme="minorEastAsia" w:hAnsiTheme="minorHAnsi" w:cstheme="minorBidi"/>
                <w:noProof/>
                <w:sz w:val="22"/>
                <w:lang w:eastAsia="en-GB"/>
              </w:rPr>
              <w:tab/>
            </w:r>
            <w:r w:rsidR="00777EE0" w:rsidRPr="00C53B84">
              <w:rPr>
                <w:rStyle w:val="Hyperlink"/>
                <w:noProof/>
              </w:rPr>
              <w:t>Participants perceptions of the PS Act</w:t>
            </w:r>
            <w:r w:rsidR="00777EE0">
              <w:rPr>
                <w:noProof/>
                <w:webHidden/>
              </w:rPr>
              <w:tab/>
            </w:r>
            <w:r w:rsidR="00777EE0">
              <w:rPr>
                <w:noProof/>
                <w:webHidden/>
              </w:rPr>
              <w:fldChar w:fldCharType="begin"/>
            </w:r>
            <w:r w:rsidR="00777EE0">
              <w:rPr>
                <w:noProof/>
                <w:webHidden/>
              </w:rPr>
              <w:instrText xml:space="preserve"> PAGEREF _Toc35892713 \h </w:instrText>
            </w:r>
            <w:r w:rsidR="00777EE0">
              <w:rPr>
                <w:noProof/>
                <w:webHidden/>
              </w:rPr>
            </w:r>
            <w:r w:rsidR="00777EE0">
              <w:rPr>
                <w:noProof/>
                <w:webHidden/>
              </w:rPr>
              <w:fldChar w:fldCharType="separate"/>
            </w:r>
            <w:r w:rsidR="0026579C">
              <w:rPr>
                <w:noProof/>
                <w:webHidden/>
              </w:rPr>
              <w:t>296</w:t>
            </w:r>
            <w:r w:rsidR="00777EE0">
              <w:rPr>
                <w:noProof/>
                <w:webHidden/>
              </w:rPr>
              <w:fldChar w:fldCharType="end"/>
            </w:r>
          </w:hyperlink>
        </w:p>
        <w:p w14:paraId="39B23A0A" w14:textId="59F06417" w:rsidR="00777EE0" w:rsidRDefault="00251E9C">
          <w:pPr>
            <w:pStyle w:val="TOC3"/>
            <w:rPr>
              <w:rFonts w:asciiTheme="minorHAnsi" w:eastAsiaTheme="minorEastAsia" w:hAnsiTheme="minorHAnsi" w:cstheme="minorBidi"/>
              <w:noProof/>
              <w:sz w:val="22"/>
              <w:lang w:eastAsia="en-GB"/>
            </w:rPr>
          </w:pPr>
          <w:hyperlink w:anchor="_Toc35892714" w:history="1">
            <w:r w:rsidR="00777EE0" w:rsidRPr="00C53B84">
              <w:rPr>
                <w:rStyle w:val="Hyperlink"/>
                <w:noProof/>
              </w:rPr>
              <w:t>7.4.6</w:t>
            </w:r>
            <w:r w:rsidR="00777EE0">
              <w:rPr>
                <w:rFonts w:asciiTheme="minorHAnsi" w:eastAsiaTheme="minorEastAsia" w:hAnsiTheme="minorHAnsi" w:cstheme="minorBidi"/>
                <w:noProof/>
                <w:sz w:val="22"/>
                <w:lang w:eastAsia="en-GB"/>
              </w:rPr>
              <w:tab/>
            </w:r>
            <w:r w:rsidR="00777EE0" w:rsidRPr="00C53B84">
              <w:rPr>
                <w:rStyle w:val="Hyperlink"/>
                <w:noProof/>
              </w:rPr>
              <w:t>Data analysis</w:t>
            </w:r>
            <w:r w:rsidR="00777EE0">
              <w:rPr>
                <w:noProof/>
                <w:webHidden/>
              </w:rPr>
              <w:tab/>
            </w:r>
            <w:r w:rsidR="00777EE0">
              <w:rPr>
                <w:noProof/>
                <w:webHidden/>
              </w:rPr>
              <w:fldChar w:fldCharType="begin"/>
            </w:r>
            <w:r w:rsidR="00777EE0">
              <w:rPr>
                <w:noProof/>
                <w:webHidden/>
              </w:rPr>
              <w:instrText xml:space="preserve"> PAGEREF _Toc35892714 \h </w:instrText>
            </w:r>
            <w:r w:rsidR="00777EE0">
              <w:rPr>
                <w:noProof/>
                <w:webHidden/>
              </w:rPr>
            </w:r>
            <w:r w:rsidR="00777EE0">
              <w:rPr>
                <w:noProof/>
                <w:webHidden/>
              </w:rPr>
              <w:fldChar w:fldCharType="separate"/>
            </w:r>
            <w:r w:rsidR="0026579C">
              <w:rPr>
                <w:noProof/>
                <w:webHidden/>
              </w:rPr>
              <w:t>297</w:t>
            </w:r>
            <w:r w:rsidR="00777EE0">
              <w:rPr>
                <w:noProof/>
                <w:webHidden/>
              </w:rPr>
              <w:fldChar w:fldCharType="end"/>
            </w:r>
          </w:hyperlink>
        </w:p>
        <w:p w14:paraId="05695645" w14:textId="124FC802" w:rsidR="00777EE0" w:rsidRDefault="00251E9C">
          <w:pPr>
            <w:pStyle w:val="TOC3"/>
            <w:rPr>
              <w:rFonts w:asciiTheme="minorHAnsi" w:eastAsiaTheme="minorEastAsia" w:hAnsiTheme="minorHAnsi" w:cstheme="minorBidi"/>
              <w:noProof/>
              <w:sz w:val="22"/>
              <w:lang w:eastAsia="en-GB"/>
            </w:rPr>
          </w:pPr>
          <w:hyperlink w:anchor="_Toc35892715" w:history="1">
            <w:r w:rsidR="00777EE0" w:rsidRPr="00C53B84">
              <w:rPr>
                <w:rStyle w:val="Hyperlink"/>
                <w:noProof/>
              </w:rPr>
              <w:t>7.4.7</w:t>
            </w:r>
            <w:r w:rsidR="00777EE0">
              <w:rPr>
                <w:rFonts w:asciiTheme="minorHAnsi" w:eastAsiaTheme="minorEastAsia" w:hAnsiTheme="minorHAnsi" w:cstheme="minorBidi"/>
                <w:noProof/>
                <w:sz w:val="22"/>
                <w:lang w:eastAsia="en-GB"/>
              </w:rPr>
              <w:tab/>
            </w:r>
            <w:r w:rsidR="00777EE0" w:rsidRPr="00C53B84">
              <w:rPr>
                <w:rStyle w:val="Hyperlink"/>
                <w:noProof/>
              </w:rPr>
              <w:t>Impact of the PS Act</w:t>
            </w:r>
            <w:r w:rsidR="00777EE0">
              <w:rPr>
                <w:noProof/>
                <w:webHidden/>
              </w:rPr>
              <w:tab/>
            </w:r>
            <w:r w:rsidR="00777EE0">
              <w:rPr>
                <w:noProof/>
                <w:webHidden/>
              </w:rPr>
              <w:fldChar w:fldCharType="begin"/>
            </w:r>
            <w:r w:rsidR="00777EE0">
              <w:rPr>
                <w:noProof/>
                <w:webHidden/>
              </w:rPr>
              <w:instrText xml:space="preserve"> PAGEREF _Toc35892715 \h </w:instrText>
            </w:r>
            <w:r w:rsidR="00777EE0">
              <w:rPr>
                <w:noProof/>
                <w:webHidden/>
              </w:rPr>
            </w:r>
            <w:r w:rsidR="00777EE0">
              <w:rPr>
                <w:noProof/>
                <w:webHidden/>
              </w:rPr>
              <w:fldChar w:fldCharType="separate"/>
            </w:r>
            <w:r w:rsidR="0026579C">
              <w:rPr>
                <w:noProof/>
                <w:webHidden/>
              </w:rPr>
              <w:t>298</w:t>
            </w:r>
            <w:r w:rsidR="00777EE0">
              <w:rPr>
                <w:noProof/>
                <w:webHidden/>
              </w:rPr>
              <w:fldChar w:fldCharType="end"/>
            </w:r>
          </w:hyperlink>
        </w:p>
        <w:p w14:paraId="351F573B" w14:textId="5B8FAAC5" w:rsidR="00777EE0" w:rsidRDefault="00251E9C">
          <w:pPr>
            <w:pStyle w:val="TOC3"/>
            <w:rPr>
              <w:rFonts w:asciiTheme="minorHAnsi" w:eastAsiaTheme="minorEastAsia" w:hAnsiTheme="minorHAnsi" w:cstheme="minorBidi"/>
              <w:noProof/>
              <w:sz w:val="22"/>
              <w:lang w:eastAsia="en-GB"/>
            </w:rPr>
          </w:pPr>
          <w:hyperlink w:anchor="_Toc35892716" w:history="1">
            <w:r w:rsidR="00777EE0" w:rsidRPr="00C53B84">
              <w:rPr>
                <w:rStyle w:val="Hyperlink"/>
                <w:noProof/>
              </w:rPr>
              <w:t>7.4.8</w:t>
            </w:r>
            <w:r w:rsidR="00777EE0">
              <w:rPr>
                <w:rFonts w:asciiTheme="minorHAnsi" w:eastAsiaTheme="minorEastAsia" w:hAnsiTheme="minorHAnsi" w:cstheme="minorBidi"/>
                <w:noProof/>
                <w:sz w:val="22"/>
                <w:lang w:eastAsia="en-GB"/>
              </w:rPr>
              <w:tab/>
            </w:r>
            <w:r w:rsidR="00777EE0" w:rsidRPr="00C53B84">
              <w:rPr>
                <w:rStyle w:val="Hyperlink"/>
                <w:noProof/>
              </w:rPr>
              <w:t>Global themes and organising themes</w:t>
            </w:r>
            <w:r w:rsidR="00777EE0">
              <w:rPr>
                <w:noProof/>
                <w:webHidden/>
              </w:rPr>
              <w:tab/>
            </w:r>
            <w:r w:rsidR="00777EE0">
              <w:rPr>
                <w:noProof/>
                <w:webHidden/>
              </w:rPr>
              <w:fldChar w:fldCharType="begin"/>
            </w:r>
            <w:r w:rsidR="00777EE0">
              <w:rPr>
                <w:noProof/>
                <w:webHidden/>
              </w:rPr>
              <w:instrText xml:space="preserve"> PAGEREF _Toc35892716 \h </w:instrText>
            </w:r>
            <w:r w:rsidR="00777EE0">
              <w:rPr>
                <w:noProof/>
                <w:webHidden/>
              </w:rPr>
            </w:r>
            <w:r w:rsidR="00777EE0">
              <w:rPr>
                <w:noProof/>
                <w:webHidden/>
              </w:rPr>
              <w:fldChar w:fldCharType="separate"/>
            </w:r>
            <w:r w:rsidR="0026579C">
              <w:rPr>
                <w:noProof/>
                <w:webHidden/>
              </w:rPr>
              <w:t>299</w:t>
            </w:r>
            <w:r w:rsidR="00777EE0">
              <w:rPr>
                <w:noProof/>
                <w:webHidden/>
              </w:rPr>
              <w:fldChar w:fldCharType="end"/>
            </w:r>
          </w:hyperlink>
        </w:p>
        <w:p w14:paraId="0E6234D3" w14:textId="0EBE1AE3" w:rsidR="00777EE0" w:rsidRDefault="00251E9C">
          <w:pPr>
            <w:pStyle w:val="TOC3"/>
            <w:rPr>
              <w:rFonts w:asciiTheme="minorHAnsi" w:eastAsiaTheme="minorEastAsia" w:hAnsiTheme="minorHAnsi" w:cstheme="minorBidi"/>
              <w:noProof/>
              <w:sz w:val="22"/>
              <w:lang w:eastAsia="en-GB"/>
            </w:rPr>
          </w:pPr>
          <w:hyperlink w:anchor="_Toc35892717" w:history="1">
            <w:r w:rsidR="00777EE0" w:rsidRPr="00C53B84">
              <w:rPr>
                <w:rStyle w:val="Hyperlink"/>
                <w:noProof/>
              </w:rPr>
              <w:t>7.4.9</w:t>
            </w:r>
            <w:r w:rsidR="00777EE0">
              <w:rPr>
                <w:rFonts w:asciiTheme="minorHAnsi" w:eastAsiaTheme="minorEastAsia" w:hAnsiTheme="minorHAnsi" w:cstheme="minorBidi"/>
                <w:noProof/>
                <w:sz w:val="22"/>
                <w:lang w:eastAsia="en-GB"/>
              </w:rPr>
              <w:tab/>
            </w:r>
            <w:r w:rsidR="00777EE0" w:rsidRPr="00C53B84">
              <w:rPr>
                <w:rStyle w:val="Hyperlink"/>
                <w:noProof/>
              </w:rPr>
              <w:t>Differences in global themes</w:t>
            </w:r>
            <w:r w:rsidR="00777EE0">
              <w:rPr>
                <w:noProof/>
                <w:webHidden/>
              </w:rPr>
              <w:tab/>
            </w:r>
            <w:r w:rsidR="00777EE0">
              <w:rPr>
                <w:noProof/>
                <w:webHidden/>
              </w:rPr>
              <w:fldChar w:fldCharType="begin"/>
            </w:r>
            <w:r w:rsidR="00777EE0">
              <w:rPr>
                <w:noProof/>
                <w:webHidden/>
              </w:rPr>
              <w:instrText xml:space="preserve"> PAGEREF _Toc35892717 \h </w:instrText>
            </w:r>
            <w:r w:rsidR="00777EE0">
              <w:rPr>
                <w:noProof/>
                <w:webHidden/>
              </w:rPr>
            </w:r>
            <w:r w:rsidR="00777EE0">
              <w:rPr>
                <w:noProof/>
                <w:webHidden/>
              </w:rPr>
              <w:fldChar w:fldCharType="separate"/>
            </w:r>
            <w:r w:rsidR="0026579C">
              <w:rPr>
                <w:noProof/>
                <w:webHidden/>
              </w:rPr>
              <w:t>310</w:t>
            </w:r>
            <w:r w:rsidR="00777EE0">
              <w:rPr>
                <w:noProof/>
                <w:webHidden/>
              </w:rPr>
              <w:fldChar w:fldCharType="end"/>
            </w:r>
          </w:hyperlink>
        </w:p>
        <w:p w14:paraId="68913394" w14:textId="3D0151A3" w:rsidR="00777EE0" w:rsidRDefault="00251E9C">
          <w:pPr>
            <w:pStyle w:val="TOC3"/>
            <w:rPr>
              <w:rFonts w:asciiTheme="minorHAnsi" w:eastAsiaTheme="minorEastAsia" w:hAnsiTheme="minorHAnsi" w:cstheme="minorBidi"/>
              <w:noProof/>
              <w:sz w:val="22"/>
              <w:lang w:eastAsia="en-GB"/>
            </w:rPr>
          </w:pPr>
          <w:hyperlink w:anchor="_Toc35892718" w:history="1">
            <w:r w:rsidR="00777EE0" w:rsidRPr="00C53B84">
              <w:rPr>
                <w:rStyle w:val="Hyperlink"/>
                <w:iCs/>
                <w:noProof/>
              </w:rPr>
              <w:t>7.4.9.2</w:t>
            </w:r>
            <w:r w:rsidR="00777EE0">
              <w:rPr>
                <w:rFonts w:asciiTheme="minorHAnsi" w:eastAsiaTheme="minorEastAsia" w:hAnsiTheme="minorHAnsi" w:cstheme="minorBidi"/>
                <w:noProof/>
                <w:sz w:val="22"/>
                <w:lang w:eastAsia="en-GB"/>
              </w:rPr>
              <w:tab/>
            </w:r>
            <w:r w:rsidR="00777EE0" w:rsidRPr="00C53B84">
              <w:rPr>
                <w:rStyle w:val="Hyperlink"/>
                <w:iCs/>
                <w:noProof/>
              </w:rPr>
              <w:t>Accessibility</w:t>
            </w:r>
            <w:r w:rsidR="00777EE0">
              <w:rPr>
                <w:noProof/>
                <w:webHidden/>
              </w:rPr>
              <w:tab/>
            </w:r>
            <w:r w:rsidR="00777EE0">
              <w:rPr>
                <w:noProof/>
                <w:webHidden/>
              </w:rPr>
              <w:fldChar w:fldCharType="begin"/>
            </w:r>
            <w:r w:rsidR="00777EE0">
              <w:rPr>
                <w:noProof/>
                <w:webHidden/>
              </w:rPr>
              <w:instrText xml:space="preserve"> PAGEREF _Toc35892718 \h </w:instrText>
            </w:r>
            <w:r w:rsidR="00777EE0">
              <w:rPr>
                <w:noProof/>
                <w:webHidden/>
              </w:rPr>
            </w:r>
            <w:r w:rsidR="00777EE0">
              <w:rPr>
                <w:noProof/>
                <w:webHidden/>
              </w:rPr>
              <w:fldChar w:fldCharType="separate"/>
            </w:r>
            <w:r w:rsidR="0026579C">
              <w:rPr>
                <w:noProof/>
                <w:webHidden/>
              </w:rPr>
              <w:t>312</w:t>
            </w:r>
            <w:r w:rsidR="00777EE0">
              <w:rPr>
                <w:noProof/>
                <w:webHidden/>
              </w:rPr>
              <w:fldChar w:fldCharType="end"/>
            </w:r>
          </w:hyperlink>
        </w:p>
        <w:p w14:paraId="2574A60F" w14:textId="4D0D995D" w:rsidR="00777EE0" w:rsidRDefault="00251E9C">
          <w:pPr>
            <w:pStyle w:val="TOC3"/>
            <w:rPr>
              <w:rFonts w:asciiTheme="minorHAnsi" w:eastAsiaTheme="minorEastAsia" w:hAnsiTheme="minorHAnsi" w:cstheme="minorBidi"/>
              <w:noProof/>
              <w:sz w:val="22"/>
              <w:lang w:eastAsia="en-GB"/>
            </w:rPr>
          </w:pPr>
          <w:hyperlink w:anchor="_Toc35892719" w:history="1">
            <w:r w:rsidR="00777EE0" w:rsidRPr="00C53B84">
              <w:rPr>
                <w:rStyle w:val="Hyperlink"/>
                <w:iCs/>
                <w:noProof/>
              </w:rPr>
              <w:t>7.4.9.3</w:t>
            </w:r>
            <w:r w:rsidR="00777EE0">
              <w:rPr>
                <w:rFonts w:asciiTheme="minorHAnsi" w:eastAsiaTheme="minorEastAsia" w:hAnsiTheme="minorHAnsi" w:cstheme="minorBidi"/>
                <w:noProof/>
                <w:sz w:val="22"/>
                <w:lang w:eastAsia="en-GB"/>
              </w:rPr>
              <w:tab/>
            </w:r>
            <w:r w:rsidR="00777EE0" w:rsidRPr="00C53B84">
              <w:rPr>
                <w:rStyle w:val="Hyperlink"/>
                <w:iCs/>
                <w:noProof/>
              </w:rPr>
              <w:t>Coping</w:t>
            </w:r>
            <w:r w:rsidR="00777EE0">
              <w:rPr>
                <w:noProof/>
                <w:webHidden/>
              </w:rPr>
              <w:tab/>
            </w:r>
            <w:r w:rsidR="00777EE0">
              <w:rPr>
                <w:noProof/>
                <w:webHidden/>
              </w:rPr>
              <w:fldChar w:fldCharType="begin"/>
            </w:r>
            <w:r w:rsidR="00777EE0">
              <w:rPr>
                <w:noProof/>
                <w:webHidden/>
              </w:rPr>
              <w:instrText xml:space="preserve"> PAGEREF _Toc35892719 \h </w:instrText>
            </w:r>
            <w:r w:rsidR="00777EE0">
              <w:rPr>
                <w:noProof/>
                <w:webHidden/>
              </w:rPr>
            </w:r>
            <w:r w:rsidR="00777EE0">
              <w:rPr>
                <w:noProof/>
                <w:webHidden/>
              </w:rPr>
              <w:fldChar w:fldCharType="separate"/>
            </w:r>
            <w:r w:rsidR="0026579C">
              <w:rPr>
                <w:noProof/>
                <w:webHidden/>
              </w:rPr>
              <w:t>313</w:t>
            </w:r>
            <w:r w:rsidR="00777EE0">
              <w:rPr>
                <w:noProof/>
                <w:webHidden/>
              </w:rPr>
              <w:fldChar w:fldCharType="end"/>
            </w:r>
          </w:hyperlink>
        </w:p>
        <w:p w14:paraId="07135981" w14:textId="1D2CFF40" w:rsidR="00777EE0" w:rsidRDefault="00251E9C">
          <w:pPr>
            <w:pStyle w:val="TOC3"/>
            <w:rPr>
              <w:rFonts w:asciiTheme="minorHAnsi" w:eastAsiaTheme="minorEastAsia" w:hAnsiTheme="minorHAnsi" w:cstheme="minorBidi"/>
              <w:noProof/>
              <w:sz w:val="22"/>
              <w:lang w:eastAsia="en-GB"/>
            </w:rPr>
          </w:pPr>
          <w:hyperlink w:anchor="_Toc35892720" w:history="1">
            <w:r w:rsidR="00777EE0" w:rsidRPr="00C53B84">
              <w:rPr>
                <w:rStyle w:val="Hyperlink"/>
                <w:iCs/>
                <w:noProof/>
              </w:rPr>
              <w:t>7.4.9.4</w:t>
            </w:r>
            <w:r w:rsidR="00777EE0">
              <w:rPr>
                <w:rFonts w:asciiTheme="minorHAnsi" w:eastAsiaTheme="minorEastAsia" w:hAnsiTheme="minorHAnsi" w:cstheme="minorBidi"/>
                <w:noProof/>
                <w:sz w:val="22"/>
                <w:lang w:eastAsia="en-GB"/>
              </w:rPr>
              <w:tab/>
            </w:r>
            <w:r w:rsidR="00777EE0" w:rsidRPr="00C53B84">
              <w:rPr>
                <w:rStyle w:val="Hyperlink"/>
                <w:iCs/>
                <w:noProof/>
              </w:rPr>
              <w:t>Pleasure</w:t>
            </w:r>
            <w:r w:rsidR="00777EE0">
              <w:rPr>
                <w:noProof/>
                <w:webHidden/>
              </w:rPr>
              <w:tab/>
            </w:r>
            <w:r w:rsidR="00777EE0">
              <w:rPr>
                <w:noProof/>
                <w:webHidden/>
              </w:rPr>
              <w:fldChar w:fldCharType="begin"/>
            </w:r>
            <w:r w:rsidR="00777EE0">
              <w:rPr>
                <w:noProof/>
                <w:webHidden/>
              </w:rPr>
              <w:instrText xml:space="preserve"> PAGEREF _Toc35892720 \h </w:instrText>
            </w:r>
            <w:r w:rsidR="00777EE0">
              <w:rPr>
                <w:noProof/>
                <w:webHidden/>
              </w:rPr>
            </w:r>
            <w:r w:rsidR="00777EE0">
              <w:rPr>
                <w:noProof/>
                <w:webHidden/>
              </w:rPr>
              <w:fldChar w:fldCharType="separate"/>
            </w:r>
            <w:r w:rsidR="0026579C">
              <w:rPr>
                <w:noProof/>
                <w:webHidden/>
              </w:rPr>
              <w:t>314</w:t>
            </w:r>
            <w:r w:rsidR="00777EE0">
              <w:rPr>
                <w:noProof/>
                <w:webHidden/>
              </w:rPr>
              <w:fldChar w:fldCharType="end"/>
            </w:r>
          </w:hyperlink>
        </w:p>
        <w:p w14:paraId="0C5D6B5B" w14:textId="23C07FA4" w:rsidR="00777EE0" w:rsidRDefault="00251E9C">
          <w:pPr>
            <w:pStyle w:val="TOC3"/>
            <w:rPr>
              <w:rFonts w:asciiTheme="minorHAnsi" w:eastAsiaTheme="minorEastAsia" w:hAnsiTheme="minorHAnsi" w:cstheme="minorBidi"/>
              <w:noProof/>
              <w:sz w:val="22"/>
              <w:lang w:eastAsia="en-GB"/>
            </w:rPr>
          </w:pPr>
          <w:hyperlink w:anchor="_Toc35892721" w:history="1">
            <w:r w:rsidR="00777EE0" w:rsidRPr="00C53B84">
              <w:rPr>
                <w:rStyle w:val="Hyperlink"/>
                <w:iCs/>
                <w:noProof/>
              </w:rPr>
              <w:t>7.4.9.5</w:t>
            </w:r>
            <w:r w:rsidR="00777EE0">
              <w:rPr>
                <w:rFonts w:asciiTheme="minorHAnsi" w:eastAsiaTheme="minorEastAsia" w:hAnsiTheme="minorHAnsi" w:cstheme="minorBidi"/>
                <w:noProof/>
                <w:sz w:val="22"/>
                <w:lang w:eastAsia="en-GB"/>
              </w:rPr>
              <w:tab/>
            </w:r>
            <w:r w:rsidR="00777EE0" w:rsidRPr="00C53B84">
              <w:rPr>
                <w:rStyle w:val="Hyperlink"/>
                <w:iCs/>
                <w:noProof/>
              </w:rPr>
              <w:t>Legal status</w:t>
            </w:r>
            <w:r w:rsidR="00777EE0">
              <w:rPr>
                <w:noProof/>
                <w:webHidden/>
              </w:rPr>
              <w:tab/>
            </w:r>
            <w:r w:rsidR="00777EE0">
              <w:rPr>
                <w:noProof/>
                <w:webHidden/>
              </w:rPr>
              <w:fldChar w:fldCharType="begin"/>
            </w:r>
            <w:r w:rsidR="00777EE0">
              <w:rPr>
                <w:noProof/>
                <w:webHidden/>
              </w:rPr>
              <w:instrText xml:space="preserve"> PAGEREF _Toc35892721 \h </w:instrText>
            </w:r>
            <w:r w:rsidR="00777EE0">
              <w:rPr>
                <w:noProof/>
                <w:webHidden/>
              </w:rPr>
            </w:r>
            <w:r w:rsidR="00777EE0">
              <w:rPr>
                <w:noProof/>
                <w:webHidden/>
              </w:rPr>
              <w:fldChar w:fldCharType="separate"/>
            </w:r>
            <w:r w:rsidR="0026579C">
              <w:rPr>
                <w:noProof/>
                <w:webHidden/>
              </w:rPr>
              <w:t>315</w:t>
            </w:r>
            <w:r w:rsidR="00777EE0">
              <w:rPr>
                <w:noProof/>
                <w:webHidden/>
              </w:rPr>
              <w:fldChar w:fldCharType="end"/>
            </w:r>
          </w:hyperlink>
        </w:p>
        <w:p w14:paraId="76EC2C17" w14:textId="7212E0DB" w:rsidR="00777EE0" w:rsidRDefault="00251E9C">
          <w:pPr>
            <w:pStyle w:val="TOC3"/>
            <w:rPr>
              <w:rFonts w:asciiTheme="minorHAnsi" w:eastAsiaTheme="minorEastAsia" w:hAnsiTheme="minorHAnsi" w:cstheme="minorBidi"/>
              <w:noProof/>
              <w:sz w:val="22"/>
              <w:lang w:eastAsia="en-GB"/>
            </w:rPr>
          </w:pPr>
          <w:hyperlink w:anchor="_Toc35892722" w:history="1">
            <w:r w:rsidR="00777EE0" w:rsidRPr="00C53B84">
              <w:rPr>
                <w:rStyle w:val="Hyperlink"/>
                <w:iCs/>
                <w:noProof/>
              </w:rPr>
              <w:t>7.4.9.6</w:t>
            </w:r>
            <w:r w:rsidR="00777EE0">
              <w:rPr>
                <w:rFonts w:asciiTheme="minorHAnsi" w:eastAsiaTheme="minorEastAsia" w:hAnsiTheme="minorHAnsi" w:cstheme="minorBidi"/>
                <w:noProof/>
                <w:sz w:val="22"/>
                <w:lang w:eastAsia="en-GB"/>
              </w:rPr>
              <w:tab/>
            </w:r>
            <w:r w:rsidR="00777EE0" w:rsidRPr="00C53B84">
              <w:rPr>
                <w:rStyle w:val="Hyperlink"/>
                <w:iCs/>
                <w:noProof/>
              </w:rPr>
              <w:t>Social influences</w:t>
            </w:r>
            <w:r w:rsidR="00777EE0">
              <w:rPr>
                <w:noProof/>
                <w:webHidden/>
              </w:rPr>
              <w:tab/>
            </w:r>
            <w:r w:rsidR="00777EE0">
              <w:rPr>
                <w:noProof/>
                <w:webHidden/>
              </w:rPr>
              <w:fldChar w:fldCharType="begin"/>
            </w:r>
            <w:r w:rsidR="00777EE0">
              <w:rPr>
                <w:noProof/>
                <w:webHidden/>
              </w:rPr>
              <w:instrText xml:space="preserve"> PAGEREF _Toc35892722 \h </w:instrText>
            </w:r>
            <w:r w:rsidR="00777EE0">
              <w:rPr>
                <w:noProof/>
                <w:webHidden/>
              </w:rPr>
            </w:r>
            <w:r w:rsidR="00777EE0">
              <w:rPr>
                <w:noProof/>
                <w:webHidden/>
              </w:rPr>
              <w:fldChar w:fldCharType="separate"/>
            </w:r>
            <w:r w:rsidR="0026579C">
              <w:rPr>
                <w:noProof/>
                <w:webHidden/>
              </w:rPr>
              <w:t>316</w:t>
            </w:r>
            <w:r w:rsidR="00777EE0">
              <w:rPr>
                <w:noProof/>
                <w:webHidden/>
              </w:rPr>
              <w:fldChar w:fldCharType="end"/>
            </w:r>
          </w:hyperlink>
        </w:p>
        <w:p w14:paraId="5D646ABC" w14:textId="68A2109A" w:rsidR="00777EE0" w:rsidRDefault="00251E9C">
          <w:pPr>
            <w:pStyle w:val="TOC3"/>
            <w:rPr>
              <w:rFonts w:asciiTheme="minorHAnsi" w:eastAsiaTheme="minorEastAsia" w:hAnsiTheme="minorHAnsi" w:cstheme="minorBidi"/>
              <w:noProof/>
              <w:sz w:val="22"/>
              <w:lang w:eastAsia="en-GB"/>
            </w:rPr>
          </w:pPr>
          <w:hyperlink w:anchor="_Toc35892723" w:history="1">
            <w:r w:rsidR="00777EE0" w:rsidRPr="00C53B84">
              <w:rPr>
                <w:rStyle w:val="Hyperlink"/>
                <w:iCs/>
                <w:noProof/>
              </w:rPr>
              <w:t>7.4.9.7</w:t>
            </w:r>
            <w:r w:rsidR="00777EE0">
              <w:rPr>
                <w:rFonts w:asciiTheme="minorHAnsi" w:eastAsiaTheme="minorEastAsia" w:hAnsiTheme="minorHAnsi" w:cstheme="minorBidi"/>
                <w:noProof/>
                <w:sz w:val="22"/>
                <w:lang w:eastAsia="en-GB"/>
              </w:rPr>
              <w:tab/>
            </w:r>
            <w:r w:rsidR="00777EE0" w:rsidRPr="00C53B84">
              <w:rPr>
                <w:rStyle w:val="Hyperlink"/>
                <w:iCs/>
                <w:noProof/>
              </w:rPr>
              <w:t>Substitution</w:t>
            </w:r>
            <w:r w:rsidR="00777EE0">
              <w:rPr>
                <w:noProof/>
                <w:webHidden/>
              </w:rPr>
              <w:tab/>
            </w:r>
            <w:r w:rsidR="00777EE0">
              <w:rPr>
                <w:noProof/>
                <w:webHidden/>
              </w:rPr>
              <w:fldChar w:fldCharType="begin"/>
            </w:r>
            <w:r w:rsidR="00777EE0">
              <w:rPr>
                <w:noProof/>
                <w:webHidden/>
              </w:rPr>
              <w:instrText xml:space="preserve"> PAGEREF _Toc35892723 \h </w:instrText>
            </w:r>
            <w:r w:rsidR="00777EE0">
              <w:rPr>
                <w:noProof/>
                <w:webHidden/>
              </w:rPr>
            </w:r>
            <w:r w:rsidR="00777EE0">
              <w:rPr>
                <w:noProof/>
                <w:webHidden/>
              </w:rPr>
              <w:fldChar w:fldCharType="separate"/>
            </w:r>
            <w:r w:rsidR="0026579C">
              <w:rPr>
                <w:noProof/>
                <w:webHidden/>
              </w:rPr>
              <w:t>317</w:t>
            </w:r>
            <w:r w:rsidR="00777EE0">
              <w:rPr>
                <w:noProof/>
                <w:webHidden/>
              </w:rPr>
              <w:fldChar w:fldCharType="end"/>
            </w:r>
          </w:hyperlink>
        </w:p>
        <w:p w14:paraId="705F9C37" w14:textId="0B93E141" w:rsidR="00777EE0" w:rsidRDefault="00251E9C">
          <w:pPr>
            <w:pStyle w:val="TOC3"/>
            <w:rPr>
              <w:rFonts w:asciiTheme="minorHAnsi" w:eastAsiaTheme="minorEastAsia" w:hAnsiTheme="minorHAnsi" w:cstheme="minorBidi"/>
              <w:noProof/>
              <w:sz w:val="22"/>
              <w:lang w:eastAsia="en-GB"/>
            </w:rPr>
          </w:pPr>
          <w:hyperlink w:anchor="_Toc35892724" w:history="1">
            <w:r w:rsidR="00777EE0" w:rsidRPr="00C53B84">
              <w:rPr>
                <w:rStyle w:val="Hyperlink"/>
                <w:iCs/>
                <w:noProof/>
              </w:rPr>
              <w:t>7.4.9.8</w:t>
            </w:r>
            <w:r w:rsidR="00777EE0">
              <w:rPr>
                <w:rFonts w:asciiTheme="minorHAnsi" w:eastAsiaTheme="minorEastAsia" w:hAnsiTheme="minorHAnsi" w:cstheme="minorBidi"/>
                <w:noProof/>
                <w:sz w:val="22"/>
                <w:lang w:eastAsia="en-GB"/>
              </w:rPr>
              <w:tab/>
            </w:r>
            <w:r w:rsidR="00777EE0" w:rsidRPr="00C53B84">
              <w:rPr>
                <w:rStyle w:val="Hyperlink"/>
                <w:iCs/>
                <w:noProof/>
              </w:rPr>
              <w:t>Authority</w:t>
            </w:r>
            <w:r w:rsidR="00777EE0">
              <w:rPr>
                <w:noProof/>
                <w:webHidden/>
              </w:rPr>
              <w:tab/>
            </w:r>
            <w:r w:rsidR="00777EE0">
              <w:rPr>
                <w:noProof/>
                <w:webHidden/>
              </w:rPr>
              <w:fldChar w:fldCharType="begin"/>
            </w:r>
            <w:r w:rsidR="00777EE0">
              <w:rPr>
                <w:noProof/>
                <w:webHidden/>
              </w:rPr>
              <w:instrText xml:space="preserve"> PAGEREF _Toc35892724 \h </w:instrText>
            </w:r>
            <w:r w:rsidR="00777EE0">
              <w:rPr>
                <w:noProof/>
                <w:webHidden/>
              </w:rPr>
            </w:r>
            <w:r w:rsidR="00777EE0">
              <w:rPr>
                <w:noProof/>
                <w:webHidden/>
              </w:rPr>
              <w:fldChar w:fldCharType="separate"/>
            </w:r>
            <w:r w:rsidR="0026579C">
              <w:rPr>
                <w:noProof/>
                <w:webHidden/>
              </w:rPr>
              <w:t>318</w:t>
            </w:r>
            <w:r w:rsidR="00777EE0">
              <w:rPr>
                <w:noProof/>
                <w:webHidden/>
              </w:rPr>
              <w:fldChar w:fldCharType="end"/>
            </w:r>
          </w:hyperlink>
        </w:p>
        <w:p w14:paraId="1EF8D5BB" w14:textId="68672ED9" w:rsidR="00777EE0" w:rsidRDefault="00251E9C">
          <w:pPr>
            <w:pStyle w:val="TOC3"/>
            <w:rPr>
              <w:rFonts w:asciiTheme="minorHAnsi" w:eastAsiaTheme="minorEastAsia" w:hAnsiTheme="minorHAnsi" w:cstheme="minorBidi"/>
              <w:noProof/>
              <w:sz w:val="22"/>
              <w:lang w:eastAsia="en-GB"/>
            </w:rPr>
          </w:pPr>
          <w:hyperlink w:anchor="_Toc35892725" w:history="1">
            <w:r w:rsidR="00777EE0" w:rsidRPr="00C53B84">
              <w:rPr>
                <w:rStyle w:val="Hyperlink"/>
                <w:iCs/>
                <w:noProof/>
              </w:rPr>
              <w:t>7.4.9.9</w:t>
            </w:r>
            <w:r w:rsidR="00777EE0">
              <w:rPr>
                <w:rFonts w:asciiTheme="minorHAnsi" w:eastAsiaTheme="minorEastAsia" w:hAnsiTheme="minorHAnsi" w:cstheme="minorBidi"/>
                <w:noProof/>
                <w:sz w:val="22"/>
                <w:lang w:eastAsia="en-GB"/>
              </w:rPr>
              <w:tab/>
            </w:r>
            <w:r w:rsidR="00777EE0" w:rsidRPr="00C53B84">
              <w:rPr>
                <w:rStyle w:val="Hyperlink"/>
                <w:iCs/>
                <w:noProof/>
              </w:rPr>
              <w:t>Curiosity</w:t>
            </w:r>
            <w:r w:rsidR="00777EE0">
              <w:rPr>
                <w:noProof/>
                <w:webHidden/>
              </w:rPr>
              <w:tab/>
            </w:r>
            <w:r w:rsidR="00777EE0">
              <w:rPr>
                <w:noProof/>
                <w:webHidden/>
              </w:rPr>
              <w:fldChar w:fldCharType="begin"/>
            </w:r>
            <w:r w:rsidR="00777EE0">
              <w:rPr>
                <w:noProof/>
                <w:webHidden/>
              </w:rPr>
              <w:instrText xml:space="preserve"> PAGEREF _Toc35892725 \h </w:instrText>
            </w:r>
            <w:r w:rsidR="00777EE0">
              <w:rPr>
                <w:noProof/>
                <w:webHidden/>
              </w:rPr>
            </w:r>
            <w:r w:rsidR="00777EE0">
              <w:rPr>
                <w:noProof/>
                <w:webHidden/>
              </w:rPr>
              <w:fldChar w:fldCharType="separate"/>
            </w:r>
            <w:r w:rsidR="0026579C">
              <w:rPr>
                <w:noProof/>
                <w:webHidden/>
              </w:rPr>
              <w:t>318</w:t>
            </w:r>
            <w:r w:rsidR="00777EE0">
              <w:rPr>
                <w:noProof/>
                <w:webHidden/>
              </w:rPr>
              <w:fldChar w:fldCharType="end"/>
            </w:r>
          </w:hyperlink>
        </w:p>
        <w:p w14:paraId="4B2C2234" w14:textId="302FA968" w:rsidR="00777EE0" w:rsidRDefault="00251E9C">
          <w:pPr>
            <w:pStyle w:val="TOC3"/>
            <w:rPr>
              <w:rFonts w:asciiTheme="minorHAnsi" w:eastAsiaTheme="minorEastAsia" w:hAnsiTheme="minorHAnsi" w:cstheme="minorBidi"/>
              <w:noProof/>
              <w:sz w:val="22"/>
              <w:lang w:eastAsia="en-GB"/>
            </w:rPr>
          </w:pPr>
          <w:hyperlink w:anchor="_Toc35892726" w:history="1">
            <w:r w:rsidR="00777EE0" w:rsidRPr="00C53B84">
              <w:rPr>
                <w:rStyle w:val="Hyperlink"/>
                <w:iCs/>
                <w:noProof/>
              </w:rPr>
              <w:t>7.4.9.10</w:t>
            </w:r>
            <w:r w:rsidR="00777EE0">
              <w:rPr>
                <w:rFonts w:asciiTheme="minorHAnsi" w:eastAsiaTheme="minorEastAsia" w:hAnsiTheme="minorHAnsi" w:cstheme="minorBidi"/>
                <w:noProof/>
                <w:sz w:val="22"/>
                <w:lang w:eastAsia="en-GB"/>
              </w:rPr>
              <w:tab/>
            </w:r>
            <w:r w:rsidR="00777EE0" w:rsidRPr="00C53B84">
              <w:rPr>
                <w:rStyle w:val="Hyperlink"/>
                <w:iCs/>
                <w:noProof/>
              </w:rPr>
              <w:t>Risk perception</w:t>
            </w:r>
            <w:r w:rsidR="00777EE0">
              <w:rPr>
                <w:noProof/>
                <w:webHidden/>
              </w:rPr>
              <w:tab/>
            </w:r>
            <w:r w:rsidR="00777EE0">
              <w:rPr>
                <w:noProof/>
                <w:webHidden/>
              </w:rPr>
              <w:fldChar w:fldCharType="begin"/>
            </w:r>
            <w:r w:rsidR="00777EE0">
              <w:rPr>
                <w:noProof/>
                <w:webHidden/>
              </w:rPr>
              <w:instrText xml:space="preserve"> PAGEREF _Toc35892726 \h </w:instrText>
            </w:r>
            <w:r w:rsidR="00777EE0">
              <w:rPr>
                <w:noProof/>
                <w:webHidden/>
              </w:rPr>
            </w:r>
            <w:r w:rsidR="00777EE0">
              <w:rPr>
                <w:noProof/>
                <w:webHidden/>
              </w:rPr>
              <w:fldChar w:fldCharType="separate"/>
            </w:r>
            <w:r w:rsidR="0026579C">
              <w:rPr>
                <w:noProof/>
                <w:webHidden/>
              </w:rPr>
              <w:t>318</w:t>
            </w:r>
            <w:r w:rsidR="00777EE0">
              <w:rPr>
                <w:noProof/>
                <w:webHidden/>
              </w:rPr>
              <w:fldChar w:fldCharType="end"/>
            </w:r>
          </w:hyperlink>
        </w:p>
        <w:p w14:paraId="7728F25D" w14:textId="45C2705C" w:rsidR="00777EE0" w:rsidRDefault="00251E9C">
          <w:pPr>
            <w:pStyle w:val="TOC3"/>
            <w:rPr>
              <w:rFonts w:asciiTheme="minorHAnsi" w:eastAsiaTheme="minorEastAsia" w:hAnsiTheme="minorHAnsi" w:cstheme="minorBidi"/>
              <w:noProof/>
              <w:sz w:val="22"/>
              <w:lang w:eastAsia="en-GB"/>
            </w:rPr>
          </w:pPr>
          <w:hyperlink w:anchor="_Toc35892727" w:history="1">
            <w:r w:rsidR="00777EE0" w:rsidRPr="00C53B84">
              <w:rPr>
                <w:rStyle w:val="Hyperlink"/>
                <w:noProof/>
              </w:rPr>
              <w:t>7.4.10</w:t>
            </w:r>
            <w:r w:rsidR="00777EE0">
              <w:rPr>
                <w:rFonts w:asciiTheme="minorHAnsi" w:eastAsiaTheme="minorEastAsia" w:hAnsiTheme="minorHAnsi" w:cstheme="minorBidi"/>
                <w:noProof/>
                <w:sz w:val="22"/>
                <w:lang w:eastAsia="en-GB"/>
              </w:rPr>
              <w:tab/>
            </w:r>
            <w:r w:rsidR="00777EE0" w:rsidRPr="00C53B84">
              <w:rPr>
                <w:rStyle w:val="Hyperlink"/>
                <w:noProof/>
              </w:rPr>
              <w:t>Principal findings</w:t>
            </w:r>
            <w:r w:rsidR="00777EE0">
              <w:rPr>
                <w:noProof/>
                <w:webHidden/>
              </w:rPr>
              <w:tab/>
            </w:r>
            <w:r w:rsidR="00777EE0">
              <w:rPr>
                <w:noProof/>
                <w:webHidden/>
              </w:rPr>
              <w:fldChar w:fldCharType="begin"/>
            </w:r>
            <w:r w:rsidR="00777EE0">
              <w:rPr>
                <w:noProof/>
                <w:webHidden/>
              </w:rPr>
              <w:instrText xml:space="preserve"> PAGEREF _Toc35892727 \h </w:instrText>
            </w:r>
            <w:r w:rsidR="00777EE0">
              <w:rPr>
                <w:noProof/>
                <w:webHidden/>
              </w:rPr>
            </w:r>
            <w:r w:rsidR="00777EE0">
              <w:rPr>
                <w:noProof/>
                <w:webHidden/>
              </w:rPr>
              <w:fldChar w:fldCharType="separate"/>
            </w:r>
            <w:r w:rsidR="0026579C">
              <w:rPr>
                <w:noProof/>
                <w:webHidden/>
              </w:rPr>
              <w:t>320</w:t>
            </w:r>
            <w:r w:rsidR="00777EE0">
              <w:rPr>
                <w:noProof/>
                <w:webHidden/>
              </w:rPr>
              <w:fldChar w:fldCharType="end"/>
            </w:r>
          </w:hyperlink>
        </w:p>
        <w:p w14:paraId="78E6D2F1" w14:textId="4C2A4DAC"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28" w:history="1">
            <w:r w:rsidR="00777EE0" w:rsidRPr="00C53B84">
              <w:rPr>
                <w:rStyle w:val="Hyperlink"/>
                <w:noProof/>
              </w:rPr>
              <w:t>7.5</w:t>
            </w:r>
            <w:r w:rsidR="00777EE0">
              <w:rPr>
                <w:rFonts w:asciiTheme="minorHAnsi" w:eastAsiaTheme="minorEastAsia" w:hAnsiTheme="minorHAnsi" w:cstheme="minorBidi"/>
                <w:noProof/>
                <w:sz w:val="22"/>
                <w:lang w:eastAsia="en-GB"/>
              </w:rPr>
              <w:tab/>
            </w:r>
            <w:r w:rsidR="00777EE0" w:rsidRPr="00C53B84">
              <w:rPr>
                <w:rStyle w:val="Hyperlink"/>
                <w:noProof/>
              </w:rPr>
              <w:t>Discussion</w:t>
            </w:r>
            <w:r w:rsidR="00777EE0">
              <w:rPr>
                <w:noProof/>
                <w:webHidden/>
              </w:rPr>
              <w:tab/>
            </w:r>
            <w:r w:rsidR="00777EE0">
              <w:rPr>
                <w:noProof/>
                <w:webHidden/>
              </w:rPr>
              <w:fldChar w:fldCharType="begin"/>
            </w:r>
            <w:r w:rsidR="00777EE0">
              <w:rPr>
                <w:noProof/>
                <w:webHidden/>
              </w:rPr>
              <w:instrText xml:space="preserve"> PAGEREF _Toc35892728 \h </w:instrText>
            </w:r>
            <w:r w:rsidR="00777EE0">
              <w:rPr>
                <w:noProof/>
                <w:webHidden/>
              </w:rPr>
            </w:r>
            <w:r w:rsidR="00777EE0">
              <w:rPr>
                <w:noProof/>
                <w:webHidden/>
              </w:rPr>
              <w:fldChar w:fldCharType="separate"/>
            </w:r>
            <w:r w:rsidR="0026579C">
              <w:rPr>
                <w:noProof/>
                <w:webHidden/>
              </w:rPr>
              <w:t>322</w:t>
            </w:r>
            <w:r w:rsidR="00777EE0">
              <w:rPr>
                <w:noProof/>
                <w:webHidden/>
              </w:rPr>
              <w:fldChar w:fldCharType="end"/>
            </w:r>
          </w:hyperlink>
        </w:p>
        <w:p w14:paraId="4A375CD0" w14:textId="3074E55E" w:rsidR="00777EE0" w:rsidRDefault="00251E9C">
          <w:pPr>
            <w:pStyle w:val="TOC3"/>
            <w:rPr>
              <w:rFonts w:asciiTheme="minorHAnsi" w:eastAsiaTheme="minorEastAsia" w:hAnsiTheme="minorHAnsi" w:cstheme="minorBidi"/>
              <w:noProof/>
              <w:sz w:val="22"/>
              <w:lang w:eastAsia="en-GB"/>
            </w:rPr>
          </w:pPr>
          <w:hyperlink w:anchor="_Toc35892729" w:history="1">
            <w:r w:rsidR="00777EE0" w:rsidRPr="00C53B84">
              <w:rPr>
                <w:rStyle w:val="Hyperlink"/>
                <w:noProof/>
              </w:rPr>
              <w:t>7.5.1</w:t>
            </w:r>
            <w:r w:rsidR="00777EE0">
              <w:rPr>
                <w:rFonts w:asciiTheme="minorHAnsi" w:eastAsiaTheme="minorEastAsia" w:hAnsiTheme="minorHAnsi" w:cstheme="minorBidi"/>
                <w:noProof/>
                <w:sz w:val="22"/>
                <w:lang w:eastAsia="en-GB"/>
              </w:rPr>
              <w:tab/>
            </w:r>
            <w:r w:rsidR="00777EE0" w:rsidRPr="00C53B84">
              <w:rPr>
                <w:rStyle w:val="Hyperlink"/>
                <w:noProof/>
              </w:rPr>
              <w:t>The impact of the PS Act on health risk perceptions</w:t>
            </w:r>
            <w:r w:rsidR="00777EE0">
              <w:rPr>
                <w:noProof/>
                <w:webHidden/>
              </w:rPr>
              <w:tab/>
            </w:r>
            <w:r w:rsidR="00777EE0">
              <w:rPr>
                <w:noProof/>
                <w:webHidden/>
              </w:rPr>
              <w:fldChar w:fldCharType="begin"/>
            </w:r>
            <w:r w:rsidR="00777EE0">
              <w:rPr>
                <w:noProof/>
                <w:webHidden/>
              </w:rPr>
              <w:instrText xml:space="preserve"> PAGEREF _Toc35892729 \h </w:instrText>
            </w:r>
            <w:r w:rsidR="00777EE0">
              <w:rPr>
                <w:noProof/>
                <w:webHidden/>
              </w:rPr>
            </w:r>
            <w:r w:rsidR="00777EE0">
              <w:rPr>
                <w:noProof/>
                <w:webHidden/>
              </w:rPr>
              <w:fldChar w:fldCharType="separate"/>
            </w:r>
            <w:r w:rsidR="0026579C">
              <w:rPr>
                <w:noProof/>
                <w:webHidden/>
              </w:rPr>
              <w:t>323</w:t>
            </w:r>
            <w:r w:rsidR="00777EE0">
              <w:rPr>
                <w:noProof/>
                <w:webHidden/>
              </w:rPr>
              <w:fldChar w:fldCharType="end"/>
            </w:r>
          </w:hyperlink>
        </w:p>
        <w:p w14:paraId="48F07BBE" w14:textId="245A5D99" w:rsidR="00777EE0" w:rsidRDefault="00251E9C">
          <w:pPr>
            <w:pStyle w:val="TOC3"/>
            <w:rPr>
              <w:rFonts w:asciiTheme="minorHAnsi" w:eastAsiaTheme="minorEastAsia" w:hAnsiTheme="minorHAnsi" w:cstheme="minorBidi"/>
              <w:noProof/>
              <w:sz w:val="22"/>
              <w:lang w:eastAsia="en-GB"/>
            </w:rPr>
          </w:pPr>
          <w:hyperlink w:anchor="_Toc35892730" w:history="1">
            <w:r w:rsidR="00777EE0" w:rsidRPr="00C53B84">
              <w:rPr>
                <w:rStyle w:val="Hyperlink"/>
                <w:noProof/>
              </w:rPr>
              <w:t>7.5.2</w:t>
            </w:r>
            <w:r w:rsidR="00777EE0">
              <w:rPr>
                <w:rFonts w:asciiTheme="minorHAnsi" w:eastAsiaTheme="minorEastAsia" w:hAnsiTheme="minorHAnsi" w:cstheme="minorBidi"/>
                <w:noProof/>
                <w:sz w:val="22"/>
                <w:lang w:eastAsia="en-GB"/>
              </w:rPr>
              <w:tab/>
            </w:r>
            <w:r w:rsidR="00777EE0" w:rsidRPr="00C53B84">
              <w:rPr>
                <w:rStyle w:val="Hyperlink"/>
                <w:noProof/>
              </w:rPr>
              <w:t>The shift from recreational use of NPS to problematic use</w:t>
            </w:r>
            <w:r w:rsidR="00777EE0">
              <w:rPr>
                <w:noProof/>
                <w:webHidden/>
              </w:rPr>
              <w:tab/>
            </w:r>
            <w:r w:rsidR="00777EE0">
              <w:rPr>
                <w:noProof/>
                <w:webHidden/>
              </w:rPr>
              <w:fldChar w:fldCharType="begin"/>
            </w:r>
            <w:r w:rsidR="00777EE0">
              <w:rPr>
                <w:noProof/>
                <w:webHidden/>
              </w:rPr>
              <w:instrText xml:space="preserve"> PAGEREF _Toc35892730 \h </w:instrText>
            </w:r>
            <w:r w:rsidR="00777EE0">
              <w:rPr>
                <w:noProof/>
                <w:webHidden/>
              </w:rPr>
            </w:r>
            <w:r w:rsidR="00777EE0">
              <w:rPr>
                <w:noProof/>
                <w:webHidden/>
              </w:rPr>
              <w:fldChar w:fldCharType="separate"/>
            </w:r>
            <w:r w:rsidR="0026579C">
              <w:rPr>
                <w:noProof/>
                <w:webHidden/>
              </w:rPr>
              <w:t>324</w:t>
            </w:r>
            <w:r w:rsidR="00777EE0">
              <w:rPr>
                <w:noProof/>
                <w:webHidden/>
              </w:rPr>
              <w:fldChar w:fldCharType="end"/>
            </w:r>
          </w:hyperlink>
        </w:p>
        <w:p w14:paraId="4CC7FC3E" w14:textId="66E42336" w:rsidR="00777EE0" w:rsidRDefault="00251E9C">
          <w:pPr>
            <w:pStyle w:val="TOC3"/>
            <w:rPr>
              <w:rFonts w:asciiTheme="minorHAnsi" w:eastAsiaTheme="minorEastAsia" w:hAnsiTheme="minorHAnsi" w:cstheme="minorBidi"/>
              <w:noProof/>
              <w:sz w:val="22"/>
              <w:lang w:eastAsia="en-GB"/>
            </w:rPr>
          </w:pPr>
          <w:hyperlink w:anchor="_Toc35892731" w:history="1">
            <w:r w:rsidR="00777EE0" w:rsidRPr="00C53B84">
              <w:rPr>
                <w:rStyle w:val="Hyperlink"/>
                <w:noProof/>
              </w:rPr>
              <w:t>7.5.3</w:t>
            </w:r>
            <w:r w:rsidR="00777EE0">
              <w:rPr>
                <w:rFonts w:asciiTheme="minorHAnsi" w:eastAsiaTheme="minorEastAsia" w:hAnsiTheme="minorHAnsi" w:cstheme="minorBidi"/>
                <w:noProof/>
                <w:sz w:val="22"/>
                <w:lang w:eastAsia="en-GB"/>
              </w:rPr>
              <w:tab/>
            </w:r>
            <w:r w:rsidR="00777EE0" w:rsidRPr="00C53B84">
              <w:rPr>
                <w:rStyle w:val="Hyperlink"/>
                <w:noProof/>
              </w:rPr>
              <w:t>From unpleasant to harmful</w:t>
            </w:r>
            <w:r w:rsidR="00777EE0">
              <w:rPr>
                <w:noProof/>
                <w:webHidden/>
              </w:rPr>
              <w:tab/>
            </w:r>
            <w:r w:rsidR="00777EE0">
              <w:rPr>
                <w:noProof/>
                <w:webHidden/>
              </w:rPr>
              <w:fldChar w:fldCharType="begin"/>
            </w:r>
            <w:r w:rsidR="00777EE0">
              <w:rPr>
                <w:noProof/>
                <w:webHidden/>
              </w:rPr>
              <w:instrText xml:space="preserve"> PAGEREF _Toc35892731 \h </w:instrText>
            </w:r>
            <w:r w:rsidR="00777EE0">
              <w:rPr>
                <w:noProof/>
                <w:webHidden/>
              </w:rPr>
            </w:r>
            <w:r w:rsidR="00777EE0">
              <w:rPr>
                <w:noProof/>
                <w:webHidden/>
              </w:rPr>
              <w:fldChar w:fldCharType="separate"/>
            </w:r>
            <w:r w:rsidR="0026579C">
              <w:rPr>
                <w:noProof/>
                <w:webHidden/>
              </w:rPr>
              <w:t>326</w:t>
            </w:r>
            <w:r w:rsidR="00777EE0">
              <w:rPr>
                <w:noProof/>
                <w:webHidden/>
              </w:rPr>
              <w:fldChar w:fldCharType="end"/>
            </w:r>
          </w:hyperlink>
        </w:p>
        <w:p w14:paraId="2F24B6A8" w14:textId="65EB8ED5" w:rsidR="00777EE0" w:rsidRDefault="00251E9C">
          <w:pPr>
            <w:pStyle w:val="TOC3"/>
            <w:rPr>
              <w:rFonts w:asciiTheme="minorHAnsi" w:eastAsiaTheme="minorEastAsia" w:hAnsiTheme="minorHAnsi" w:cstheme="minorBidi"/>
              <w:noProof/>
              <w:sz w:val="22"/>
              <w:lang w:eastAsia="en-GB"/>
            </w:rPr>
          </w:pPr>
          <w:hyperlink w:anchor="_Toc35892732" w:history="1">
            <w:r w:rsidR="00777EE0" w:rsidRPr="00C53B84">
              <w:rPr>
                <w:rStyle w:val="Hyperlink"/>
                <w:noProof/>
              </w:rPr>
              <w:t>7.5.4</w:t>
            </w:r>
            <w:r w:rsidR="00777EE0">
              <w:rPr>
                <w:rFonts w:asciiTheme="minorHAnsi" w:eastAsiaTheme="minorEastAsia" w:hAnsiTheme="minorHAnsi" w:cstheme="minorBidi"/>
                <w:noProof/>
                <w:sz w:val="22"/>
                <w:lang w:eastAsia="en-GB"/>
              </w:rPr>
              <w:tab/>
            </w:r>
            <w:r w:rsidR="00777EE0" w:rsidRPr="00C53B84">
              <w:rPr>
                <w:rStyle w:val="Hyperlink"/>
                <w:noProof/>
              </w:rPr>
              <w:t>An alternative social pathway levered by legislation</w:t>
            </w:r>
            <w:r w:rsidR="00777EE0">
              <w:rPr>
                <w:noProof/>
                <w:webHidden/>
              </w:rPr>
              <w:tab/>
            </w:r>
            <w:r w:rsidR="00777EE0">
              <w:rPr>
                <w:noProof/>
                <w:webHidden/>
              </w:rPr>
              <w:fldChar w:fldCharType="begin"/>
            </w:r>
            <w:r w:rsidR="00777EE0">
              <w:rPr>
                <w:noProof/>
                <w:webHidden/>
              </w:rPr>
              <w:instrText xml:space="preserve"> PAGEREF _Toc35892732 \h </w:instrText>
            </w:r>
            <w:r w:rsidR="00777EE0">
              <w:rPr>
                <w:noProof/>
                <w:webHidden/>
              </w:rPr>
            </w:r>
            <w:r w:rsidR="00777EE0">
              <w:rPr>
                <w:noProof/>
                <w:webHidden/>
              </w:rPr>
              <w:fldChar w:fldCharType="separate"/>
            </w:r>
            <w:r w:rsidR="0026579C">
              <w:rPr>
                <w:noProof/>
                <w:webHidden/>
              </w:rPr>
              <w:t>327</w:t>
            </w:r>
            <w:r w:rsidR="00777EE0">
              <w:rPr>
                <w:noProof/>
                <w:webHidden/>
              </w:rPr>
              <w:fldChar w:fldCharType="end"/>
            </w:r>
          </w:hyperlink>
        </w:p>
        <w:p w14:paraId="2E802698" w14:textId="01564E63"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33" w:history="1">
            <w:r w:rsidR="00777EE0" w:rsidRPr="00C53B84">
              <w:rPr>
                <w:rStyle w:val="Hyperlink"/>
                <w:noProof/>
              </w:rPr>
              <w:t>7.6</w:t>
            </w:r>
            <w:r w:rsidR="00777EE0">
              <w:rPr>
                <w:rFonts w:asciiTheme="minorHAnsi" w:eastAsiaTheme="minorEastAsia" w:hAnsiTheme="minorHAnsi" w:cstheme="minorBidi"/>
                <w:noProof/>
                <w:sz w:val="22"/>
                <w:lang w:eastAsia="en-GB"/>
              </w:rPr>
              <w:tab/>
            </w:r>
            <w:r w:rsidR="00777EE0" w:rsidRPr="00C53B84">
              <w:rPr>
                <w:rStyle w:val="Hyperlink"/>
                <w:noProof/>
              </w:rPr>
              <w:t>Implications</w:t>
            </w:r>
            <w:r w:rsidR="00777EE0">
              <w:rPr>
                <w:noProof/>
                <w:webHidden/>
              </w:rPr>
              <w:tab/>
            </w:r>
            <w:r w:rsidR="00777EE0">
              <w:rPr>
                <w:noProof/>
                <w:webHidden/>
              </w:rPr>
              <w:fldChar w:fldCharType="begin"/>
            </w:r>
            <w:r w:rsidR="00777EE0">
              <w:rPr>
                <w:noProof/>
                <w:webHidden/>
              </w:rPr>
              <w:instrText xml:space="preserve"> PAGEREF _Toc35892733 \h </w:instrText>
            </w:r>
            <w:r w:rsidR="00777EE0">
              <w:rPr>
                <w:noProof/>
                <w:webHidden/>
              </w:rPr>
            </w:r>
            <w:r w:rsidR="00777EE0">
              <w:rPr>
                <w:noProof/>
                <w:webHidden/>
              </w:rPr>
              <w:fldChar w:fldCharType="separate"/>
            </w:r>
            <w:r w:rsidR="0026579C">
              <w:rPr>
                <w:noProof/>
                <w:webHidden/>
              </w:rPr>
              <w:t>329</w:t>
            </w:r>
            <w:r w:rsidR="00777EE0">
              <w:rPr>
                <w:noProof/>
                <w:webHidden/>
              </w:rPr>
              <w:fldChar w:fldCharType="end"/>
            </w:r>
          </w:hyperlink>
        </w:p>
        <w:p w14:paraId="05556DB7" w14:textId="01E4972F"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34" w:history="1">
            <w:r w:rsidR="00777EE0" w:rsidRPr="00C53B84">
              <w:rPr>
                <w:rStyle w:val="Hyperlink"/>
                <w:noProof/>
              </w:rPr>
              <w:t>7.7</w:t>
            </w:r>
            <w:r w:rsidR="00777EE0">
              <w:rPr>
                <w:rFonts w:asciiTheme="minorHAnsi" w:eastAsiaTheme="minorEastAsia" w:hAnsiTheme="minorHAnsi" w:cstheme="minorBidi"/>
                <w:noProof/>
                <w:sz w:val="22"/>
                <w:lang w:eastAsia="en-GB"/>
              </w:rPr>
              <w:tab/>
            </w:r>
            <w:r w:rsidR="00777EE0" w:rsidRPr="00C53B84">
              <w:rPr>
                <w:rStyle w:val="Hyperlink"/>
                <w:noProof/>
              </w:rPr>
              <w:t>Strengths and limitations</w:t>
            </w:r>
            <w:r w:rsidR="00777EE0">
              <w:rPr>
                <w:noProof/>
                <w:webHidden/>
              </w:rPr>
              <w:tab/>
            </w:r>
            <w:r w:rsidR="00777EE0">
              <w:rPr>
                <w:noProof/>
                <w:webHidden/>
              </w:rPr>
              <w:fldChar w:fldCharType="begin"/>
            </w:r>
            <w:r w:rsidR="00777EE0">
              <w:rPr>
                <w:noProof/>
                <w:webHidden/>
              </w:rPr>
              <w:instrText xml:space="preserve"> PAGEREF _Toc35892734 \h </w:instrText>
            </w:r>
            <w:r w:rsidR="00777EE0">
              <w:rPr>
                <w:noProof/>
                <w:webHidden/>
              </w:rPr>
            </w:r>
            <w:r w:rsidR="00777EE0">
              <w:rPr>
                <w:noProof/>
                <w:webHidden/>
              </w:rPr>
              <w:fldChar w:fldCharType="separate"/>
            </w:r>
            <w:r w:rsidR="0026579C">
              <w:rPr>
                <w:noProof/>
                <w:webHidden/>
              </w:rPr>
              <w:t>331</w:t>
            </w:r>
            <w:r w:rsidR="00777EE0">
              <w:rPr>
                <w:noProof/>
                <w:webHidden/>
              </w:rPr>
              <w:fldChar w:fldCharType="end"/>
            </w:r>
          </w:hyperlink>
        </w:p>
        <w:p w14:paraId="395EA673" w14:textId="47B410B1"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35" w:history="1">
            <w:r w:rsidR="00777EE0" w:rsidRPr="00C53B84">
              <w:rPr>
                <w:rStyle w:val="Hyperlink"/>
                <w:noProof/>
              </w:rPr>
              <w:t>7.8</w:t>
            </w:r>
            <w:r w:rsidR="00777EE0">
              <w:rPr>
                <w:rFonts w:asciiTheme="minorHAnsi" w:eastAsiaTheme="minorEastAsia" w:hAnsiTheme="minorHAnsi" w:cstheme="minorBidi"/>
                <w:noProof/>
                <w:sz w:val="22"/>
                <w:lang w:eastAsia="en-GB"/>
              </w:rPr>
              <w:tab/>
            </w:r>
            <w:r w:rsidR="00777EE0" w:rsidRPr="00C53B84">
              <w:rPr>
                <w:rStyle w:val="Hyperlink"/>
                <w:noProof/>
              </w:rPr>
              <w:t>Conclusion</w:t>
            </w:r>
            <w:r w:rsidR="00777EE0">
              <w:rPr>
                <w:noProof/>
                <w:webHidden/>
              </w:rPr>
              <w:tab/>
            </w:r>
            <w:r w:rsidR="00777EE0">
              <w:rPr>
                <w:noProof/>
                <w:webHidden/>
              </w:rPr>
              <w:fldChar w:fldCharType="begin"/>
            </w:r>
            <w:r w:rsidR="00777EE0">
              <w:rPr>
                <w:noProof/>
                <w:webHidden/>
              </w:rPr>
              <w:instrText xml:space="preserve"> PAGEREF _Toc35892735 \h </w:instrText>
            </w:r>
            <w:r w:rsidR="00777EE0">
              <w:rPr>
                <w:noProof/>
                <w:webHidden/>
              </w:rPr>
            </w:r>
            <w:r w:rsidR="00777EE0">
              <w:rPr>
                <w:noProof/>
                <w:webHidden/>
              </w:rPr>
              <w:fldChar w:fldCharType="separate"/>
            </w:r>
            <w:r w:rsidR="0026579C">
              <w:rPr>
                <w:noProof/>
                <w:webHidden/>
              </w:rPr>
              <w:t>332</w:t>
            </w:r>
            <w:r w:rsidR="00777EE0">
              <w:rPr>
                <w:noProof/>
                <w:webHidden/>
              </w:rPr>
              <w:fldChar w:fldCharType="end"/>
            </w:r>
          </w:hyperlink>
        </w:p>
        <w:p w14:paraId="7F24609E" w14:textId="7C328DDC"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736" w:history="1">
            <w:r w:rsidR="00777EE0" w:rsidRPr="00C53B84">
              <w:rPr>
                <w:rStyle w:val="Hyperlink"/>
                <w:noProof/>
                <w14:scene3d>
                  <w14:camera w14:prst="orthographicFront"/>
                  <w14:lightRig w14:rig="threePt" w14:dir="t">
                    <w14:rot w14:lat="0" w14:lon="0" w14:rev="0"/>
                  </w14:lightRig>
                </w14:scene3d>
              </w:rPr>
              <w:t>Chapter 8</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Study 3: Identifying intervention targets and intervention components to reduce NPS use by young people</w:t>
            </w:r>
            <w:r w:rsidR="00777EE0">
              <w:rPr>
                <w:noProof/>
                <w:webHidden/>
              </w:rPr>
              <w:tab/>
            </w:r>
            <w:r w:rsidR="00777EE0">
              <w:rPr>
                <w:noProof/>
                <w:webHidden/>
              </w:rPr>
              <w:fldChar w:fldCharType="begin"/>
            </w:r>
            <w:r w:rsidR="00777EE0">
              <w:rPr>
                <w:noProof/>
                <w:webHidden/>
              </w:rPr>
              <w:instrText xml:space="preserve"> PAGEREF _Toc35892736 \h </w:instrText>
            </w:r>
            <w:r w:rsidR="00777EE0">
              <w:rPr>
                <w:noProof/>
                <w:webHidden/>
              </w:rPr>
            </w:r>
            <w:r w:rsidR="00777EE0">
              <w:rPr>
                <w:noProof/>
                <w:webHidden/>
              </w:rPr>
              <w:fldChar w:fldCharType="separate"/>
            </w:r>
            <w:r w:rsidR="0026579C">
              <w:rPr>
                <w:noProof/>
                <w:webHidden/>
              </w:rPr>
              <w:t>333</w:t>
            </w:r>
            <w:r w:rsidR="00777EE0">
              <w:rPr>
                <w:noProof/>
                <w:webHidden/>
              </w:rPr>
              <w:fldChar w:fldCharType="end"/>
            </w:r>
          </w:hyperlink>
        </w:p>
        <w:p w14:paraId="319B7B3F" w14:textId="55C6114D"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37" w:history="1">
            <w:r w:rsidR="00777EE0" w:rsidRPr="00C53B84">
              <w:rPr>
                <w:rStyle w:val="Hyperlink"/>
                <w:b/>
                <w:bCs/>
                <w:noProof/>
              </w:rPr>
              <w:t>8.1</w:t>
            </w:r>
            <w:r w:rsidR="00777EE0">
              <w:rPr>
                <w:rFonts w:asciiTheme="minorHAnsi" w:eastAsiaTheme="minorEastAsia" w:hAnsiTheme="minorHAnsi" w:cstheme="minorBidi"/>
                <w:noProof/>
                <w:sz w:val="22"/>
                <w:lang w:eastAsia="en-GB"/>
              </w:rPr>
              <w:tab/>
            </w:r>
            <w:r w:rsidR="00777EE0" w:rsidRPr="00C53B84">
              <w:rPr>
                <w:rStyle w:val="Hyperlink"/>
                <w:b/>
                <w:bCs/>
                <w:noProof/>
              </w:rPr>
              <w:t>Introduction</w:t>
            </w:r>
            <w:r w:rsidR="00777EE0">
              <w:rPr>
                <w:noProof/>
                <w:webHidden/>
              </w:rPr>
              <w:tab/>
            </w:r>
            <w:r w:rsidR="00777EE0">
              <w:rPr>
                <w:noProof/>
                <w:webHidden/>
              </w:rPr>
              <w:fldChar w:fldCharType="begin"/>
            </w:r>
            <w:r w:rsidR="00777EE0">
              <w:rPr>
                <w:noProof/>
                <w:webHidden/>
              </w:rPr>
              <w:instrText xml:space="preserve"> PAGEREF _Toc35892737 \h </w:instrText>
            </w:r>
            <w:r w:rsidR="00777EE0">
              <w:rPr>
                <w:noProof/>
                <w:webHidden/>
              </w:rPr>
            </w:r>
            <w:r w:rsidR="00777EE0">
              <w:rPr>
                <w:noProof/>
                <w:webHidden/>
              </w:rPr>
              <w:fldChar w:fldCharType="separate"/>
            </w:r>
            <w:r w:rsidR="0026579C">
              <w:rPr>
                <w:noProof/>
                <w:webHidden/>
              </w:rPr>
              <w:t>333</w:t>
            </w:r>
            <w:r w:rsidR="00777EE0">
              <w:rPr>
                <w:noProof/>
                <w:webHidden/>
              </w:rPr>
              <w:fldChar w:fldCharType="end"/>
            </w:r>
          </w:hyperlink>
        </w:p>
        <w:p w14:paraId="34D3DE74" w14:textId="540C6A42" w:rsidR="00777EE0" w:rsidRDefault="00251E9C">
          <w:pPr>
            <w:pStyle w:val="TOC3"/>
            <w:rPr>
              <w:rFonts w:asciiTheme="minorHAnsi" w:eastAsiaTheme="minorEastAsia" w:hAnsiTheme="minorHAnsi" w:cstheme="minorBidi"/>
              <w:noProof/>
              <w:sz w:val="22"/>
              <w:lang w:eastAsia="en-GB"/>
            </w:rPr>
          </w:pPr>
          <w:hyperlink w:anchor="_Toc35892738" w:history="1">
            <w:r w:rsidR="00777EE0" w:rsidRPr="00C53B84">
              <w:rPr>
                <w:rStyle w:val="Hyperlink"/>
                <w:b/>
                <w:bCs/>
                <w:noProof/>
              </w:rPr>
              <w:t>8.1.1</w:t>
            </w:r>
            <w:r w:rsidR="00777EE0">
              <w:rPr>
                <w:rFonts w:asciiTheme="minorHAnsi" w:eastAsiaTheme="minorEastAsia" w:hAnsiTheme="minorHAnsi" w:cstheme="minorBidi"/>
                <w:noProof/>
                <w:sz w:val="22"/>
                <w:lang w:eastAsia="en-GB"/>
              </w:rPr>
              <w:tab/>
            </w:r>
            <w:r w:rsidR="00777EE0" w:rsidRPr="00C53B84">
              <w:rPr>
                <w:rStyle w:val="Hyperlink"/>
                <w:b/>
                <w:bCs/>
                <w:noProof/>
              </w:rPr>
              <w:t>Research aims and objectives:</w:t>
            </w:r>
            <w:r w:rsidR="00777EE0">
              <w:rPr>
                <w:noProof/>
                <w:webHidden/>
              </w:rPr>
              <w:tab/>
            </w:r>
            <w:r w:rsidR="00777EE0">
              <w:rPr>
                <w:noProof/>
                <w:webHidden/>
              </w:rPr>
              <w:fldChar w:fldCharType="begin"/>
            </w:r>
            <w:r w:rsidR="00777EE0">
              <w:rPr>
                <w:noProof/>
                <w:webHidden/>
              </w:rPr>
              <w:instrText xml:space="preserve"> PAGEREF _Toc35892738 \h </w:instrText>
            </w:r>
            <w:r w:rsidR="00777EE0">
              <w:rPr>
                <w:noProof/>
                <w:webHidden/>
              </w:rPr>
            </w:r>
            <w:r w:rsidR="00777EE0">
              <w:rPr>
                <w:noProof/>
                <w:webHidden/>
              </w:rPr>
              <w:fldChar w:fldCharType="separate"/>
            </w:r>
            <w:r w:rsidR="0026579C">
              <w:rPr>
                <w:noProof/>
                <w:webHidden/>
              </w:rPr>
              <w:t>334</w:t>
            </w:r>
            <w:r w:rsidR="00777EE0">
              <w:rPr>
                <w:noProof/>
                <w:webHidden/>
              </w:rPr>
              <w:fldChar w:fldCharType="end"/>
            </w:r>
          </w:hyperlink>
        </w:p>
        <w:p w14:paraId="3F09D551" w14:textId="1377C454"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39" w:history="1">
            <w:r w:rsidR="00777EE0" w:rsidRPr="00C53B84">
              <w:rPr>
                <w:rStyle w:val="Hyperlink"/>
                <w:b/>
                <w:bCs/>
                <w:noProof/>
              </w:rPr>
              <w:t>8.2</w:t>
            </w:r>
            <w:r w:rsidR="00777EE0">
              <w:rPr>
                <w:rFonts w:asciiTheme="minorHAnsi" w:eastAsiaTheme="minorEastAsia" w:hAnsiTheme="minorHAnsi" w:cstheme="minorBidi"/>
                <w:noProof/>
                <w:sz w:val="22"/>
                <w:lang w:eastAsia="en-GB"/>
              </w:rPr>
              <w:tab/>
            </w:r>
            <w:r w:rsidR="00777EE0" w:rsidRPr="00C53B84">
              <w:rPr>
                <w:rStyle w:val="Hyperlink"/>
                <w:b/>
                <w:bCs/>
                <w:noProof/>
              </w:rPr>
              <w:t>Method</w:t>
            </w:r>
            <w:r w:rsidR="00777EE0">
              <w:rPr>
                <w:noProof/>
                <w:webHidden/>
              </w:rPr>
              <w:tab/>
            </w:r>
            <w:r w:rsidR="00777EE0">
              <w:rPr>
                <w:noProof/>
                <w:webHidden/>
              </w:rPr>
              <w:fldChar w:fldCharType="begin"/>
            </w:r>
            <w:r w:rsidR="00777EE0">
              <w:rPr>
                <w:noProof/>
                <w:webHidden/>
              </w:rPr>
              <w:instrText xml:space="preserve"> PAGEREF _Toc35892739 \h </w:instrText>
            </w:r>
            <w:r w:rsidR="00777EE0">
              <w:rPr>
                <w:noProof/>
                <w:webHidden/>
              </w:rPr>
            </w:r>
            <w:r w:rsidR="00777EE0">
              <w:rPr>
                <w:noProof/>
                <w:webHidden/>
              </w:rPr>
              <w:fldChar w:fldCharType="separate"/>
            </w:r>
            <w:r w:rsidR="0026579C">
              <w:rPr>
                <w:noProof/>
                <w:webHidden/>
              </w:rPr>
              <w:t>335</w:t>
            </w:r>
            <w:r w:rsidR="00777EE0">
              <w:rPr>
                <w:noProof/>
                <w:webHidden/>
              </w:rPr>
              <w:fldChar w:fldCharType="end"/>
            </w:r>
          </w:hyperlink>
        </w:p>
        <w:p w14:paraId="774961B5" w14:textId="27F7A84A" w:rsidR="00777EE0" w:rsidRDefault="00251E9C">
          <w:pPr>
            <w:pStyle w:val="TOC3"/>
            <w:rPr>
              <w:rFonts w:asciiTheme="minorHAnsi" w:eastAsiaTheme="minorEastAsia" w:hAnsiTheme="minorHAnsi" w:cstheme="minorBidi"/>
              <w:noProof/>
              <w:sz w:val="22"/>
              <w:lang w:eastAsia="en-GB"/>
            </w:rPr>
          </w:pPr>
          <w:hyperlink w:anchor="_Toc35892740" w:history="1">
            <w:r w:rsidR="00777EE0" w:rsidRPr="00C53B84">
              <w:rPr>
                <w:rStyle w:val="Hyperlink"/>
                <w:b/>
                <w:bCs/>
                <w:noProof/>
              </w:rPr>
              <w:t>8.2.1</w:t>
            </w:r>
            <w:r w:rsidR="00777EE0">
              <w:rPr>
                <w:rFonts w:asciiTheme="minorHAnsi" w:eastAsiaTheme="minorEastAsia" w:hAnsiTheme="minorHAnsi" w:cstheme="minorBidi"/>
                <w:noProof/>
                <w:sz w:val="22"/>
                <w:lang w:eastAsia="en-GB"/>
              </w:rPr>
              <w:tab/>
            </w:r>
            <w:r w:rsidR="00777EE0" w:rsidRPr="00C53B84">
              <w:rPr>
                <w:rStyle w:val="Hyperlink"/>
                <w:b/>
                <w:bCs/>
                <w:noProof/>
              </w:rPr>
              <w:t>Participants and procedure</w:t>
            </w:r>
            <w:r w:rsidR="00777EE0">
              <w:rPr>
                <w:noProof/>
                <w:webHidden/>
              </w:rPr>
              <w:tab/>
            </w:r>
            <w:r w:rsidR="00777EE0">
              <w:rPr>
                <w:noProof/>
                <w:webHidden/>
              </w:rPr>
              <w:fldChar w:fldCharType="begin"/>
            </w:r>
            <w:r w:rsidR="00777EE0">
              <w:rPr>
                <w:noProof/>
                <w:webHidden/>
              </w:rPr>
              <w:instrText xml:space="preserve"> PAGEREF _Toc35892740 \h </w:instrText>
            </w:r>
            <w:r w:rsidR="00777EE0">
              <w:rPr>
                <w:noProof/>
                <w:webHidden/>
              </w:rPr>
            </w:r>
            <w:r w:rsidR="00777EE0">
              <w:rPr>
                <w:noProof/>
                <w:webHidden/>
              </w:rPr>
              <w:fldChar w:fldCharType="separate"/>
            </w:r>
            <w:r w:rsidR="0026579C">
              <w:rPr>
                <w:noProof/>
                <w:webHidden/>
              </w:rPr>
              <w:t>335</w:t>
            </w:r>
            <w:r w:rsidR="00777EE0">
              <w:rPr>
                <w:noProof/>
                <w:webHidden/>
              </w:rPr>
              <w:fldChar w:fldCharType="end"/>
            </w:r>
          </w:hyperlink>
        </w:p>
        <w:p w14:paraId="5536626D" w14:textId="0C60D7A6" w:rsidR="00777EE0" w:rsidRDefault="00251E9C">
          <w:pPr>
            <w:pStyle w:val="TOC3"/>
            <w:rPr>
              <w:rFonts w:asciiTheme="minorHAnsi" w:eastAsiaTheme="minorEastAsia" w:hAnsiTheme="minorHAnsi" w:cstheme="minorBidi"/>
              <w:noProof/>
              <w:sz w:val="22"/>
              <w:lang w:eastAsia="en-GB"/>
            </w:rPr>
          </w:pPr>
          <w:hyperlink w:anchor="_Toc35892741" w:history="1">
            <w:r w:rsidR="00777EE0" w:rsidRPr="00C53B84">
              <w:rPr>
                <w:rStyle w:val="Hyperlink"/>
                <w:b/>
                <w:bCs/>
                <w:noProof/>
              </w:rPr>
              <w:t>8.2.2</w:t>
            </w:r>
            <w:r w:rsidR="00777EE0">
              <w:rPr>
                <w:rFonts w:asciiTheme="minorHAnsi" w:eastAsiaTheme="minorEastAsia" w:hAnsiTheme="minorHAnsi" w:cstheme="minorBidi"/>
                <w:noProof/>
                <w:sz w:val="22"/>
                <w:lang w:eastAsia="en-GB"/>
              </w:rPr>
              <w:tab/>
            </w:r>
            <w:r w:rsidR="00777EE0" w:rsidRPr="00C53B84">
              <w:rPr>
                <w:rStyle w:val="Hyperlink"/>
                <w:b/>
                <w:bCs/>
                <w:noProof/>
              </w:rPr>
              <w:t>Measures</w:t>
            </w:r>
            <w:r w:rsidR="00777EE0">
              <w:rPr>
                <w:noProof/>
                <w:webHidden/>
              </w:rPr>
              <w:tab/>
            </w:r>
            <w:r w:rsidR="00777EE0">
              <w:rPr>
                <w:noProof/>
                <w:webHidden/>
              </w:rPr>
              <w:fldChar w:fldCharType="begin"/>
            </w:r>
            <w:r w:rsidR="00777EE0">
              <w:rPr>
                <w:noProof/>
                <w:webHidden/>
              </w:rPr>
              <w:instrText xml:space="preserve"> PAGEREF _Toc35892741 \h </w:instrText>
            </w:r>
            <w:r w:rsidR="00777EE0">
              <w:rPr>
                <w:noProof/>
                <w:webHidden/>
              </w:rPr>
            </w:r>
            <w:r w:rsidR="00777EE0">
              <w:rPr>
                <w:noProof/>
                <w:webHidden/>
              </w:rPr>
              <w:fldChar w:fldCharType="separate"/>
            </w:r>
            <w:r w:rsidR="0026579C">
              <w:rPr>
                <w:noProof/>
                <w:webHidden/>
              </w:rPr>
              <w:t>336</w:t>
            </w:r>
            <w:r w:rsidR="00777EE0">
              <w:rPr>
                <w:noProof/>
                <w:webHidden/>
              </w:rPr>
              <w:fldChar w:fldCharType="end"/>
            </w:r>
          </w:hyperlink>
        </w:p>
        <w:p w14:paraId="226ACB3D" w14:textId="2A58CC7D"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42" w:history="1">
            <w:r w:rsidR="00777EE0" w:rsidRPr="00C53B84">
              <w:rPr>
                <w:rStyle w:val="Hyperlink"/>
                <w:b/>
                <w:bCs/>
                <w:noProof/>
              </w:rPr>
              <w:t>8.3</w:t>
            </w:r>
            <w:r w:rsidR="00777EE0">
              <w:rPr>
                <w:rFonts w:asciiTheme="minorHAnsi" w:eastAsiaTheme="minorEastAsia" w:hAnsiTheme="minorHAnsi" w:cstheme="minorBidi"/>
                <w:noProof/>
                <w:sz w:val="22"/>
                <w:lang w:eastAsia="en-GB"/>
              </w:rPr>
              <w:tab/>
            </w:r>
            <w:r w:rsidR="00777EE0" w:rsidRPr="00C53B84">
              <w:rPr>
                <w:rStyle w:val="Hyperlink"/>
                <w:b/>
                <w:bCs/>
                <w:noProof/>
              </w:rPr>
              <w:t>Results</w:t>
            </w:r>
            <w:r w:rsidR="00777EE0">
              <w:rPr>
                <w:noProof/>
                <w:webHidden/>
              </w:rPr>
              <w:tab/>
            </w:r>
            <w:r w:rsidR="00777EE0">
              <w:rPr>
                <w:noProof/>
                <w:webHidden/>
              </w:rPr>
              <w:fldChar w:fldCharType="begin"/>
            </w:r>
            <w:r w:rsidR="00777EE0">
              <w:rPr>
                <w:noProof/>
                <w:webHidden/>
              </w:rPr>
              <w:instrText xml:space="preserve"> PAGEREF _Toc35892742 \h </w:instrText>
            </w:r>
            <w:r w:rsidR="00777EE0">
              <w:rPr>
                <w:noProof/>
                <w:webHidden/>
              </w:rPr>
            </w:r>
            <w:r w:rsidR="00777EE0">
              <w:rPr>
                <w:noProof/>
                <w:webHidden/>
              </w:rPr>
              <w:fldChar w:fldCharType="separate"/>
            </w:r>
            <w:r w:rsidR="0026579C">
              <w:rPr>
                <w:noProof/>
                <w:webHidden/>
              </w:rPr>
              <w:t>338</w:t>
            </w:r>
            <w:r w:rsidR="00777EE0">
              <w:rPr>
                <w:noProof/>
                <w:webHidden/>
              </w:rPr>
              <w:fldChar w:fldCharType="end"/>
            </w:r>
          </w:hyperlink>
        </w:p>
        <w:p w14:paraId="76039C41" w14:textId="22C07273" w:rsidR="00777EE0" w:rsidRDefault="00251E9C">
          <w:pPr>
            <w:pStyle w:val="TOC3"/>
            <w:rPr>
              <w:rFonts w:asciiTheme="minorHAnsi" w:eastAsiaTheme="minorEastAsia" w:hAnsiTheme="minorHAnsi" w:cstheme="minorBidi"/>
              <w:noProof/>
              <w:sz w:val="22"/>
              <w:lang w:eastAsia="en-GB"/>
            </w:rPr>
          </w:pPr>
          <w:hyperlink w:anchor="_Toc35892743" w:history="1">
            <w:r w:rsidR="00777EE0" w:rsidRPr="00C53B84">
              <w:rPr>
                <w:rStyle w:val="Hyperlink"/>
                <w:b/>
                <w:bCs/>
                <w:noProof/>
              </w:rPr>
              <w:t>8.3.1</w:t>
            </w:r>
            <w:r w:rsidR="00777EE0">
              <w:rPr>
                <w:rFonts w:asciiTheme="minorHAnsi" w:eastAsiaTheme="minorEastAsia" w:hAnsiTheme="minorHAnsi" w:cstheme="minorBidi"/>
                <w:noProof/>
                <w:sz w:val="22"/>
                <w:lang w:eastAsia="en-GB"/>
              </w:rPr>
              <w:tab/>
            </w:r>
            <w:r w:rsidR="00777EE0" w:rsidRPr="00C53B84">
              <w:rPr>
                <w:rStyle w:val="Hyperlink"/>
                <w:b/>
                <w:bCs/>
                <w:noProof/>
              </w:rPr>
              <w:t>Sample characteristics</w:t>
            </w:r>
            <w:r w:rsidR="00777EE0">
              <w:rPr>
                <w:noProof/>
                <w:webHidden/>
              </w:rPr>
              <w:tab/>
            </w:r>
            <w:r w:rsidR="00777EE0">
              <w:rPr>
                <w:noProof/>
                <w:webHidden/>
              </w:rPr>
              <w:fldChar w:fldCharType="begin"/>
            </w:r>
            <w:r w:rsidR="00777EE0">
              <w:rPr>
                <w:noProof/>
                <w:webHidden/>
              </w:rPr>
              <w:instrText xml:space="preserve"> PAGEREF _Toc35892743 \h </w:instrText>
            </w:r>
            <w:r w:rsidR="00777EE0">
              <w:rPr>
                <w:noProof/>
                <w:webHidden/>
              </w:rPr>
            </w:r>
            <w:r w:rsidR="00777EE0">
              <w:rPr>
                <w:noProof/>
                <w:webHidden/>
              </w:rPr>
              <w:fldChar w:fldCharType="separate"/>
            </w:r>
            <w:r w:rsidR="0026579C">
              <w:rPr>
                <w:noProof/>
                <w:webHidden/>
              </w:rPr>
              <w:t>338</w:t>
            </w:r>
            <w:r w:rsidR="00777EE0">
              <w:rPr>
                <w:noProof/>
                <w:webHidden/>
              </w:rPr>
              <w:fldChar w:fldCharType="end"/>
            </w:r>
          </w:hyperlink>
        </w:p>
        <w:p w14:paraId="038E5331" w14:textId="533512F4" w:rsidR="00777EE0" w:rsidRDefault="00251E9C">
          <w:pPr>
            <w:pStyle w:val="TOC3"/>
            <w:rPr>
              <w:rFonts w:asciiTheme="minorHAnsi" w:eastAsiaTheme="minorEastAsia" w:hAnsiTheme="minorHAnsi" w:cstheme="minorBidi"/>
              <w:noProof/>
              <w:sz w:val="22"/>
              <w:lang w:eastAsia="en-GB"/>
            </w:rPr>
          </w:pPr>
          <w:hyperlink w:anchor="_Toc35892744" w:history="1">
            <w:r w:rsidR="00777EE0" w:rsidRPr="00C53B84">
              <w:rPr>
                <w:rStyle w:val="Hyperlink"/>
                <w:b/>
                <w:bCs/>
                <w:noProof/>
              </w:rPr>
              <w:t>8.3.2</w:t>
            </w:r>
            <w:r w:rsidR="00777EE0">
              <w:rPr>
                <w:rFonts w:asciiTheme="minorHAnsi" w:eastAsiaTheme="minorEastAsia" w:hAnsiTheme="minorHAnsi" w:cstheme="minorBidi"/>
                <w:noProof/>
                <w:sz w:val="22"/>
                <w:lang w:eastAsia="en-GB"/>
              </w:rPr>
              <w:tab/>
            </w:r>
            <w:r w:rsidR="00777EE0" w:rsidRPr="00C53B84">
              <w:rPr>
                <w:rStyle w:val="Hyperlink"/>
                <w:b/>
                <w:bCs/>
                <w:noProof/>
                <w:shd w:val="clear" w:color="auto" w:fill="FFFFFF"/>
              </w:rPr>
              <w:t>Previous use of NPS</w:t>
            </w:r>
            <w:r w:rsidR="00777EE0">
              <w:rPr>
                <w:noProof/>
                <w:webHidden/>
              </w:rPr>
              <w:tab/>
            </w:r>
            <w:r w:rsidR="00777EE0">
              <w:rPr>
                <w:noProof/>
                <w:webHidden/>
              </w:rPr>
              <w:fldChar w:fldCharType="begin"/>
            </w:r>
            <w:r w:rsidR="00777EE0">
              <w:rPr>
                <w:noProof/>
                <w:webHidden/>
              </w:rPr>
              <w:instrText xml:space="preserve"> PAGEREF _Toc35892744 \h </w:instrText>
            </w:r>
            <w:r w:rsidR="00777EE0">
              <w:rPr>
                <w:noProof/>
                <w:webHidden/>
              </w:rPr>
            </w:r>
            <w:r w:rsidR="00777EE0">
              <w:rPr>
                <w:noProof/>
                <w:webHidden/>
              </w:rPr>
              <w:fldChar w:fldCharType="separate"/>
            </w:r>
            <w:r w:rsidR="0026579C">
              <w:rPr>
                <w:noProof/>
                <w:webHidden/>
              </w:rPr>
              <w:t>340</w:t>
            </w:r>
            <w:r w:rsidR="00777EE0">
              <w:rPr>
                <w:noProof/>
                <w:webHidden/>
              </w:rPr>
              <w:fldChar w:fldCharType="end"/>
            </w:r>
          </w:hyperlink>
        </w:p>
        <w:p w14:paraId="061A2FBC" w14:textId="462DBD0A" w:rsidR="00777EE0" w:rsidRDefault="00251E9C">
          <w:pPr>
            <w:pStyle w:val="TOC3"/>
            <w:rPr>
              <w:rFonts w:asciiTheme="minorHAnsi" w:eastAsiaTheme="minorEastAsia" w:hAnsiTheme="minorHAnsi" w:cstheme="minorBidi"/>
              <w:noProof/>
              <w:sz w:val="22"/>
              <w:lang w:eastAsia="en-GB"/>
            </w:rPr>
          </w:pPr>
          <w:hyperlink w:anchor="_Toc35892745" w:history="1">
            <w:r w:rsidR="00777EE0" w:rsidRPr="00C53B84">
              <w:rPr>
                <w:rStyle w:val="Hyperlink"/>
                <w:b/>
                <w:bCs/>
                <w:noProof/>
              </w:rPr>
              <w:t>8.3.3</w:t>
            </w:r>
            <w:r w:rsidR="00777EE0">
              <w:rPr>
                <w:rFonts w:asciiTheme="minorHAnsi" w:eastAsiaTheme="minorEastAsia" w:hAnsiTheme="minorHAnsi" w:cstheme="minorBidi"/>
                <w:noProof/>
                <w:sz w:val="22"/>
                <w:lang w:eastAsia="en-GB"/>
              </w:rPr>
              <w:tab/>
            </w:r>
            <w:r w:rsidR="00777EE0" w:rsidRPr="00C53B84">
              <w:rPr>
                <w:rStyle w:val="Hyperlink"/>
                <w:b/>
                <w:bCs/>
                <w:noProof/>
                <w:shd w:val="clear" w:color="auto" w:fill="FFFFFF"/>
              </w:rPr>
              <w:t>Previous use of illicit drugs</w:t>
            </w:r>
            <w:r w:rsidR="00777EE0">
              <w:rPr>
                <w:noProof/>
                <w:webHidden/>
              </w:rPr>
              <w:tab/>
            </w:r>
            <w:r w:rsidR="00777EE0">
              <w:rPr>
                <w:noProof/>
                <w:webHidden/>
              </w:rPr>
              <w:fldChar w:fldCharType="begin"/>
            </w:r>
            <w:r w:rsidR="00777EE0">
              <w:rPr>
                <w:noProof/>
                <w:webHidden/>
              </w:rPr>
              <w:instrText xml:space="preserve"> PAGEREF _Toc35892745 \h </w:instrText>
            </w:r>
            <w:r w:rsidR="00777EE0">
              <w:rPr>
                <w:noProof/>
                <w:webHidden/>
              </w:rPr>
            </w:r>
            <w:r w:rsidR="00777EE0">
              <w:rPr>
                <w:noProof/>
                <w:webHidden/>
              </w:rPr>
              <w:fldChar w:fldCharType="separate"/>
            </w:r>
            <w:r w:rsidR="0026579C">
              <w:rPr>
                <w:noProof/>
                <w:webHidden/>
              </w:rPr>
              <w:t>340</w:t>
            </w:r>
            <w:r w:rsidR="00777EE0">
              <w:rPr>
                <w:noProof/>
                <w:webHidden/>
              </w:rPr>
              <w:fldChar w:fldCharType="end"/>
            </w:r>
          </w:hyperlink>
        </w:p>
        <w:p w14:paraId="35A5E3DD" w14:textId="73E657A4" w:rsidR="00777EE0" w:rsidRDefault="00251E9C">
          <w:pPr>
            <w:pStyle w:val="TOC3"/>
            <w:rPr>
              <w:rFonts w:asciiTheme="minorHAnsi" w:eastAsiaTheme="minorEastAsia" w:hAnsiTheme="minorHAnsi" w:cstheme="minorBidi"/>
              <w:noProof/>
              <w:sz w:val="22"/>
              <w:lang w:eastAsia="en-GB"/>
            </w:rPr>
          </w:pPr>
          <w:hyperlink w:anchor="_Toc35892746" w:history="1">
            <w:r w:rsidR="00777EE0" w:rsidRPr="00C53B84">
              <w:rPr>
                <w:rStyle w:val="Hyperlink"/>
                <w:b/>
                <w:bCs/>
                <w:noProof/>
              </w:rPr>
              <w:t>8.3.4</w:t>
            </w:r>
            <w:r w:rsidR="00777EE0">
              <w:rPr>
                <w:rFonts w:asciiTheme="minorHAnsi" w:eastAsiaTheme="minorEastAsia" w:hAnsiTheme="minorHAnsi" w:cstheme="minorBidi"/>
                <w:noProof/>
                <w:sz w:val="22"/>
                <w:lang w:eastAsia="en-GB"/>
              </w:rPr>
              <w:tab/>
            </w:r>
            <w:r w:rsidR="00777EE0" w:rsidRPr="00C53B84">
              <w:rPr>
                <w:rStyle w:val="Hyperlink"/>
                <w:b/>
                <w:bCs/>
                <w:noProof/>
              </w:rPr>
              <w:t>Substances</w:t>
            </w:r>
            <w:r w:rsidR="00777EE0">
              <w:rPr>
                <w:noProof/>
                <w:webHidden/>
              </w:rPr>
              <w:tab/>
            </w:r>
            <w:r w:rsidR="00777EE0">
              <w:rPr>
                <w:noProof/>
                <w:webHidden/>
              </w:rPr>
              <w:fldChar w:fldCharType="begin"/>
            </w:r>
            <w:r w:rsidR="00777EE0">
              <w:rPr>
                <w:noProof/>
                <w:webHidden/>
              </w:rPr>
              <w:instrText xml:space="preserve"> PAGEREF _Toc35892746 \h </w:instrText>
            </w:r>
            <w:r w:rsidR="00777EE0">
              <w:rPr>
                <w:noProof/>
                <w:webHidden/>
              </w:rPr>
            </w:r>
            <w:r w:rsidR="00777EE0">
              <w:rPr>
                <w:noProof/>
                <w:webHidden/>
              </w:rPr>
              <w:fldChar w:fldCharType="separate"/>
            </w:r>
            <w:r w:rsidR="0026579C">
              <w:rPr>
                <w:noProof/>
                <w:webHidden/>
              </w:rPr>
              <w:t>342</w:t>
            </w:r>
            <w:r w:rsidR="00777EE0">
              <w:rPr>
                <w:noProof/>
                <w:webHidden/>
              </w:rPr>
              <w:fldChar w:fldCharType="end"/>
            </w:r>
          </w:hyperlink>
        </w:p>
        <w:p w14:paraId="38236157" w14:textId="01261283" w:rsidR="00777EE0" w:rsidRDefault="00251E9C">
          <w:pPr>
            <w:pStyle w:val="TOC3"/>
            <w:rPr>
              <w:rFonts w:asciiTheme="minorHAnsi" w:eastAsiaTheme="minorEastAsia" w:hAnsiTheme="minorHAnsi" w:cstheme="minorBidi"/>
              <w:noProof/>
              <w:sz w:val="22"/>
              <w:lang w:eastAsia="en-GB"/>
            </w:rPr>
          </w:pPr>
          <w:hyperlink w:anchor="_Toc35892747" w:history="1">
            <w:r w:rsidR="00777EE0" w:rsidRPr="00C53B84">
              <w:rPr>
                <w:rStyle w:val="Hyperlink"/>
                <w:b/>
                <w:bCs/>
                <w:noProof/>
              </w:rPr>
              <w:t>8.3.5</w:t>
            </w:r>
            <w:r w:rsidR="00777EE0">
              <w:rPr>
                <w:rFonts w:asciiTheme="minorHAnsi" w:eastAsiaTheme="minorEastAsia" w:hAnsiTheme="minorHAnsi" w:cstheme="minorBidi"/>
                <w:noProof/>
                <w:sz w:val="22"/>
                <w:lang w:eastAsia="en-GB"/>
              </w:rPr>
              <w:tab/>
            </w:r>
            <w:r w:rsidR="00777EE0" w:rsidRPr="00C53B84">
              <w:rPr>
                <w:rStyle w:val="Hyperlink"/>
                <w:b/>
                <w:bCs/>
                <w:noProof/>
              </w:rPr>
              <w:t>Participants’ knowledge of NPS and the PS Act</w:t>
            </w:r>
            <w:r w:rsidR="00777EE0">
              <w:rPr>
                <w:noProof/>
                <w:webHidden/>
              </w:rPr>
              <w:tab/>
            </w:r>
            <w:r w:rsidR="00777EE0">
              <w:rPr>
                <w:noProof/>
                <w:webHidden/>
              </w:rPr>
              <w:fldChar w:fldCharType="begin"/>
            </w:r>
            <w:r w:rsidR="00777EE0">
              <w:rPr>
                <w:noProof/>
                <w:webHidden/>
              </w:rPr>
              <w:instrText xml:space="preserve"> PAGEREF _Toc35892747 \h </w:instrText>
            </w:r>
            <w:r w:rsidR="00777EE0">
              <w:rPr>
                <w:noProof/>
                <w:webHidden/>
              </w:rPr>
            </w:r>
            <w:r w:rsidR="00777EE0">
              <w:rPr>
                <w:noProof/>
                <w:webHidden/>
              </w:rPr>
              <w:fldChar w:fldCharType="separate"/>
            </w:r>
            <w:r w:rsidR="0026579C">
              <w:rPr>
                <w:noProof/>
                <w:webHidden/>
              </w:rPr>
              <w:t>343</w:t>
            </w:r>
            <w:r w:rsidR="00777EE0">
              <w:rPr>
                <w:noProof/>
                <w:webHidden/>
              </w:rPr>
              <w:fldChar w:fldCharType="end"/>
            </w:r>
          </w:hyperlink>
        </w:p>
        <w:p w14:paraId="405A0818" w14:textId="33CDF303" w:rsidR="00777EE0" w:rsidRDefault="00251E9C">
          <w:pPr>
            <w:pStyle w:val="TOC3"/>
            <w:rPr>
              <w:rFonts w:asciiTheme="minorHAnsi" w:eastAsiaTheme="minorEastAsia" w:hAnsiTheme="minorHAnsi" w:cstheme="minorBidi"/>
              <w:noProof/>
              <w:sz w:val="22"/>
              <w:lang w:eastAsia="en-GB"/>
            </w:rPr>
          </w:pPr>
          <w:hyperlink w:anchor="_Toc35892748" w:history="1">
            <w:r w:rsidR="00777EE0" w:rsidRPr="00C53B84">
              <w:rPr>
                <w:rStyle w:val="Hyperlink"/>
                <w:b/>
                <w:bCs/>
                <w:noProof/>
              </w:rPr>
              <w:t>8.3.6</w:t>
            </w:r>
            <w:r w:rsidR="00777EE0">
              <w:rPr>
                <w:rFonts w:asciiTheme="minorHAnsi" w:eastAsiaTheme="minorEastAsia" w:hAnsiTheme="minorHAnsi" w:cstheme="minorBidi"/>
                <w:noProof/>
                <w:sz w:val="22"/>
                <w:lang w:eastAsia="en-GB"/>
              </w:rPr>
              <w:tab/>
            </w:r>
            <w:r w:rsidR="00777EE0" w:rsidRPr="00C53B84">
              <w:rPr>
                <w:rStyle w:val="Hyperlink"/>
                <w:b/>
                <w:bCs/>
                <w:noProof/>
              </w:rPr>
              <w:t>Data analysis</w:t>
            </w:r>
            <w:r w:rsidR="00777EE0">
              <w:rPr>
                <w:noProof/>
                <w:webHidden/>
              </w:rPr>
              <w:tab/>
            </w:r>
            <w:r w:rsidR="00777EE0">
              <w:rPr>
                <w:noProof/>
                <w:webHidden/>
              </w:rPr>
              <w:fldChar w:fldCharType="begin"/>
            </w:r>
            <w:r w:rsidR="00777EE0">
              <w:rPr>
                <w:noProof/>
                <w:webHidden/>
              </w:rPr>
              <w:instrText xml:space="preserve"> PAGEREF _Toc35892748 \h </w:instrText>
            </w:r>
            <w:r w:rsidR="00777EE0">
              <w:rPr>
                <w:noProof/>
                <w:webHidden/>
              </w:rPr>
            </w:r>
            <w:r w:rsidR="00777EE0">
              <w:rPr>
                <w:noProof/>
                <w:webHidden/>
              </w:rPr>
              <w:fldChar w:fldCharType="separate"/>
            </w:r>
            <w:r w:rsidR="0026579C">
              <w:rPr>
                <w:noProof/>
                <w:webHidden/>
              </w:rPr>
              <w:t>343</w:t>
            </w:r>
            <w:r w:rsidR="00777EE0">
              <w:rPr>
                <w:noProof/>
                <w:webHidden/>
              </w:rPr>
              <w:fldChar w:fldCharType="end"/>
            </w:r>
          </w:hyperlink>
        </w:p>
        <w:p w14:paraId="58F5511E" w14:textId="6D38A0C6"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49" w:history="1">
            <w:r w:rsidR="00777EE0" w:rsidRPr="00C53B84">
              <w:rPr>
                <w:rStyle w:val="Hyperlink"/>
                <w:b/>
                <w:bCs/>
                <w:noProof/>
              </w:rPr>
              <w:t>8.4</w:t>
            </w:r>
            <w:r w:rsidR="00777EE0">
              <w:rPr>
                <w:rFonts w:asciiTheme="minorHAnsi" w:eastAsiaTheme="minorEastAsia" w:hAnsiTheme="minorHAnsi" w:cstheme="minorBidi"/>
                <w:noProof/>
                <w:sz w:val="22"/>
                <w:lang w:eastAsia="en-GB"/>
              </w:rPr>
              <w:tab/>
            </w:r>
            <w:r w:rsidR="00777EE0" w:rsidRPr="00C53B84">
              <w:rPr>
                <w:rStyle w:val="Hyperlink"/>
                <w:b/>
                <w:bCs/>
                <w:noProof/>
              </w:rPr>
              <w:t>Motivation Results</w:t>
            </w:r>
            <w:r w:rsidR="00777EE0">
              <w:rPr>
                <w:noProof/>
                <w:webHidden/>
              </w:rPr>
              <w:tab/>
            </w:r>
            <w:r w:rsidR="00777EE0">
              <w:rPr>
                <w:noProof/>
                <w:webHidden/>
              </w:rPr>
              <w:fldChar w:fldCharType="begin"/>
            </w:r>
            <w:r w:rsidR="00777EE0">
              <w:rPr>
                <w:noProof/>
                <w:webHidden/>
              </w:rPr>
              <w:instrText xml:space="preserve"> PAGEREF _Toc35892749 \h </w:instrText>
            </w:r>
            <w:r w:rsidR="00777EE0">
              <w:rPr>
                <w:noProof/>
                <w:webHidden/>
              </w:rPr>
            </w:r>
            <w:r w:rsidR="00777EE0">
              <w:rPr>
                <w:noProof/>
                <w:webHidden/>
              </w:rPr>
              <w:fldChar w:fldCharType="separate"/>
            </w:r>
            <w:r w:rsidR="0026579C">
              <w:rPr>
                <w:noProof/>
                <w:webHidden/>
              </w:rPr>
              <w:t>344</w:t>
            </w:r>
            <w:r w:rsidR="00777EE0">
              <w:rPr>
                <w:noProof/>
                <w:webHidden/>
              </w:rPr>
              <w:fldChar w:fldCharType="end"/>
            </w:r>
          </w:hyperlink>
        </w:p>
        <w:p w14:paraId="5635C1EA" w14:textId="3DAD51BD" w:rsidR="00777EE0" w:rsidRDefault="00251E9C">
          <w:pPr>
            <w:pStyle w:val="TOC3"/>
            <w:rPr>
              <w:rFonts w:asciiTheme="minorHAnsi" w:eastAsiaTheme="minorEastAsia" w:hAnsiTheme="minorHAnsi" w:cstheme="minorBidi"/>
              <w:noProof/>
              <w:sz w:val="22"/>
              <w:lang w:eastAsia="en-GB"/>
            </w:rPr>
          </w:pPr>
          <w:hyperlink w:anchor="_Toc35892750" w:history="1">
            <w:r w:rsidR="00777EE0" w:rsidRPr="00C53B84">
              <w:rPr>
                <w:rStyle w:val="Hyperlink"/>
                <w:b/>
                <w:bCs/>
                <w:noProof/>
              </w:rPr>
              <w:t>8.4.1</w:t>
            </w:r>
            <w:r w:rsidR="00777EE0">
              <w:rPr>
                <w:rFonts w:asciiTheme="minorHAnsi" w:eastAsiaTheme="minorEastAsia" w:hAnsiTheme="minorHAnsi" w:cstheme="minorBidi"/>
                <w:noProof/>
                <w:sz w:val="22"/>
                <w:lang w:eastAsia="en-GB"/>
              </w:rPr>
              <w:tab/>
            </w:r>
            <w:r w:rsidR="00777EE0" w:rsidRPr="00C53B84">
              <w:rPr>
                <w:rStyle w:val="Hyperlink"/>
                <w:b/>
                <w:bCs/>
                <w:noProof/>
              </w:rPr>
              <w:t>Motivational priority and conflict</w:t>
            </w:r>
            <w:r w:rsidR="00777EE0">
              <w:rPr>
                <w:noProof/>
                <w:webHidden/>
              </w:rPr>
              <w:tab/>
            </w:r>
            <w:r w:rsidR="00777EE0">
              <w:rPr>
                <w:noProof/>
                <w:webHidden/>
              </w:rPr>
              <w:fldChar w:fldCharType="begin"/>
            </w:r>
            <w:r w:rsidR="00777EE0">
              <w:rPr>
                <w:noProof/>
                <w:webHidden/>
              </w:rPr>
              <w:instrText xml:space="preserve"> PAGEREF _Toc35892750 \h </w:instrText>
            </w:r>
            <w:r w:rsidR="00777EE0">
              <w:rPr>
                <w:noProof/>
                <w:webHidden/>
              </w:rPr>
            </w:r>
            <w:r w:rsidR="00777EE0">
              <w:rPr>
                <w:noProof/>
                <w:webHidden/>
              </w:rPr>
              <w:fldChar w:fldCharType="separate"/>
            </w:r>
            <w:r w:rsidR="0026579C">
              <w:rPr>
                <w:noProof/>
                <w:webHidden/>
              </w:rPr>
              <w:t>345</w:t>
            </w:r>
            <w:r w:rsidR="00777EE0">
              <w:rPr>
                <w:noProof/>
                <w:webHidden/>
              </w:rPr>
              <w:fldChar w:fldCharType="end"/>
            </w:r>
          </w:hyperlink>
        </w:p>
        <w:p w14:paraId="675D1BED" w14:textId="658FFFE7" w:rsidR="00777EE0" w:rsidRDefault="00251E9C">
          <w:pPr>
            <w:pStyle w:val="TOC3"/>
            <w:rPr>
              <w:rFonts w:asciiTheme="minorHAnsi" w:eastAsiaTheme="minorEastAsia" w:hAnsiTheme="minorHAnsi" w:cstheme="minorBidi"/>
              <w:noProof/>
              <w:sz w:val="22"/>
              <w:lang w:eastAsia="en-GB"/>
            </w:rPr>
          </w:pPr>
          <w:hyperlink w:anchor="_Toc35892751" w:history="1">
            <w:r w:rsidR="00777EE0" w:rsidRPr="00C53B84">
              <w:rPr>
                <w:rStyle w:val="Hyperlink"/>
                <w:b/>
                <w:bCs/>
                <w:noProof/>
              </w:rPr>
              <w:t>8.4.2</w:t>
            </w:r>
            <w:r w:rsidR="00777EE0">
              <w:rPr>
                <w:rFonts w:asciiTheme="minorHAnsi" w:eastAsiaTheme="minorEastAsia" w:hAnsiTheme="minorHAnsi" w:cstheme="minorBidi"/>
                <w:noProof/>
                <w:sz w:val="22"/>
                <w:lang w:eastAsia="en-GB"/>
              </w:rPr>
              <w:tab/>
            </w:r>
            <w:r w:rsidR="00777EE0" w:rsidRPr="00C53B84">
              <w:rPr>
                <w:rStyle w:val="Hyperlink"/>
                <w:b/>
                <w:bCs/>
                <w:noProof/>
              </w:rPr>
              <w:t>Health</w:t>
            </w:r>
            <w:r w:rsidR="00777EE0">
              <w:rPr>
                <w:noProof/>
                <w:webHidden/>
              </w:rPr>
              <w:tab/>
            </w:r>
            <w:r w:rsidR="00777EE0">
              <w:rPr>
                <w:noProof/>
                <w:webHidden/>
              </w:rPr>
              <w:fldChar w:fldCharType="begin"/>
            </w:r>
            <w:r w:rsidR="00777EE0">
              <w:rPr>
                <w:noProof/>
                <w:webHidden/>
              </w:rPr>
              <w:instrText xml:space="preserve"> PAGEREF _Toc35892751 \h </w:instrText>
            </w:r>
            <w:r w:rsidR="00777EE0">
              <w:rPr>
                <w:noProof/>
                <w:webHidden/>
              </w:rPr>
            </w:r>
            <w:r w:rsidR="00777EE0">
              <w:rPr>
                <w:noProof/>
                <w:webHidden/>
              </w:rPr>
              <w:fldChar w:fldCharType="separate"/>
            </w:r>
            <w:r w:rsidR="0026579C">
              <w:rPr>
                <w:noProof/>
                <w:webHidden/>
              </w:rPr>
              <w:t>346</w:t>
            </w:r>
            <w:r w:rsidR="00777EE0">
              <w:rPr>
                <w:noProof/>
                <w:webHidden/>
              </w:rPr>
              <w:fldChar w:fldCharType="end"/>
            </w:r>
          </w:hyperlink>
        </w:p>
        <w:p w14:paraId="7A053ED7" w14:textId="5A973A45" w:rsidR="00777EE0" w:rsidRDefault="00251E9C">
          <w:pPr>
            <w:pStyle w:val="TOC3"/>
            <w:rPr>
              <w:rFonts w:asciiTheme="minorHAnsi" w:eastAsiaTheme="minorEastAsia" w:hAnsiTheme="minorHAnsi" w:cstheme="minorBidi"/>
              <w:noProof/>
              <w:sz w:val="22"/>
              <w:lang w:eastAsia="en-GB"/>
            </w:rPr>
          </w:pPr>
          <w:hyperlink w:anchor="_Toc35892752" w:history="1">
            <w:r w:rsidR="00777EE0" w:rsidRPr="00C53B84">
              <w:rPr>
                <w:rStyle w:val="Hyperlink"/>
                <w:b/>
                <w:bCs/>
                <w:noProof/>
              </w:rPr>
              <w:t>8.4.3</w:t>
            </w:r>
            <w:r w:rsidR="00777EE0">
              <w:rPr>
                <w:rFonts w:asciiTheme="minorHAnsi" w:eastAsiaTheme="minorEastAsia" w:hAnsiTheme="minorHAnsi" w:cstheme="minorBidi"/>
                <w:noProof/>
                <w:sz w:val="22"/>
                <w:lang w:eastAsia="en-GB"/>
              </w:rPr>
              <w:tab/>
            </w:r>
            <w:r w:rsidR="00777EE0" w:rsidRPr="00C53B84">
              <w:rPr>
                <w:rStyle w:val="Hyperlink"/>
                <w:b/>
                <w:bCs/>
                <w:noProof/>
              </w:rPr>
              <w:t>Coping</w:t>
            </w:r>
            <w:r w:rsidR="00777EE0">
              <w:rPr>
                <w:noProof/>
                <w:webHidden/>
              </w:rPr>
              <w:tab/>
            </w:r>
            <w:r w:rsidR="00777EE0">
              <w:rPr>
                <w:noProof/>
                <w:webHidden/>
              </w:rPr>
              <w:fldChar w:fldCharType="begin"/>
            </w:r>
            <w:r w:rsidR="00777EE0">
              <w:rPr>
                <w:noProof/>
                <w:webHidden/>
              </w:rPr>
              <w:instrText xml:space="preserve"> PAGEREF _Toc35892752 \h </w:instrText>
            </w:r>
            <w:r w:rsidR="00777EE0">
              <w:rPr>
                <w:noProof/>
                <w:webHidden/>
              </w:rPr>
            </w:r>
            <w:r w:rsidR="00777EE0">
              <w:rPr>
                <w:noProof/>
                <w:webHidden/>
              </w:rPr>
              <w:fldChar w:fldCharType="separate"/>
            </w:r>
            <w:r w:rsidR="0026579C">
              <w:rPr>
                <w:noProof/>
                <w:webHidden/>
              </w:rPr>
              <w:t>346</w:t>
            </w:r>
            <w:r w:rsidR="00777EE0">
              <w:rPr>
                <w:noProof/>
                <w:webHidden/>
              </w:rPr>
              <w:fldChar w:fldCharType="end"/>
            </w:r>
          </w:hyperlink>
        </w:p>
        <w:p w14:paraId="3648C5F4" w14:textId="71BD5F44" w:rsidR="00777EE0" w:rsidRDefault="00251E9C">
          <w:pPr>
            <w:pStyle w:val="TOC3"/>
            <w:rPr>
              <w:rFonts w:asciiTheme="minorHAnsi" w:eastAsiaTheme="minorEastAsia" w:hAnsiTheme="minorHAnsi" w:cstheme="minorBidi"/>
              <w:noProof/>
              <w:sz w:val="22"/>
              <w:lang w:eastAsia="en-GB"/>
            </w:rPr>
          </w:pPr>
          <w:hyperlink w:anchor="_Toc35892753" w:history="1">
            <w:r w:rsidR="00777EE0" w:rsidRPr="00C53B84">
              <w:rPr>
                <w:rStyle w:val="Hyperlink"/>
                <w:b/>
                <w:bCs/>
                <w:noProof/>
              </w:rPr>
              <w:t>8.4.4</w:t>
            </w:r>
            <w:r w:rsidR="00777EE0">
              <w:rPr>
                <w:rFonts w:asciiTheme="minorHAnsi" w:eastAsiaTheme="minorEastAsia" w:hAnsiTheme="minorHAnsi" w:cstheme="minorBidi"/>
                <w:noProof/>
                <w:sz w:val="22"/>
                <w:lang w:eastAsia="en-GB"/>
              </w:rPr>
              <w:tab/>
            </w:r>
            <w:r w:rsidR="00777EE0" w:rsidRPr="00C53B84">
              <w:rPr>
                <w:rStyle w:val="Hyperlink"/>
                <w:b/>
                <w:bCs/>
                <w:noProof/>
              </w:rPr>
              <w:t>Curiosity</w:t>
            </w:r>
            <w:r w:rsidR="00777EE0">
              <w:rPr>
                <w:noProof/>
                <w:webHidden/>
              </w:rPr>
              <w:tab/>
            </w:r>
            <w:r w:rsidR="00777EE0">
              <w:rPr>
                <w:noProof/>
                <w:webHidden/>
              </w:rPr>
              <w:fldChar w:fldCharType="begin"/>
            </w:r>
            <w:r w:rsidR="00777EE0">
              <w:rPr>
                <w:noProof/>
                <w:webHidden/>
              </w:rPr>
              <w:instrText xml:space="preserve"> PAGEREF _Toc35892753 \h </w:instrText>
            </w:r>
            <w:r w:rsidR="00777EE0">
              <w:rPr>
                <w:noProof/>
                <w:webHidden/>
              </w:rPr>
            </w:r>
            <w:r w:rsidR="00777EE0">
              <w:rPr>
                <w:noProof/>
                <w:webHidden/>
              </w:rPr>
              <w:fldChar w:fldCharType="separate"/>
            </w:r>
            <w:r w:rsidR="0026579C">
              <w:rPr>
                <w:noProof/>
                <w:webHidden/>
              </w:rPr>
              <w:t>346</w:t>
            </w:r>
            <w:r w:rsidR="00777EE0">
              <w:rPr>
                <w:noProof/>
                <w:webHidden/>
              </w:rPr>
              <w:fldChar w:fldCharType="end"/>
            </w:r>
          </w:hyperlink>
        </w:p>
        <w:p w14:paraId="20DEE142" w14:textId="6252143B" w:rsidR="00777EE0" w:rsidRDefault="00251E9C">
          <w:pPr>
            <w:pStyle w:val="TOC3"/>
            <w:rPr>
              <w:rFonts w:asciiTheme="minorHAnsi" w:eastAsiaTheme="minorEastAsia" w:hAnsiTheme="minorHAnsi" w:cstheme="minorBidi"/>
              <w:noProof/>
              <w:sz w:val="22"/>
              <w:lang w:eastAsia="en-GB"/>
            </w:rPr>
          </w:pPr>
          <w:hyperlink w:anchor="_Toc35892754" w:history="1">
            <w:r w:rsidR="00777EE0" w:rsidRPr="00C53B84">
              <w:rPr>
                <w:rStyle w:val="Hyperlink"/>
                <w:b/>
                <w:bCs/>
                <w:noProof/>
              </w:rPr>
              <w:t>8.4.5</w:t>
            </w:r>
            <w:r w:rsidR="00777EE0">
              <w:rPr>
                <w:rFonts w:asciiTheme="minorHAnsi" w:eastAsiaTheme="minorEastAsia" w:hAnsiTheme="minorHAnsi" w:cstheme="minorBidi"/>
                <w:noProof/>
                <w:sz w:val="22"/>
                <w:lang w:eastAsia="en-GB"/>
              </w:rPr>
              <w:tab/>
            </w:r>
            <w:r w:rsidR="00777EE0" w:rsidRPr="00C53B84">
              <w:rPr>
                <w:rStyle w:val="Hyperlink"/>
                <w:b/>
                <w:bCs/>
                <w:noProof/>
              </w:rPr>
              <w:t>Pleasure</w:t>
            </w:r>
            <w:r w:rsidR="00777EE0">
              <w:rPr>
                <w:noProof/>
                <w:webHidden/>
              </w:rPr>
              <w:tab/>
            </w:r>
            <w:r w:rsidR="00777EE0">
              <w:rPr>
                <w:noProof/>
                <w:webHidden/>
              </w:rPr>
              <w:fldChar w:fldCharType="begin"/>
            </w:r>
            <w:r w:rsidR="00777EE0">
              <w:rPr>
                <w:noProof/>
                <w:webHidden/>
              </w:rPr>
              <w:instrText xml:space="preserve"> PAGEREF _Toc35892754 \h </w:instrText>
            </w:r>
            <w:r w:rsidR="00777EE0">
              <w:rPr>
                <w:noProof/>
                <w:webHidden/>
              </w:rPr>
            </w:r>
            <w:r w:rsidR="00777EE0">
              <w:rPr>
                <w:noProof/>
                <w:webHidden/>
              </w:rPr>
              <w:fldChar w:fldCharType="separate"/>
            </w:r>
            <w:r w:rsidR="0026579C">
              <w:rPr>
                <w:noProof/>
                <w:webHidden/>
              </w:rPr>
              <w:t>347</w:t>
            </w:r>
            <w:r w:rsidR="00777EE0">
              <w:rPr>
                <w:noProof/>
                <w:webHidden/>
              </w:rPr>
              <w:fldChar w:fldCharType="end"/>
            </w:r>
          </w:hyperlink>
        </w:p>
        <w:p w14:paraId="21745C9F" w14:textId="666DB6CF" w:rsidR="00777EE0" w:rsidRDefault="00251E9C">
          <w:pPr>
            <w:pStyle w:val="TOC3"/>
            <w:rPr>
              <w:rFonts w:asciiTheme="minorHAnsi" w:eastAsiaTheme="minorEastAsia" w:hAnsiTheme="minorHAnsi" w:cstheme="minorBidi"/>
              <w:noProof/>
              <w:sz w:val="22"/>
              <w:lang w:eastAsia="en-GB"/>
            </w:rPr>
          </w:pPr>
          <w:hyperlink w:anchor="_Toc35892755" w:history="1">
            <w:r w:rsidR="00777EE0" w:rsidRPr="00C53B84">
              <w:rPr>
                <w:rStyle w:val="Hyperlink"/>
                <w:b/>
                <w:bCs/>
                <w:noProof/>
              </w:rPr>
              <w:t>8.4.6</w:t>
            </w:r>
            <w:r w:rsidR="00777EE0">
              <w:rPr>
                <w:rFonts w:asciiTheme="minorHAnsi" w:eastAsiaTheme="minorEastAsia" w:hAnsiTheme="minorHAnsi" w:cstheme="minorBidi"/>
                <w:noProof/>
                <w:sz w:val="22"/>
                <w:lang w:eastAsia="en-GB"/>
              </w:rPr>
              <w:tab/>
            </w:r>
            <w:r w:rsidR="00777EE0" w:rsidRPr="00C53B84">
              <w:rPr>
                <w:rStyle w:val="Hyperlink"/>
                <w:b/>
                <w:bCs/>
                <w:noProof/>
              </w:rPr>
              <w:t>Accessibility</w:t>
            </w:r>
            <w:r w:rsidR="00777EE0">
              <w:rPr>
                <w:noProof/>
                <w:webHidden/>
              </w:rPr>
              <w:tab/>
            </w:r>
            <w:r w:rsidR="00777EE0">
              <w:rPr>
                <w:noProof/>
                <w:webHidden/>
              </w:rPr>
              <w:fldChar w:fldCharType="begin"/>
            </w:r>
            <w:r w:rsidR="00777EE0">
              <w:rPr>
                <w:noProof/>
                <w:webHidden/>
              </w:rPr>
              <w:instrText xml:space="preserve"> PAGEREF _Toc35892755 \h </w:instrText>
            </w:r>
            <w:r w:rsidR="00777EE0">
              <w:rPr>
                <w:noProof/>
                <w:webHidden/>
              </w:rPr>
            </w:r>
            <w:r w:rsidR="00777EE0">
              <w:rPr>
                <w:noProof/>
                <w:webHidden/>
              </w:rPr>
              <w:fldChar w:fldCharType="separate"/>
            </w:r>
            <w:r w:rsidR="0026579C">
              <w:rPr>
                <w:noProof/>
                <w:webHidden/>
              </w:rPr>
              <w:t>347</w:t>
            </w:r>
            <w:r w:rsidR="00777EE0">
              <w:rPr>
                <w:noProof/>
                <w:webHidden/>
              </w:rPr>
              <w:fldChar w:fldCharType="end"/>
            </w:r>
          </w:hyperlink>
        </w:p>
        <w:p w14:paraId="081209B8" w14:textId="34E796CC" w:rsidR="00777EE0" w:rsidRDefault="00251E9C">
          <w:pPr>
            <w:pStyle w:val="TOC3"/>
            <w:rPr>
              <w:rFonts w:asciiTheme="minorHAnsi" w:eastAsiaTheme="minorEastAsia" w:hAnsiTheme="minorHAnsi" w:cstheme="minorBidi"/>
              <w:noProof/>
              <w:sz w:val="22"/>
              <w:lang w:eastAsia="en-GB"/>
            </w:rPr>
          </w:pPr>
          <w:hyperlink w:anchor="_Toc35892756" w:history="1">
            <w:r w:rsidR="00777EE0" w:rsidRPr="00C53B84">
              <w:rPr>
                <w:rStyle w:val="Hyperlink"/>
                <w:b/>
                <w:bCs/>
                <w:noProof/>
              </w:rPr>
              <w:t>8.4.7</w:t>
            </w:r>
            <w:r w:rsidR="00777EE0">
              <w:rPr>
                <w:rFonts w:asciiTheme="minorHAnsi" w:eastAsiaTheme="minorEastAsia" w:hAnsiTheme="minorHAnsi" w:cstheme="minorBidi"/>
                <w:noProof/>
                <w:sz w:val="22"/>
                <w:lang w:eastAsia="en-GB"/>
              </w:rPr>
              <w:tab/>
            </w:r>
            <w:r w:rsidR="00777EE0" w:rsidRPr="00C53B84">
              <w:rPr>
                <w:rStyle w:val="Hyperlink"/>
                <w:b/>
                <w:bCs/>
                <w:noProof/>
              </w:rPr>
              <w:t>Identity</w:t>
            </w:r>
            <w:r w:rsidR="00777EE0">
              <w:rPr>
                <w:noProof/>
                <w:webHidden/>
              </w:rPr>
              <w:tab/>
            </w:r>
            <w:r w:rsidR="00777EE0">
              <w:rPr>
                <w:noProof/>
                <w:webHidden/>
              </w:rPr>
              <w:fldChar w:fldCharType="begin"/>
            </w:r>
            <w:r w:rsidR="00777EE0">
              <w:rPr>
                <w:noProof/>
                <w:webHidden/>
              </w:rPr>
              <w:instrText xml:space="preserve"> PAGEREF _Toc35892756 \h </w:instrText>
            </w:r>
            <w:r w:rsidR="00777EE0">
              <w:rPr>
                <w:noProof/>
                <w:webHidden/>
              </w:rPr>
            </w:r>
            <w:r w:rsidR="00777EE0">
              <w:rPr>
                <w:noProof/>
                <w:webHidden/>
              </w:rPr>
              <w:fldChar w:fldCharType="separate"/>
            </w:r>
            <w:r w:rsidR="0026579C">
              <w:rPr>
                <w:noProof/>
                <w:webHidden/>
              </w:rPr>
              <w:t>347</w:t>
            </w:r>
            <w:r w:rsidR="00777EE0">
              <w:rPr>
                <w:noProof/>
                <w:webHidden/>
              </w:rPr>
              <w:fldChar w:fldCharType="end"/>
            </w:r>
          </w:hyperlink>
        </w:p>
        <w:p w14:paraId="370B9609" w14:textId="57DF32CC"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57" w:history="1">
            <w:r w:rsidR="00777EE0" w:rsidRPr="00C53B84">
              <w:rPr>
                <w:rStyle w:val="Hyperlink"/>
                <w:noProof/>
              </w:rPr>
              <w:t>8.5</w:t>
            </w:r>
            <w:r w:rsidR="00777EE0">
              <w:rPr>
                <w:rFonts w:asciiTheme="minorHAnsi" w:eastAsiaTheme="minorEastAsia" w:hAnsiTheme="minorHAnsi" w:cstheme="minorBidi"/>
                <w:noProof/>
                <w:sz w:val="22"/>
                <w:lang w:eastAsia="en-GB"/>
              </w:rPr>
              <w:tab/>
            </w:r>
            <w:r w:rsidR="00777EE0" w:rsidRPr="00C53B84">
              <w:rPr>
                <w:rStyle w:val="Hyperlink"/>
                <w:noProof/>
              </w:rPr>
              <w:t>Intervention acceptability results</w:t>
            </w:r>
            <w:r w:rsidR="00777EE0">
              <w:rPr>
                <w:noProof/>
                <w:webHidden/>
              </w:rPr>
              <w:tab/>
            </w:r>
            <w:r w:rsidR="00777EE0">
              <w:rPr>
                <w:noProof/>
                <w:webHidden/>
              </w:rPr>
              <w:fldChar w:fldCharType="begin"/>
            </w:r>
            <w:r w:rsidR="00777EE0">
              <w:rPr>
                <w:noProof/>
                <w:webHidden/>
              </w:rPr>
              <w:instrText xml:space="preserve"> PAGEREF _Toc35892757 \h </w:instrText>
            </w:r>
            <w:r w:rsidR="00777EE0">
              <w:rPr>
                <w:noProof/>
                <w:webHidden/>
              </w:rPr>
            </w:r>
            <w:r w:rsidR="00777EE0">
              <w:rPr>
                <w:noProof/>
                <w:webHidden/>
              </w:rPr>
              <w:fldChar w:fldCharType="separate"/>
            </w:r>
            <w:r w:rsidR="0026579C">
              <w:rPr>
                <w:noProof/>
                <w:webHidden/>
              </w:rPr>
              <w:t>348</w:t>
            </w:r>
            <w:r w:rsidR="00777EE0">
              <w:rPr>
                <w:noProof/>
                <w:webHidden/>
              </w:rPr>
              <w:fldChar w:fldCharType="end"/>
            </w:r>
          </w:hyperlink>
        </w:p>
        <w:p w14:paraId="5287A7F7" w14:textId="7EED695C" w:rsidR="00777EE0" w:rsidRDefault="00251E9C">
          <w:pPr>
            <w:pStyle w:val="TOC3"/>
            <w:rPr>
              <w:rFonts w:asciiTheme="minorHAnsi" w:eastAsiaTheme="minorEastAsia" w:hAnsiTheme="minorHAnsi" w:cstheme="minorBidi"/>
              <w:noProof/>
              <w:sz w:val="22"/>
              <w:lang w:eastAsia="en-GB"/>
            </w:rPr>
          </w:pPr>
          <w:hyperlink w:anchor="_Toc35892758" w:history="1">
            <w:r w:rsidR="00777EE0" w:rsidRPr="00C53B84">
              <w:rPr>
                <w:rStyle w:val="Hyperlink"/>
                <w:b/>
                <w:noProof/>
              </w:rPr>
              <w:t>8.5.1</w:t>
            </w:r>
            <w:r w:rsidR="00777EE0">
              <w:rPr>
                <w:rFonts w:asciiTheme="minorHAnsi" w:eastAsiaTheme="minorEastAsia" w:hAnsiTheme="minorHAnsi" w:cstheme="minorBidi"/>
                <w:noProof/>
                <w:sz w:val="22"/>
                <w:lang w:eastAsia="en-GB"/>
              </w:rPr>
              <w:tab/>
            </w:r>
            <w:r w:rsidR="00777EE0" w:rsidRPr="00C53B84">
              <w:rPr>
                <w:rStyle w:val="Hyperlink"/>
                <w:b/>
                <w:noProof/>
              </w:rPr>
              <w:t>Intervention Content</w:t>
            </w:r>
            <w:r w:rsidR="00777EE0">
              <w:rPr>
                <w:noProof/>
                <w:webHidden/>
              </w:rPr>
              <w:tab/>
            </w:r>
            <w:r w:rsidR="00777EE0">
              <w:rPr>
                <w:noProof/>
                <w:webHidden/>
              </w:rPr>
              <w:fldChar w:fldCharType="begin"/>
            </w:r>
            <w:r w:rsidR="00777EE0">
              <w:rPr>
                <w:noProof/>
                <w:webHidden/>
              </w:rPr>
              <w:instrText xml:space="preserve"> PAGEREF _Toc35892758 \h </w:instrText>
            </w:r>
            <w:r w:rsidR="00777EE0">
              <w:rPr>
                <w:noProof/>
                <w:webHidden/>
              </w:rPr>
            </w:r>
            <w:r w:rsidR="00777EE0">
              <w:rPr>
                <w:noProof/>
                <w:webHidden/>
              </w:rPr>
              <w:fldChar w:fldCharType="separate"/>
            </w:r>
            <w:r w:rsidR="0026579C">
              <w:rPr>
                <w:noProof/>
                <w:webHidden/>
              </w:rPr>
              <w:t>348</w:t>
            </w:r>
            <w:r w:rsidR="00777EE0">
              <w:rPr>
                <w:noProof/>
                <w:webHidden/>
              </w:rPr>
              <w:fldChar w:fldCharType="end"/>
            </w:r>
          </w:hyperlink>
        </w:p>
        <w:p w14:paraId="3943A09F" w14:textId="355CEDF5" w:rsidR="00777EE0" w:rsidRDefault="00251E9C">
          <w:pPr>
            <w:pStyle w:val="TOC3"/>
            <w:rPr>
              <w:rFonts w:asciiTheme="minorHAnsi" w:eastAsiaTheme="minorEastAsia" w:hAnsiTheme="minorHAnsi" w:cstheme="minorBidi"/>
              <w:noProof/>
              <w:sz w:val="22"/>
              <w:lang w:eastAsia="en-GB"/>
            </w:rPr>
          </w:pPr>
          <w:hyperlink w:anchor="_Toc35892759" w:history="1">
            <w:r w:rsidR="00777EE0" w:rsidRPr="00C53B84">
              <w:rPr>
                <w:rStyle w:val="Hyperlink"/>
                <w:b/>
                <w:bCs/>
                <w:noProof/>
              </w:rPr>
              <w:t>8.5.2</w:t>
            </w:r>
            <w:r w:rsidR="00777EE0">
              <w:rPr>
                <w:rFonts w:asciiTheme="minorHAnsi" w:eastAsiaTheme="minorEastAsia" w:hAnsiTheme="minorHAnsi" w:cstheme="minorBidi"/>
                <w:noProof/>
                <w:sz w:val="22"/>
                <w:lang w:eastAsia="en-GB"/>
              </w:rPr>
              <w:tab/>
            </w:r>
            <w:r w:rsidR="00777EE0" w:rsidRPr="00C53B84">
              <w:rPr>
                <w:rStyle w:val="Hyperlink"/>
                <w:b/>
                <w:bCs/>
                <w:noProof/>
              </w:rPr>
              <w:t>Intervention Setting</w:t>
            </w:r>
            <w:r w:rsidR="00777EE0">
              <w:rPr>
                <w:noProof/>
                <w:webHidden/>
              </w:rPr>
              <w:tab/>
            </w:r>
            <w:r w:rsidR="00777EE0">
              <w:rPr>
                <w:noProof/>
                <w:webHidden/>
              </w:rPr>
              <w:fldChar w:fldCharType="begin"/>
            </w:r>
            <w:r w:rsidR="00777EE0">
              <w:rPr>
                <w:noProof/>
                <w:webHidden/>
              </w:rPr>
              <w:instrText xml:space="preserve"> PAGEREF _Toc35892759 \h </w:instrText>
            </w:r>
            <w:r w:rsidR="00777EE0">
              <w:rPr>
                <w:noProof/>
                <w:webHidden/>
              </w:rPr>
            </w:r>
            <w:r w:rsidR="00777EE0">
              <w:rPr>
                <w:noProof/>
                <w:webHidden/>
              </w:rPr>
              <w:fldChar w:fldCharType="separate"/>
            </w:r>
            <w:r w:rsidR="0026579C">
              <w:rPr>
                <w:noProof/>
                <w:webHidden/>
              </w:rPr>
              <w:t>350</w:t>
            </w:r>
            <w:r w:rsidR="00777EE0">
              <w:rPr>
                <w:noProof/>
                <w:webHidden/>
              </w:rPr>
              <w:fldChar w:fldCharType="end"/>
            </w:r>
          </w:hyperlink>
        </w:p>
        <w:p w14:paraId="7275D132" w14:textId="295B6DB7" w:rsidR="00777EE0" w:rsidRDefault="00251E9C">
          <w:pPr>
            <w:pStyle w:val="TOC3"/>
            <w:rPr>
              <w:rFonts w:asciiTheme="minorHAnsi" w:eastAsiaTheme="minorEastAsia" w:hAnsiTheme="minorHAnsi" w:cstheme="minorBidi"/>
              <w:noProof/>
              <w:sz w:val="22"/>
              <w:lang w:eastAsia="en-GB"/>
            </w:rPr>
          </w:pPr>
          <w:hyperlink w:anchor="_Toc35892760" w:history="1">
            <w:r w:rsidR="00777EE0" w:rsidRPr="00C53B84">
              <w:rPr>
                <w:rStyle w:val="Hyperlink"/>
                <w:b/>
                <w:noProof/>
              </w:rPr>
              <w:t>8.5.3</w:t>
            </w:r>
            <w:r w:rsidR="00777EE0">
              <w:rPr>
                <w:rFonts w:asciiTheme="minorHAnsi" w:eastAsiaTheme="minorEastAsia" w:hAnsiTheme="minorHAnsi" w:cstheme="minorBidi"/>
                <w:noProof/>
                <w:sz w:val="22"/>
                <w:lang w:eastAsia="en-GB"/>
              </w:rPr>
              <w:tab/>
            </w:r>
            <w:r w:rsidR="00777EE0" w:rsidRPr="00C53B84">
              <w:rPr>
                <w:rStyle w:val="Hyperlink"/>
                <w:b/>
                <w:noProof/>
              </w:rPr>
              <w:t>Intervention method</w:t>
            </w:r>
            <w:r w:rsidR="00777EE0">
              <w:rPr>
                <w:noProof/>
                <w:webHidden/>
              </w:rPr>
              <w:tab/>
            </w:r>
            <w:r w:rsidR="00777EE0">
              <w:rPr>
                <w:noProof/>
                <w:webHidden/>
              </w:rPr>
              <w:fldChar w:fldCharType="begin"/>
            </w:r>
            <w:r w:rsidR="00777EE0">
              <w:rPr>
                <w:noProof/>
                <w:webHidden/>
              </w:rPr>
              <w:instrText xml:space="preserve"> PAGEREF _Toc35892760 \h </w:instrText>
            </w:r>
            <w:r w:rsidR="00777EE0">
              <w:rPr>
                <w:noProof/>
                <w:webHidden/>
              </w:rPr>
            </w:r>
            <w:r w:rsidR="00777EE0">
              <w:rPr>
                <w:noProof/>
                <w:webHidden/>
              </w:rPr>
              <w:fldChar w:fldCharType="separate"/>
            </w:r>
            <w:r w:rsidR="0026579C">
              <w:rPr>
                <w:noProof/>
                <w:webHidden/>
              </w:rPr>
              <w:t>351</w:t>
            </w:r>
            <w:r w:rsidR="00777EE0">
              <w:rPr>
                <w:noProof/>
                <w:webHidden/>
              </w:rPr>
              <w:fldChar w:fldCharType="end"/>
            </w:r>
          </w:hyperlink>
        </w:p>
        <w:p w14:paraId="2CE75869" w14:textId="3AEAC64B" w:rsidR="00777EE0" w:rsidRDefault="00251E9C">
          <w:pPr>
            <w:pStyle w:val="TOC3"/>
            <w:rPr>
              <w:rFonts w:asciiTheme="minorHAnsi" w:eastAsiaTheme="minorEastAsia" w:hAnsiTheme="minorHAnsi" w:cstheme="minorBidi"/>
              <w:noProof/>
              <w:sz w:val="22"/>
              <w:lang w:eastAsia="en-GB"/>
            </w:rPr>
          </w:pPr>
          <w:hyperlink w:anchor="_Toc35892761" w:history="1">
            <w:r w:rsidR="00777EE0" w:rsidRPr="00C53B84">
              <w:rPr>
                <w:rStyle w:val="Hyperlink"/>
                <w:b/>
                <w:bCs/>
                <w:noProof/>
              </w:rPr>
              <w:t>8.5.4</w:t>
            </w:r>
            <w:r w:rsidR="00777EE0">
              <w:rPr>
                <w:rFonts w:asciiTheme="minorHAnsi" w:eastAsiaTheme="minorEastAsia" w:hAnsiTheme="minorHAnsi" w:cstheme="minorBidi"/>
                <w:noProof/>
                <w:sz w:val="22"/>
                <w:lang w:eastAsia="en-GB"/>
              </w:rPr>
              <w:tab/>
            </w:r>
            <w:r w:rsidR="00777EE0" w:rsidRPr="00C53B84">
              <w:rPr>
                <w:rStyle w:val="Hyperlink"/>
                <w:b/>
                <w:noProof/>
              </w:rPr>
              <w:t>Advised against</w:t>
            </w:r>
            <w:r w:rsidR="00777EE0">
              <w:rPr>
                <w:noProof/>
                <w:webHidden/>
              </w:rPr>
              <w:tab/>
            </w:r>
            <w:r w:rsidR="00777EE0">
              <w:rPr>
                <w:noProof/>
                <w:webHidden/>
              </w:rPr>
              <w:fldChar w:fldCharType="begin"/>
            </w:r>
            <w:r w:rsidR="00777EE0">
              <w:rPr>
                <w:noProof/>
                <w:webHidden/>
              </w:rPr>
              <w:instrText xml:space="preserve"> PAGEREF _Toc35892761 \h </w:instrText>
            </w:r>
            <w:r w:rsidR="00777EE0">
              <w:rPr>
                <w:noProof/>
                <w:webHidden/>
              </w:rPr>
            </w:r>
            <w:r w:rsidR="00777EE0">
              <w:rPr>
                <w:noProof/>
                <w:webHidden/>
              </w:rPr>
              <w:fldChar w:fldCharType="separate"/>
            </w:r>
            <w:r w:rsidR="0026579C">
              <w:rPr>
                <w:noProof/>
                <w:webHidden/>
              </w:rPr>
              <w:t>352</w:t>
            </w:r>
            <w:r w:rsidR="00777EE0">
              <w:rPr>
                <w:noProof/>
                <w:webHidden/>
              </w:rPr>
              <w:fldChar w:fldCharType="end"/>
            </w:r>
          </w:hyperlink>
        </w:p>
        <w:p w14:paraId="423787B1" w14:textId="572B29C0" w:rsidR="00777EE0" w:rsidRDefault="00251E9C">
          <w:pPr>
            <w:pStyle w:val="TOC3"/>
            <w:rPr>
              <w:rFonts w:asciiTheme="minorHAnsi" w:eastAsiaTheme="minorEastAsia" w:hAnsiTheme="minorHAnsi" w:cstheme="minorBidi"/>
              <w:noProof/>
              <w:sz w:val="22"/>
              <w:lang w:eastAsia="en-GB"/>
            </w:rPr>
          </w:pPr>
          <w:hyperlink w:anchor="_Toc35892762" w:history="1">
            <w:r w:rsidR="00777EE0" w:rsidRPr="00C53B84">
              <w:rPr>
                <w:rStyle w:val="Hyperlink"/>
                <w:b/>
                <w:bCs/>
                <w:noProof/>
              </w:rPr>
              <w:t>8.5.5</w:t>
            </w:r>
            <w:r w:rsidR="00777EE0">
              <w:rPr>
                <w:rFonts w:asciiTheme="minorHAnsi" w:eastAsiaTheme="minorEastAsia" w:hAnsiTheme="minorHAnsi" w:cstheme="minorBidi"/>
                <w:noProof/>
                <w:sz w:val="22"/>
                <w:lang w:eastAsia="en-GB"/>
              </w:rPr>
              <w:tab/>
            </w:r>
            <w:r w:rsidR="00777EE0" w:rsidRPr="00C53B84">
              <w:rPr>
                <w:rStyle w:val="Hyperlink"/>
                <w:b/>
                <w:bCs/>
                <w:noProof/>
              </w:rPr>
              <w:t>Principal findings</w:t>
            </w:r>
            <w:r w:rsidR="00777EE0">
              <w:rPr>
                <w:noProof/>
                <w:webHidden/>
              </w:rPr>
              <w:tab/>
            </w:r>
            <w:r w:rsidR="00777EE0">
              <w:rPr>
                <w:noProof/>
                <w:webHidden/>
              </w:rPr>
              <w:fldChar w:fldCharType="begin"/>
            </w:r>
            <w:r w:rsidR="00777EE0">
              <w:rPr>
                <w:noProof/>
                <w:webHidden/>
              </w:rPr>
              <w:instrText xml:space="preserve"> PAGEREF _Toc35892762 \h </w:instrText>
            </w:r>
            <w:r w:rsidR="00777EE0">
              <w:rPr>
                <w:noProof/>
                <w:webHidden/>
              </w:rPr>
            </w:r>
            <w:r w:rsidR="00777EE0">
              <w:rPr>
                <w:noProof/>
                <w:webHidden/>
              </w:rPr>
              <w:fldChar w:fldCharType="separate"/>
            </w:r>
            <w:r w:rsidR="0026579C">
              <w:rPr>
                <w:noProof/>
                <w:webHidden/>
              </w:rPr>
              <w:t>352</w:t>
            </w:r>
            <w:r w:rsidR="00777EE0">
              <w:rPr>
                <w:noProof/>
                <w:webHidden/>
              </w:rPr>
              <w:fldChar w:fldCharType="end"/>
            </w:r>
          </w:hyperlink>
        </w:p>
        <w:p w14:paraId="675D5914" w14:textId="0B7A6CBD"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63" w:history="1">
            <w:r w:rsidR="00777EE0" w:rsidRPr="00C53B84">
              <w:rPr>
                <w:rStyle w:val="Hyperlink"/>
                <w:b/>
                <w:bCs/>
                <w:noProof/>
              </w:rPr>
              <w:t>8.6</w:t>
            </w:r>
            <w:r w:rsidR="00777EE0">
              <w:rPr>
                <w:rFonts w:asciiTheme="minorHAnsi" w:eastAsiaTheme="minorEastAsia" w:hAnsiTheme="minorHAnsi" w:cstheme="minorBidi"/>
                <w:noProof/>
                <w:sz w:val="22"/>
                <w:lang w:eastAsia="en-GB"/>
              </w:rPr>
              <w:tab/>
            </w:r>
            <w:r w:rsidR="00777EE0" w:rsidRPr="00C53B84">
              <w:rPr>
                <w:rStyle w:val="Hyperlink"/>
                <w:b/>
                <w:bCs/>
                <w:noProof/>
              </w:rPr>
              <w:t>Discussion</w:t>
            </w:r>
            <w:r w:rsidR="00777EE0">
              <w:rPr>
                <w:noProof/>
                <w:webHidden/>
              </w:rPr>
              <w:tab/>
            </w:r>
            <w:r w:rsidR="00777EE0">
              <w:rPr>
                <w:noProof/>
                <w:webHidden/>
              </w:rPr>
              <w:fldChar w:fldCharType="begin"/>
            </w:r>
            <w:r w:rsidR="00777EE0">
              <w:rPr>
                <w:noProof/>
                <w:webHidden/>
              </w:rPr>
              <w:instrText xml:space="preserve"> PAGEREF _Toc35892763 \h </w:instrText>
            </w:r>
            <w:r w:rsidR="00777EE0">
              <w:rPr>
                <w:noProof/>
                <w:webHidden/>
              </w:rPr>
            </w:r>
            <w:r w:rsidR="00777EE0">
              <w:rPr>
                <w:noProof/>
                <w:webHidden/>
              </w:rPr>
              <w:fldChar w:fldCharType="separate"/>
            </w:r>
            <w:r w:rsidR="0026579C">
              <w:rPr>
                <w:noProof/>
                <w:webHidden/>
              </w:rPr>
              <w:t>354</w:t>
            </w:r>
            <w:r w:rsidR="00777EE0">
              <w:rPr>
                <w:noProof/>
                <w:webHidden/>
              </w:rPr>
              <w:fldChar w:fldCharType="end"/>
            </w:r>
          </w:hyperlink>
        </w:p>
        <w:p w14:paraId="032F54EC" w14:textId="098CC0D2" w:rsidR="00777EE0" w:rsidRDefault="00251E9C">
          <w:pPr>
            <w:pStyle w:val="TOC3"/>
            <w:rPr>
              <w:rFonts w:asciiTheme="minorHAnsi" w:eastAsiaTheme="minorEastAsia" w:hAnsiTheme="minorHAnsi" w:cstheme="minorBidi"/>
              <w:noProof/>
              <w:sz w:val="22"/>
              <w:lang w:eastAsia="en-GB"/>
            </w:rPr>
          </w:pPr>
          <w:hyperlink w:anchor="_Toc35892764" w:history="1">
            <w:r w:rsidR="00777EE0" w:rsidRPr="00C53B84">
              <w:rPr>
                <w:rStyle w:val="Hyperlink"/>
                <w:b/>
                <w:bCs/>
                <w:noProof/>
              </w:rPr>
              <w:t>8.6.1</w:t>
            </w:r>
            <w:r w:rsidR="00777EE0">
              <w:rPr>
                <w:rFonts w:asciiTheme="minorHAnsi" w:eastAsiaTheme="minorEastAsia" w:hAnsiTheme="minorHAnsi" w:cstheme="minorBidi"/>
                <w:noProof/>
                <w:sz w:val="22"/>
                <w:lang w:eastAsia="en-GB"/>
              </w:rPr>
              <w:tab/>
            </w:r>
            <w:r w:rsidR="00777EE0" w:rsidRPr="00C53B84">
              <w:rPr>
                <w:rStyle w:val="Hyperlink"/>
                <w:b/>
                <w:bCs/>
                <w:noProof/>
              </w:rPr>
              <w:t>Implications</w:t>
            </w:r>
            <w:r w:rsidR="00777EE0">
              <w:rPr>
                <w:noProof/>
                <w:webHidden/>
              </w:rPr>
              <w:tab/>
            </w:r>
            <w:r w:rsidR="00777EE0">
              <w:rPr>
                <w:noProof/>
                <w:webHidden/>
              </w:rPr>
              <w:fldChar w:fldCharType="begin"/>
            </w:r>
            <w:r w:rsidR="00777EE0">
              <w:rPr>
                <w:noProof/>
                <w:webHidden/>
              </w:rPr>
              <w:instrText xml:space="preserve"> PAGEREF _Toc35892764 \h </w:instrText>
            </w:r>
            <w:r w:rsidR="00777EE0">
              <w:rPr>
                <w:noProof/>
                <w:webHidden/>
              </w:rPr>
            </w:r>
            <w:r w:rsidR="00777EE0">
              <w:rPr>
                <w:noProof/>
                <w:webHidden/>
              </w:rPr>
              <w:fldChar w:fldCharType="separate"/>
            </w:r>
            <w:r w:rsidR="0026579C">
              <w:rPr>
                <w:noProof/>
                <w:webHidden/>
              </w:rPr>
              <w:t>359</w:t>
            </w:r>
            <w:r w:rsidR="00777EE0">
              <w:rPr>
                <w:noProof/>
                <w:webHidden/>
              </w:rPr>
              <w:fldChar w:fldCharType="end"/>
            </w:r>
          </w:hyperlink>
        </w:p>
        <w:p w14:paraId="49D9907D" w14:textId="32140D4A" w:rsidR="00777EE0" w:rsidRDefault="00251E9C">
          <w:pPr>
            <w:pStyle w:val="TOC3"/>
            <w:rPr>
              <w:rFonts w:asciiTheme="minorHAnsi" w:eastAsiaTheme="minorEastAsia" w:hAnsiTheme="minorHAnsi" w:cstheme="minorBidi"/>
              <w:noProof/>
              <w:sz w:val="22"/>
              <w:lang w:eastAsia="en-GB"/>
            </w:rPr>
          </w:pPr>
          <w:hyperlink w:anchor="_Toc35892765" w:history="1">
            <w:r w:rsidR="00777EE0" w:rsidRPr="00C53B84">
              <w:rPr>
                <w:rStyle w:val="Hyperlink"/>
                <w:b/>
                <w:bCs/>
                <w:noProof/>
              </w:rPr>
              <w:t>8.6.2</w:t>
            </w:r>
            <w:r w:rsidR="00777EE0">
              <w:rPr>
                <w:rFonts w:asciiTheme="minorHAnsi" w:eastAsiaTheme="minorEastAsia" w:hAnsiTheme="minorHAnsi" w:cstheme="minorBidi"/>
                <w:noProof/>
                <w:sz w:val="22"/>
                <w:lang w:eastAsia="en-GB"/>
              </w:rPr>
              <w:tab/>
            </w:r>
            <w:r w:rsidR="00777EE0" w:rsidRPr="00C53B84">
              <w:rPr>
                <w:rStyle w:val="Hyperlink"/>
                <w:b/>
                <w:bCs/>
                <w:noProof/>
              </w:rPr>
              <w:t>Strengths and limitations</w:t>
            </w:r>
            <w:r w:rsidR="00777EE0">
              <w:rPr>
                <w:noProof/>
                <w:webHidden/>
              </w:rPr>
              <w:tab/>
            </w:r>
            <w:r w:rsidR="00777EE0">
              <w:rPr>
                <w:noProof/>
                <w:webHidden/>
              </w:rPr>
              <w:fldChar w:fldCharType="begin"/>
            </w:r>
            <w:r w:rsidR="00777EE0">
              <w:rPr>
                <w:noProof/>
                <w:webHidden/>
              </w:rPr>
              <w:instrText xml:space="preserve"> PAGEREF _Toc35892765 \h </w:instrText>
            </w:r>
            <w:r w:rsidR="00777EE0">
              <w:rPr>
                <w:noProof/>
                <w:webHidden/>
              </w:rPr>
            </w:r>
            <w:r w:rsidR="00777EE0">
              <w:rPr>
                <w:noProof/>
                <w:webHidden/>
              </w:rPr>
              <w:fldChar w:fldCharType="separate"/>
            </w:r>
            <w:r w:rsidR="0026579C">
              <w:rPr>
                <w:noProof/>
                <w:webHidden/>
              </w:rPr>
              <w:t>359</w:t>
            </w:r>
            <w:r w:rsidR="00777EE0">
              <w:rPr>
                <w:noProof/>
                <w:webHidden/>
              </w:rPr>
              <w:fldChar w:fldCharType="end"/>
            </w:r>
          </w:hyperlink>
        </w:p>
        <w:p w14:paraId="3A88F271" w14:textId="51EBFA39"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66" w:history="1">
            <w:r w:rsidR="00777EE0" w:rsidRPr="00C53B84">
              <w:rPr>
                <w:rStyle w:val="Hyperlink"/>
                <w:b/>
                <w:bCs/>
                <w:noProof/>
              </w:rPr>
              <w:t>8.7</w:t>
            </w:r>
            <w:r w:rsidR="00777EE0">
              <w:rPr>
                <w:rFonts w:asciiTheme="minorHAnsi" w:eastAsiaTheme="minorEastAsia" w:hAnsiTheme="minorHAnsi" w:cstheme="minorBidi"/>
                <w:noProof/>
                <w:sz w:val="22"/>
                <w:lang w:eastAsia="en-GB"/>
              </w:rPr>
              <w:tab/>
            </w:r>
            <w:r w:rsidR="00777EE0" w:rsidRPr="00C53B84">
              <w:rPr>
                <w:rStyle w:val="Hyperlink"/>
                <w:b/>
                <w:bCs/>
                <w:noProof/>
              </w:rPr>
              <w:t>Conclusions</w:t>
            </w:r>
            <w:r w:rsidR="00777EE0">
              <w:rPr>
                <w:noProof/>
                <w:webHidden/>
              </w:rPr>
              <w:tab/>
            </w:r>
            <w:r w:rsidR="00777EE0">
              <w:rPr>
                <w:noProof/>
                <w:webHidden/>
              </w:rPr>
              <w:fldChar w:fldCharType="begin"/>
            </w:r>
            <w:r w:rsidR="00777EE0">
              <w:rPr>
                <w:noProof/>
                <w:webHidden/>
              </w:rPr>
              <w:instrText xml:space="preserve"> PAGEREF _Toc35892766 \h </w:instrText>
            </w:r>
            <w:r w:rsidR="00777EE0">
              <w:rPr>
                <w:noProof/>
                <w:webHidden/>
              </w:rPr>
            </w:r>
            <w:r w:rsidR="00777EE0">
              <w:rPr>
                <w:noProof/>
                <w:webHidden/>
              </w:rPr>
              <w:fldChar w:fldCharType="separate"/>
            </w:r>
            <w:r w:rsidR="0026579C">
              <w:rPr>
                <w:noProof/>
                <w:webHidden/>
              </w:rPr>
              <w:t>361</w:t>
            </w:r>
            <w:r w:rsidR="00777EE0">
              <w:rPr>
                <w:noProof/>
                <w:webHidden/>
              </w:rPr>
              <w:fldChar w:fldCharType="end"/>
            </w:r>
          </w:hyperlink>
        </w:p>
        <w:p w14:paraId="32C99A2A" w14:textId="31F103FE" w:rsidR="00777EE0" w:rsidRDefault="00251E9C">
          <w:pPr>
            <w:pStyle w:val="TOC1"/>
            <w:tabs>
              <w:tab w:val="left" w:pos="1320"/>
            </w:tabs>
            <w:rPr>
              <w:rFonts w:asciiTheme="minorHAnsi" w:eastAsiaTheme="minorEastAsia" w:hAnsiTheme="minorHAnsi" w:cstheme="minorBidi"/>
              <w:b w:val="0"/>
              <w:bCs w:val="0"/>
              <w:noProof/>
              <w:sz w:val="22"/>
              <w:szCs w:val="22"/>
              <w:lang w:eastAsia="en-GB"/>
            </w:rPr>
          </w:pPr>
          <w:hyperlink w:anchor="_Toc35892767" w:history="1">
            <w:r w:rsidR="00777EE0" w:rsidRPr="00C53B84">
              <w:rPr>
                <w:rStyle w:val="Hyperlink"/>
                <w:noProof/>
                <w14:scene3d>
                  <w14:camera w14:prst="orthographicFront"/>
                  <w14:lightRig w14:rig="threePt" w14:dir="t">
                    <w14:rot w14:lat="0" w14:lon="0" w14:rev="0"/>
                  </w14:lightRig>
                </w14:scene3d>
              </w:rPr>
              <w:t>Chapter 9</w:t>
            </w:r>
            <w:r w:rsidR="00777EE0">
              <w:rPr>
                <w:rFonts w:asciiTheme="minorHAnsi" w:eastAsiaTheme="minorEastAsia" w:hAnsiTheme="minorHAnsi" w:cstheme="minorBidi"/>
                <w:b w:val="0"/>
                <w:bCs w:val="0"/>
                <w:noProof/>
                <w:sz w:val="22"/>
                <w:szCs w:val="22"/>
                <w:lang w:eastAsia="en-GB"/>
              </w:rPr>
              <w:tab/>
            </w:r>
            <w:r w:rsidR="00777EE0" w:rsidRPr="00C53B84">
              <w:rPr>
                <w:rStyle w:val="Hyperlink"/>
                <w:noProof/>
              </w:rPr>
              <w:t>Discussion</w:t>
            </w:r>
            <w:r w:rsidR="00777EE0">
              <w:rPr>
                <w:noProof/>
                <w:webHidden/>
              </w:rPr>
              <w:tab/>
            </w:r>
            <w:r w:rsidR="00777EE0">
              <w:rPr>
                <w:noProof/>
                <w:webHidden/>
              </w:rPr>
              <w:fldChar w:fldCharType="begin"/>
            </w:r>
            <w:r w:rsidR="00777EE0">
              <w:rPr>
                <w:noProof/>
                <w:webHidden/>
              </w:rPr>
              <w:instrText xml:space="preserve"> PAGEREF _Toc35892767 \h </w:instrText>
            </w:r>
            <w:r w:rsidR="00777EE0">
              <w:rPr>
                <w:noProof/>
                <w:webHidden/>
              </w:rPr>
            </w:r>
            <w:r w:rsidR="00777EE0">
              <w:rPr>
                <w:noProof/>
                <w:webHidden/>
              </w:rPr>
              <w:fldChar w:fldCharType="separate"/>
            </w:r>
            <w:r w:rsidR="0026579C">
              <w:rPr>
                <w:noProof/>
                <w:webHidden/>
              </w:rPr>
              <w:t>363</w:t>
            </w:r>
            <w:r w:rsidR="00777EE0">
              <w:rPr>
                <w:noProof/>
                <w:webHidden/>
              </w:rPr>
              <w:fldChar w:fldCharType="end"/>
            </w:r>
          </w:hyperlink>
        </w:p>
        <w:p w14:paraId="7B2C112D" w14:textId="6D9C08C2"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68" w:history="1">
            <w:r w:rsidR="00777EE0" w:rsidRPr="00C53B84">
              <w:rPr>
                <w:rStyle w:val="Hyperlink"/>
                <w:noProof/>
              </w:rPr>
              <w:t>9.1</w:t>
            </w:r>
            <w:r w:rsidR="00777EE0">
              <w:rPr>
                <w:rFonts w:asciiTheme="minorHAnsi" w:eastAsiaTheme="minorEastAsia" w:hAnsiTheme="minorHAnsi" w:cstheme="minorBidi"/>
                <w:noProof/>
                <w:sz w:val="22"/>
                <w:lang w:eastAsia="en-GB"/>
              </w:rPr>
              <w:tab/>
            </w:r>
            <w:r w:rsidR="00777EE0" w:rsidRPr="00C53B84">
              <w:rPr>
                <w:rStyle w:val="Hyperlink"/>
                <w:noProof/>
              </w:rPr>
              <w:t>Introduction</w:t>
            </w:r>
            <w:r w:rsidR="00777EE0">
              <w:rPr>
                <w:noProof/>
                <w:webHidden/>
              </w:rPr>
              <w:tab/>
            </w:r>
            <w:r w:rsidR="00777EE0">
              <w:rPr>
                <w:noProof/>
                <w:webHidden/>
              </w:rPr>
              <w:fldChar w:fldCharType="begin"/>
            </w:r>
            <w:r w:rsidR="00777EE0">
              <w:rPr>
                <w:noProof/>
                <w:webHidden/>
              </w:rPr>
              <w:instrText xml:space="preserve"> PAGEREF _Toc35892768 \h </w:instrText>
            </w:r>
            <w:r w:rsidR="00777EE0">
              <w:rPr>
                <w:noProof/>
                <w:webHidden/>
              </w:rPr>
            </w:r>
            <w:r w:rsidR="00777EE0">
              <w:rPr>
                <w:noProof/>
                <w:webHidden/>
              </w:rPr>
              <w:fldChar w:fldCharType="separate"/>
            </w:r>
            <w:r w:rsidR="0026579C">
              <w:rPr>
                <w:noProof/>
                <w:webHidden/>
              </w:rPr>
              <w:t>363</w:t>
            </w:r>
            <w:r w:rsidR="00777EE0">
              <w:rPr>
                <w:noProof/>
                <w:webHidden/>
              </w:rPr>
              <w:fldChar w:fldCharType="end"/>
            </w:r>
          </w:hyperlink>
        </w:p>
        <w:p w14:paraId="649BD5F8" w14:textId="6D5E26C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69" w:history="1">
            <w:r w:rsidR="00777EE0" w:rsidRPr="00C53B84">
              <w:rPr>
                <w:rStyle w:val="Hyperlink"/>
                <w:noProof/>
              </w:rPr>
              <w:t>9.2</w:t>
            </w:r>
            <w:r w:rsidR="00777EE0">
              <w:rPr>
                <w:rFonts w:asciiTheme="minorHAnsi" w:eastAsiaTheme="minorEastAsia" w:hAnsiTheme="minorHAnsi" w:cstheme="minorBidi"/>
                <w:noProof/>
                <w:sz w:val="22"/>
                <w:lang w:eastAsia="en-GB"/>
              </w:rPr>
              <w:tab/>
            </w:r>
            <w:r w:rsidR="00777EE0" w:rsidRPr="00C53B84">
              <w:rPr>
                <w:rStyle w:val="Hyperlink"/>
                <w:noProof/>
              </w:rPr>
              <w:t>Principal findings</w:t>
            </w:r>
            <w:r w:rsidR="00777EE0">
              <w:rPr>
                <w:noProof/>
                <w:webHidden/>
              </w:rPr>
              <w:tab/>
            </w:r>
            <w:r w:rsidR="00777EE0">
              <w:rPr>
                <w:noProof/>
                <w:webHidden/>
              </w:rPr>
              <w:fldChar w:fldCharType="begin"/>
            </w:r>
            <w:r w:rsidR="00777EE0">
              <w:rPr>
                <w:noProof/>
                <w:webHidden/>
              </w:rPr>
              <w:instrText xml:space="preserve"> PAGEREF _Toc35892769 \h </w:instrText>
            </w:r>
            <w:r w:rsidR="00777EE0">
              <w:rPr>
                <w:noProof/>
                <w:webHidden/>
              </w:rPr>
            </w:r>
            <w:r w:rsidR="00777EE0">
              <w:rPr>
                <w:noProof/>
                <w:webHidden/>
              </w:rPr>
              <w:fldChar w:fldCharType="separate"/>
            </w:r>
            <w:r w:rsidR="0026579C">
              <w:rPr>
                <w:noProof/>
                <w:webHidden/>
              </w:rPr>
              <w:t>363</w:t>
            </w:r>
            <w:r w:rsidR="00777EE0">
              <w:rPr>
                <w:noProof/>
                <w:webHidden/>
              </w:rPr>
              <w:fldChar w:fldCharType="end"/>
            </w:r>
          </w:hyperlink>
        </w:p>
        <w:p w14:paraId="496C7737" w14:textId="37968FDE" w:rsidR="00777EE0" w:rsidRDefault="00251E9C">
          <w:pPr>
            <w:pStyle w:val="TOC3"/>
            <w:rPr>
              <w:rFonts w:asciiTheme="minorHAnsi" w:eastAsiaTheme="minorEastAsia" w:hAnsiTheme="minorHAnsi" w:cstheme="minorBidi"/>
              <w:noProof/>
              <w:sz w:val="22"/>
              <w:lang w:eastAsia="en-GB"/>
            </w:rPr>
          </w:pPr>
          <w:hyperlink w:anchor="_Toc35892770" w:history="1">
            <w:r w:rsidR="00777EE0" w:rsidRPr="00C53B84">
              <w:rPr>
                <w:rStyle w:val="Hyperlink"/>
                <w:noProof/>
              </w:rPr>
              <w:t>9.2.1</w:t>
            </w:r>
            <w:r w:rsidR="00777EE0">
              <w:rPr>
                <w:rFonts w:asciiTheme="minorHAnsi" w:eastAsiaTheme="minorEastAsia" w:hAnsiTheme="minorHAnsi" w:cstheme="minorBidi"/>
                <w:noProof/>
                <w:sz w:val="22"/>
                <w:lang w:eastAsia="en-GB"/>
              </w:rPr>
              <w:tab/>
            </w:r>
            <w:r w:rsidR="00777EE0" w:rsidRPr="00C53B84">
              <w:rPr>
                <w:rStyle w:val="Hyperlink"/>
                <w:noProof/>
              </w:rPr>
              <w:t>Why do young people use or not use NPS?</w:t>
            </w:r>
            <w:r w:rsidR="00777EE0">
              <w:rPr>
                <w:noProof/>
                <w:webHidden/>
              </w:rPr>
              <w:tab/>
            </w:r>
            <w:r w:rsidR="00777EE0">
              <w:rPr>
                <w:noProof/>
                <w:webHidden/>
              </w:rPr>
              <w:fldChar w:fldCharType="begin"/>
            </w:r>
            <w:r w:rsidR="00777EE0">
              <w:rPr>
                <w:noProof/>
                <w:webHidden/>
              </w:rPr>
              <w:instrText xml:space="preserve"> PAGEREF _Toc35892770 \h </w:instrText>
            </w:r>
            <w:r w:rsidR="00777EE0">
              <w:rPr>
                <w:noProof/>
                <w:webHidden/>
              </w:rPr>
            </w:r>
            <w:r w:rsidR="00777EE0">
              <w:rPr>
                <w:noProof/>
                <w:webHidden/>
              </w:rPr>
              <w:fldChar w:fldCharType="separate"/>
            </w:r>
            <w:r w:rsidR="0026579C">
              <w:rPr>
                <w:noProof/>
                <w:webHidden/>
              </w:rPr>
              <w:t>363</w:t>
            </w:r>
            <w:r w:rsidR="00777EE0">
              <w:rPr>
                <w:noProof/>
                <w:webHidden/>
              </w:rPr>
              <w:fldChar w:fldCharType="end"/>
            </w:r>
          </w:hyperlink>
        </w:p>
        <w:p w14:paraId="612656F0" w14:textId="4EDBF413" w:rsidR="00777EE0" w:rsidRDefault="00251E9C">
          <w:pPr>
            <w:pStyle w:val="TOC3"/>
            <w:rPr>
              <w:rFonts w:asciiTheme="minorHAnsi" w:eastAsiaTheme="minorEastAsia" w:hAnsiTheme="minorHAnsi" w:cstheme="minorBidi"/>
              <w:noProof/>
              <w:sz w:val="22"/>
              <w:lang w:eastAsia="en-GB"/>
            </w:rPr>
          </w:pPr>
          <w:hyperlink w:anchor="_Toc35892771" w:history="1">
            <w:r w:rsidR="00777EE0" w:rsidRPr="00C53B84">
              <w:rPr>
                <w:rStyle w:val="Hyperlink"/>
                <w:noProof/>
              </w:rPr>
              <w:t>9.2.2</w:t>
            </w:r>
            <w:r w:rsidR="00777EE0">
              <w:rPr>
                <w:rFonts w:asciiTheme="minorHAnsi" w:eastAsiaTheme="minorEastAsia" w:hAnsiTheme="minorHAnsi" w:cstheme="minorBidi"/>
                <w:noProof/>
                <w:sz w:val="22"/>
                <w:lang w:eastAsia="en-GB"/>
              </w:rPr>
              <w:tab/>
            </w:r>
            <w:r w:rsidR="00777EE0" w:rsidRPr="00C53B84">
              <w:rPr>
                <w:rStyle w:val="Hyperlink"/>
                <w:noProof/>
              </w:rPr>
              <w:t>How has implementation of the PS Act affected young people’s beliefs?</w:t>
            </w:r>
            <w:r w:rsidR="00777EE0">
              <w:rPr>
                <w:noProof/>
                <w:webHidden/>
              </w:rPr>
              <w:tab/>
            </w:r>
            <w:r w:rsidR="00777EE0">
              <w:rPr>
                <w:noProof/>
                <w:webHidden/>
              </w:rPr>
              <w:fldChar w:fldCharType="begin"/>
            </w:r>
            <w:r w:rsidR="00777EE0">
              <w:rPr>
                <w:noProof/>
                <w:webHidden/>
              </w:rPr>
              <w:instrText xml:space="preserve"> PAGEREF _Toc35892771 \h </w:instrText>
            </w:r>
            <w:r w:rsidR="00777EE0">
              <w:rPr>
                <w:noProof/>
                <w:webHidden/>
              </w:rPr>
            </w:r>
            <w:r w:rsidR="00777EE0">
              <w:rPr>
                <w:noProof/>
                <w:webHidden/>
              </w:rPr>
              <w:fldChar w:fldCharType="separate"/>
            </w:r>
            <w:r w:rsidR="0026579C">
              <w:rPr>
                <w:noProof/>
                <w:webHidden/>
              </w:rPr>
              <w:t>364</w:t>
            </w:r>
            <w:r w:rsidR="00777EE0">
              <w:rPr>
                <w:noProof/>
                <w:webHidden/>
              </w:rPr>
              <w:fldChar w:fldCharType="end"/>
            </w:r>
          </w:hyperlink>
        </w:p>
        <w:p w14:paraId="16E22CDA" w14:textId="2175424A" w:rsidR="00777EE0" w:rsidRDefault="00251E9C">
          <w:pPr>
            <w:pStyle w:val="TOC3"/>
            <w:rPr>
              <w:rFonts w:asciiTheme="minorHAnsi" w:eastAsiaTheme="minorEastAsia" w:hAnsiTheme="minorHAnsi" w:cstheme="minorBidi"/>
              <w:noProof/>
              <w:sz w:val="22"/>
              <w:lang w:eastAsia="en-GB"/>
            </w:rPr>
          </w:pPr>
          <w:hyperlink w:anchor="_Toc35892772" w:history="1">
            <w:r w:rsidR="00777EE0" w:rsidRPr="00C53B84">
              <w:rPr>
                <w:rStyle w:val="Hyperlink"/>
                <w:noProof/>
              </w:rPr>
              <w:t>9.2.3</w:t>
            </w:r>
            <w:r w:rsidR="00777EE0">
              <w:rPr>
                <w:rFonts w:asciiTheme="minorHAnsi" w:eastAsiaTheme="minorEastAsia" w:hAnsiTheme="minorHAnsi" w:cstheme="minorBidi"/>
                <w:noProof/>
                <w:sz w:val="22"/>
                <w:lang w:eastAsia="en-GB"/>
              </w:rPr>
              <w:tab/>
            </w:r>
            <w:r w:rsidR="00777EE0" w:rsidRPr="00C53B84">
              <w:rPr>
                <w:rStyle w:val="Hyperlink"/>
                <w:noProof/>
              </w:rPr>
              <w:t>What approach to NPS intervention do young people think is acceptable?</w:t>
            </w:r>
            <w:r w:rsidR="00777EE0">
              <w:rPr>
                <w:noProof/>
                <w:webHidden/>
              </w:rPr>
              <w:tab/>
            </w:r>
            <w:r w:rsidR="00777EE0">
              <w:rPr>
                <w:noProof/>
                <w:webHidden/>
              </w:rPr>
              <w:fldChar w:fldCharType="begin"/>
            </w:r>
            <w:r w:rsidR="00777EE0">
              <w:rPr>
                <w:noProof/>
                <w:webHidden/>
              </w:rPr>
              <w:instrText xml:space="preserve"> PAGEREF _Toc35892772 \h </w:instrText>
            </w:r>
            <w:r w:rsidR="00777EE0">
              <w:rPr>
                <w:noProof/>
                <w:webHidden/>
              </w:rPr>
            </w:r>
            <w:r w:rsidR="00777EE0">
              <w:rPr>
                <w:noProof/>
                <w:webHidden/>
              </w:rPr>
              <w:fldChar w:fldCharType="separate"/>
            </w:r>
            <w:r w:rsidR="0026579C">
              <w:rPr>
                <w:noProof/>
                <w:webHidden/>
              </w:rPr>
              <w:t>365</w:t>
            </w:r>
            <w:r w:rsidR="00777EE0">
              <w:rPr>
                <w:noProof/>
                <w:webHidden/>
              </w:rPr>
              <w:fldChar w:fldCharType="end"/>
            </w:r>
          </w:hyperlink>
        </w:p>
        <w:p w14:paraId="7DDF5DBD" w14:textId="10016989" w:rsidR="00777EE0" w:rsidRDefault="00251E9C">
          <w:pPr>
            <w:pStyle w:val="TOC3"/>
            <w:rPr>
              <w:rFonts w:asciiTheme="minorHAnsi" w:eastAsiaTheme="minorEastAsia" w:hAnsiTheme="minorHAnsi" w:cstheme="minorBidi"/>
              <w:noProof/>
              <w:sz w:val="22"/>
              <w:lang w:eastAsia="en-GB"/>
            </w:rPr>
          </w:pPr>
          <w:hyperlink w:anchor="_Toc35892773" w:history="1">
            <w:r w:rsidR="00777EE0" w:rsidRPr="00C53B84">
              <w:rPr>
                <w:rStyle w:val="Hyperlink"/>
                <w:noProof/>
              </w:rPr>
              <w:t>9.2.4</w:t>
            </w:r>
            <w:r w:rsidR="00777EE0">
              <w:rPr>
                <w:rFonts w:asciiTheme="minorHAnsi" w:eastAsiaTheme="minorEastAsia" w:hAnsiTheme="minorHAnsi" w:cstheme="minorBidi"/>
                <w:noProof/>
                <w:sz w:val="22"/>
                <w:lang w:eastAsia="en-GB"/>
              </w:rPr>
              <w:tab/>
            </w:r>
            <w:r w:rsidR="00777EE0" w:rsidRPr="00C53B84">
              <w:rPr>
                <w:rStyle w:val="Hyperlink"/>
                <w:noProof/>
              </w:rPr>
              <w:t>Which theoretical frameworks are appropriate for use with NPS interventions?</w:t>
            </w:r>
            <w:r w:rsidR="00777EE0">
              <w:rPr>
                <w:noProof/>
                <w:webHidden/>
              </w:rPr>
              <w:tab/>
            </w:r>
            <w:r w:rsidR="00777EE0">
              <w:rPr>
                <w:noProof/>
                <w:webHidden/>
              </w:rPr>
              <w:fldChar w:fldCharType="begin"/>
            </w:r>
            <w:r w:rsidR="00777EE0">
              <w:rPr>
                <w:noProof/>
                <w:webHidden/>
              </w:rPr>
              <w:instrText xml:space="preserve"> PAGEREF _Toc35892773 \h </w:instrText>
            </w:r>
            <w:r w:rsidR="00777EE0">
              <w:rPr>
                <w:noProof/>
                <w:webHidden/>
              </w:rPr>
            </w:r>
            <w:r w:rsidR="00777EE0">
              <w:rPr>
                <w:noProof/>
                <w:webHidden/>
              </w:rPr>
              <w:fldChar w:fldCharType="separate"/>
            </w:r>
            <w:r w:rsidR="0026579C">
              <w:rPr>
                <w:noProof/>
                <w:webHidden/>
              </w:rPr>
              <w:t>366</w:t>
            </w:r>
            <w:r w:rsidR="00777EE0">
              <w:rPr>
                <w:noProof/>
                <w:webHidden/>
              </w:rPr>
              <w:fldChar w:fldCharType="end"/>
            </w:r>
          </w:hyperlink>
        </w:p>
        <w:p w14:paraId="7D1C24DA" w14:textId="59AA6A1D"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74" w:history="1">
            <w:r w:rsidR="00777EE0" w:rsidRPr="00C53B84">
              <w:rPr>
                <w:rStyle w:val="Hyperlink"/>
                <w:noProof/>
              </w:rPr>
              <w:t>9.3</w:t>
            </w:r>
            <w:r w:rsidR="00777EE0">
              <w:rPr>
                <w:rFonts w:asciiTheme="minorHAnsi" w:eastAsiaTheme="minorEastAsia" w:hAnsiTheme="minorHAnsi" w:cstheme="minorBidi"/>
                <w:noProof/>
                <w:sz w:val="22"/>
                <w:lang w:eastAsia="en-GB"/>
              </w:rPr>
              <w:tab/>
            </w:r>
            <w:r w:rsidR="00777EE0" w:rsidRPr="00C53B84">
              <w:rPr>
                <w:rStyle w:val="Hyperlink"/>
                <w:noProof/>
              </w:rPr>
              <w:t>Intervening with young people’s NPS behaviour</w:t>
            </w:r>
            <w:r w:rsidR="00777EE0">
              <w:rPr>
                <w:noProof/>
                <w:webHidden/>
              </w:rPr>
              <w:tab/>
            </w:r>
            <w:r w:rsidR="00777EE0">
              <w:rPr>
                <w:noProof/>
                <w:webHidden/>
              </w:rPr>
              <w:fldChar w:fldCharType="begin"/>
            </w:r>
            <w:r w:rsidR="00777EE0">
              <w:rPr>
                <w:noProof/>
                <w:webHidden/>
              </w:rPr>
              <w:instrText xml:space="preserve"> PAGEREF _Toc35892774 \h </w:instrText>
            </w:r>
            <w:r w:rsidR="00777EE0">
              <w:rPr>
                <w:noProof/>
                <w:webHidden/>
              </w:rPr>
            </w:r>
            <w:r w:rsidR="00777EE0">
              <w:rPr>
                <w:noProof/>
                <w:webHidden/>
              </w:rPr>
              <w:fldChar w:fldCharType="separate"/>
            </w:r>
            <w:r w:rsidR="0026579C">
              <w:rPr>
                <w:noProof/>
                <w:webHidden/>
              </w:rPr>
              <w:t>366</w:t>
            </w:r>
            <w:r w:rsidR="00777EE0">
              <w:rPr>
                <w:noProof/>
                <w:webHidden/>
              </w:rPr>
              <w:fldChar w:fldCharType="end"/>
            </w:r>
          </w:hyperlink>
        </w:p>
        <w:p w14:paraId="3BBEAF83" w14:textId="4EC68B27" w:rsidR="00777EE0" w:rsidRDefault="00251E9C">
          <w:pPr>
            <w:pStyle w:val="TOC3"/>
            <w:rPr>
              <w:rFonts w:asciiTheme="minorHAnsi" w:eastAsiaTheme="minorEastAsia" w:hAnsiTheme="minorHAnsi" w:cstheme="minorBidi"/>
              <w:noProof/>
              <w:sz w:val="22"/>
              <w:lang w:eastAsia="en-GB"/>
            </w:rPr>
          </w:pPr>
          <w:hyperlink w:anchor="_Toc35892775" w:history="1">
            <w:r w:rsidR="00777EE0" w:rsidRPr="00C53B84">
              <w:rPr>
                <w:rStyle w:val="Hyperlink"/>
                <w:noProof/>
              </w:rPr>
              <w:t>9.3.1</w:t>
            </w:r>
            <w:r w:rsidR="00777EE0">
              <w:rPr>
                <w:rFonts w:asciiTheme="minorHAnsi" w:eastAsiaTheme="minorEastAsia" w:hAnsiTheme="minorHAnsi" w:cstheme="minorBidi"/>
                <w:noProof/>
                <w:sz w:val="22"/>
                <w:lang w:eastAsia="en-GB"/>
              </w:rPr>
              <w:tab/>
            </w:r>
            <w:r w:rsidR="00777EE0" w:rsidRPr="00C53B84">
              <w:rPr>
                <w:rStyle w:val="Hyperlink"/>
                <w:noProof/>
              </w:rPr>
              <w:t>Issues of relevance to young people</w:t>
            </w:r>
            <w:r w:rsidR="00777EE0">
              <w:rPr>
                <w:noProof/>
                <w:webHidden/>
              </w:rPr>
              <w:tab/>
            </w:r>
            <w:r w:rsidR="00777EE0">
              <w:rPr>
                <w:noProof/>
                <w:webHidden/>
              </w:rPr>
              <w:fldChar w:fldCharType="begin"/>
            </w:r>
            <w:r w:rsidR="00777EE0">
              <w:rPr>
                <w:noProof/>
                <w:webHidden/>
              </w:rPr>
              <w:instrText xml:space="preserve"> PAGEREF _Toc35892775 \h </w:instrText>
            </w:r>
            <w:r w:rsidR="00777EE0">
              <w:rPr>
                <w:noProof/>
                <w:webHidden/>
              </w:rPr>
            </w:r>
            <w:r w:rsidR="00777EE0">
              <w:rPr>
                <w:noProof/>
                <w:webHidden/>
              </w:rPr>
              <w:fldChar w:fldCharType="separate"/>
            </w:r>
            <w:r w:rsidR="0026579C">
              <w:rPr>
                <w:noProof/>
                <w:webHidden/>
              </w:rPr>
              <w:t>366</w:t>
            </w:r>
            <w:r w:rsidR="00777EE0">
              <w:rPr>
                <w:noProof/>
                <w:webHidden/>
              </w:rPr>
              <w:fldChar w:fldCharType="end"/>
            </w:r>
          </w:hyperlink>
        </w:p>
        <w:p w14:paraId="1D601939" w14:textId="5C699884" w:rsidR="00777EE0" w:rsidRDefault="00251E9C">
          <w:pPr>
            <w:pStyle w:val="TOC3"/>
            <w:rPr>
              <w:rFonts w:asciiTheme="minorHAnsi" w:eastAsiaTheme="minorEastAsia" w:hAnsiTheme="minorHAnsi" w:cstheme="minorBidi"/>
              <w:noProof/>
              <w:sz w:val="22"/>
              <w:lang w:eastAsia="en-GB"/>
            </w:rPr>
          </w:pPr>
          <w:hyperlink w:anchor="_Toc35892776" w:history="1">
            <w:r w:rsidR="00777EE0" w:rsidRPr="00C53B84">
              <w:rPr>
                <w:rStyle w:val="Hyperlink"/>
                <w:noProof/>
              </w:rPr>
              <w:t>9.3.2</w:t>
            </w:r>
            <w:r w:rsidR="00777EE0">
              <w:rPr>
                <w:rFonts w:asciiTheme="minorHAnsi" w:eastAsiaTheme="minorEastAsia" w:hAnsiTheme="minorHAnsi" w:cstheme="minorBidi"/>
                <w:noProof/>
                <w:sz w:val="22"/>
                <w:lang w:eastAsia="en-GB"/>
              </w:rPr>
              <w:tab/>
            </w:r>
            <w:r w:rsidR="00777EE0" w:rsidRPr="00C53B84">
              <w:rPr>
                <w:rStyle w:val="Hyperlink"/>
                <w:noProof/>
              </w:rPr>
              <w:t>Viewing NPS use as the outcome of the self-regulatory motivational system</w:t>
            </w:r>
            <w:r w:rsidR="00777EE0">
              <w:rPr>
                <w:noProof/>
                <w:webHidden/>
              </w:rPr>
              <w:tab/>
            </w:r>
            <w:r w:rsidR="00777EE0">
              <w:rPr>
                <w:noProof/>
                <w:webHidden/>
              </w:rPr>
              <w:fldChar w:fldCharType="begin"/>
            </w:r>
            <w:r w:rsidR="00777EE0">
              <w:rPr>
                <w:noProof/>
                <w:webHidden/>
              </w:rPr>
              <w:instrText xml:space="preserve"> PAGEREF _Toc35892776 \h </w:instrText>
            </w:r>
            <w:r w:rsidR="00777EE0">
              <w:rPr>
                <w:noProof/>
                <w:webHidden/>
              </w:rPr>
            </w:r>
            <w:r w:rsidR="00777EE0">
              <w:rPr>
                <w:noProof/>
                <w:webHidden/>
              </w:rPr>
              <w:fldChar w:fldCharType="separate"/>
            </w:r>
            <w:r w:rsidR="0026579C">
              <w:rPr>
                <w:noProof/>
                <w:webHidden/>
              </w:rPr>
              <w:t>384</w:t>
            </w:r>
            <w:r w:rsidR="00777EE0">
              <w:rPr>
                <w:noProof/>
                <w:webHidden/>
              </w:rPr>
              <w:fldChar w:fldCharType="end"/>
            </w:r>
          </w:hyperlink>
        </w:p>
        <w:p w14:paraId="0AB45103" w14:textId="3BCC7E3E" w:rsidR="00777EE0" w:rsidRDefault="00251E9C">
          <w:pPr>
            <w:pStyle w:val="TOC3"/>
            <w:rPr>
              <w:rFonts w:asciiTheme="minorHAnsi" w:eastAsiaTheme="minorEastAsia" w:hAnsiTheme="minorHAnsi" w:cstheme="minorBidi"/>
              <w:noProof/>
              <w:sz w:val="22"/>
              <w:lang w:eastAsia="en-GB"/>
            </w:rPr>
          </w:pPr>
          <w:hyperlink w:anchor="_Toc35892777" w:history="1">
            <w:r w:rsidR="00777EE0" w:rsidRPr="00C53B84">
              <w:rPr>
                <w:rStyle w:val="Hyperlink"/>
                <w:noProof/>
              </w:rPr>
              <w:t>9.3.3</w:t>
            </w:r>
            <w:r w:rsidR="00777EE0">
              <w:rPr>
                <w:rFonts w:asciiTheme="minorHAnsi" w:eastAsiaTheme="minorEastAsia" w:hAnsiTheme="minorHAnsi" w:cstheme="minorBidi"/>
                <w:noProof/>
                <w:sz w:val="22"/>
                <w:lang w:eastAsia="en-GB"/>
              </w:rPr>
              <w:tab/>
            </w:r>
            <w:r w:rsidR="00777EE0" w:rsidRPr="00C53B84">
              <w:rPr>
                <w:rStyle w:val="Hyperlink"/>
                <w:noProof/>
              </w:rPr>
              <w:t>Potential intervention targets and method</w:t>
            </w:r>
            <w:r w:rsidR="00777EE0">
              <w:rPr>
                <w:noProof/>
                <w:webHidden/>
              </w:rPr>
              <w:tab/>
            </w:r>
            <w:r w:rsidR="00777EE0">
              <w:rPr>
                <w:noProof/>
                <w:webHidden/>
              </w:rPr>
              <w:fldChar w:fldCharType="begin"/>
            </w:r>
            <w:r w:rsidR="00777EE0">
              <w:rPr>
                <w:noProof/>
                <w:webHidden/>
              </w:rPr>
              <w:instrText xml:space="preserve"> PAGEREF _Toc35892777 \h </w:instrText>
            </w:r>
            <w:r w:rsidR="00777EE0">
              <w:rPr>
                <w:noProof/>
                <w:webHidden/>
              </w:rPr>
            </w:r>
            <w:r w:rsidR="00777EE0">
              <w:rPr>
                <w:noProof/>
                <w:webHidden/>
              </w:rPr>
              <w:fldChar w:fldCharType="separate"/>
            </w:r>
            <w:r w:rsidR="0026579C">
              <w:rPr>
                <w:noProof/>
                <w:webHidden/>
              </w:rPr>
              <w:t>386</w:t>
            </w:r>
            <w:r w:rsidR="00777EE0">
              <w:rPr>
                <w:noProof/>
                <w:webHidden/>
              </w:rPr>
              <w:fldChar w:fldCharType="end"/>
            </w:r>
          </w:hyperlink>
        </w:p>
        <w:p w14:paraId="4294A77F" w14:textId="2B65F433" w:rsidR="00777EE0" w:rsidRDefault="00251E9C">
          <w:pPr>
            <w:pStyle w:val="TOC3"/>
            <w:rPr>
              <w:rFonts w:asciiTheme="minorHAnsi" w:eastAsiaTheme="minorEastAsia" w:hAnsiTheme="minorHAnsi" w:cstheme="minorBidi"/>
              <w:noProof/>
              <w:sz w:val="22"/>
              <w:lang w:eastAsia="en-GB"/>
            </w:rPr>
          </w:pPr>
          <w:hyperlink w:anchor="_Toc35892778" w:history="1">
            <w:r w:rsidR="00777EE0" w:rsidRPr="00C53B84">
              <w:rPr>
                <w:rStyle w:val="Hyperlink"/>
                <w:noProof/>
              </w:rPr>
              <w:t>9.3.4</w:t>
            </w:r>
            <w:r w:rsidR="00777EE0">
              <w:rPr>
                <w:rFonts w:asciiTheme="minorHAnsi" w:eastAsiaTheme="minorEastAsia" w:hAnsiTheme="minorHAnsi" w:cstheme="minorBidi"/>
                <w:noProof/>
                <w:sz w:val="22"/>
                <w:lang w:eastAsia="en-GB"/>
              </w:rPr>
              <w:tab/>
            </w:r>
            <w:r w:rsidR="00777EE0" w:rsidRPr="00C53B84">
              <w:rPr>
                <w:rStyle w:val="Hyperlink"/>
                <w:noProof/>
              </w:rPr>
              <w:t>Theories of young people’s NPS behaviour</w:t>
            </w:r>
            <w:r w:rsidR="00777EE0">
              <w:rPr>
                <w:noProof/>
                <w:webHidden/>
              </w:rPr>
              <w:tab/>
            </w:r>
            <w:r w:rsidR="00777EE0">
              <w:rPr>
                <w:noProof/>
                <w:webHidden/>
              </w:rPr>
              <w:fldChar w:fldCharType="begin"/>
            </w:r>
            <w:r w:rsidR="00777EE0">
              <w:rPr>
                <w:noProof/>
                <w:webHidden/>
              </w:rPr>
              <w:instrText xml:space="preserve"> PAGEREF _Toc35892778 \h </w:instrText>
            </w:r>
            <w:r w:rsidR="00777EE0">
              <w:rPr>
                <w:noProof/>
                <w:webHidden/>
              </w:rPr>
            </w:r>
            <w:r w:rsidR="00777EE0">
              <w:rPr>
                <w:noProof/>
                <w:webHidden/>
              </w:rPr>
              <w:fldChar w:fldCharType="separate"/>
            </w:r>
            <w:r w:rsidR="0026579C">
              <w:rPr>
                <w:noProof/>
                <w:webHidden/>
              </w:rPr>
              <w:t>389</w:t>
            </w:r>
            <w:r w:rsidR="00777EE0">
              <w:rPr>
                <w:noProof/>
                <w:webHidden/>
              </w:rPr>
              <w:fldChar w:fldCharType="end"/>
            </w:r>
          </w:hyperlink>
        </w:p>
        <w:p w14:paraId="5BEA90F2" w14:textId="5C7D6F57" w:rsidR="00777EE0" w:rsidRDefault="00251E9C">
          <w:pPr>
            <w:pStyle w:val="TOC3"/>
            <w:rPr>
              <w:rFonts w:asciiTheme="minorHAnsi" w:eastAsiaTheme="minorEastAsia" w:hAnsiTheme="minorHAnsi" w:cstheme="minorBidi"/>
              <w:noProof/>
              <w:sz w:val="22"/>
              <w:lang w:eastAsia="en-GB"/>
            </w:rPr>
          </w:pPr>
          <w:hyperlink w:anchor="_Toc35892779" w:history="1">
            <w:r w:rsidR="00777EE0" w:rsidRPr="00C53B84">
              <w:rPr>
                <w:rStyle w:val="Hyperlink"/>
                <w:noProof/>
              </w:rPr>
              <w:t>9.3.5</w:t>
            </w:r>
            <w:r w:rsidR="00777EE0">
              <w:rPr>
                <w:rFonts w:asciiTheme="minorHAnsi" w:eastAsiaTheme="minorEastAsia" w:hAnsiTheme="minorHAnsi" w:cstheme="minorBidi"/>
                <w:noProof/>
                <w:sz w:val="22"/>
                <w:lang w:eastAsia="en-GB"/>
              </w:rPr>
              <w:tab/>
            </w:r>
            <w:r w:rsidR="00777EE0" w:rsidRPr="00C53B84">
              <w:rPr>
                <w:rStyle w:val="Hyperlink"/>
                <w:noProof/>
              </w:rPr>
              <w:t>Implications for model development</w:t>
            </w:r>
            <w:r w:rsidR="00777EE0">
              <w:rPr>
                <w:noProof/>
                <w:webHidden/>
              </w:rPr>
              <w:tab/>
            </w:r>
            <w:r w:rsidR="00777EE0">
              <w:rPr>
                <w:noProof/>
                <w:webHidden/>
              </w:rPr>
              <w:fldChar w:fldCharType="begin"/>
            </w:r>
            <w:r w:rsidR="00777EE0">
              <w:rPr>
                <w:noProof/>
                <w:webHidden/>
              </w:rPr>
              <w:instrText xml:space="preserve"> PAGEREF _Toc35892779 \h </w:instrText>
            </w:r>
            <w:r w:rsidR="00777EE0">
              <w:rPr>
                <w:noProof/>
                <w:webHidden/>
              </w:rPr>
            </w:r>
            <w:r w:rsidR="00777EE0">
              <w:rPr>
                <w:noProof/>
                <w:webHidden/>
              </w:rPr>
              <w:fldChar w:fldCharType="separate"/>
            </w:r>
            <w:r w:rsidR="0026579C">
              <w:rPr>
                <w:noProof/>
                <w:webHidden/>
              </w:rPr>
              <w:t>392</w:t>
            </w:r>
            <w:r w:rsidR="00777EE0">
              <w:rPr>
                <w:noProof/>
                <w:webHidden/>
              </w:rPr>
              <w:fldChar w:fldCharType="end"/>
            </w:r>
          </w:hyperlink>
        </w:p>
        <w:p w14:paraId="50C77DA3" w14:textId="5A411B86" w:rsidR="00777EE0" w:rsidRDefault="00251E9C">
          <w:pPr>
            <w:pStyle w:val="TOC3"/>
            <w:rPr>
              <w:rFonts w:asciiTheme="minorHAnsi" w:eastAsiaTheme="minorEastAsia" w:hAnsiTheme="minorHAnsi" w:cstheme="minorBidi"/>
              <w:noProof/>
              <w:sz w:val="22"/>
              <w:lang w:eastAsia="en-GB"/>
            </w:rPr>
          </w:pPr>
          <w:hyperlink w:anchor="_Toc35892780" w:history="1">
            <w:r w:rsidR="00777EE0" w:rsidRPr="00C53B84">
              <w:rPr>
                <w:rStyle w:val="Hyperlink"/>
                <w:noProof/>
              </w:rPr>
              <w:t>9.3.6</w:t>
            </w:r>
            <w:r w:rsidR="00777EE0">
              <w:rPr>
                <w:rFonts w:asciiTheme="minorHAnsi" w:eastAsiaTheme="minorEastAsia" w:hAnsiTheme="minorHAnsi" w:cstheme="minorBidi"/>
                <w:noProof/>
                <w:sz w:val="22"/>
                <w:lang w:eastAsia="en-GB"/>
              </w:rPr>
              <w:tab/>
            </w:r>
            <w:r w:rsidR="00777EE0" w:rsidRPr="00C53B84">
              <w:rPr>
                <w:rStyle w:val="Hyperlink"/>
                <w:noProof/>
              </w:rPr>
              <w:t>Salient beliefs</w:t>
            </w:r>
            <w:r w:rsidR="00777EE0">
              <w:rPr>
                <w:noProof/>
                <w:webHidden/>
              </w:rPr>
              <w:tab/>
            </w:r>
            <w:r w:rsidR="00777EE0">
              <w:rPr>
                <w:noProof/>
                <w:webHidden/>
              </w:rPr>
              <w:fldChar w:fldCharType="begin"/>
            </w:r>
            <w:r w:rsidR="00777EE0">
              <w:rPr>
                <w:noProof/>
                <w:webHidden/>
              </w:rPr>
              <w:instrText xml:space="preserve"> PAGEREF _Toc35892780 \h </w:instrText>
            </w:r>
            <w:r w:rsidR="00777EE0">
              <w:rPr>
                <w:noProof/>
                <w:webHidden/>
              </w:rPr>
            </w:r>
            <w:r w:rsidR="00777EE0">
              <w:rPr>
                <w:noProof/>
                <w:webHidden/>
              </w:rPr>
              <w:fldChar w:fldCharType="separate"/>
            </w:r>
            <w:r w:rsidR="0026579C">
              <w:rPr>
                <w:noProof/>
                <w:webHidden/>
              </w:rPr>
              <w:t>398</w:t>
            </w:r>
            <w:r w:rsidR="00777EE0">
              <w:rPr>
                <w:noProof/>
                <w:webHidden/>
              </w:rPr>
              <w:fldChar w:fldCharType="end"/>
            </w:r>
          </w:hyperlink>
        </w:p>
        <w:p w14:paraId="102BBB5F" w14:textId="70B4183B" w:rsidR="00777EE0" w:rsidRDefault="00251E9C">
          <w:pPr>
            <w:pStyle w:val="TOC3"/>
            <w:rPr>
              <w:rFonts w:asciiTheme="minorHAnsi" w:eastAsiaTheme="minorEastAsia" w:hAnsiTheme="minorHAnsi" w:cstheme="minorBidi"/>
              <w:noProof/>
              <w:sz w:val="22"/>
              <w:lang w:eastAsia="en-GB"/>
            </w:rPr>
          </w:pPr>
          <w:hyperlink w:anchor="_Toc35892781" w:history="1">
            <w:r w:rsidR="00777EE0" w:rsidRPr="00C53B84">
              <w:rPr>
                <w:rStyle w:val="Hyperlink"/>
                <w:noProof/>
              </w:rPr>
              <w:t>9.3.7</w:t>
            </w:r>
            <w:r w:rsidR="00777EE0">
              <w:rPr>
                <w:rFonts w:asciiTheme="minorHAnsi" w:eastAsiaTheme="minorEastAsia" w:hAnsiTheme="minorHAnsi" w:cstheme="minorBidi"/>
                <w:noProof/>
                <w:sz w:val="22"/>
                <w:lang w:eastAsia="en-GB"/>
              </w:rPr>
              <w:tab/>
            </w:r>
            <w:r w:rsidR="00777EE0" w:rsidRPr="00C53B84">
              <w:rPr>
                <w:rStyle w:val="Hyperlink"/>
                <w:noProof/>
              </w:rPr>
              <w:t>Potential modifying factors</w:t>
            </w:r>
            <w:r w:rsidR="00777EE0">
              <w:rPr>
                <w:noProof/>
                <w:webHidden/>
              </w:rPr>
              <w:tab/>
            </w:r>
            <w:r w:rsidR="00777EE0">
              <w:rPr>
                <w:noProof/>
                <w:webHidden/>
              </w:rPr>
              <w:fldChar w:fldCharType="begin"/>
            </w:r>
            <w:r w:rsidR="00777EE0">
              <w:rPr>
                <w:noProof/>
                <w:webHidden/>
              </w:rPr>
              <w:instrText xml:space="preserve"> PAGEREF _Toc35892781 \h </w:instrText>
            </w:r>
            <w:r w:rsidR="00777EE0">
              <w:rPr>
                <w:noProof/>
                <w:webHidden/>
              </w:rPr>
            </w:r>
            <w:r w:rsidR="00777EE0">
              <w:rPr>
                <w:noProof/>
                <w:webHidden/>
              </w:rPr>
              <w:fldChar w:fldCharType="separate"/>
            </w:r>
            <w:r w:rsidR="0026579C">
              <w:rPr>
                <w:noProof/>
                <w:webHidden/>
              </w:rPr>
              <w:t>402</w:t>
            </w:r>
            <w:r w:rsidR="00777EE0">
              <w:rPr>
                <w:noProof/>
                <w:webHidden/>
              </w:rPr>
              <w:fldChar w:fldCharType="end"/>
            </w:r>
          </w:hyperlink>
        </w:p>
        <w:p w14:paraId="78BFE73A" w14:textId="082EF3CB" w:rsidR="00777EE0" w:rsidRDefault="00251E9C">
          <w:pPr>
            <w:pStyle w:val="TOC3"/>
            <w:rPr>
              <w:rFonts w:asciiTheme="minorHAnsi" w:eastAsiaTheme="minorEastAsia" w:hAnsiTheme="minorHAnsi" w:cstheme="minorBidi"/>
              <w:noProof/>
              <w:sz w:val="22"/>
              <w:lang w:eastAsia="en-GB"/>
            </w:rPr>
          </w:pPr>
          <w:hyperlink w:anchor="_Toc35892782" w:history="1">
            <w:r w:rsidR="00777EE0" w:rsidRPr="00C53B84">
              <w:rPr>
                <w:rStyle w:val="Hyperlink"/>
                <w:noProof/>
              </w:rPr>
              <w:t>9.3.8</w:t>
            </w:r>
            <w:r w:rsidR="00777EE0">
              <w:rPr>
                <w:rFonts w:asciiTheme="minorHAnsi" w:eastAsiaTheme="minorEastAsia" w:hAnsiTheme="minorHAnsi" w:cstheme="minorBidi"/>
                <w:noProof/>
                <w:sz w:val="22"/>
                <w:lang w:eastAsia="en-GB"/>
              </w:rPr>
              <w:tab/>
            </w:r>
            <w:r w:rsidR="00777EE0" w:rsidRPr="00C53B84">
              <w:rPr>
                <w:rStyle w:val="Hyperlink"/>
                <w:noProof/>
              </w:rPr>
              <w:t>Difficulty defining the behavioural target</w:t>
            </w:r>
            <w:r w:rsidR="00777EE0">
              <w:rPr>
                <w:noProof/>
                <w:webHidden/>
              </w:rPr>
              <w:tab/>
            </w:r>
            <w:r w:rsidR="00777EE0">
              <w:rPr>
                <w:noProof/>
                <w:webHidden/>
              </w:rPr>
              <w:fldChar w:fldCharType="begin"/>
            </w:r>
            <w:r w:rsidR="00777EE0">
              <w:rPr>
                <w:noProof/>
                <w:webHidden/>
              </w:rPr>
              <w:instrText xml:space="preserve"> PAGEREF _Toc35892782 \h </w:instrText>
            </w:r>
            <w:r w:rsidR="00777EE0">
              <w:rPr>
                <w:noProof/>
                <w:webHidden/>
              </w:rPr>
            </w:r>
            <w:r w:rsidR="00777EE0">
              <w:rPr>
                <w:noProof/>
                <w:webHidden/>
              </w:rPr>
              <w:fldChar w:fldCharType="separate"/>
            </w:r>
            <w:r w:rsidR="0026579C">
              <w:rPr>
                <w:noProof/>
                <w:webHidden/>
              </w:rPr>
              <w:t>402</w:t>
            </w:r>
            <w:r w:rsidR="00777EE0">
              <w:rPr>
                <w:noProof/>
                <w:webHidden/>
              </w:rPr>
              <w:fldChar w:fldCharType="end"/>
            </w:r>
          </w:hyperlink>
        </w:p>
        <w:p w14:paraId="7516935A" w14:textId="45D970A5" w:rsidR="00777EE0" w:rsidRDefault="00251E9C">
          <w:pPr>
            <w:pStyle w:val="TOC3"/>
            <w:rPr>
              <w:rFonts w:asciiTheme="minorHAnsi" w:eastAsiaTheme="minorEastAsia" w:hAnsiTheme="minorHAnsi" w:cstheme="minorBidi"/>
              <w:noProof/>
              <w:sz w:val="22"/>
              <w:lang w:eastAsia="en-GB"/>
            </w:rPr>
          </w:pPr>
          <w:hyperlink w:anchor="_Toc35892783" w:history="1">
            <w:r w:rsidR="00777EE0" w:rsidRPr="00C53B84">
              <w:rPr>
                <w:rStyle w:val="Hyperlink"/>
                <w:noProof/>
              </w:rPr>
              <w:t>9.3.9</w:t>
            </w:r>
            <w:r w:rsidR="00777EE0">
              <w:rPr>
                <w:rFonts w:asciiTheme="minorHAnsi" w:eastAsiaTheme="minorEastAsia" w:hAnsiTheme="minorHAnsi" w:cstheme="minorBidi"/>
                <w:noProof/>
                <w:sz w:val="22"/>
                <w:lang w:eastAsia="en-GB"/>
              </w:rPr>
              <w:tab/>
            </w:r>
            <w:r w:rsidR="00777EE0" w:rsidRPr="00C53B84">
              <w:rPr>
                <w:rStyle w:val="Hyperlink"/>
                <w:noProof/>
              </w:rPr>
              <w:t>Polydrug use, market displacement and unidentified substances</w:t>
            </w:r>
            <w:r w:rsidR="00777EE0">
              <w:rPr>
                <w:noProof/>
                <w:webHidden/>
              </w:rPr>
              <w:tab/>
            </w:r>
            <w:r w:rsidR="00777EE0">
              <w:rPr>
                <w:noProof/>
                <w:webHidden/>
              </w:rPr>
              <w:fldChar w:fldCharType="begin"/>
            </w:r>
            <w:r w:rsidR="00777EE0">
              <w:rPr>
                <w:noProof/>
                <w:webHidden/>
              </w:rPr>
              <w:instrText xml:space="preserve"> PAGEREF _Toc35892783 \h </w:instrText>
            </w:r>
            <w:r w:rsidR="00777EE0">
              <w:rPr>
                <w:noProof/>
                <w:webHidden/>
              </w:rPr>
            </w:r>
            <w:r w:rsidR="00777EE0">
              <w:rPr>
                <w:noProof/>
                <w:webHidden/>
              </w:rPr>
              <w:fldChar w:fldCharType="separate"/>
            </w:r>
            <w:r w:rsidR="0026579C">
              <w:rPr>
                <w:noProof/>
                <w:webHidden/>
              </w:rPr>
              <w:t>406</w:t>
            </w:r>
            <w:r w:rsidR="00777EE0">
              <w:rPr>
                <w:noProof/>
                <w:webHidden/>
              </w:rPr>
              <w:fldChar w:fldCharType="end"/>
            </w:r>
          </w:hyperlink>
        </w:p>
        <w:p w14:paraId="7E1FEA7D" w14:textId="78D01B10" w:rsidR="00777EE0" w:rsidRDefault="00251E9C">
          <w:pPr>
            <w:pStyle w:val="TOC3"/>
            <w:rPr>
              <w:rFonts w:asciiTheme="minorHAnsi" w:eastAsiaTheme="minorEastAsia" w:hAnsiTheme="minorHAnsi" w:cstheme="minorBidi"/>
              <w:noProof/>
              <w:sz w:val="22"/>
              <w:lang w:eastAsia="en-GB"/>
            </w:rPr>
          </w:pPr>
          <w:hyperlink w:anchor="_Toc35892784" w:history="1">
            <w:r w:rsidR="00777EE0" w:rsidRPr="00C53B84">
              <w:rPr>
                <w:rStyle w:val="Hyperlink"/>
                <w:noProof/>
              </w:rPr>
              <w:t>9.3.10</w:t>
            </w:r>
            <w:r w:rsidR="00777EE0">
              <w:rPr>
                <w:rFonts w:asciiTheme="minorHAnsi" w:eastAsiaTheme="minorEastAsia" w:hAnsiTheme="minorHAnsi" w:cstheme="minorBidi"/>
                <w:noProof/>
                <w:sz w:val="22"/>
                <w:lang w:eastAsia="en-GB"/>
              </w:rPr>
              <w:tab/>
            </w:r>
            <w:r w:rsidR="00777EE0" w:rsidRPr="00C53B84">
              <w:rPr>
                <w:rStyle w:val="Hyperlink"/>
                <w:noProof/>
              </w:rPr>
              <w:t>Changes to the NPS market</w:t>
            </w:r>
            <w:r w:rsidR="00777EE0">
              <w:rPr>
                <w:noProof/>
                <w:webHidden/>
              </w:rPr>
              <w:tab/>
            </w:r>
            <w:r w:rsidR="00777EE0">
              <w:rPr>
                <w:noProof/>
                <w:webHidden/>
              </w:rPr>
              <w:fldChar w:fldCharType="begin"/>
            </w:r>
            <w:r w:rsidR="00777EE0">
              <w:rPr>
                <w:noProof/>
                <w:webHidden/>
              </w:rPr>
              <w:instrText xml:space="preserve"> PAGEREF _Toc35892784 \h </w:instrText>
            </w:r>
            <w:r w:rsidR="00777EE0">
              <w:rPr>
                <w:noProof/>
                <w:webHidden/>
              </w:rPr>
            </w:r>
            <w:r w:rsidR="00777EE0">
              <w:rPr>
                <w:noProof/>
                <w:webHidden/>
              </w:rPr>
              <w:fldChar w:fldCharType="separate"/>
            </w:r>
            <w:r w:rsidR="0026579C">
              <w:rPr>
                <w:noProof/>
                <w:webHidden/>
              </w:rPr>
              <w:t>412</w:t>
            </w:r>
            <w:r w:rsidR="00777EE0">
              <w:rPr>
                <w:noProof/>
                <w:webHidden/>
              </w:rPr>
              <w:fldChar w:fldCharType="end"/>
            </w:r>
          </w:hyperlink>
        </w:p>
        <w:p w14:paraId="2973B4EC" w14:textId="5977764E"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85" w:history="1">
            <w:r w:rsidR="00777EE0" w:rsidRPr="00C53B84">
              <w:rPr>
                <w:rStyle w:val="Hyperlink"/>
                <w:noProof/>
              </w:rPr>
              <w:t>9.4</w:t>
            </w:r>
            <w:r w:rsidR="00777EE0">
              <w:rPr>
                <w:rFonts w:asciiTheme="minorHAnsi" w:eastAsiaTheme="minorEastAsia" w:hAnsiTheme="minorHAnsi" w:cstheme="minorBidi"/>
                <w:noProof/>
                <w:sz w:val="22"/>
                <w:lang w:eastAsia="en-GB"/>
              </w:rPr>
              <w:tab/>
            </w:r>
            <w:r w:rsidR="00777EE0" w:rsidRPr="00C53B84">
              <w:rPr>
                <w:rStyle w:val="Hyperlink"/>
                <w:noProof/>
              </w:rPr>
              <w:t>Unintended consequences and the impact of the PS Act</w:t>
            </w:r>
            <w:r w:rsidR="00777EE0">
              <w:rPr>
                <w:noProof/>
                <w:webHidden/>
              </w:rPr>
              <w:tab/>
            </w:r>
            <w:r w:rsidR="00777EE0">
              <w:rPr>
                <w:noProof/>
                <w:webHidden/>
              </w:rPr>
              <w:fldChar w:fldCharType="begin"/>
            </w:r>
            <w:r w:rsidR="00777EE0">
              <w:rPr>
                <w:noProof/>
                <w:webHidden/>
              </w:rPr>
              <w:instrText xml:space="preserve"> PAGEREF _Toc35892785 \h </w:instrText>
            </w:r>
            <w:r w:rsidR="00777EE0">
              <w:rPr>
                <w:noProof/>
                <w:webHidden/>
              </w:rPr>
            </w:r>
            <w:r w:rsidR="00777EE0">
              <w:rPr>
                <w:noProof/>
                <w:webHidden/>
              </w:rPr>
              <w:fldChar w:fldCharType="separate"/>
            </w:r>
            <w:r w:rsidR="0026579C">
              <w:rPr>
                <w:noProof/>
                <w:webHidden/>
              </w:rPr>
              <w:t>413</w:t>
            </w:r>
            <w:r w:rsidR="00777EE0">
              <w:rPr>
                <w:noProof/>
                <w:webHidden/>
              </w:rPr>
              <w:fldChar w:fldCharType="end"/>
            </w:r>
          </w:hyperlink>
        </w:p>
        <w:p w14:paraId="56F090C8" w14:textId="13E76690" w:rsidR="00777EE0" w:rsidRDefault="00251E9C">
          <w:pPr>
            <w:pStyle w:val="TOC3"/>
            <w:rPr>
              <w:rFonts w:asciiTheme="minorHAnsi" w:eastAsiaTheme="minorEastAsia" w:hAnsiTheme="minorHAnsi" w:cstheme="minorBidi"/>
              <w:noProof/>
              <w:sz w:val="22"/>
              <w:lang w:eastAsia="en-GB"/>
            </w:rPr>
          </w:pPr>
          <w:hyperlink w:anchor="_Toc35892786" w:history="1">
            <w:r w:rsidR="00777EE0" w:rsidRPr="00C53B84">
              <w:rPr>
                <w:rStyle w:val="Hyperlink"/>
                <w:noProof/>
              </w:rPr>
              <w:t>9.4.2</w:t>
            </w:r>
            <w:r w:rsidR="00777EE0">
              <w:rPr>
                <w:rFonts w:asciiTheme="minorHAnsi" w:eastAsiaTheme="minorEastAsia" w:hAnsiTheme="minorHAnsi" w:cstheme="minorBidi"/>
                <w:noProof/>
                <w:sz w:val="22"/>
                <w:lang w:eastAsia="en-GB"/>
              </w:rPr>
              <w:tab/>
            </w:r>
            <w:r w:rsidR="00777EE0" w:rsidRPr="00C53B84">
              <w:rPr>
                <w:rStyle w:val="Hyperlink"/>
                <w:noProof/>
              </w:rPr>
              <w:t>Shift of NPS sales on to the black market</w:t>
            </w:r>
            <w:r w:rsidR="00777EE0">
              <w:rPr>
                <w:noProof/>
                <w:webHidden/>
              </w:rPr>
              <w:tab/>
            </w:r>
            <w:r w:rsidR="00777EE0">
              <w:rPr>
                <w:noProof/>
                <w:webHidden/>
              </w:rPr>
              <w:fldChar w:fldCharType="begin"/>
            </w:r>
            <w:r w:rsidR="00777EE0">
              <w:rPr>
                <w:noProof/>
                <w:webHidden/>
              </w:rPr>
              <w:instrText xml:space="preserve"> PAGEREF _Toc35892786 \h </w:instrText>
            </w:r>
            <w:r w:rsidR="00777EE0">
              <w:rPr>
                <w:noProof/>
                <w:webHidden/>
              </w:rPr>
            </w:r>
            <w:r w:rsidR="00777EE0">
              <w:rPr>
                <w:noProof/>
                <w:webHidden/>
              </w:rPr>
              <w:fldChar w:fldCharType="separate"/>
            </w:r>
            <w:r w:rsidR="0026579C">
              <w:rPr>
                <w:noProof/>
                <w:webHidden/>
              </w:rPr>
              <w:t>413</w:t>
            </w:r>
            <w:r w:rsidR="00777EE0">
              <w:rPr>
                <w:noProof/>
                <w:webHidden/>
              </w:rPr>
              <w:fldChar w:fldCharType="end"/>
            </w:r>
          </w:hyperlink>
        </w:p>
        <w:p w14:paraId="65EF3AB2" w14:textId="20F1B7DB" w:rsidR="00777EE0" w:rsidRDefault="00251E9C">
          <w:pPr>
            <w:pStyle w:val="TOC3"/>
            <w:rPr>
              <w:rFonts w:asciiTheme="minorHAnsi" w:eastAsiaTheme="minorEastAsia" w:hAnsiTheme="minorHAnsi" w:cstheme="minorBidi"/>
              <w:noProof/>
              <w:sz w:val="22"/>
              <w:lang w:eastAsia="en-GB"/>
            </w:rPr>
          </w:pPr>
          <w:hyperlink w:anchor="_Toc35892787" w:history="1">
            <w:r w:rsidR="00777EE0" w:rsidRPr="00C53B84">
              <w:rPr>
                <w:rStyle w:val="Hyperlink"/>
                <w:noProof/>
              </w:rPr>
              <w:t>9.4.3</w:t>
            </w:r>
            <w:r w:rsidR="00777EE0">
              <w:rPr>
                <w:rFonts w:asciiTheme="minorHAnsi" w:eastAsiaTheme="minorEastAsia" w:hAnsiTheme="minorHAnsi" w:cstheme="minorBidi"/>
                <w:noProof/>
                <w:sz w:val="22"/>
                <w:lang w:eastAsia="en-GB"/>
              </w:rPr>
              <w:tab/>
            </w:r>
            <w:r w:rsidR="00777EE0" w:rsidRPr="00C53B84">
              <w:rPr>
                <w:rStyle w:val="Hyperlink"/>
                <w:noProof/>
              </w:rPr>
              <w:t>Displacement of drug use from NPS to traditional illicit drugs.</w:t>
            </w:r>
            <w:r w:rsidR="00777EE0">
              <w:rPr>
                <w:noProof/>
                <w:webHidden/>
              </w:rPr>
              <w:tab/>
            </w:r>
            <w:r w:rsidR="00777EE0">
              <w:rPr>
                <w:noProof/>
                <w:webHidden/>
              </w:rPr>
              <w:fldChar w:fldCharType="begin"/>
            </w:r>
            <w:r w:rsidR="00777EE0">
              <w:rPr>
                <w:noProof/>
                <w:webHidden/>
              </w:rPr>
              <w:instrText xml:space="preserve"> PAGEREF _Toc35892787 \h </w:instrText>
            </w:r>
            <w:r w:rsidR="00777EE0">
              <w:rPr>
                <w:noProof/>
                <w:webHidden/>
              </w:rPr>
            </w:r>
            <w:r w:rsidR="00777EE0">
              <w:rPr>
                <w:noProof/>
                <w:webHidden/>
              </w:rPr>
              <w:fldChar w:fldCharType="separate"/>
            </w:r>
            <w:r w:rsidR="0026579C">
              <w:rPr>
                <w:noProof/>
                <w:webHidden/>
              </w:rPr>
              <w:t>416</w:t>
            </w:r>
            <w:r w:rsidR="00777EE0">
              <w:rPr>
                <w:noProof/>
                <w:webHidden/>
              </w:rPr>
              <w:fldChar w:fldCharType="end"/>
            </w:r>
          </w:hyperlink>
        </w:p>
        <w:p w14:paraId="25ABAA0A" w14:textId="189ABB09" w:rsidR="00777EE0" w:rsidRDefault="00251E9C">
          <w:pPr>
            <w:pStyle w:val="TOC3"/>
            <w:rPr>
              <w:rFonts w:asciiTheme="minorHAnsi" w:eastAsiaTheme="minorEastAsia" w:hAnsiTheme="minorHAnsi" w:cstheme="minorBidi"/>
              <w:noProof/>
              <w:sz w:val="22"/>
              <w:lang w:eastAsia="en-GB"/>
            </w:rPr>
          </w:pPr>
          <w:hyperlink w:anchor="_Toc35892788" w:history="1">
            <w:r w:rsidR="00777EE0" w:rsidRPr="00C53B84">
              <w:rPr>
                <w:rStyle w:val="Hyperlink"/>
                <w:noProof/>
              </w:rPr>
              <w:t>9.4.4</w:t>
            </w:r>
            <w:r w:rsidR="00777EE0">
              <w:rPr>
                <w:rFonts w:asciiTheme="minorHAnsi" w:eastAsiaTheme="minorEastAsia" w:hAnsiTheme="minorHAnsi" w:cstheme="minorBidi"/>
                <w:noProof/>
                <w:sz w:val="22"/>
                <w:lang w:eastAsia="en-GB"/>
              </w:rPr>
              <w:tab/>
            </w:r>
            <w:r w:rsidR="00777EE0" w:rsidRPr="00C53B84">
              <w:rPr>
                <w:rStyle w:val="Hyperlink"/>
                <w:noProof/>
              </w:rPr>
              <w:t>Increased stigmatisation of disadvantaged NPS users.</w:t>
            </w:r>
            <w:r w:rsidR="00777EE0">
              <w:rPr>
                <w:noProof/>
                <w:webHidden/>
              </w:rPr>
              <w:tab/>
            </w:r>
            <w:r w:rsidR="00777EE0">
              <w:rPr>
                <w:noProof/>
                <w:webHidden/>
              </w:rPr>
              <w:fldChar w:fldCharType="begin"/>
            </w:r>
            <w:r w:rsidR="00777EE0">
              <w:rPr>
                <w:noProof/>
                <w:webHidden/>
              </w:rPr>
              <w:instrText xml:space="preserve"> PAGEREF _Toc35892788 \h </w:instrText>
            </w:r>
            <w:r w:rsidR="00777EE0">
              <w:rPr>
                <w:noProof/>
                <w:webHidden/>
              </w:rPr>
            </w:r>
            <w:r w:rsidR="00777EE0">
              <w:rPr>
                <w:noProof/>
                <w:webHidden/>
              </w:rPr>
              <w:fldChar w:fldCharType="separate"/>
            </w:r>
            <w:r w:rsidR="0026579C">
              <w:rPr>
                <w:noProof/>
                <w:webHidden/>
              </w:rPr>
              <w:t>417</w:t>
            </w:r>
            <w:r w:rsidR="00777EE0">
              <w:rPr>
                <w:noProof/>
                <w:webHidden/>
              </w:rPr>
              <w:fldChar w:fldCharType="end"/>
            </w:r>
          </w:hyperlink>
        </w:p>
        <w:p w14:paraId="45A70046" w14:textId="1C0FAC97"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89" w:history="1">
            <w:r w:rsidR="00777EE0" w:rsidRPr="00C53B84">
              <w:rPr>
                <w:rStyle w:val="Hyperlink"/>
                <w:noProof/>
              </w:rPr>
              <w:t>9.5</w:t>
            </w:r>
            <w:r w:rsidR="00777EE0">
              <w:rPr>
                <w:rFonts w:asciiTheme="minorHAnsi" w:eastAsiaTheme="minorEastAsia" w:hAnsiTheme="minorHAnsi" w:cstheme="minorBidi"/>
                <w:noProof/>
                <w:sz w:val="22"/>
                <w:lang w:eastAsia="en-GB"/>
              </w:rPr>
              <w:tab/>
            </w:r>
            <w:r w:rsidR="00777EE0" w:rsidRPr="00C53B84">
              <w:rPr>
                <w:rStyle w:val="Hyperlink"/>
                <w:noProof/>
              </w:rPr>
              <w:t>Adopting a systems perspective</w:t>
            </w:r>
            <w:r w:rsidR="00777EE0">
              <w:rPr>
                <w:noProof/>
                <w:webHidden/>
              </w:rPr>
              <w:tab/>
            </w:r>
            <w:r w:rsidR="00777EE0">
              <w:rPr>
                <w:noProof/>
                <w:webHidden/>
              </w:rPr>
              <w:fldChar w:fldCharType="begin"/>
            </w:r>
            <w:r w:rsidR="00777EE0">
              <w:rPr>
                <w:noProof/>
                <w:webHidden/>
              </w:rPr>
              <w:instrText xml:space="preserve"> PAGEREF _Toc35892789 \h </w:instrText>
            </w:r>
            <w:r w:rsidR="00777EE0">
              <w:rPr>
                <w:noProof/>
                <w:webHidden/>
              </w:rPr>
            </w:r>
            <w:r w:rsidR="00777EE0">
              <w:rPr>
                <w:noProof/>
                <w:webHidden/>
              </w:rPr>
              <w:fldChar w:fldCharType="separate"/>
            </w:r>
            <w:r w:rsidR="0026579C">
              <w:rPr>
                <w:noProof/>
                <w:webHidden/>
              </w:rPr>
              <w:t>418</w:t>
            </w:r>
            <w:r w:rsidR="00777EE0">
              <w:rPr>
                <w:noProof/>
                <w:webHidden/>
              </w:rPr>
              <w:fldChar w:fldCharType="end"/>
            </w:r>
          </w:hyperlink>
        </w:p>
        <w:p w14:paraId="32C25193" w14:textId="250A2609" w:rsidR="00777EE0" w:rsidRDefault="00251E9C">
          <w:pPr>
            <w:pStyle w:val="TOC3"/>
            <w:rPr>
              <w:rFonts w:asciiTheme="minorHAnsi" w:eastAsiaTheme="minorEastAsia" w:hAnsiTheme="minorHAnsi" w:cstheme="minorBidi"/>
              <w:noProof/>
              <w:sz w:val="22"/>
              <w:lang w:eastAsia="en-GB"/>
            </w:rPr>
          </w:pPr>
          <w:hyperlink w:anchor="_Toc35892790" w:history="1">
            <w:r w:rsidR="00777EE0" w:rsidRPr="00C53B84">
              <w:rPr>
                <w:rStyle w:val="Hyperlink"/>
                <w:noProof/>
              </w:rPr>
              <w:t>9.5.1</w:t>
            </w:r>
            <w:r w:rsidR="00777EE0">
              <w:rPr>
                <w:rFonts w:asciiTheme="minorHAnsi" w:eastAsiaTheme="minorEastAsia" w:hAnsiTheme="minorHAnsi" w:cstheme="minorBidi"/>
                <w:noProof/>
                <w:sz w:val="22"/>
                <w:lang w:eastAsia="en-GB"/>
              </w:rPr>
              <w:tab/>
            </w:r>
            <w:r w:rsidR="00777EE0" w:rsidRPr="00C53B84">
              <w:rPr>
                <w:rStyle w:val="Hyperlink"/>
                <w:noProof/>
              </w:rPr>
              <w:t>Complex systems</w:t>
            </w:r>
            <w:r w:rsidR="00777EE0">
              <w:rPr>
                <w:noProof/>
                <w:webHidden/>
              </w:rPr>
              <w:tab/>
            </w:r>
            <w:r w:rsidR="00777EE0">
              <w:rPr>
                <w:noProof/>
                <w:webHidden/>
              </w:rPr>
              <w:fldChar w:fldCharType="begin"/>
            </w:r>
            <w:r w:rsidR="00777EE0">
              <w:rPr>
                <w:noProof/>
                <w:webHidden/>
              </w:rPr>
              <w:instrText xml:space="preserve"> PAGEREF _Toc35892790 \h </w:instrText>
            </w:r>
            <w:r w:rsidR="00777EE0">
              <w:rPr>
                <w:noProof/>
                <w:webHidden/>
              </w:rPr>
            </w:r>
            <w:r w:rsidR="00777EE0">
              <w:rPr>
                <w:noProof/>
                <w:webHidden/>
              </w:rPr>
              <w:fldChar w:fldCharType="separate"/>
            </w:r>
            <w:r w:rsidR="0026579C">
              <w:rPr>
                <w:noProof/>
                <w:webHidden/>
              </w:rPr>
              <w:t>418</w:t>
            </w:r>
            <w:r w:rsidR="00777EE0">
              <w:rPr>
                <w:noProof/>
                <w:webHidden/>
              </w:rPr>
              <w:fldChar w:fldCharType="end"/>
            </w:r>
          </w:hyperlink>
        </w:p>
        <w:p w14:paraId="63C04D91" w14:textId="77054A06" w:rsidR="00777EE0" w:rsidRDefault="00251E9C">
          <w:pPr>
            <w:pStyle w:val="TOC3"/>
            <w:rPr>
              <w:rFonts w:asciiTheme="minorHAnsi" w:eastAsiaTheme="minorEastAsia" w:hAnsiTheme="minorHAnsi" w:cstheme="minorBidi"/>
              <w:noProof/>
              <w:sz w:val="22"/>
              <w:lang w:eastAsia="en-GB"/>
            </w:rPr>
          </w:pPr>
          <w:hyperlink w:anchor="_Toc35892791" w:history="1">
            <w:r w:rsidR="00777EE0" w:rsidRPr="00C53B84">
              <w:rPr>
                <w:rStyle w:val="Hyperlink"/>
                <w:noProof/>
              </w:rPr>
              <w:t>9.5.2</w:t>
            </w:r>
            <w:r w:rsidR="00777EE0">
              <w:rPr>
                <w:rFonts w:asciiTheme="minorHAnsi" w:eastAsiaTheme="minorEastAsia" w:hAnsiTheme="minorHAnsi" w:cstheme="minorBidi"/>
                <w:noProof/>
                <w:sz w:val="22"/>
                <w:lang w:eastAsia="en-GB"/>
              </w:rPr>
              <w:tab/>
            </w:r>
            <w:r w:rsidR="00777EE0" w:rsidRPr="00C53B84">
              <w:rPr>
                <w:rStyle w:val="Hyperlink"/>
                <w:noProof/>
              </w:rPr>
              <w:t>Considering wider factors</w:t>
            </w:r>
            <w:r w:rsidR="00777EE0">
              <w:rPr>
                <w:noProof/>
                <w:webHidden/>
              </w:rPr>
              <w:tab/>
            </w:r>
            <w:r w:rsidR="00777EE0">
              <w:rPr>
                <w:noProof/>
                <w:webHidden/>
              </w:rPr>
              <w:fldChar w:fldCharType="begin"/>
            </w:r>
            <w:r w:rsidR="00777EE0">
              <w:rPr>
                <w:noProof/>
                <w:webHidden/>
              </w:rPr>
              <w:instrText xml:space="preserve"> PAGEREF _Toc35892791 \h </w:instrText>
            </w:r>
            <w:r w:rsidR="00777EE0">
              <w:rPr>
                <w:noProof/>
                <w:webHidden/>
              </w:rPr>
            </w:r>
            <w:r w:rsidR="00777EE0">
              <w:rPr>
                <w:noProof/>
                <w:webHidden/>
              </w:rPr>
              <w:fldChar w:fldCharType="separate"/>
            </w:r>
            <w:r w:rsidR="0026579C">
              <w:rPr>
                <w:noProof/>
                <w:webHidden/>
              </w:rPr>
              <w:t>423</w:t>
            </w:r>
            <w:r w:rsidR="00777EE0">
              <w:rPr>
                <w:noProof/>
                <w:webHidden/>
              </w:rPr>
              <w:fldChar w:fldCharType="end"/>
            </w:r>
          </w:hyperlink>
        </w:p>
        <w:p w14:paraId="636C935B" w14:textId="0DDEE2E7" w:rsidR="00777EE0" w:rsidRDefault="00251E9C">
          <w:pPr>
            <w:pStyle w:val="TOC3"/>
            <w:rPr>
              <w:rFonts w:asciiTheme="minorHAnsi" w:eastAsiaTheme="minorEastAsia" w:hAnsiTheme="minorHAnsi" w:cstheme="minorBidi"/>
              <w:noProof/>
              <w:sz w:val="22"/>
              <w:lang w:eastAsia="en-GB"/>
            </w:rPr>
          </w:pPr>
          <w:hyperlink w:anchor="_Toc35892792" w:history="1">
            <w:r w:rsidR="00777EE0" w:rsidRPr="00C53B84">
              <w:rPr>
                <w:rStyle w:val="Hyperlink"/>
                <w:noProof/>
              </w:rPr>
              <w:t>9.5.3</w:t>
            </w:r>
            <w:r w:rsidR="00777EE0">
              <w:rPr>
                <w:rFonts w:asciiTheme="minorHAnsi" w:eastAsiaTheme="minorEastAsia" w:hAnsiTheme="minorHAnsi" w:cstheme="minorBidi"/>
                <w:noProof/>
                <w:sz w:val="22"/>
                <w:lang w:eastAsia="en-GB"/>
              </w:rPr>
              <w:tab/>
            </w:r>
            <w:r w:rsidR="00777EE0" w:rsidRPr="00C53B84">
              <w:rPr>
                <w:rStyle w:val="Hyperlink"/>
                <w:noProof/>
              </w:rPr>
              <w:t>Linking with wider strategies</w:t>
            </w:r>
            <w:r w:rsidR="00777EE0">
              <w:rPr>
                <w:noProof/>
                <w:webHidden/>
              </w:rPr>
              <w:tab/>
            </w:r>
            <w:r w:rsidR="00777EE0">
              <w:rPr>
                <w:noProof/>
                <w:webHidden/>
              </w:rPr>
              <w:fldChar w:fldCharType="begin"/>
            </w:r>
            <w:r w:rsidR="00777EE0">
              <w:rPr>
                <w:noProof/>
                <w:webHidden/>
              </w:rPr>
              <w:instrText xml:space="preserve"> PAGEREF _Toc35892792 \h </w:instrText>
            </w:r>
            <w:r w:rsidR="00777EE0">
              <w:rPr>
                <w:noProof/>
                <w:webHidden/>
              </w:rPr>
            </w:r>
            <w:r w:rsidR="00777EE0">
              <w:rPr>
                <w:noProof/>
                <w:webHidden/>
              </w:rPr>
              <w:fldChar w:fldCharType="separate"/>
            </w:r>
            <w:r w:rsidR="0026579C">
              <w:rPr>
                <w:noProof/>
                <w:webHidden/>
              </w:rPr>
              <w:t>428</w:t>
            </w:r>
            <w:r w:rsidR="00777EE0">
              <w:rPr>
                <w:noProof/>
                <w:webHidden/>
              </w:rPr>
              <w:fldChar w:fldCharType="end"/>
            </w:r>
          </w:hyperlink>
        </w:p>
        <w:p w14:paraId="575E0889" w14:textId="131FD15B"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93" w:history="1">
            <w:r w:rsidR="00777EE0" w:rsidRPr="00C53B84">
              <w:rPr>
                <w:rStyle w:val="Hyperlink"/>
                <w:noProof/>
              </w:rPr>
              <w:t>9.6</w:t>
            </w:r>
            <w:r w:rsidR="00777EE0">
              <w:rPr>
                <w:rFonts w:asciiTheme="minorHAnsi" w:eastAsiaTheme="minorEastAsia" w:hAnsiTheme="minorHAnsi" w:cstheme="minorBidi"/>
                <w:noProof/>
                <w:sz w:val="22"/>
                <w:lang w:eastAsia="en-GB"/>
              </w:rPr>
              <w:tab/>
            </w:r>
            <w:r w:rsidR="00777EE0" w:rsidRPr="00C53B84">
              <w:rPr>
                <w:rStyle w:val="Hyperlink"/>
                <w:noProof/>
              </w:rPr>
              <w:t>An example approach: Multi-level strategy addressing unknown substances</w:t>
            </w:r>
            <w:r w:rsidR="00777EE0">
              <w:rPr>
                <w:noProof/>
                <w:webHidden/>
              </w:rPr>
              <w:tab/>
            </w:r>
            <w:r w:rsidR="00777EE0">
              <w:rPr>
                <w:noProof/>
                <w:webHidden/>
              </w:rPr>
              <w:fldChar w:fldCharType="begin"/>
            </w:r>
            <w:r w:rsidR="00777EE0">
              <w:rPr>
                <w:noProof/>
                <w:webHidden/>
              </w:rPr>
              <w:instrText xml:space="preserve"> PAGEREF _Toc35892793 \h </w:instrText>
            </w:r>
            <w:r w:rsidR="00777EE0">
              <w:rPr>
                <w:noProof/>
                <w:webHidden/>
              </w:rPr>
            </w:r>
            <w:r w:rsidR="00777EE0">
              <w:rPr>
                <w:noProof/>
                <w:webHidden/>
              </w:rPr>
              <w:fldChar w:fldCharType="separate"/>
            </w:r>
            <w:r w:rsidR="0026579C">
              <w:rPr>
                <w:noProof/>
                <w:webHidden/>
              </w:rPr>
              <w:t>430</w:t>
            </w:r>
            <w:r w:rsidR="00777EE0">
              <w:rPr>
                <w:noProof/>
                <w:webHidden/>
              </w:rPr>
              <w:fldChar w:fldCharType="end"/>
            </w:r>
          </w:hyperlink>
        </w:p>
        <w:p w14:paraId="4D7A60FC" w14:textId="4B3AA1E6"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94" w:history="1">
            <w:r w:rsidR="00777EE0" w:rsidRPr="00C53B84">
              <w:rPr>
                <w:rStyle w:val="Hyperlink"/>
                <w:noProof/>
              </w:rPr>
              <w:t>9.7</w:t>
            </w:r>
            <w:r w:rsidR="00777EE0">
              <w:rPr>
                <w:rFonts w:asciiTheme="minorHAnsi" w:eastAsiaTheme="minorEastAsia" w:hAnsiTheme="minorHAnsi" w:cstheme="minorBidi"/>
                <w:noProof/>
                <w:sz w:val="22"/>
                <w:lang w:eastAsia="en-GB"/>
              </w:rPr>
              <w:tab/>
            </w:r>
            <w:r w:rsidR="00777EE0" w:rsidRPr="00C53B84">
              <w:rPr>
                <w:rStyle w:val="Hyperlink"/>
                <w:noProof/>
              </w:rPr>
              <w:t>Strengths and limitations of the research project</w:t>
            </w:r>
            <w:r w:rsidR="00777EE0">
              <w:rPr>
                <w:noProof/>
                <w:webHidden/>
              </w:rPr>
              <w:tab/>
            </w:r>
            <w:r w:rsidR="00777EE0">
              <w:rPr>
                <w:noProof/>
                <w:webHidden/>
              </w:rPr>
              <w:fldChar w:fldCharType="begin"/>
            </w:r>
            <w:r w:rsidR="00777EE0">
              <w:rPr>
                <w:noProof/>
                <w:webHidden/>
              </w:rPr>
              <w:instrText xml:space="preserve"> PAGEREF _Toc35892794 \h </w:instrText>
            </w:r>
            <w:r w:rsidR="00777EE0">
              <w:rPr>
                <w:noProof/>
                <w:webHidden/>
              </w:rPr>
            </w:r>
            <w:r w:rsidR="00777EE0">
              <w:rPr>
                <w:noProof/>
                <w:webHidden/>
              </w:rPr>
              <w:fldChar w:fldCharType="separate"/>
            </w:r>
            <w:r w:rsidR="0026579C">
              <w:rPr>
                <w:noProof/>
                <w:webHidden/>
              </w:rPr>
              <w:t>433</w:t>
            </w:r>
            <w:r w:rsidR="00777EE0">
              <w:rPr>
                <w:noProof/>
                <w:webHidden/>
              </w:rPr>
              <w:fldChar w:fldCharType="end"/>
            </w:r>
          </w:hyperlink>
        </w:p>
        <w:p w14:paraId="6AE78EFE" w14:textId="7D0949E6" w:rsidR="00777EE0" w:rsidRDefault="00251E9C">
          <w:pPr>
            <w:pStyle w:val="TOC3"/>
            <w:rPr>
              <w:rFonts w:asciiTheme="minorHAnsi" w:eastAsiaTheme="minorEastAsia" w:hAnsiTheme="minorHAnsi" w:cstheme="minorBidi"/>
              <w:noProof/>
              <w:sz w:val="22"/>
              <w:lang w:eastAsia="en-GB"/>
            </w:rPr>
          </w:pPr>
          <w:hyperlink w:anchor="_Toc35892795" w:history="1">
            <w:r w:rsidR="00777EE0" w:rsidRPr="00C53B84">
              <w:rPr>
                <w:rStyle w:val="Hyperlink"/>
                <w:noProof/>
              </w:rPr>
              <w:t>9.7.1</w:t>
            </w:r>
            <w:r w:rsidR="00777EE0">
              <w:rPr>
                <w:rFonts w:asciiTheme="minorHAnsi" w:eastAsiaTheme="minorEastAsia" w:hAnsiTheme="minorHAnsi" w:cstheme="minorBidi"/>
                <w:noProof/>
                <w:sz w:val="22"/>
                <w:lang w:eastAsia="en-GB"/>
              </w:rPr>
              <w:tab/>
            </w:r>
            <w:r w:rsidR="00777EE0" w:rsidRPr="00C53B84">
              <w:rPr>
                <w:rStyle w:val="Hyperlink"/>
                <w:noProof/>
              </w:rPr>
              <w:t>Strengths</w:t>
            </w:r>
            <w:r w:rsidR="00777EE0">
              <w:rPr>
                <w:noProof/>
                <w:webHidden/>
              </w:rPr>
              <w:tab/>
            </w:r>
            <w:r w:rsidR="00777EE0">
              <w:rPr>
                <w:noProof/>
                <w:webHidden/>
              </w:rPr>
              <w:fldChar w:fldCharType="begin"/>
            </w:r>
            <w:r w:rsidR="00777EE0">
              <w:rPr>
                <w:noProof/>
                <w:webHidden/>
              </w:rPr>
              <w:instrText xml:space="preserve"> PAGEREF _Toc35892795 \h </w:instrText>
            </w:r>
            <w:r w:rsidR="00777EE0">
              <w:rPr>
                <w:noProof/>
                <w:webHidden/>
              </w:rPr>
            </w:r>
            <w:r w:rsidR="00777EE0">
              <w:rPr>
                <w:noProof/>
                <w:webHidden/>
              </w:rPr>
              <w:fldChar w:fldCharType="separate"/>
            </w:r>
            <w:r w:rsidR="0026579C">
              <w:rPr>
                <w:noProof/>
                <w:webHidden/>
              </w:rPr>
              <w:t>433</w:t>
            </w:r>
            <w:r w:rsidR="00777EE0">
              <w:rPr>
                <w:noProof/>
                <w:webHidden/>
              </w:rPr>
              <w:fldChar w:fldCharType="end"/>
            </w:r>
          </w:hyperlink>
        </w:p>
        <w:p w14:paraId="5065923F" w14:textId="0566CE79" w:rsidR="00777EE0" w:rsidRDefault="00251E9C">
          <w:pPr>
            <w:pStyle w:val="TOC3"/>
            <w:rPr>
              <w:rFonts w:asciiTheme="minorHAnsi" w:eastAsiaTheme="minorEastAsia" w:hAnsiTheme="minorHAnsi" w:cstheme="minorBidi"/>
              <w:noProof/>
              <w:sz w:val="22"/>
              <w:lang w:eastAsia="en-GB"/>
            </w:rPr>
          </w:pPr>
          <w:hyperlink w:anchor="_Toc35892796" w:history="1">
            <w:r w:rsidR="00777EE0" w:rsidRPr="00C53B84">
              <w:rPr>
                <w:rStyle w:val="Hyperlink"/>
                <w:noProof/>
              </w:rPr>
              <w:t>9.7.2</w:t>
            </w:r>
            <w:r w:rsidR="00777EE0">
              <w:rPr>
                <w:rFonts w:asciiTheme="minorHAnsi" w:eastAsiaTheme="minorEastAsia" w:hAnsiTheme="minorHAnsi" w:cstheme="minorBidi"/>
                <w:noProof/>
                <w:sz w:val="22"/>
                <w:lang w:eastAsia="en-GB"/>
              </w:rPr>
              <w:tab/>
            </w:r>
            <w:r w:rsidR="00777EE0" w:rsidRPr="00C53B84">
              <w:rPr>
                <w:rStyle w:val="Hyperlink"/>
                <w:noProof/>
              </w:rPr>
              <w:t>Weaknesses</w:t>
            </w:r>
            <w:r w:rsidR="00777EE0">
              <w:rPr>
                <w:noProof/>
                <w:webHidden/>
              </w:rPr>
              <w:tab/>
            </w:r>
            <w:r w:rsidR="00777EE0">
              <w:rPr>
                <w:noProof/>
                <w:webHidden/>
              </w:rPr>
              <w:fldChar w:fldCharType="begin"/>
            </w:r>
            <w:r w:rsidR="00777EE0">
              <w:rPr>
                <w:noProof/>
                <w:webHidden/>
              </w:rPr>
              <w:instrText xml:space="preserve"> PAGEREF _Toc35892796 \h </w:instrText>
            </w:r>
            <w:r w:rsidR="00777EE0">
              <w:rPr>
                <w:noProof/>
                <w:webHidden/>
              </w:rPr>
            </w:r>
            <w:r w:rsidR="00777EE0">
              <w:rPr>
                <w:noProof/>
                <w:webHidden/>
              </w:rPr>
              <w:fldChar w:fldCharType="separate"/>
            </w:r>
            <w:r w:rsidR="0026579C">
              <w:rPr>
                <w:noProof/>
                <w:webHidden/>
              </w:rPr>
              <w:t>434</w:t>
            </w:r>
            <w:r w:rsidR="00777EE0">
              <w:rPr>
                <w:noProof/>
                <w:webHidden/>
              </w:rPr>
              <w:fldChar w:fldCharType="end"/>
            </w:r>
          </w:hyperlink>
        </w:p>
        <w:p w14:paraId="63A84AFC" w14:textId="5C63CE06"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97" w:history="1">
            <w:r w:rsidR="00777EE0" w:rsidRPr="00C53B84">
              <w:rPr>
                <w:rStyle w:val="Hyperlink"/>
                <w:noProof/>
              </w:rPr>
              <w:t>9.8</w:t>
            </w:r>
            <w:r w:rsidR="00777EE0">
              <w:rPr>
                <w:rFonts w:asciiTheme="minorHAnsi" w:eastAsiaTheme="minorEastAsia" w:hAnsiTheme="minorHAnsi" w:cstheme="minorBidi"/>
                <w:noProof/>
                <w:sz w:val="22"/>
                <w:lang w:eastAsia="en-GB"/>
              </w:rPr>
              <w:tab/>
            </w:r>
            <w:r w:rsidR="00777EE0" w:rsidRPr="00C53B84">
              <w:rPr>
                <w:rStyle w:val="Hyperlink"/>
                <w:noProof/>
              </w:rPr>
              <w:t>Implications for research</w:t>
            </w:r>
            <w:r w:rsidR="00777EE0">
              <w:rPr>
                <w:noProof/>
                <w:webHidden/>
              </w:rPr>
              <w:tab/>
            </w:r>
            <w:r w:rsidR="00777EE0">
              <w:rPr>
                <w:noProof/>
                <w:webHidden/>
              </w:rPr>
              <w:fldChar w:fldCharType="begin"/>
            </w:r>
            <w:r w:rsidR="00777EE0">
              <w:rPr>
                <w:noProof/>
                <w:webHidden/>
              </w:rPr>
              <w:instrText xml:space="preserve"> PAGEREF _Toc35892797 \h </w:instrText>
            </w:r>
            <w:r w:rsidR="00777EE0">
              <w:rPr>
                <w:noProof/>
                <w:webHidden/>
              </w:rPr>
            </w:r>
            <w:r w:rsidR="00777EE0">
              <w:rPr>
                <w:noProof/>
                <w:webHidden/>
              </w:rPr>
              <w:fldChar w:fldCharType="separate"/>
            </w:r>
            <w:r w:rsidR="0026579C">
              <w:rPr>
                <w:noProof/>
                <w:webHidden/>
              </w:rPr>
              <w:t>437</w:t>
            </w:r>
            <w:r w:rsidR="00777EE0">
              <w:rPr>
                <w:noProof/>
                <w:webHidden/>
              </w:rPr>
              <w:fldChar w:fldCharType="end"/>
            </w:r>
          </w:hyperlink>
        </w:p>
        <w:p w14:paraId="4A51860E" w14:textId="6785D263" w:rsidR="00777EE0" w:rsidRDefault="00251E9C">
          <w:pPr>
            <w:pStyle w:val="TOC2"/>
            <w:tabs>
              <w:tab w:val="left" w:pos="880"/>
              <w:tab w:val="right" w:leader="dot" w:pos="9016"/>
            </w:tabs>
            <w:rPr>
              <w:rFonts w:asciiTheme="minorHAnsi" w:eastAsiaTheme="minorEastAsia" w:hAnsiTheme="minorHAnsi" w:cstheme="minorBidi"/>
              <w:noProof/>
              <w:sz w:val="22"/>
              <w:lang w:eastAsia="en-GB"/>
            </w:rPr>
          </w:pPr>
          <w:hyperlink w:anchor="_Toc35892798" w:history="1">
            <w:r w:rsidR="00777EE0" w:rsidRPr="00C53B84">
              <w:rPr>
                <w:rStyle w:val="Hyperlink"/>
                <w:noProof/>
              </w:rPr>
              <w:t>9.9</w:t>
            </w:r>
            <w:r w:rsidR="00777EE0">
              <w:rPr>
                <w:rFonts w:asciiTheme="minorHAnsi" w:eastAsiaTheme="minorEastAsia" w:hAnsiTheme="minorHAnsi" w:cstheme="minorBidi"/>
                <w:noProof/>
                <w:sz w:val="22"/>
                <w:lang w:eastAsia="en-GB"/>
              </w:rPr>
              <w:tab/>
            </w:r>
            <w:r w:rsidR="00777EE0" w:rsidRPr="00C53B84">
              <w:rPr>
                <w:rStyle w:val="Hyperlink"/>
                <w:noProof/>
              </w:rPr>
              <w:t>Conclusions</w:t>
            </w:r>
            <w:r w:rsidR="00777EE0">
              <w:rPr>
                <w:noProof/>
                <w:webHidden/>
              </w:rPr>
              <w:tab/>
            </w:r>
            <w:r w:rsidR="00777EE0">
              <w:rPr>
                <w:noProof/>
                <w:webHidden/>
              </w:rPr>
              <w:fldChar w:fldCharType="begin"/>
            </w:r>
            <w:r w:rsidR="00777EE0">
              <w:rPr>
                <w:noProof/>
                <w:webHidden/>
              </w:rPr>
              <w:instrText xml:space="preserve"> PAGEREF _Toc35892798 \h </w:instrText>
            </w:r>
            <w:r w:rsidR="00777EE0">
              <w:rPr>
                <w:noProof/>
                <w:webHidden/>
              </w:rPr>
            </w:r>
            <w:r w:rsidR="00777EE0">
              <w:rPr>
                <w:noProof/>
                <w:webHidden/>
              </w:rPr>
              <w:fldChar w:fldCharType="separate"/>
            </w:r>
            <w:r w:rsidR="0026579C">
              <w:rPr>
                <w:noProof/>
                <w:webHidden/>
              </w:rPr>
              <w:t>439</w:t>
            </w:r>
            <w:r w:rsidR="00777EE0">
              <w:rPr>
                <w:noProof/>
                <w:webHidden/>
              </w:rPr>
              <w:fldChar w:fldCharType="end"/>
            </w:r>
          </w:hyperlink>
        </w:p>
        <w:p w14:paraId="42D35E71" w14:textId="74AD3C8F" w:rsidR="00C637D7" w:rsidRDefault="00716691">
          <w:pPr>
            <w:rPr>
              <w:b/>
              <w:bCs/>
              <w:noProof/>
            </w:rPr>
          </w:pPr>
          <w:r>
            <w:rPr>
              <w:b/>
              <w:bCs/>
              <w:noProof/>
            </w:rPr>
            <w:fldChar w:fldCharType="end"/>
          </w:r>
        </w:p>
        <w:p w14:paraId="50B89489" w14:textId="77777777" w:rsidR="001A4631" w:rsidRDefault="001A4631">
          <w:pPr>
            <w:rPr>
              <w:rFonts w:eastAsiaTheme="majorEastAsia"/>
              <w:b/>
              <w:bCs/>
              <w:sz w:val="28"/>
              <w:szCs w:val="28"/>
              <w:lang w:val="en-US" w:eastAsia="en-US"/>
            </w:rPr>
          </w:pPr>
          <w:bookmarkStart w:id="11" w:name="_Hlk9346019"/>
          <w:r>
            <w:br w:type="page"/>
          </w:r>
        </w:p>
        <w:p w14:paraId="499E9862" w14:textId="3983C7AF" w:rsidR="00597221" w:rsidRDefault="00597221" w:rsidP="00597221">
          <w:pPr>
            <w:pStyle w:val="TOCHeading"/>
            <w:jc w:val="left"/>
            <w:rPr>
              <w:rFonts w:ascii="Times New Roman" w:hAnsi="Times New Roman" w:cs="Times New Roman"/>
              <w:color w:val="auto"/>
            </w:rPr>
          </w:pPr>
          <w:r w:rsidRPr="007F285B">
            <w:rPr>
              <w:rFonts w:ascii="Times New Roman" w:hAnsi="Times New Roman" w:cs="Times New Roman"/>
              <w:color w:val="auto"/>
            </w:rPr>
            <w:t xml:space="preserve">Volume 2 </w:t>
          </w:r>
          <w:r w:rsidR="005A46B8">
            <w:rPr>
              <w:rFonts w:ascii="Times New Roman" w:hAnsi="Times New Roman" w:cs="Times New Roman"/>
              <w:color w:val="auto"/>
            </w:rPr>
            <w:t>Bibliography and Appendices</w:t>
          </w:r>
        </w:p>
        <w:p w14:paraId="0F905D71" w14:textId="305D7BDD" w:rsidR="001D15B7" w:rsidRDefault="001D15B7" w:rsidP="001D15B7">
          <w:pPr>
            <w:rPr>
              <w:lang w:val="en-US" w:eastAsia="en-US"/>
            </w:rPr>
          </w:pPr>
        </w:p>
        <w:bookmarkEnd w:id="11"/>
        <w:p w14:paraId="25D4CFAD" w14:textId="77777777" w:rsidR="001D15B7" w:rsidRPr="001D15B7" w:rsidRDefault="001D15B7" w:rsidP="001D15B7">
          <w:pPr>
            <w:ind w:left="720"/>
            <w:rPr>
              <w:b/>
            </w:rPr>
          </w:pPr>
          <w:r w:rsidRPr="001D15B7">
            <w:rPr>
              <w:b/>
            </w:rPr>
            <w:t>Bibliography</w:t>
          </w:r>
        </w:p>
        <w:p w14:paraId="702FECB9" w14:textId="77777777" w:rsidR="001D15B7" w:rsidRPr="001D15B7" w:rsidRDefault="001D15B7" w:rsidP="001D15B7">
          <w:pPr>
            <w:ind w:left="720"/>
            <w:rPr>
              <w:b/>
            </w:rPr>
          </w:pPr>
          <w:r w:rsidRPr="001D15B7">
            <w:rPr>
              <w:b/>
            </w:rPr>
            <w:t>Appendix A in support of Chapter 2 (Background)</w:t>
          </w:r>
        </w:p>
        <w:p w14:paraId="79995CFB" w14:textId="77777777" w:rsidR="001D15B7" w:rsidRPr="001D15B7" w:rsidRDefault="001D15B7" w:rsidP="001D15B7">
          <w:pPr>
            <w:ind w:left="720"/>
            <w:rPr>
              <w:b/>
            </w:rPr>
          </w:pPr>
          <w:r w:rsidRPr="001D15B7">
            <w:rPr>
              <w:b/>
            </w:rPr>
            <w:t>Appendix B In support of Chapter 6 (Study 1)</w:t>
          </w:r>
        </w:p>
        <w:p w14:paraId="0B90F90E" w14:textId="77777777" w:rsidR="001D15B7" w:rsidRPr="001D15B7" w:rsidRDefault="001D15B7" w:rsidP="001D15B7">
          <w:pPr>
            <w:ind w:left="720"/>
            <w:rPr>
              <w:b/>
            </w:rPr>
          </w:pPr>
          <w:r w:rsidRPr="001D15B7">
            <w:rPr>
              <w:b/>
            </w:rPr>
            <w:t>Appendix C In support of Chapter 7 (Study 2)</w:t>
          </w:r>
        </w:p>
        <w:p w14:paraId="53AF48E7" w14:textId="77777777" w:rsidR="001D15B7" w:rsidRPr="001D15B7" w:rsidRDefault="001D15B7" w:rsidP="001D15B7">
          <w:pPr>
            <w:ind w:left="720"/>
            <w:rPr>
              <w:b/>
            </w:rPr>
          </w:pPr>
          <w:r w:rsidRPr="001D15B7">
            <w:rPr>
              <w:b/>
            </w:rPr>
            <w:t>Appendix D In support of Chapter 8 (Study 3)</w:t>
          </w:r>
        </w:p>
        <w:p w14:paraId="72AF012B" w14:textId="1931C810" w:rsidR="00716691" w:rsidRPr="001A4631" w:rsidRDefault="004A1DD8">
          <w:pPr>
            <w:rPr>
              <w:b/>
              <w:bCs/>
              <w:noProof/>
            </w:rPr>
          </w:pPr>
          <w:r>
            <w:rPr>
              <w:b/>
              <w:bCs/>
              <w:noProof/>
            </w:rPr>
            <w:t xml:space="preserve"> </w:t>
          </w:r>
          <w:r w:rsidR="00C637D7">
            <w:rPr>
              <w:b/>
              <w:bCs/>
              <w:noProof/>
            </w:rPr>
            <w:br w:type="page"/>
          </w:r>
        </w:p>
      </w:sdtContent>
    </w:sdt>
    <w:p w14:paraId="6C6A7D82" w14:textId="7AD63DB4" w:rsidR="00841434" w:rsidRDefault="00841434" w:rsidP="00841434">
      <w:pPr>
        <w:sectPr w:rsidR="00841434" w:rsidSect="00841434">
          <w:pgSz w:w="11906" w:h="16838"/>
          <w:pgMar w:top="1440" w:right="1440" w:bottom="1440" w:left="1440" w:header="708" w:footer="708" w:gutter="0"/>
          <w:pgNumType w:fmt="lowerRoman"/>
          <w:cols w:space="708"/>
          <w:docGrid w:linePitch="360"/>
        </w:sectPr>
      </w:pPr>
    </w:p>
    <w:p w14:paraId="67E8FD01" w14:textId="77777777" w:rsidR="005A7BA5" w:rsidRDefault="005A7BA5" w:rsidP="005A7BA5">
      <w:pPr>
        <w:jc w:val="center"/>
        <w:rPr>
          <w:rFonts w:cs="Arial"/>
          <w:b/>
          <w:bCs/>
          <w:sz w:val="28"/>
          <w:szCs w:val="28"/>
        </w:rPr>
      </w:pPr>
      <w:bookmarkStart w:id="12" w:name="_Toc9182712"/>
    </w:p>
    <w:p w14:paraId="703EECCC" w14:textId="77777777" w:rsidR="005A7BA5" w:rsidRDefault="005A7BA5" w:rsidP="005A7BA5">
      <w:pPr>
        <w:jc w:val="center"/>
        <w:rPr>
          <w:rFonts w:cs="Arial"/>
          <w:b/>
          <w:bCs/>
          <w:sz w:val="28"/>
          <w:szCs w:val="28"/>
        </w:rPr>
      </w:pPr>
    </w:p>
    <w:p w14:paraId="390F3B5B" w14:textId="77777777" w:rsidR="005A7BA5" w:rsidRDefault="005A7BA5" w:rsidP="005A7BA5">
      <w:pPr>
        <w:jc w:val="center"/>
        <w:rPr>
          <w:rFonts w:cs="Arial"/>
          <w:b/>
          <w:bCs/>
          <w:sz w:val="28"/>
          <w:szCs w:val="28"/>
        </w:rPr>
      </w:pPr>
    </w:p>
    <w:p w14:paraId="1864E59B" w14:textId="77777777" w:rsidR="005A7BA5" w:rsidRDefault="005A7BA5" w:rsidP="005A7BA5">
      <w:pPr>
        <w:jc w:val="center"/>
        <w:rPr>
          <w:rFonts w:cs="Arial"/>
          <w:b/>
          <w:bCs/>
          <w:sz w:val="28"/>
          <w:szCs w:val="28"/>
        </w:rPr>
      </w:pPr>
    </w:p>
    <w:p w14:paraId="71C93316" w14:textId="77777777" w:rsidR="005A7BA5" w:rsidRDefault="005A7BA5" w:rsidP="005A7BA5">
      <w:pPr>
        <w:jc w:val="center"/>
        <w:rPr>
          <w:rFonts w:cs="Arial"/>
          <w:b/>
          <w:bCs/>
          <w:sz w:val="28"/>
          <w:szCs w:val="28"/>
        </w:rPr>
      </w:pPr>
    </w:p>
    <w:p w14:paraId="4EB9D3A5" w14:textId="77777777" w:rsidR="005A7BA5" w:rsidRDefault="005A7BA5" w:rsidP="005A7BA5">
      <w:pPr>
        <w:jc w:val="center"/>
        <w:rPr>
          <w:rFonts w:cs="Arial"/>
          <w:b/>
          <w:bCs/>
          <w:sz w:val="28"/>
          <w:szCs w:val="28"/>
        </w:rPr>
      </w:pPr>
    </w:p>
    <w:p w14:paraId="49F93622" w14:textId="77777777" w:rsidR="005A7BA5" w:rsidRDefault="005A7BA5" w:rsidP="005A7BA5">
      <w:pPr>
        <w:jc w:val="center"/>
        <w:rPr>
          <w:rFonts w:cs="Arial"/>
          <w:b/>
          <w:bCs/>
          <w:sz w:val="28"/>
          <w:szCs w:val="28"/>
        </w:rPr>
      </w:pPr>
    </w:p>
    <w:p w14:paraId="2FABABC2" w14:textId="789EA458" w:rsidR="005A7BA5" w:rsidRPr="005A7BA5" w:rsidRDefault="005A7BA5" w:rsidP="00EE0FE9">
      <w:pPr>
        <w:jc w:val="center"/>
        <w:rPr>
          <w:rFonts w:asciiTheme="majorBidi" w:hAnsiTheme="majorBidi" w:cstheme="majorBidi"/>
          <w:b/>
        </w:rPr>
        <w:sectPr w:rsidR="005A7BA5" w:rsidRPr="005A7BA5" w:rsidSect="00841434">
          <w:pgSz w:w="11906" w:h="16838"/>
          <w:pgMar w:top="1440" w:right="1440" w:bottom="1440" w:left="1440" w:header="708" w:footer="708" w:gutter="0"/>
          <w:pgNumType w:fmt="lowerRoman"/>
          <w:cols w:space="708"/>
          <w:docGrid w:linePitch="360"/>
        </w:sectPr>
      </w:pPr>
      <w:r w:rsidRPr="00EE0FE9">
        <w:t>[This page intentionally blank]</w:t>
      </w:r>
    </w:p>
    <w:p w14:paraId="4C5DD452" w14:textId="004A1AAD" w:rsidR="00841434" w:rsidRPr="007448D1" w:rsidRDefault="00841434" w:rsidP="00841434">
      <w:pPr>
        <w:pStyle w:val="Heading1"/>
        <w:numPr>
          <w:ilvl w:val="0"/>
          <w:numId w:val="0"/>
        </w:numPr>
        <w:rPr>
          <w:rFonts w:asciiTheme="majorBidi" w:hAnsiTheme="majorBidi" w:cstheme="majorBidi"/>
        </w:rPr>
      </w:pPr>
      <w:bookmarkStart w:id="13" w:name="_Toc35892483"/>
      <w:r w:rsidRPr="00D15CD9">
        <w:rPr>
          <w:rFonts w:asciiTheme="majorBidi" w:hAnsiTheme="majorBidi" w:cstheme="majorBidi"/>
        </w:rPr>
        <w:t>List of Tables</w:t>
      </w:r>
      <w:bookmarkEnd w:id="12"/>
      <w:bookmarkEnd w:id="13"/>
    </w:p>
    <w:p w14:paraId="54EDD954" w14:textId="0A04BC4B" w:rsidR="00841434" w:rsidRDefault="00841434" w:rsidP="00841434">
      <w:pPr>
        <w:rPr>
          <w:sz w:val="28"/>
          <w:szCs w:val="32"/>
        </w:rPr>
      </w:pPr>
    </w:p>
    <w:p w14:paraId="3029F4DC" w14:textId="6F10DF75" w:rsidR="001A4631" w:rsidRPr="001A4631" w:rsidRDefault="008B7C26">
      <w:pPr>
        <w:pStyle w:val="TableofFigures"/>
        <w:tabs>
          <w:tab w:val="right" w:leader="dot" w:pos="9323"/>
        </w:tabs>
        <w:rPr>
          <w:rFonts w:asciiTheme="minorHAnsi" w:eastAsiaTheme="minorEastAsia" w:hAnsiTheme="minorHAnsi" w:cstheme="minorBidi"/>
          <w:noProof/>
          <w:sz w:val="22"/>
          <w:lang w:eastAsia="en-GB"/>
        </w:rPr>
      </w:pPr>
      <w:r w:rsidRPr="001A4631">
        <w:rPr>
          <w:rStyle w:val="Hyperlink"/>
          <w:noProof/>
        </w:rPr>
        <w:fldChar w:fldCharType="begin"/>
      </w:r>
      <w:r w:rsidRPr="001A4631">
        <w:rPr>
          <w:rStyle w:val="Hyperlink"/>
          <w:noProof/>
        </w:rPr>
        <w:instrText xml:space="preserve"> TOC \f T \h \z \t "TableHeader" \c </w:instrText>
      </w:r>
      <w:r w:rsidRPr="001A4631">
        <w:rPr>
          <w:rStyle w:val="Hyperlink"/>
          <w:noProof/>
        </w:rPr>
        <w:fldChar w:fldCharType="separate"/>
      </w:r>
      <w:hyperlink w:anchor="_Toc9509028" w:history="1">
        <w:r w:rsidR="001A4631" w:rsidRPr="001A4631">
          <w:rPr>
            <w:rStyle w:val="Hyperlink"/>
            <w:noProof/>
          </w:rPr>
          <w:t>Table 2-1. Drug classifications under the 1971 Misuse of Drugs Act</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_Toc9509028 \h </w:instrText>
        </w:r>
        <w:r w:rsidR="001A4631" w:rsidRPr="001A4631">
          <w:rPr>
            <w:noProof/>
            <w:webHidden/>
          </w:rPr>
        </w:r>
        <w:r w:rsidR="001A4631" w:rsidRPr="001A4631">
          <w:rPr>
            <w:noProof/>
            <w:webHidden/>
          </w:rPr>
          <w:fldChar w:fldCharType="separate"/>
        </w:r>
        <w:r w:rsidR="0026579C">
          <w:rPr>
            <w:noProof/>
            <w:webHidden/>
          </w:rPr>
          <w:t>27</w:t>
        </w:r>
        <w:r w:rsidR="001A4631" w:rsidRPr="001A4631">
          <w:rPr>
            <w:noProof/>
            <w:webHidden/>
          </w:rPr>
          <w:fldChar w:fldCharType="end"/>
        </w:r>
      </w:hyperlink>
    </w:p>
    <w:p w14:paraId="54A35F0F" w14:textId="07517081"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29" w:history="1">
        <w:r w:rsidR="001A4631" w:rsidRPr="001A4631">
          <w:rPr>
            <w:rStyle w:val="Hyperlink"/>
            <w:noProof/>
          </w:rPr>
          <w:t>Table 2-2:  Prevalence rates for use of NPS by school pupils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_Toc9509029 \h </w:instrText>
        </w:r>
        <w:r w:rsidR="001A4631" w:rsidRPr="001A4631">
          <w:rPr>
            <w:noProof/>
            <w:webHidden/>
          </w:rPr>
        </w:r>
        <w:r w:rsidR="001A4631" w:rsidRPr="001A4631">
          <w:rPr>
            <w:noProof/>
            <w:webHidden/>
          </w:rPr>
          <w:fldChar w:fldCharType="separate"/>
        </w:r>
        <w:r w:rsidR="0026579C">
          <w:rPr>
            <w:noProof/>
            <w:webHidden/>
          </w:rPr>
          <w:t>51</w:t>
        </w:r>
        <w:r w:rsidR="001A4631" w:rsidRPr="001A4631">
          <w:rPr>
            <w:noProof/>
            <w:webHidden/>
          </w:rPr>
          <w:fldChar w:fldCharType="end"/>
        </w:r>
      </w:hyperlink>
    </w:p>
    <w:p w14:paraId="1A8292B3" w14:textId="268AA7E6"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0" w:history="1">
        <w:r w:rsidR="001A4631" w:rsidRPr="001A4631">
          <w:rPr>
            <w:rStyle w:val="Hyperlink"/>
            <w:noProof/>
          </w:rPr>
          <w:t>Table 2-3. Range of NPS harms identified through self-report and case studies of users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_Toc9509030 \h </w:instrText>
        </w:r>
        <w:r w:rsidR="001A4631" w:rsidRPr="001A4631">
          <w:rPr>
            <w:noProof/>
            <w:webHidden/>
          </w:rPr>
        </w:r>
        <w:r w:rsidR="001A4631" w:rsidRPr="001A4631">
          <w:rPr>
            <w:noProof/>
            <w:webHidden/>
          </w:rPr>
          <w:fldChar w:fldCharType="separate"/>
        </w:r>
        <w:r w:rsidR="0026579C">
          <w:rPr>
            <w:noProof/>
            <w:webHidden/>
          </w:rPr>
          <w:t>63</w:t>
        </w:r>
        <w:r w:rsidR="001A4631" w:rsidRPr="001A4631">
          <w:rPr>
            <w:noProof/>
            <w:webHidden/>
          </w:rPr>
          <w:fldChar w:fldCharType="end"/>
        </w:r>
      </w:hyperlink>
    </w:p>
    <w:p w14:paraId="1E42A51C" w14:textId="37CE5F25"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1" w:history="1">
        <w:r w:rsidR="001A4631" w:rsidRPr="001A4631">
          <w:rPr>
            <w:rStyle w:val="Hyperlink"/>
            <w:noProof/>
          </w:rPr>
          <w:t>Table 2-4. Drug-related deaths associated with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_Toc9509031 \h </w:instrText>
        </w:r>
        <w:r w:rsidR="001A4631" w:rsidRPr="001A4631">
          <w:rPr>
            <w:noProof/>
            <w:webHidden/>
          </w:rPr>
        </w:r>
        <w:r w:rsidR="001A4631" w:rsidRPr="001A4631">
          <w:rPr>
            <w:noProof/>
            <w:webHidden/>
          </w:rPr>
          <w:fldChar w:fldCharType="separate"/>
        </w:r>
        <w:r w:rsidR="0026579C">
          <w:rPr>
            <w:noProof/>
            <w:webHidden/>
          </w:rPr>
          <w:t>68</w:t>
        </w:r>
        <w:r w:rsidR="001A4631" w:rsidRPr="001A4631">
          <w:rPr>
            <w:noProof/>
            <w:webHidden/>
          </w:rPr>
          <w:fldChar w:fldCharType="end"/>
        </w:r>
      </w:hyperlink>
    </w:p>
    <w:p w14:paraId="7DC4F2F8" w14:textId="37608151"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2" w:history="1">
        <w:r w:rsidR="001A4631" w:rsidRPr="001A4631">
          <w:rPr>
            <w:rStyle w:val="Hyperlink"/>
            <w:noProof/>
          </w:rPr>
          <w:t>Table 3-1 Sources of intervention guidelines and their accompanying evidence bases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_Toc9509032 \h </w:instrText>
        </w:r>
        <w:r w:rsidR="001A4631" w:rsidRPr="001A4631">
          <w:rPr>
            <w:noProof/>
            <w:webHidden/>
          </w:rPr>
        </w:r>
        <w:r w:rsidR="001A4631" w:rsidRPr="001A4631">
          <w:rPr>
            <w:noProof/>
            <w:webHidden/>
          </w:rPr>
          <w:fldChar w:fldCharType="separate"/>
        </w:r>
        <w:r w:rsidR="0026579C">
          <w:rPr>
            <w:noProof/>
            <w:webHidden/>
          </w:rPr>
          <w:t>92</w:t>
        </w:r>
        <w:r w:rsidR="001A4631" w:rsidRPr="001A4631">
          <w:rPr>
            <w:noProof/>
            <w:webHidden/>
          </w:rPr>
          <w:fldChar w:fldCharType="end"/>
        </w:r>
      </w:hyperlink>
    </w:p>
    <w:p w14:paraId="07A9FF18" w14:textId="1EBEADC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3" w:history="1">
        <w:r w:rsidR="001A4631" w:rsidRPr="001A4631">
          <w:rPr>
            <w:rStyle w:val="Hyperlink"/>
            <w:noProof/>
          </w:rPr>
          <w:t>Table 3-2. Inclusion and Exclusion criteria for evidence statements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_Toc9509033 \h </w:instrText>
        </w:r>
        <w:r w:rsidR="001A4631" w:rsidRPr="001A4631">
          <w:rPr>
            <w:noProof/>
            <w:webHidden/>
          </w:rPr>
        </w:r>
        <w:r w:rsidR="001A4631" w:rsidRPr="001A4631">
          <w:rPr>
            <w:noProof/>
            <w:webHidden/>
          </w:rPr>
          <w:fldChar w:fldCharType="separate"/>
        </w:r>
        <w:r w:rsidR="0026579C">
          <w:rPr>
            <w:noProof/>
            <w:webHidden/>
          </w:rPr>
          <w:t>95</w:t>
        </w:r>
        <w:r w:rsidR="001A4631" w:rsidRPr="001A4631">
          <w:rPr>
            <w:noProof/>
            <w:webHidden/>
          </w:rPr>
          <w:fldChar w:fldCharType="end"/>
        </w:r>
      </w:hyperlink>
    </w:p>
    <w:p w14:paraId="1FABFDE2" w14:textId="4D69456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4" w:history="1">
        <w:r w:rsidR="001A4631" w:rsidRPr="001A4631">
          <w:rPr>
            <w:rStyle w:val="Hyperlink"/>
            <w:noProof/>
          </w:rPr>
          <w:t>Table 3-3. Types of drug prevention interventions referenced in the key guidelines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_Toc9509034 \h </w:instrText>
        </w:r>
        <w:r w:rsidR="001A4631" w:rsidRPr="001A4631">
          <w:rPr>
            <w:noProof/>
            <w:webHidden/>
          </w:rPr>
        </w:r>
        <w:r w:rsidR="001A4631" w:rsidRPr="001A4631">
          <w:rPr>
            <w:noProof/>
            <w:webHidden/>
          </w:rPr>
          <w:fldChar w:fldCharType="separate"/>
        </w:r>
        <w:r w:rsidR="0026579C">
          <w:rPr>
            <w:noProof/>
            <w:webHidden/>
          </w:rPr>
          <w:t>98</w:t>
        </w:r>
        <w:r w:rsidR="001A4631" w:rsidRPr="001A4631">
          <w:rPr>
            <w:noProof/>
            <w:webHidden/>
          </w:rPr>
          <w:fldChar w:fldCharType="end"/>
        </w:r>
      </w:hyperlink>
    </w:p>
    <w:p w14:paraId="2437897D" w14:textId="4491B72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5" w:history="1">
        <w:r w:rsidR="001A4631" w:rsidRPr="001A4631">
          <w:rPr>
            <w:rStyle w:val="Hyperlink"/>
            <w:noProof/>
          </w:rPr>
          <w:t>Table 3-4. Evidence of effectiveness and recommendations for the use of general skills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_Toc9509035 \h </w:instrText>
        </w:r>
        <w:r w:rsidR="001A4631" w:rsidRPr="001A4631">
          <w:rPr>
            <w:noProof/>
            <w:webHidden/>
          </w:rPr>
        </w:r>
        <w:r w:rsidR="001A4631" w:rsidRPr="001A4631">
          <w:rPr>
            <w:noProof/>
            <w:webHidden/>
          </w:rPr>
          <w:fldChar w:fldCharType="separate"/>
        </w:r>
        <w:r w:rsidR="0026579C">
          <w:rPr>
            <w:noProof/>
            <w:webHidden/>
          </w:rPr>
          <w:t>102</w:t>
        </w:r>
        <w:r w:rsidR="001A4631" w:rsidRPr="001A4631">
          <w:rPr>
            <w:noProof/>
            <w:webHidden/>
          </w:rPr>
          <w:fldChar w:fldCharType="end"/>
        </w:r>
      </w:hyperlink>
    </w:p>
    <w:p w14:paraId="01A257B5" w14:textId="0446D2DC"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6" w:history="1">
        <w:r w:rsidR="001A4631" w:rsidRPr="001A4631">
          <w:rPr>
            <w:rStyle w:val="Hyperlink"/>
            <w:noProof/>
          </w:rPr>
          <w:t>Table 3-5. Evidence of effectiveness and recommendations for the use of social skills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_Toc9509036 \h </w:instrText>
        </w:r>
        <w:r w:rsidR="001A4631" w:rsidRPr="001A4631">
          <w:rPr>
            <w:noProof/>
            <w:webHidden/>
          </w:rPr>
        </w:r>
        <w:r w:rsidR="001A4631" w:rsidRPr="001A4631">
          <w:rPr>
            <w:noProof/>
            <w:webHidden/>
          </w:rPr>
          <w:fldChar w:fldCharType="separate"/>
        </w:r>
        <w:r w:rsidR="0026579C">
          <w:rPr>
            <w:noProof/>
            <w:webHidden/>
          </w:rPr>
          <w:t>103</w:t>
        </w:r>
        <w:r w:rsidR="001A4631" w:rsidRPr="001A4631">
          <w:rPr>
            <w:noProof/>
            <w:webHidden/>
          </w:rPr>
          <w:fldChar w:fldCharType="end"/>
        </w:r>
      </w:hyperlink>
    </w:p>
    <w:p w14:paraId="4C0B5F52" w14:textId="16AB655B"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7" w:history="1">
        <w:r w:rsidR="001A4631" w:rsidRPr="001A4631">
          <w:rPr>
            <w:rStyle w:val="Hyperlink"/>
            <w:noProof/>
          </w:rPr>
          <w:t>Table 3-6. Evidence of effectiveness and recommendations for the use of affective skills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_Toc9509037 \h </w:instrText>
        </w:r>
        <w:r w:rsidR="001A4631" w:rsidRPr="001A4631">
          <w:rPr>
            <w:noProof/>
            <w:webHidden/>
          </w:rPr>
        </w:r>
        <w:r w:rsidR="001A4631" w:rsidRPr="001A4631">
          <w:rPr>
            <w:noProof/>
            <w:webHidden/>
          </w:rPr>
          <w:fldChar w:fldCharType="separate"/>
        </w:r>
        <w:r w:rsidR="0026579C">
          <w:rPr>
            <w:noProof/>
            <w:webHidden/>
          </w:rPr>
          <w:t>104</w:t>
        </w:r>
        <w:r w:rsidR="001A4631" w:rsidRPr="001A4631">
          <w:rPr>
            <w:noProof/>
            <w:webHidden/>
          </w:rPr>
          <w:fldChar w:fldCharType="end"/>
        </w:r>
      </w:hyperlink>
    </w:p>
    <w:p w14:paraId="6B5498D7" w14:textId="0FECE9A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8" w:history="1">
        <w:r w:rsidR="001A4631" w:rsidRPr="001A4631">
          <w:rPr>
            <w:rStyle w:val="Hyperlink"/>
            <w:noProof/>
          </w:rPr>
          <w:t>Table 3-7. Evidence of effectiveness and recommendations for the use of knowledge-based interventions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_Toc9509038 \h </w:instrText>
        </w:r>
        <w:r w:rsidR="001A4631" w:rsidRPr="001A4631">
          <w:rPr>
            <w:noProof/>
            <w:webHidden/>
          </w:rPr>
        </w:r>
        <w:r w:rsidR="001A4631" w:rsidRPr="001A4631">
          <w:rPr>
            <w:noProof/>
            <w:webHidden/>
          </w:rPr>
          <w:fldChar w:fldCharType="separate"/>
        </w:r>
        <w:r w:rsidR="0026579C">
          <w:rPr>
            <w:noProof/>
            <w:webHidden/>
          </w:rPr>
          <w:t>106</w:t>
        </w:r>
        <w:r w:rsidR="001A4631" w:rsidRPr="001A4631">
          <w:rPr>
            <w:noProof/>
            <w:webHidden/>
          </w:rPr>
          <w:fldChar w:fldCharType="end"/>
        </w:r>
      </w:hyperlink>
    </w:p>
    <w:p w14:paraId="2778636C" w14:textId="727C433F"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39" w:history="1">
        <w:r w:rsidR="001A4631" w:rsidRPr="001A4631">
          <w:rPr>
            <w:rStyle w:val="Hyperlink"/>
            <w:noProof/>
          </w:rPr>
          <w:t>Table 3-8. Effectiveness and recommendations for the use of mass media methods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_Toc9509039 \h </w:instrText>
        </w:r>
        <w:r w:rsidR="001A4631" w:rsidRPr="001A4631">
          <w:rPr>
            <w:noProof/>
            <w:webHidden/>
          </w:rPr>
        </w:r>
        <w:r w:rsidR="001A4631" w:rsidRPr="001A4631">
          <w:rPr>
            <w:noProof/>
            <w:webHidden/>
          </w:rPr>
          <w:fldChar w:fldCharType="separate"/>
        </w:r>
        <w:r w:rsidR="0026579C">
          <w:rPr>
            <w:noProof/>
            <w:webHidden/>
          </w:rPr>
          <w:t>107</w:t>
        </w:r>
        <w:r w:rsidR="001A4631" w:rsidRPr="001A4631">
          <w:rPr>
            <w:noProof/>
            <w:webHidden/>
          </w:rPr>
          <w:fldChar w:fldCharType="end"/>
        </w:r>
      </w:hyperlink>
    </w:p>
    <w:p w14:paraId="508AEEB0" w14:textId="62E5A49E"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0" w:history="1">
        <w:r w:rsidR="001A4631" w:rsidRPr="001A4631">
          <w:rPr>
            <w:rStyle w:val="Hyperlink"/>
            <w:noProof/>
          </w:rPr>
          <w:t>Table 3-9. Effectiveness and recommendations for the use of web-based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_Toc9509040 \h </w:instrText>
        </w:r>
        <w:r w:rsidR="001A4631" w:rsidRPr="001A4631">
          <w:rPr>
            <w:noProof/>
            <w:webHidden/>
          </w:rPr>
        </w:r>
        <w:r w:rsidR="001A4631" w:rsidRPr="001A4631">
          <w:rPr>
            <w:noProof/>
            <w:webHidden/>
          </w:rPr>
          <w:fldChar w:fldCharType="separate"/>
        </w:r>
        <w:r w:rsidR="0026579C">
          <w:rPr>
            <w:noProof/>
            <w:webHidden/>
          </w:rPr>
          <w:t>109</w:t>
        </w:r>
        <w:r w:rsidR="001A4631" w:rsidRPr="001A4631">
          <w:rPr>
            <w:noProof/>
            <w:webHidden/>
          </w:rPr>
          <w:fldChar w:fldCharType="end"/>
        </w:r>
      </w:hyperlink>
    </w:p>
    <w:p w14:paraId="7CF3C893" w14:textId="7389B981"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1" w:history="1">
        <w:r w:rsidR="001A4631" w:rsidRPr="001A4631">
          <w:rPr>
            <w:rStyle w:val="Hyperlink"/>
            <w:noProof/>
          </w:rPr>
          <w:t>Table 3-10. Effectiveness and recommendations for the use of interactive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_Toc9509041 \h </w:instrText>
        </w:r>
        <w:r w:rsidR="001A4631" w:rsidRPr="001A4631">
          <w:rPr>
            <w:noProof/>
            <w:webHidden/>
          </w:rPr>
        </w:r>
        <w:r w:rsidR="001A4631" w:rsidRPr="001A4631">
          <w:rPr>
            <w:noProof/>
            <w:webHidden/>
          </w:rPr>
          <w:fldChar w:fldCharType="separate"/>
        </w:r>
        <w:r w:rsidR="0026579C">
          <w:rPr>
            <w:noProof/>
            <w:webHidden/>
          </w:rPr>
          <w:t>110</w:t>
        </w:r>
        <w:r w:rsidR="001A4631" w:rsidRPr="001A4631">
          <w:rPr>
            <w:noProof/>
            <w:webHidden/>
          </w:rPr>
          <w:fldChar w:fldCharType="end"/>
        </w:r>
      </w:hyperlink>
    </w:p>
    <w:p w14:paraId="2F62AC29" w14:textId="2E265FB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2" w:history="1">
        <w:r w:rsidR="001A4631" w:rsidRPr="001A4631">
          <w:rPr>
            <w:rStyle w:val="Hyperlink"/>
            <w:noProof/>
          </w:rPr>
          <w:t>Table 3-11. Effectiveness and recommendations for non-judgemental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_Toc9509042 \h </w:instrText>
        </w:r>
        <w:r w:rsidR="001A4631" w:rsidRPr="001A4631">
          <w:rPr>
            <w:noProof/>
            <w:webHidden/>
          </w:rPr>
        </w:r>
        <w:r w:rsidR="001A4631" w:rsidRPr="001A4631">
          <w:rPr>
            <w:noProof/>
            <w:webHidden/>
          </w:rPr>
          <w:fldChar w:fldCharType="separate"/>
        </w:r>
        <w:r w:rsidR="0026579C">
          <w:rPr>
            <w:noProof/>
            <w:webHidden/>
          </w:rPr>
          <w:t>111</w:t>
        </w:r>
        <w:r w:rsidR="001A4631" w:rsidRPr="001A4631">
          <w:rPr>
            <w:noProof/>
            <w:webHidden/>
          </w:rPr>
          <w:fldChar w:fldCharType="end"/>
        </w:r>
      </w:hyperlink>
    </w:p>
    <w:p w14:paraId="77736500" w14:textId="69728622"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3" w:history="1">
        <w:r w:rsidR="001A4631" w:rsidRPr="001A4631">
          <w:rPr>
            <w:rStyle w:val="Hyperlink"/>
            <w:noProof/>
          </w:rPr>
          <w:t>Table 3-12. Effectiveness and recommendations for the use of fear appeals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_Toc9509043 \h </w:instrText>
        </w:r>
        <w:r w:rsidR="001A4631" w:rsidRPr="001A4631">
          <w:rPr>
            <w:noProof/>
            <w:webHidden/>
          </w:rPr>
        </w:r>
        <w:r w:rsidR="001A4631" w:rsidRPr="001A4631">
          <w:rPr>
            <w:noProof/>
            <w:webHidden/>
          </w:rPr>
          <w:fldChar w:fldCharType="separate"/>
        </w:r>
        <w:r w:rsidR="0026579C">
          <w:rPr>
            <w:noProof/>
            <w:webHidden/>
          </w:rPr>
          <w:t>112</w:t>
        </w:r>
        <w:r w:rsidR="001A4631" w:rsidRPr="001A4631">
          <w:rPr>
            <w:noProof/>
            <w:webHidden/>
          </w:rPr>
          <w:fldChar w:fldCharType="end"/>
        </w:r>
      </w:hyperlink>
    </w:p>
    <w:p w14:paraId="20F6B57A" w14:textId="6F7A85A6"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4" w:history="1">
        <w:r w:rsidR="001A4631" w:rsidRPr="001A4631">
          <w:rPr>
            <w:rStyle w:val="Hyperlink"/>
            <w:noProof/>
          </w:rPr>
          <w:t>Table 3-13. Effectiveness and recommendations for the use of peer educators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_Toc9509044 \h </w:instrText>
        </w:r>
        <w:r w:rsidR="001A4631" w:rsidRPr="001A4631">
          <w:rPr>
            <w:noProof/>
            <w:webHidden/>
          </w:rPr>
        </w:r>
        <w:r w:rsidR="001A4631" w:rsidRPr="001A4631">
          <w:rPr>
            <w:noProof/>
            <w:webHidden/>
          </w:rPr>
          <w:fldChar w:fldCharType="separate"/>
        </w:r>
        <w:r w:rsidR="0026579C">
          <w:rPr>
            <w:noProof/>
            <w:webHidden/>
          </w:rPr>
          <w:t>113</w:t>
        </w:r>
        <w:r w:rsidR="001A4631" w:rsidRPr="001A4631">
          <w:rPr>
            <w:noProof/>
            <w:webHidden/>
          </w:rPr>
          <w:fldChar w:fldCharType="end"/>
        </w:r>
      </w:hyperlink>
    </w:p>
    <w:p w14:paraId="339CC231" w14:textId="491C6CE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5" w:history="1">
        <w:r w:rsidR="001A4631" w:rsidRPr="001A4631">
          <w:rPr>
            <w:rStyle w:val="Hyperlink"/>
            <w:noProof/>
          </w:rPr>
          <w:t>Table 3-14. Effectiveness and recommendations for the use of professionals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_Toc9509045 \h </w:instrText>
        </w:r>
        <w:r w:rsidR="001A4631" w:rsidRPr="001A4631">
          <w:rPr>
            <w:noProof/>
            <w:webHidden/>
          </w:rPr>
        </w:r>
        <w:r w:rsidR="001A4631" w:rsidRPr="001A4631">
          <w:rPr>
            <w:noProof/>
            <w:webHidden/>
          </w:rPr>
          <w:fldChar w:fldCharType="separate"/>
        </w:r>
        <w:r w:rsidR="0026579C">
          <w:rPr>
            <w:noProof/>
            <w:webHidden/>
          </w:rPr>
          <w:t>114</w:t>
        </w:r>
        <w:r w:rsidR="001A4631" w:rsidRPr="001A4631">
          <w:rPr>
            <w:noProof/>
            <w:webHidden/>
          </w:rPr>
          <w:fldChar w:fldCharType="end"/>
        </w:r>
      </w:hyperlink>
    </w:p>
    <w:p w14:paraId="1FD2A679" w14:textId="5365773C"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6" w:history="1">
        <w:r w:rsidR="001A4631" w:rsidRPr="001A4631">
          <w:rPr>
            <w:rStyle w:val="Hyperlink"/>
            <w:noProof/>
          </w:rPr>
          <w:t>Table 3-15. Effectiveness and recommendations for the use of ex-users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_Toc9509046 \h </w:instrText>
        </w:r>
        <w:r w:rsidR="001A4631" w:rsidRPr="001A4631">
          <w:rPr>
            <w:noProof/>
            <w:webHidden/>
          </w:rPr>
        </w:r>
        <w:r w:rsidR="001A4631" w:rsidRPr="001A4631">
          <w:rPr>
            <w:noProof/>
            <w:webHidden/>
          </w:rPr>
          <w:fldChar w:fldCharType="separate"/>
        </w:r>
        <w:r w:rsidR="0026579C">
          <w:rPr>
            <w:noProof/>
            <w:webHidden/>
          </w:rPr>
          <w:t>115</w:t>
        </w:r>
        <w:r w:rsidR="001A4631" w:rsidRPr="001A4631">
          <w:rPr>
            <w:noProof/>
            <w:webHidden/>
          </w:rPr>
          <w:fldChar w:fldCharType="end"/>
        </w:r>
      </w:hyperlink>
    </w:p>
    <w:p w14:paraId="6F492D2C" w14:textId="5AF43AD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7" w:history="1">
        <w:r w:rsidR="001A4631" w:rsidRPr="001A4631">
          <w:rPr>
            <w:rStyle w:val="Hyperlink"/>
            <w:noProof/>
          </w:rPr>
          <w:t>Table 3-16. Effectiveness and recommendations for the use of police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_Toc9509047 \h </w:instrText>
        </w:r>
        <w:r w:rsidR="001A4631" w:rsidRPr="001A4631">
          <w:rPr>
            <w:noProof/>
            <w:webHidden/>
          </w:rPr>
        </w:r>
        <w:r w:rsidR="001A4631" w:rsidRPr="001A4631">
          <w:rPr>
            <w:noProof/>
            <w:webHidden/>
          </w:rPr>
          <w:fldChar w:fldCharType="separate"/>
        </w:r>
        <w:r w:rsidR="0026579C">
          <w:rPr>
            <w:noProof/>
            <w:webHidden/>
          </w:rPr>
          <w:t>116</w:t>
        </w:r>
        <w:r w:rsidR="001A4631" w:rsidRPr="001A4631">
          <w:rPr>
            <w:noProof/>
            <w:webHidden/>
          </w:rPr>
          <w:fldChar w:fldCharType="end"/>
        </w:r>
      </w:hyperlink>
    </w:p>
    <w:p w14:paraId="6556DA2F" w14:textId="4BB5447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8" w:history="1">
        <w:r w:rsidR="001A4631" w:rsidRPr="001A4631">
          <w:rPr>
            <w:rStyle w:val="Hyperlink"/>
            <w:noProof/>
          </w:rPr>
          <w:t>Table 3-17. Effectiveness and recommendations for the use of School-based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_Toc9509048 \h </w:instrText>
        </w:r>
        <w:r w:rsidR="001A4631" w:rsidRPr="001A4631">
          <w:rPr>
            <w:noProof/>
            <w:webHidden/>
          </w:rPr>
        </w:r>
        <w:r w:rsidR="001A4631" w:rsidRPr="001A4631">
          <w:rPr>
            <w:noProof/>
            <w:webHidden/>
          </w:rPr>
          <w:fldChar w:fldCharType="separate"/>
        </w:r>
        <w:r w:rsidR="0026579C">
          <w:rPr>
            <w:noProof/>
            <w:webHidden/>
          </w:rPr>
          <w:t>118</w:t>
        </w:r>
        <w:r w:rsidR="001A4631" w:rsidRPr="001A4631">
          <w:rPr>
            <w:noProof/>
            <w:webHidden/>
          </w:rPr>
          <w:fldChar w:fldCharType="end"/>
        </w:r>
      </w:hyperlink>
    </w:p>
    <w:p w14:paraId="4FFD17D0" w14:textId="0B18E61E"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49" w:history="1">
        <w:r w:rsidR="001A4631" w:rsidRPr="001A4631">
          <w:rPr>
            <w:rStyle w:val="Hyperlink"/>
            <w:noProof/>
          </w:rPr>
          <w:t>Table 3-18. Effectiveness and recommendations for the use of youth group settings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_Toc9509049 \h </w:instrText>
        </w:r>
        <w:r w:rsidR="001A4631" w:rsidRPr="001A4631">
          <w:rPr>
            <w:noProof/>
            <w:webHidden/>
          </w:rPr>
        </w:r>
        <w:r w:rsidR="001A4631" w:rsidRPr="001A4631">
          <w:rPr>
            <w:noProof/>
            <w:webHidden/>
          </w:rPr>
          <w:fldChar w:fldCharType="separate"/>
        </w:r>
        <w:r w:rsidR="0026579C">
          <w:rPr>
            <w:noProof/>
            <w:webHidden/>
          </w:rPr>
          <w:t>119</w:t>
        </w:r>
        <w:r w:rsidR="001A4631" w:rsidRPr="001A4631">
          <w:rPr>
            <w:noProof/>
            <w:webHidden/>
          </w:rPr>
          <w:fldChar w:fldCharType="end"/>
        </w:r>
      </w:hyperlink>
    </w:p>
    <w:p w14:paraId="3B875F21" w14:textId="31E1606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0" w:history="1">
        <w:r w:rsidR="001A4631" w:rsidRPr="001A4631">
          <w:rPr>
            <w:rStyle w:val="Hyperlink"/>
            <w:noProof/>
          </w:rPr>
          <w:t>Table 3-19. Effectiveness and recommendations for the use of family-based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_Toc9509050 \h </w:instrText>
        </w:r>
        <w:r w:rsidR="001A4631" w:rsidRPr="001A4631">
          <w:rPr>
            <w:noProof/>
            <w:webHidden/>
          </w:rPr>
        </w:r>
        <w:r w:rsidR="001A4631" w:rsidRPr="001A4631">
          <w:rPr>
            <w:noProof/>
            <w:webHidden/>
          </w:rPr>
          <w:fldChar w:fldCharType="separate"/>
        </w:r>
        <w:r w:rsidR="0026579C">
          <w:rPr>
            <w:noProof/>
            <w:webHidden/>
          </w:rPr>
          <w:t>121</w:t>
        </w:r>
        <w:r w:rsidR="001A4631" w:rsidRPr="001A4631">
          <w:rPr>
            <w:noProof/>
            <w:webHidden/>
          </w:rPr>
          <w:fldChar w:fldCharType="end"/>
        </w:r>
      </w:hyperlink>
    </w:p>
    <w:p w14:paraId="5359434A" w14:textId="285CDD1C"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1" w:history="1">
        <w:r w:rsidR="001A4631" w:rsidRPr="001A4631">
          <w:rPr>
            <w:rStyle w:val="Hyperlink"/>
            <w:noProof/>
          </w:rPr>
          <w:t>Table 3-20. Effectiveness and recommendations for the use of night-life settings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_Toc9509051 \h </w:instrText>
        </w:r>
        <w:r w:rsidR="001A4631" w:rsidRPr="001A4631">
          <w:rPr>
            <w:noProof/>
            <w:webHidden/>
          </w:rPr>
        </w:r>
        <w:r w:rsidR="001A4631" w:rsidRPr="001A4631">
          <w:rPr>
            <w:noProof/>
            <w:webHidden/>
          </w:rPr>
          <w:fldChar w:fldCharType="separate"/>
        </w:r>
        <w:r w:rsidR="0026579C">
          <w:rPr>
            <w:noProof/>
            <w:webHidden/>
          </w:rPr>
          <w:t>122</w:t>
        </w:r>
        <w:r w:rsidR="001A4631" w:rsidRPr="001A4631">
          <w:rPr>
            <w:noProof/>
            <w:webHidden/>
          </w:rPr>
          <w:fldChar w:fldCharType="end"/>
        </w:r>
      </w:hyperlink>
    </w:p>
    <w:p w14:paraId="2277409B" w14:textId="1725534A"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2" w:history="1">
        <w:r w:rsidR="001A4631" w:rsidRPr="001A4631">
          <w:rPr>
            <w:rStyle w:val="Hyperlink"/>
            <w:noProof/>
          </w:rPr>
          <w:t>Table 3-21. Effectiveness and recommendations for the use of health service settings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_Toc9509052 \h </w:instrText>
        </w:r>
        <w:r w:rsidR="001A4631" w:rsidRPr="001A4631">
          <w:rPr>
            <w:noProof/>
            <w:webHidden/>
          </w:rPr>
        </w:r>
        <w:r w:rsidR="001A4631" w:rsidRPr="001A4631">
          <w:rPr>
            <w:noProof/>
            <w:webHidden/>
          </w:rPr>
          <w:fldChar w:fldCharType="separate"/>
        </w:r>
        <w:r w:rsidR="0026579C">
          <w:rPr>
            <w:noProof/>
            <w:webHidden/>
          </w:rPr>
          <w:t>123</w:t>
        </w:r>
        <w:r w:rsidR="001A4631" w:rsidRPr="001A4631">
          <w:rPr>
            <w:noProof/>
            <w:webHidden/>
          </w:rPr>
          <w:fldChar w:fldCharType="end"/>
        </w:r>
      </w:hyperlink>
    </w:p>
    <w:p w14:paraId="53F6422A" w14:textId="212AF54A"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3" w:history="1">
        <w:r w:rsidR="001A4631" w:rsidRPr="001A4631">
          <w:rPr>
            <w:rStyle w:val="Hyperlink"/>
            <w:noProof/>
          </w:rPr>
          <w:t>Table 3-22. Effectiveness and recommendations for the use of multi-component approaches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_Toc9509053 \h </w:instrText>
        </w:r>
        <w:r w:rsidR="001A4631" w:rsidRPr="001A4631">
          <w:rPr>
            <w:noProof/>
            <w:webHidden/>
          </w:rPr>
        </w:r>
        <w:r w:rsidR="001A4631" w:rsidRPr="001A4631">
          <w:rPr>
            <w:noProof/>
            <w:webHidden/>
          </w:rPr>
          <w:fldChar w:fldCharType="separate"/>
        </w:r>
        <w:r w:rsidR="0026579C">
          <w:rPr>
            <w:noProof/>
            <w:webHidden/>
          </w:rPr>
          <w:t>124</w:t>
        </w:r>
        <w:r w:rsidR="001A4631" w:rsidRPr="001A4631">
          <w:rPr>
            <w:noProof/>
            <w:webHidden/>
          </w:rPr>
          <w:fldChar w:fldCharType="end"/>
        </w:r>
      </w:hyperlink>
    </w:p>
    <w:p w14:paraId="29552684" w14:textId="0705DDB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4" w:history="1">
        <w:r w:rsidR="001A4631" w:rsidRPr="001A4631">
          <w:rPr>
            <w:rStyle w:val="Hyperlink"/>
            <w:noProof/>
          </w:rPr>
          <w:t>Table 4-1. Search term suitability</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_Toc9509054 \h </w:instrText>
        </w:r>
        <w:r w:rsidR="001A4631" w:rsidRPr="001A4631">
          <w:rPr>
            <w:noProof/>
            <w:webHidden/>
          </w:rPr>
        </w:r>
        <w:r w:rsidR="001A4631" w:rsidRPr="001A4631">
          <w:rPr>
            <w:noProof/>
            <w:webHidden/>
          </w:rPr>
          <w:fldChar w:fldCharType="separate"/>
        </w:r>
        <w:r w:rsidR="0026579C">
          <w:rPr>
            <w:noProof/>
            <w:webHidden/>
          </w:rPr>
          <w:t>148</w:t>
        </w:r>
        <w:r w:rsidR="001A4631" w:rsidRPr="001A4631">
          <w:rPr>
            <w:noProof/>
            <w:webHidden/>
          </w:rPr>
          <w:fldChar w:fldCharType="end"/>
        </w:r>
      </w:hyperlink>
    </w:p>
    <w:p w14:paraId="42B366F3" w14:textId="2DDC4EB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5" w:history="1">
        <w:r w:rsidR="001A4631" w:rsidRPr="001A4631">
          <w:rPr>
            <w:rStyle w:val="Hyperlink"/>
            <w:noProof/>
          </w:rPr>
          <w:t>Table 4-2. Inclusion and exclusion criteria</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_Toc9509055 \h </w:instrText>
        </w:r>
        <w:r w:rsidR="001A4631" w:rsidRPr="001A4631">
          <w:rPr>
            <w:noProof/>
            <w:webHidden/>
          </w:rPr>
        </w:r>
        <w:r w:rsidR="001A4631" w:rsidRPr="001A4631">
          <w:rPr>
            <w:noProof/>
            <w:webHidden/>
          </w:rPr>
          <w:fldChar w:fldCharType="separate"/>
        </w:r>
        <w:r w:rsidR="0026579C">
          <w:rPr>
            <w:noProof/>
            <w:webHidden/>
          </w:rPr>
          <w:t>149</w:t>
        </w:r>
        <w:r w:rsidR="001A4631" w:rsidRPr="001A4631">
          <w:rPr>
            <w:noProof/>
            <w:webHidden/>
          </w:rPr>
          <w:fldChar w:fldCharType="end"/>
        </w:r>
      </w:hyperlink>
    </w:p>
    <w:p w14:paraId="77815FAD" w14:textId="539877CC"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6" w:history="1">
        <w:r w:rsidR="001A4631" w:rsidRPr="001A4631">
          <w:rPr>
            <w:rStyle w:val="Hyperlink"/>
            <w:noProof/>
            <w:lang w:eastAsia="en-GB"/>
          </w:rPr>
          <w:t>Table 4-3. Studies included in the literature review</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_Toc9509056 \h </w:instrText>
        </w:r>
        <w:r w:rsidR="001A4631" w:rsidRPr="001A4631">
          <w:rPr>
            <w:noProof/>
            <w:webHidden/>
          </w:rPr>
        </w:r>
        <w:r w:rsidR="001A4631" w:rsidRPr="001A4631">
          <w:rPr>
            <w:noProof/>
            <w:webHidden/>
          </w:rPr>
          <w:fldChar w:fldCharType="separate"/>
        </w:r>
        <w:r w:rsidR="0026579C">
          <w:rPr>
            <w:noProof/>
            <w:webHidden/>
          </w:rPr>
          <w:t>151</w:t>
        </w:r>
        <w:r w:rsidR="001A4631" w:rsidRPr="001A4631">
          <w:rPr>
            <w:noProof/>
            <w:webHidden/>
          </w:rPr>
          <w:fldChar w:fldCharType="end"/>
        </w:r>
      </w:hyperlink>
    </w:p>
    <w:p w14:paraId="3940632A" w14:textId="666115D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7" w:history="1">
        <w:r w:rsidR="001A4631" w:rsidRPr="001A4631">
          <w:rPr>
            <w:rStyle w:val="Hyperlink"/>
            <w:noProof/>
          </w:rPr>
          <w:t>Table 4-4. Reasons for use of NPS organised by theme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_Toc9509057 \h </w:instrText>
        </w:r>
        <w:r w:rsidR="001A4631" w:rsidRPr="001A4631">
          <w:rPr>
            <w:noProof/>
            <w:webHidden/>
          </w:rPr>
        </w:r>
        <w:r w:rsidR="001A4631" w:rsidRPr="001A4631">
          <w:rPr>
            <w:noProof/>
            <w:webHidden/>
          </w:rPr>
          <w:fldChar w:fldCharType="separate"/>
        </w:r>
        <w:r w:rsidR="0026579C">
          <w:rPr>
            <w:noProof/>
            <w:webHidden/>
          </w:rPr>
          <w:t>155</w:t>
        </w:r>
        <w:r w:rsidR="001A4631" w:rsidRPr="001A4631">
          <w:rPr>
            <w:noProof/>
            <w:webHidden/>
          </w:rPr>
          <w:fldChar w:fldCharType="end"/>
        </w:r>
      </w:hyperlink>
    </w:p>
    <w:p w14:paraId="76290AB6" w14:textId="6F9283B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8" w:history="1">
        <w:r w:rsidR="001A4631" w:rsidRPr="001A4631">
          <w:rPr>
            <w:rStyle w:val="Hyperlink"/>
            <w:noProof/>
          </w:rPr>
          <w:t>Table 4-5. Most commonly cited reasons for use by age range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_Toc9509058 \h </w:instrText>
        </w:r>
        <w:r w:rsidR="001A4631" w:rsidRPr="001A4631">
          <w:rPr>
            <w:noProof/>
            <w:webHidden/>
          </w:rPr>
        </w:r>
        <w:r w:rsidR="001A4631" w:rsidRPr="001A4631">
          <w:rPr>
            <w:noProof/>
            <w:webHidden/>
          </w:rPr>
          <w:fldChar w:fldCharType="separate"/>
        </w:r>
        <w:r w:rsidR="0026579C">
          <w:rPr>
            <w:noProof/>
            <w:webHidden/>
          </w:rPr>
          <w:t>169</w:t>
        </w:r>
        <w:r w:rsidR="001A4631" w:rsidRPr="001A4631">
          <w:rPr>
            <w:noProof/>
            <w:webHidden/>
          </w:rPr>
          <w:fldChar w:fldCharType="end"/>
        </w:r>
      </w:hyperlink>
    </w:p>
    <w:p w14:paraId="1F8CDAC3" w14:textId="52D2ECA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59" w:history="1">
        <w:r w:rsidR="001A4631" w:rsidRPr="001A4631">
          <w:rPr>
            <w:rStyle w:val="Hyperlink"/>
            <w:noProof/>
          </w:rPr>
          <w:t>Table 4-6. Most commonly cited reasons for use by country</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_Toc9509059 \h </w:instrText>
        </w:r>
        <w:r w:rsidR="001A4631" w:rsidRPr="001A4631">
          <w:rPr>
            <w:noProof/>
            <w:webHidden/>
          </w:rPr>
        </w:r>
        <w:r w:rsidR="001A4631" w:rsidRPr="001A4631">
          <w:rPr>
            <w:noProof/>
            <w:webHidden/>
          </w:rPr>
          <w:fldChar w:fldCharType="separate"/>
        </w:r>
        <w:r w:rsidR="0026579C">
          <w:rPr>
            <w:noProof/>
            <w:webHidden/>
          </w:rPr>
          <w:t>170</w:t>
        </w:r>
        <w:r w:rsidR="001A4631" w:rsidRPr="001A4631">
          <w:rPr>
            <w:noProof/>
            <w:webHidden/>
          </w:rPr>
          <w:fldChar w:fldCharType="end"/>
        </w:r>
      </w:hyperlink>
    </w:p>
    <w:p w14:paraId="79B11B04" w14:textId="6A3F214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0" w:history="1">
        <w:r w:rsidR="001A4631" w:rsidRPr="001A4631">
          <w:rPr>
            <w:rStyle w:val="Hyperlink"/>
            <w:noProof/>
          </w:rPr>
          <w:t>Table 4-7. Most commonly cited reasons for use by substance type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_Toc9509060 \h </w:instrText>
        </w:r>
        <w:r w:rsidR="001A4631" w:rsidRPr="001A4631">
          <w:rPr>
            <w:noProof/>
            <w:webHidden/>
          </w:rPr>
        </w:r>
        <w:r w:rsidR="001A4631" w:rsidRPr="001A4631">
          <w:rPr>
            <w:noProof/>
            <w:webHidden/>
          </w:rPr>
          <w:fldChar w:fldCharType="separate"/>
        </w:r>
        <w:r w:rsidR="0026579C">
          <w:rPr>
            <w:noProof/>
            <w:webHidden/>
          </w:rPr>
          <w:t>172</w:t>
        </w:r>
        <w:r w:rsidR="001A4631" w:rsidRPr="001A4631">
          <w:rPr>
            <w:noProof/>
            <w:webHidden/>
          </w:rPr>
          <w:fldChar w:fldCharType="end"/>
        </w:r>
      </w:hyperlink>
    </w:p>
    <w:p w14:paraId="1A6660CA" w14:textId="3D3C886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1" w:history="1">
        <w:r w:rsidR="001A4631" w:rsidRPr="001A4631">
          <w:rPr>
            <w:rStyle w:val="Hyperlink"/>
            <w:noProof/>
          </w:rPr>
          <w:t>Table 4-8. Most commonly cited reasons for use by type of drug use / user type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_Toc9509061 \h </w:instrText>
        </w:r>
        <w:r w:rsidR="001A4631" w:rsidRPr="001A4631">
          <w:rPr>
            <w:noProof/>
            <w:webHidden/>
          </w:rPr>
        </w:r>
        <w:r w:rsidR="001A4631" w:rsidRPr="001A4631">
          <w:rPr>
            <w:noProof/>
            <w:webHidden/>
          </w:rPr>
          <w:fldChar w:fldCharType="separate"/>
        </w:r>
        <w:r w:rsidR="0026579C">
          <w:rPr>
            <w:noProof/>
            <w:webHidden/>
          </w:rPr>
          <w:t>173</w:t>
        </w:r>
        <w:r w:rsidR="001A4631" w:rsidRPr="001A4631">
          <w:rPr>
            <w:noProof/>
            <w:webHidden/>
          </w:rPr>
          <w:fldChar w:fldCharType="end"/>
        </w:r>
      </w:hyperlink>
    </w:p>
    <w:p w14:paraId="649BF46E" w14:textId="031F9DB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2" w:history="1">
        <w:r w:rsidR="001A4631" w:rsidRPr="001A4631">
          <w:rPr>
            <w:rStyle w:val="Hyperlink"/>
            <w:noProof/>
          </w:rPr>
          <w:t>Table 4-9. Most commonly cited reasons for use type of question</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_Toc9509062 \h </w:instrText>
        </w:r>
        <w:r w:rsidR="001A4631" w:rsidRPr="001A4631">
          <w:rPr>
            <w:noProof/>
            <w:webHidden/>
          </w:rPr>
        </w:r>
        <w:r w:rsidR="001A4631" w:rsidRPr="001A4631">
          <w:rPr>
            <w:noProof/>
            <w:webHidden/>
          </w:rPr>
          <w:fldChar w:fldCharType="separate"/>
        </w:r>
        <w:r w:rsidR="0026579C">
          <w:rPr>
            <w:noProof/>
            <w:webHidden/>
          </w:rPr>
          <w:t>174</w:t>
        </w:r>
        <w:r w:rsidR="001A4631" w:rsidRPr="001A4631">
          <w:rPr>
            <w:noProof/>
            <w:webHidden/>
          </w:rPr>
          <w:fldChar w:fldCharType="end"/>
        </w:r>
      </w:hyperlink>
    </w:p>
    <w:p w14:paraId="4DFD1200" w14:textId="583FF18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3" w:history="1">
        <w:r w:rsidR="001A4631" w:rsidRPr="001A4631">
          <w:rPr>
            <w:rStyle w:val="Hyperlink"/>
            <w:noProof/>
          </w:rPr>
          <w:t>Table 4-10. Most commonly cited reasons for use by sample size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_Toc9509063 \h </w:instrText>
        </w:r>
        <w:r w:rsidR="001A4631" w:rsidRPr="001A4631">
          <w:rPr>
            <w:noProof/>
            <w:webHidden/>
          </w:rPr>
        </w:r>
        <w:r w:rsidR="001A4631" w:rsidRPr="001A4631">
          <w:rPr>
            <w:noProof/>
            <w:webHidden/>
          </w:rPr>
          <w:fldChar w:fldCharType="separate"/>
        </w:r>
        <w:r w:rsidR="0026579C">
          <w:rPr>
            <w:noProof/>
            <w:webHidden/>
          </w:rPr>
          <w:t>175</w:t>
        </w:r>
        <w:r w:rsidR="001A4631" w:rsidRPr="001A4631">
          <w:rPr>
            <w:noProof/>
            <w:webHidden/>
          </w:rPr>
          <w:fldChar w:fldCharType="end"/>
        </w:r>
      </w:hyperlink>
    </w:p>
    <w:p w14:paraId="00A87560" w14:textId="2C94350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4" w:history="1">
        <w:r w:rsidR="001A4631" w:rsidRPr="001A4631">
          <w:rPr>
            <w:rStyle w:val="Hyperlink"/>
            <w:noProof/>
          </w:rPr>
          <w:t>Table 4-11. Reasons for not using NPS organised by theme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_Toc9509064 \h </w:instrText>
        </w:r>
        <w:r w:rsidR="001A4631" w:rsidRPr="001A4631">
          <w:rPr>
            <w:noProof/>
            <w:webHidden/>
          </w:rPr>
        </w:r>
        <w:r w:rsidR="001A4631" w:rsidRPr="001A4631">
          <w:rPr>
            <w:noProof/>
            <w:webHidden/>
          </w:rPr>
          <w:fldChar w:fldCharType="separate"/>
        </w:r>
        <w:r w:rsidR="0026579C">
          <w:rPr>
            <w:noProof/>
            <w:webHidden/>
          </w:rPr>
          <w:t>177</w:t>
        </w:r>
        <w:r w:rsidR="001A4631" w:rsidRPr="001A4631">
          <w:rPr>
            <w:noProof/>
            <w:webHidden/>
          </w:rPr>
          <w:fldChar w:fldCharType="end"/>
        </w:r>
      </w:hyperlink>
    </w:p>
    <w:p w14:paraId="59ABA284" w14:textId="177FE80A"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5" w:history="1">
        <w:r w:rsidR="001A4631" w:rsidRPr="001A4631">
          <w:rPr>
            <w:rStyle w:val="Hyperlink"/>
            <w:noProof/>
          </w:rPr>
          <w:t>Table 5-1 Health behaviour model constructs grouped by construct category</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_Toc9509065 \h </w:instrText>
        </w:r>
        <w:r w:rsidR="001A4631" w:rsidRPr="001A4631">
          <w:rPr>
            <w:noProof/>
            <w:webHidden/>
          </w:rPr>
        </w:r>
        <w:r w:rsidR="001A4631" w:rsidRPr="001A4631">
          <w:rPr>
            <w:noProof/>
            <w:webHidden/>
          </w:rPr>
          <w:fldChar w:fldCharType="separate"/>
        </w:r>
        <w:r w:rsidR="0026579C">
          <w:rPr>
            <w:noProof/>
            <w:webHidden/>
          </w:rPr>
          <w:t>207</w:t>
        </w:r>
        <w:r w:rsidR="001A4631" w:rsidRPr="001A4631">
          <w:rPr>
            <w:noProof/>
            <w:webHidden/>
          </w:rPr>
          <w:fldChar w:fldCharType="end"/>
        </w:r>
      </w:hyperlink>
    </w:p>
    <w:p w14:paraId="2886761A" w14:textId="076C113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6" w:history="1">
        <w:r w:rsidR="001A4631" w:rsidRPr="001A4631">
          <w:rPr>
            <w:rStyle w:val="Hyperlink"/>
            <w:noProof/>
          </w:rPr>
          <w:t>Table 6-1. Focus group questions and their relationship to model constructs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_Toc9509066 \h </w:instrText>
        </w:r>
        <w:r w:rsidR="001A4631" w:rsidRPr="001A4631">
          <w:rPr>
            <w:noProof/>
            <w:webHidden/>
          </w:rPr>
        </w:r>
        <w:r w:rsidR="001A4631" w:rsidRPr="001A4631">
          <w:rPr>
            <w:noProof/>
            <w:webHidden/>
          </w:rPr>
          <w:fldChar w:fldCharType="separate"/>
        </w:r>
        <w:r w:rsidR="0026579C">
          <w:rPr>
            <w:noProof/>
            <w:webHidden/>
          </w:rPr>
          <w:t>236</w:t>
        </w:r>
        <w:r w:rsidR="001A4631" w:rsidRPr="001A4631">
          <w:rPr>
            <w:noProof/>
            <w:webHidden/>
          </w:rPr>
          <w:fldChar w:fldCharType="end"/>
        </w:r>
      </w:hyperlink>
    </w:p>
    <w:p w14:paraId="496D81B6" w14:textId="64BBF7DD"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7" w:history="1">
        <w:r w:rsidR="001A4631" w:rsidRPr="001A4631">
          <w:rPr>
            <w:rStyle w:val="Hyperlink"/>
            <w:noProof/>
            <w:shd w:val="clear" w:color="auto" w:fill="FFFFFF"/>
          </w:rPr>
          <w:t xml:space="preserve">Table </w:t>
        </w:r>
        <w:r w:rsidR="001A4631" w:rsidRPr="001A4631">
          <w:rPr>
            <w:rStyle w:val="Hyperlink"/>
            <w:noProof/>
          </w:rPr>
          <w:t>6-</w:t>
        </w:r>
        <w:r w:rsidR="001A4631" w:rsidRPr="001A4631">
          <w:rPr>
            <w:rStyle w:val="Hyperlink"/>
            <w:noProof/>
            <w:shd w:val="clear" w:color="auto" w:fill="FFFFFF"/>
          </w:rPr>
          <w:t>2: Study 1 sample characteristics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_Toc9509067 \h </w:instrText>
        </w:r>
        <w:r w:rsidR="001A4631" w:rsidRPr="001A4631">
          <w:rPr>
            <w:noProof/>
            <w:webHidden/>
          </w:rPr>
        </w:r>
        <w:r w:rsidR="001A4631" w:rsidRPr="001A4631">
          <w:rPr>
            <w:noProof/>
            <w:webHidden/>
          </w:rPr>
          <w:fldChar w:fldCharType="separate"/>
        </w:r>
        <w:r w:rsidR="0026579C">
          <w:rPr>
            <w:noProof/>
            <w:webHidden/>
          </w:rPr>
          <w:t>239</w:t>
        </w:r>
        <w:r w:rsidR="001A4631" w:rsidRPr="001A4631">
          <w:rPr>
            <w:noProof/>
            <w:webHidden/>
          </w:rPr>
          <w:fldChar w:fldCharType="end"/>
        </w:r>
      </w:hyperlink>
    </w:p>
    <w:p w14:paraId="0915FAC9" w14:textId="77EB719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8" w:history="1">
        <w:r w:rsidR="001A4631" w:rsidRPr="001A4631">
          <w:rPr>
            <w:rStyle w:val="Hyperlink"/>
            <w:noProof/>
          </w:rPr>
          <w:t>Table 6-3. Global themes: Reasons and motives for and against NPS use</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_Toc9509068 \h </w:instrText>
        </w:r>
        <w:r w:rsidR="001A4631" w:rsidRPr="001A4631">
          <w:rPr>
            <w:noProof/>
            <w:webHidden/>
          </w:rPr>
        </w:r>
        <w:r w:rsidR="001A4631" w:rsidRPr="001A4631">
          <w:rPr>
            <w:noProof/>
            <w:webHidden/>
          </w:rPr>
          <w:fldChar w:fldCharType="separate"/>
        </w:r>
        <w:r w:rsidR="0026579C">
          <w:rPr>
            <w:noProof/>
            <w:webHidden/>
          </w:rPr>
          <w:t>241</w:t>
        </w:r>
        <w:r w:rsidR="001A4631" w:rsidRPr="001A4631">
          <w:rPr>
            <w:noProof/>
            <w:webHidden/>
          </w:rPr>
          <w:fldChar w:fldCharType="end"/>
        </w:r>
      </w:hyperlink>
    </w:p>
    <w:p w14:paraId="2B42B86E" w14:textId="14FC8ACA"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69" w:history="1">
        <w:r w:rsidR="001A4631" w:rsidRPr="001A4631">
          <w:rPr>
            <w:rStyle w:val="Hyperlink"/>
            <w:noProof/>
            <w:lang w:eastAsia="en-GB"/>
          </w:rPr>
          <w:t xml:space="preserve">Table </w:t>
        </w:r>
        <w:r w:rsidR="001A4631" w:rsidRPr="001A4631">
          <w:rPr>
            <w:rStyle w:val="Hyperlink"/>
            <w:noProof/>
          </w:rPr>
          <w:t>6-</w:t>
        </w:r>
        <w:r w:rsidR="001A4631" w:rsidRPr="001A4631">
          <w:rPr>
            <w:rStyle w:val="Hyperlink"/>
            <w:noProof/>
            <w:lang w:eastAsia="en-GB"/>
          </w:rPr>
          <w:t>4. Global themes: Reasons and motives encouraging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_Toc9509069 \h </w:instrText>
        </w:r>
        <w:r w:rsidR="001A4631" w:rsidRPr="001A4631">
          <w:rPr>
            <w:noProof/>
            <w:webHidden/>
          </w:rPr>
        </w:r>
        <w:r w:rsidR="001A4631" w:rsidRPr="001A4631">
          <w:rPr>
            <w:noProof/>
            <w:webHidden/>
          </w:rPr>
          <w:fldChar w:fldCharType="separate"/>
        </w:r>
        <w:r w:rsidR="0026579C">
          <w:rPr>
            <w:noProof/>
            <w:webHidden/>
          </w:rPr>
          <w:t>242</w:t>
        </w:r>
        <w:r w:rsidR="001A4631" w:rsidRPr="001A4631">
          <w:rPr>
            <w:noProof/>
            <w:webHidden/>
          </w:rPr>
          <w:fldChar w:fldCharType="end"/>
        </w:r>
      </w:hyperlink>
    </w:p>
    <w:p w14:paraId="39AA0B69" w14:textId="3BCA26D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0" w:history="1">
        <w:r w:rsidR="001A4631" w:rsidRPr="001A4631">
          <w:rPr>
            <w:rStyle w:val="Hyperlink"/>
            <w:noProof/>
            <w:lang w:eastAsia="en-GB"/>
          </w:rPr>
          <w:t xml:space="preserve">Table </w:t>
        </w:r>
        <w:r w:rsidR="001A4631" w:rsidRPr="001A4631">
          <w:rPr>
            <w:rStyle w:val="Hyperlink"/>
            <w:noProof/>
          </w:rPr>
          <w:t>6-</w:t>
        </w:r>
        <w:r w:rsidR="001A4631" w:rsidRPr="001A4631">
          <w:rPr>
            <w:rStyle w:val="Hyperlink"/>
            <w:noProof/>
            <w:lang w:eastAsia="en-GB"/>
          </w:rPr>
          <w:t>5. Global themes: Reasons discouraging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_Toc9509070 \h </w:instrText>
        </w:r>
        <w:r w:rsidR="001A4631" w:rsidRPr="001A4631">
          <w:rPr>
            <w:noProof/>
            <w:webHidden/>
          </w:rPr>
        </w:r>
        <w:r w:rsidR="001A4631" w:rsidRPr="001A4631">
          <w:rPr>
            <w:noProof/>
            <w:webHidden/>
          </w:rPr>
          <w:fldChar w:fldCharType="separate"/>
        </w:r>
        <w:r w:rsidR="0026579C">
          <w:rPr>
            <w:noProof/>
            <w:webHidden/>
          </w:rPr>
          <w:t>242</w:t>
        </w:r>
        <w:r w:rsidR="001A4631" w:rsidRPr="001A4631">
          <w:rPr>
            <w:noProof/>
            <w:webHidden/>
          </w:rPr>
          <w:fldChar w:fldCharType="end"/>
        </w:r>
      </w:hyperlink>
    </w:p>
    <w:p w14:paraId="4B847E81" w14:textId="3C876042"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1" w:history="1">
        <w:r w:rsidR="001A4631" w:rsidRPr="001A4631">
          <w:rPr>
            <w:rStyle w:val="Hyperlink"/>
            <w:noProof/>
          </w:rPr>
          <w:t>Table 6-6. Beliefs, reasons and motives encouraging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_Toc9509071 \h </w:instrText>
        </w:r>
        <w:r w:rsidR="001A4631" w:rsidRPr="001A4631">
          <w:rPr>
            <w:noProof/>
            <w:webHidden/>
          </w:rPr>
        </w:r>
        <w:r w:rsidR="001A4631" w:rsidRPr="001A4631">
          <w:rPr>
            <w:noProof/>
            <w:webHidden/>
          </w:rPr>
          <w:fldChar w:fldCharType="separate"/>
        </w:r>
        <w:r w:rsidR="0026579C">
          <w:rPr>
            <w:noProof/>
            <w:webHidden/>
          </w:rPr>
          <w:t>244</w:t>
        </w:r>
        <w:r w:rsidR="001A4631" w:rsidRPr="001A4631">
          <w:rPr>
            <w:noProof/>
            <w:webHidden/>
          </w:rPr>
          <w:fldChar w:fldCharType="end"/>
        </w:r>
      </w:hyperlink>
    </w:p>
    <w:p w14:paraId="34F60004" w14:textId="6876A5D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2" w:history="1">
        <w:r w:rsidR="001A4631" w:rsidRPr="001A4631">
          <w:rPr>
            <w:rStyle w:val="Hyperlink"/>
            <w:noProof/>
          </w:rPr>
          <w:t>Table 6-7. Beliefs, reasons and motives discouraging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_Toc9509072 \h </w:instrText>
        </w:r>
        <w:r w:rsidR="001A4631" w:rsidRPr="001A4631">
          <w:rPr>
            <w:noProof/>
            <w:webHidden/>
          </w:rPr>
        </w:r>
        <w:r w:rsidR="001A4631" w:rsidRPr="001A4631">
          <w:rPr>
            <w:noProof/>
            <w:webHidden/>
          </w:rPr>
          <w:fldChar w:fldCharType="separate"/>
        </w:r>
        <w:r w:rsidR="0026579C">
          <w:rPr>
            <w:noProof/>
            <w:webHidden/>
          </w:rPr>
          <w:t>246</w:t>
        </w:r>
        <w:r w:rsidR="001A4631" w:rsidRPr="001A4631">
          <w:rPr>
            <w:noProof/>
            <w:webHidden/>
          </w:rPr>
          <w:fldChar w:fldCharType="end"/>
        </w:r>
      </w:hyperlink>
    </w:p>
    <w:p w14:paraId="5C6B7B88" w14:textId="40318125"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3" w:history="1">
        <w:r w:rsidR="001A4631" w:rsidRPr="001A4631">
          <w:rPr>
            <w:rStyle w:val="Hyperlink"/>
            <w:noProof/>
          </w:rPr>
          <w:t>Table 6-8. Taking NPS: Outcome expectancies, behavioural beliefs and motivations mapped onto social cognition model constructs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_Toc9509073 \h </w:instrText>
        </w:r>
        <w:r w:rsidR="001A4631" w:rsidRPr="001A4631">
          <w:rPr>
            <w:noProof/>
            <w:webHidden/>
          </w:rPr>
        </w:r>
        <w:r w:rsidR="001A4631" w:rsidRPr="001A4631">
          <w:rPr>
            <w:noProof/>
            <w:webHidden/>
          </w:rPr>
          <w:fldChar w:fldCharType="separate"/>
        </w:r>
        <w:r w:rsidR="0026579C">
          <w:rPr>
            <w:noProof/>
            <w:webHidden/>
          </w:rPr>
          <w:t>248</w:t>
        </w:r>
        <w:r w:rsidR="001A4631" w:rsidRPr="001A4631">
          <w:rPr>
            <w:noProof/>
            <w:webHidden/>
          </w:rPr>
          <w:fldChar w:fldCharType="end"/>
        </w:r>
      </w:hyperlink>
    </w:p>
    <w:p w14:paraId="226F07B2" w14:textId="5B3094BC"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4" w:history="1">
        <w:r w:rsidR="001A4631" w:rsidRPr="001A4631">
          <w:rPr>
            <w:rStyle w:val="Hyperlink"/>
            <w:noProof/>
          </w:rPr>
          <w:t>Table 6-9. Salient behavioural beliefs discouraging and encouraging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_Toc9509074 \h </w:instrText>
        </w:r>
        <w:r w:rsidR="001A4631" w:rsidRPr="001A4631">
          <w:rPr>
            <w:noProof/>
            <w:webHidden/>
          </w:rPr>
        </w:r>
        <w:r w:rsidR="001A4631" w:rsidRPr="001A4631">
          <w:rPr>
            <w:noProof/>
            <w:webHidden/>
          </w:rPr>
          <w:fldChar w:fldCharType="separate"/>
        </w:r>
        <w:r w:rsidR="0026579C">
          <w:rPr>
            <w:noProof/>
            <w:webHidden/>
          </w:rPr>
          <w:t>250</w:t>
        </w:r>
        <w:r w:rsidR="001A4631" w:rsidRPr="001A4631">
          <w:rPr>
            <w:noProof/>
            <w:webHidden/>
          </w:rPr>
          <w:fldChar w:fldCharType="end"/>
        </w:r>
      </w:hyperlink>
    </w:p>
    <w:p w14:paraId="1886F1BC" w14:textId="7613E68B"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5" w:history="1">
        <w:r w:rsidR="001A4631" w:rsidRPr="001A4631">
          <w:rPr>
            <w:rStyle w:val="Hyperlink"/>
            <w:noProof/>
          </w:rPr>
          <w:t>Table7-1 Additional focus group questions assessing the Impact of the PS Act</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_Toc9509075 \h </w:instrText>
        </w:r>
        <w:r w:rsidR="001A4631" w:rsidRPr="001A4631">
          <w:rPr>
            <w:noProof/>
            <w:webHidden/>
          </w:rPr>
        </w:r>
        <w:r w:rsidR="001A4631" w:rsidRPr="001A4631">
          <w:rPr>
            <w:noProof/>
            <w:webHidden/>
          </w:rPr>
          <w:fldChar w:fldCharType="separate"/>
        </w:r>
        <w:r w:rsidR="0026579C">
          <w:rPr>
            <w:noProof/>
            <w:webHidden/>
          </w:rPr>
          <w:t>290</w:t>
        </w:r>
        <w:r w:rsidR="001A4631" w:rsidRPr="001A4631">
          <w:rPr>
            <w:noProof/>
            <w:webHidden/>
          </w:rPr>
          <w:fldChar w:fldCharType="end"/>
        </w:r>
      </w:hyperlink>
    </w:p>
    <w:p w14:paraId="0BF48A5F" w14:textId="79E49AF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6" w:history="1">
        <w:r w:rsidR="001A4631" w:rsidRPr="001A4631">
          <w:rPr>
            <w:rStyle w:val="Hyperlink"/>
            <w:noProof/>
            <w:shd w:val="clear" w:color="auto" w:fill="FFFFFF"/>
          </w:rPr>
          <w:t>Table 7-2 Study 1 sample characteristics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_Toc9509076 \h </w:instrText>
        </w:r>
        <w:r w:rsidR="001A4631" w:rsidRPr="001A4631">
          <w:rPr>
            <w:noProof/>
            <w:webHidden/>
          </w:rPr>
        </w:r>
        <w:r w:rsidR="001A4631" w:rsidRPr="001A4631">
          <w:rPr>
            <w:noProof/>
            <w:webHidden/>
          </w:rPr>
          <w:fldChar w:fldCharType="separate"/>
        </w:r>
        <w:r w:rsidR="0026579C">
          <w:rPr>
            <w:noProof/>
            <w:webHidden/>
          </w:rPr>
          <w:t>292</w:t>
        </w:r>
        <w:r w:rsidR="001A4631" w:rsidRPr="001A4631">
          <w:rPr>
            <w:noProof/>
            <w:webHidden/>
          </w:rPr>
          <w:fldChar w:fldCharType="end"/>
        </w:r>
      </w:hyperlink>
    </w:p>
    <w:p w14:paraId="3F6D2685" w14:textId="46A0FEBB"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7" w:history="1">
        <w:r w:rsidR="001A4631" w:rsidRPr="001A4631">
          <w:rPr>
            <w:rStyle w:val="Hyperlink"/>
            <w:noProof/>
          </w:rPr>
          <w:t>Table 7-3 Use of NPS and illicit drugs by participants and their friends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_Toc9509077 \h </w:instrText>
        </w:r>
        <w:r w:rsidR="001A4631" w:rsidRPr="001A4631">
          <w:rPr>
            <w:noProof/>
            <w:webHidden/>
          </w:rPr>
        </w:r>
        <w:r w:rsidR="001A4631" w:rsidRPr="001A4631">
          <w:rPr>
            <w:noProof/>
            <w:webHidden/>
          </w:rPr>
          <w:fldChar w:fldCharType="separate"/>
        </w:r>
        <w:r w:rsidR="0026579C">
          <w:rPr>
            <w:noProof/>
            <w:webHidden/>
          </w:rPr>
          <w:t>294</w:t>
        </w:r>
        <w:r w:rsidR="001A4631" w:rsidRPr="001A4631">
          <w:rPr>
            <w:noProof/>
            <w:webHidden/>
          </w:rPr>
          <w:fldChar w:fldCharType="end"/>
        </w:r>
      </w:hyperlink>
    </w:p>
    <w:p w14:paraId="596B8525" w14:textId="5A7B6094"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8" w:history="1">
        <w:r w:rsidR="001A4631" w:rsidRPr="001A4631">
          <w:rPr>
            <w:rStyle w:val="Hyperlink"/>
            <w:noProof/>
          </w:rPr>
          <w:t>Table 7-4 Specific named substances spontaneously referred to in Studies 1 and 2</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_Toc9509078 \h </w:instrText>
        </w:r>
        <w:r w:rsidR="001A4631" w:rsidRPr="001A4631">
          <w:rPr>
            <w:noProof/>
            <w:webHidden/>
          </w:rPr>
        </w:r>
        <w:r w:rsidR="001A4631" w:rsidRPr="001A4631">
          <w:rPr>
            <w:noProof/>
            <w:webHidden/>
          </w:rPr>
          <w:fldChar w:fldCharType="separate"/>
        </w:r>
        <w:r w:rsidR="0026579C">
          <w:rPr>
            <w:noProof/>
            <w:webHidden/>
          </w:rPr>
          <w:t>296</w:t>
        </w:r>
        <w:r w:rsidR="001A4631" w:rsidRPr="001A4631">
          <w:rPr>
            <w:noProof/>
            <w:webHidden/>
          </w:rPr>
          <w:fldChar w:fldCharType="end"/>
        </w:r>
      </w:hyperlink>
    </w:p>
    <w:p w14:paraId="0CDFCB90" w14:textId="6A301C48"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79" w:history="1">
        <w:r w:rsidR="001A4631" w:rsidRPr="001A4631">
          <w:rPr>
            <w:rStyle w:val="Hyperlink"/>
            <w:noProof/>
          </w:rPr>
          <w:t>Table 7-5 Participants awareness of the PS Act</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_Toc9509079 \h </w:instrText>
        </w:r>
        <w:r w:rsidR="001A4631" w:rsidRPr="001A4631">
          <w:rPr>
            <w:noProof/>
            <w:webHidden/>
          </w:rPr>
        </w:r>
        <w:r w:rsidR="001A4631" w:rsidRPr="001A4631">
          <w:rPr>
            <w:noProof/>
            <w:webHidden/>
          </w:rPr>
          <w:fldChar w:fldCharType="separate"/>
        </w:r>
        <w:r w:rsidR="0026579C">
          <w:rPr>
            <w:noProof/>
            <w:webHidden/>
          </w:rPr>
          <w:t>296</w:t>
        </w:r>
        <w:r w:rsidR="001A4631" w:rsidRPr="001A4631">
          <w:rPr>
            <w:noProof/>
            <w:webHidden/>
          </w:rPr>
          <w:fldChar w:fldCharType="end"/>
        </w:r>
      </w:hyperlink>
    </w:p>
    <w:p w14:paraId="0091151B" w14:textId="3FAF015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0" w:history="1">
        <w:r w:rsidR="001A4631" w:rsidRPr="001A4631">
          <w:rPr>
            <w:rStyle w:val="Hyperlink"/>
            <w:noProof/>
          </w:rPr>
          <w:t>Table 7-6 Belief categories for statements assessing the impact of the PS Act</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_Toc9509080 \h </w:instrText>
        </w:r>
        <w:r w:rsidR="001A4631" w:rsidRPr="001A4631">
          <w:rPr>
            <w:noProof/>
            <w:webHidden/>
          </w:rPr>
        </w:r>
        <w:r w:rsidR="001A4631" w:rsidRPr="001A4631">
          <w:rPr>
            <w:noProof/>
            <w:webHidden/>
          </w:rPr>
          <w:fldChar w:fldCharType="separate"/>
        </w:r>
        <w:r w:rsidR="0026579C">
          <w:rPr>
            <w:noProof/>
            <w:webHidden/>
          </w:rPr>
          <w:t>298</w:t>
        </w:r>
        <w:r w:rsidR="001A4631" w:rsidRPr="001A4631">
          <w:rPr>
            <w:noProof/>
            <w:webHidden/>
          </w:rPr>
          <w:fldChar w:fldCharType="end"/>
        </w:r>
      </w:hyperlink>
    </w:p>
    <w:p w14:paraId="58E34C5A" w14:textId="18657C5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1" w:history="1">
        <w:r w:rsidR="001A4631" w:rsidRPr="001A4631">
          <w:rPr>
            <w:rStyle w:val="Hyperlink"/>
            <w:noProof/>
          </w:rPr>
          <w:t>Table 7-7 All coded statements: Themes identified in the post-ban focus groups ranked by frequency of expression</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_Toc9509081 \h </w:instrText>
        </w:r>
        <w:r w:rsidR="001A4631" w:rsidRPr="001A4631">
          <w:rPr>
            <w:noProof/>
            <w:webHidden/>
          </w:rPr>
        </w:r>
        <w:r w:rsidR="001A4631" w:rsidRPr="001A4631">
          <w:rPr>
            <w:noProof/>
            <w:webHidden/>
          </w:rPr>
          <w:fldChar w:fldCharType="separate"/>
        </w:r>
        <w:r w:rsidR="0026579C">
          <w:rPr>
            <w:noProof/>
            <w:webHidden/>
          </w:rPr>
          <w:t>301</w:t>
        </w:r>
        <w:r w:rsidR="001A4631" w:rsidRPr="001A4631">
          <w:rPr>
            <w:noProof/>
            <w:webHidden/>
          </w:rPr>
          <w:fldChar w:fldCharType="end"/>
        </w:r>
      </w:hyperlink>
    </w:p>
    <w:p w14:paraId="22F50498" w14:textId="5EBD5046"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2" w:history="1">
        <w:r w:rsidR="001A4631" w:rsidRPr="001A4631">
          <w:rPr>
            <w:rStyle w:val="Hyperlink"/>
            <w:noProof/>
          </w:rPr>
          <w:t xml:space="preserve">Table 7-8 </w:t>
        </w:r>
        <w:r w:rsidR="001A4631" w:rsidRPr="001A4631">
          <w:rPr>
            <w:rStyle w:val="Hyperlink"/>
            <w:noProof/>
            <w:lang w:eastAsia="en-GB"/>
          </w:rPr>
          <w:t>Statements encouraging use of NPS</w:t>
        </w:r>
        <w:r w:rsidR="001A4631" w:rsidRPr="001A4631">
          <w:rPr>
            <w:rStyle w:val="Hyperlink"/>
            <w:noProof/>
          </w:rPr>
          <w:t>: Themes identified in the post-ban focus groups ranked by frequency of expression.</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_Toc9509082 \h </w:instrText>
        </w:r>
        <w:r w:rsidR="001A4631" w:rsidRPr="001A4631">
          <w:rPr>
            <w:noProof/>
            <w:webHidden/>
          </w:rPr>
        </w:r>
        <w:r w:rsidR="001A4631" w:rsidRPr="001A4631">
          <w:rPr>
            <w:noProof/>
            <w:webHidden/>
          </w:rPr>
          <w:fldChar w:fldCharType="separate"/>
        </w:r>
        <w:r w:rsidR="0026579C">
          <w:rPr>
            <w:noProof/>
            <w:webHidden/>
          </w:rPr>
          <w:t>302</w:t>
        </w:r>
        <w:r w:rsidR="001A4631" w:rsidRPr="001A4631">
          <w:rPr>
            <w:noProof/>
            <w:webHidden/>
          </w:rPr>
          <w:fldChar w:fldCharType="end"/>
        </w:r>
      </w:hyperlink>
    </w:p>
    <w:p w14:paraId="2CBE0FBD" w14:textId="402CB3DE"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3" w:history="1">
        <w:r w:rsidR="001A4631" w:rsidRPr="001A4631">
          <w:rPr>
            <w:rStyle w:val="Hyperlink"/>
            <w:noProof/>
          </w:rPr>
          <w:t xml:space="preserve">Table7-9 </w:t>
        </w:r>
        <w:r w:rsidR="001A4631" w:rsidRPr="001A4631">
          <w:rPr>
            <w:rStyle w:val="Hyperlink"/>
            <w:noProof/>
            <w:lang w:eastAsia="en-GB"/>
          </w:rPr>
          <w:t>Statements discouraging use of NPS</w:t>
        </w:r>
        <w:r w:rsidR="001A4631" w:rsidRPr="001A4631">
          <w:rPr>
            <w:rStyle w:val="Hyperlink"/>
            <w:noProof/>
          </w:rPr>
          <w:t>: Themes identified in the post-ban focus groups ranked by frequency of expression.</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_Toc9509083 \h </w:instrText>
        </w:r>
        <w:r w:rsidR="001A4631" w:rsidRPr="001A4631">
          <w:rPr>
            <w:noProof/>
            <w:webHidden/>
          </w:rPr>
        </w:r>
        <w:r w:rsidR="001A4631" w:rsidRPr="001A4631">
          <w:rPr>
            <w:noProof/>
            <w:webHidden/>
          </w:rPr>
          <w:fldChar w:fldCharType="separate"/>
        </w:r>
        <w:r w:rsidR="0026579C">
          <w:rPr>
            <w:noProof/>
            <w:webHidden/>
          </w:rPr>
          <w:t>303</w:t>
        </w:r>
        <w:r w:rsidR="001A4631" w:rsidRPr="001A4631">
          <w:rPr>
            <w:noProof/>
            <w:webHidden/>
          </w:rPr>
          <w:fldChar w:fldCharType="end"/>
        </w:r>
      </w:hyperlink>
    </w:p>
    <w:p w14:paraId="126E9B4E" w14:textId="4420D7BF"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4" w:history="1">
        <w:r w:rsidR="001A4631" w:rsidRPr="001A4631">
          <w:rPr>
            <w:rStyle w:val="Hyperlink"/>
            <w:noProof/>
          </w:rPr>
          <w:t>Table 7-10. Beliefs, reasons and motives encouraging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_Toc9509084 \h </w:instrText>
        </w:r>
        <w:r w:rsidR="001A4631" w:rsidRPr="001A4631">
          <w:rPr>
            <w:noProof/>
            <w:webHidden/>
          </w:rPr>
        </w:r>
        <w:r w:rsidR="001A4631" w:rsidRPr="001A4631">
          <w:rPr>
            <w:noProof/>
            <w:webHidden/>
          </w:rPr>
          <w:fldChar w:fldCharType="separate"/>
        </w:r>
        <w:r w:rsidR="0026579C">
          <w:rPr>
            <w:noProof/>
            <w:webHidden/>
          </w:rPr>
          <w:t>307</w:t>
        </w:r>
        <w:r w:rsidR="001A4631" w:rsidRPr="001A4631">
          <w:rPr>
            <w:noProof/>
            <w:webHidden/>
          </w:rPr>
          <w:fldChar w:fldCharType="end"/>
        </w:r>
      </w:hyperlink>
    </w:p>
    <w:p w14:paraId="3848CA6A" w14:textId="450AF8FA"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5" w:history="1">
        <w:r w:rsidR="001A4631" w:rsidRPr="001A4631">
          <w:rPr>
            <w:rStyle w:val="Hyperlink"/>
            <w:noProof/>
          </w:rPr>
          <w:t>Table 7-11. Beliefs, reasons and motives discouraging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_Toc9509085 \h </w:instrText>
        </w:r>
        <w:r w:rsidR="001A4631" w:rsidRPr="001A4631">
          <w:rPr>
            <w:noProof/>
            <w:webHidden/>
          </w:rPr>
        </w:r>
        <w:r w:rsidR="001A4631" w:rsidRPr="001A4631">
          <w:rPr>
            <w:noProof/>
            <w:webHidden/>
          </w:rPr>
          <w:fldChar w:fldCharType="separate"/>
        </w:r>
        <w:r w:rsidR="0026579C">
          <w:rPr>
            <w:noProof/>
            <w:webHidden/>
          </w:rPr>
          <w:t>309</w:t>
        </w:r>
        <w:r w:rsidR="001A4631" w:rsidRPr="001A4631">
          <w:rPr>
            <w:noProof/>
            <w:webHidden/>
          </w:rPr>
          <w:fldChar w:fldCharType="end"/>
        </w:r>
      </w:hyperlink>
    </w:p>
    <w:p w14:paraId="5B8A1E7F" w14:textId="4BC84424"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6" w:history="1">
        <w:r w:rsidR="001A4631" w:rsidRPr="001A4631">
          <w:rPr>
            <w:rStyle w:val="Hyperlink"/>
            <w:noProof/>
          </w:rPr>
          <w:t>Table 8-1. Focus group questions for motivational targets and intervention acceptability</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_Toc9509086 \h </w:instrText>
        </w:r>
        <w:r w:rsidR="001A4631" w:rsidRPr="001A4631">
          <w:rPr>
            <w:noProof/>
            <w:webHidden/>
          </w:rPr>
        </w:r>
        <w:r w:rsidR="001A4631" w:rsidRPr="001A4631">
          <w:rPr>
            <w:noProof/>
            <w:webHidden/>
          </w:rPr>
          <w:fldChar w:fldCharType="separate"/>
        </w:r>
        <w:r w:rsidR="0026579C">
          <w:rPr>
            <w:noProof/>
            <w:webHidden/>
          </w:rPr>
          <w:t>337</w:t>
        </w:r>
        <w:r w:rsidR="001A4631" w:rsidRPr="001A4631">
          <w:rPr>
            <w:noProof/>
            <w:webHidden/>
          </w:rPr>
          <w:fldChar w:fldCharType="end"/>
        </w:r>
      </w:hyperlink>
    </w:p>
    <w:p w14:paraId="5CC0CDBE" w14:textId="3FC5ECE4"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7" w:history="1">
        <w:r w:rsidR="001A4631" w:rsidRPr="001A4631">
          <w:rPr>
            <w:rStyle w:val="Hyperlink"/>
            <w:noProof/>
            <w:shd w:val="clear" w:color="auto" w:fill="FFFFFF"/>
          </w:rPr>
          <w:t>Table 8-2. Study 3 sample characteristics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_Toc9509087 \h </w:instrText>
        </w:r>
        <w:r w:rsidR="001A4631" w:rsidRPr="001A4631">
          <w:rPr>
            <w:noProof/>
            <w:webHidden/>
          </w:rPr>
        </w:r>
        <w:r w:rsidR="001A4631" w:rsidRPr="001A4631">
          <w:rPr>
            <w:noProof/>
            <w:webHidden/>
          </w:rPr>
          <w:fldChar w:fldCharType="separate"/>
        </w:r>
        <w:r w:rsidR="0026579C">
          <w:rPr>
            <w:noProof/>
            <w:webHidden/>
          </w:rPr>
          <w:t>339</w:t>
        </w:r>
        <w:r w:rsidR="001A4631" w:rsidRPr="001A4631">
          <w:rPr>
            <w:noProof/>
            <w:webHidden/>
          </w:rPr>
          <w:fldChar w:fldCharType="end"/>
        </w:r>
      </w:hyperlink>
    </w:p>
    <w:p w14:paraId="6BA1E988" w14:textId="3D2CFE02"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8" w:history="1">
        <w:r w:rsidR="001A4631" w:rsidRPr="001A4631">
          <w:rPr>
            <w:rStyle w:val="Hyperlink"/>
            <w:noProof/>
          </w:rPr>
          <w:t>Table 8-3. Participants’ use of NPS and illicit drugs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_Toc9509088 \h </w:instrText>
        </w:r>
        <w:r w:rsidR="001A4631" w:rsidRPr="001A4631">
          <w:rPr>
            <w:noProof/>
            <w:webHidden/>
          </w:rPr>
        </w:r>
        <w:r w:rsidR="001A4631" w:rsidRPr="001A4631">
          <w:rPr>
            <w:noProof/>
            <w:webHidden/>
          </w:rPr>
          <w:fldChar w:fldCharType="separate"/>
        </w:r>
        <w:r w:rsidR="0026579C">
          <w:rPr>
            <w:noProof/>
            <w:webHidden/>
          </w:rPr>
          <w:t>341</w:t>
        </w:r>
        <w:r w:rsidR="001A4631" w:rsidRPr="001A4631">
          <w:rPr>
            <w:noProof/>
            <w:webHidden/>
          </w:rPr>
          <w:fldChar w:fldCharType="end"/>
        </w:r>
      </w:hyperlink>
    </w:p>
    <w:p w14:paraId="3D88FBBF" w14:textId="21D485F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89" w:history="1">
        <w:r w:rsidR="001A4631" w:rsidRPr="001A4631">
          <w:rPr>
            <w:rStyle w:val="Hyperlink"/>
            <w:noProof/>
          </w:rPr>
          <w:t>Table 8-4. Use of NPS and illicit drugs by participants’ friends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_Toc9509089 \h </w:instrText>
        </w:r>
        <w:r w:rsidR="001A4631" w:rsidRPr="001A4631">
          <w:rPr>
            <w:noProof/>
            <w:webHidden/>
          </w:rPr>
        </w:r>
        <w:r w:rsidR="001A4631" w:rsidRPr="001A4631">
          <w:rPr>
            <w:noProof/>
            <w:webHidden/>
          </w:rPr>
          <w:fldChar w:fldCharType="separate"/>
        </w:r>
        <w:r w:rsidR="0026579C">
          <w:rPr>
            <w:noProof/>
            <w:webHidden/>
          </w:rPr>
          <w:t>342</w:t>
        </w:r>
        <w:r w:rsidR="001A4631" w:rsidRPr="001A4631">
          <w:rPr>
            <w:noProof/>
            <w:webHidden/>
          </w:rPr>
          <w:fldChar w:fldCharType="end"/>
        </w:r>
      </w:hyperlink>
    </w:p>
    <w:p w14:paraId="4B2E933F" w14:textId="11BCFB01"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0" w:history="1">
        <w:r w:rsidR="001A4631" w:rsidRPr="001A4631">
          <w:rPr>
            <w:rStyle w:val="Hyperlink"/>
            <w:noProof/>
          </w:rPr>
          <w:t>Table 8-5. Participants’ awareness of the PS Act</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_Toc9509090 \h </w:instrText>
        </w:r>
        <w:r w:rsidR="001A4631" w:rsidRPr="001A4631">
          <w:rPr>
            <w:noProof/>
            <w:webHidden/>
          </w:rPr>
        </w:r>
        <w:r w:rsidR="001A4631" w:rsidRPr="001A4631">
          <w:rPr>
            <w:noProof/>
            <w:webHidden/>
          </w:rPr>
          <w:fldChar w:fldCharType="separate"/>
        </w:r>
        <w:r w:rsidR="0026579C">
          <w:rPr>
            <w:noProof/>
            <w:webHidden/>
          </w:rPr>
          <w:t>343</w:t>
        </w:r>
        <w:r w:rsidR="001A4631" w:rsidRPr="001A4631">
          <w:rPr>
            <w:noProof/>
            <w:webHidden/>
          </w:rPr>
          <w:fldChar w:fldCharType="end"/>
        </w:r>
      </w:hyperlink>
    </w:p>
    <w:p w14:paraId="54D3AEF4" w14:textId="112AD5D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1" w:history="1">
        <w:r w:rsidR="001A4631" w:rsidRPr="001A4631">
          <w:rPr>
            <w:rStyle w:val="Hyperlink"/>
            <w:noProof/>
          </w:rPr>
          <w:t>Table 8-6. Motives considered most important to young people who use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_Toc9509091 \h </w:instrText>
        </w:r>
        <w:r w:rsidR="001A4631" w:rsidRPr="001A4631">
          <w:rPr>
            <w:noProof/>
            <w:webHidden/>
          </w:rPr>
        </w:r>
        <w:r w:rsidR="001A4631" w:rsidRPr="001A4631">
          <w:rPr>
            <w:noProof/>
            <w:webHidden/>
          </w:rPr>
          <w:fldChar w:fldCharType="separate"/>
        </w:r>
        <w:r w:rsidR="0026579C">
          <w:rPr>
            <w:noProof/>
            <w:webHidden/>
          </w:rPr>
          <w:t>344</w:t>
        </w:r>
        <w:r w:rsidR="001A4631" w:rsidRPr="001A4631">
          <w:rPr>
            <w:noProof/>
            <w:webHidden/>
          </w:rPr>
          <w:fldChar w:fldCharType="end"/>
        </w:r>
      </w:hyperlink>
    </w:p>
    <w:p w14:paraId="57EBA307" w14:textId="347C0B9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2" w:history="1">
        <w:r w:rsidR="001A4631" w:rsidRPr="001A4631">
          <w:rPr>
            <w:rStyle w:val="Hyperlink"/>
            <w:noProof/>
          </w:rPr>
          <w:t>Table 8-7. Motives considered most important to young people who do not to use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_Toc9509092 \h </w:instrText>
        </w:r>
        <w:r w:rsidR="001A4631" w:rsidRPr="001A4631">
          <w:rPr>
            <w:noProof/>
            <w:webHidden/>
          </w:rPr>
        </w:r>
        <w:r w:rsidR="001A4631" w:rsidRPr="001A4631">
          <w:rPr>
            <w:noProof/>
            <w:webHidden/>
          </w:rPr>
          <w:fldChar w:fldCharType="separate"/>
        </w:r>
        <w:r w:rsidR="0026579C">
          <w:rPr>
            <w:noProof/>
            <w:webHidden/>
          </w:rPr>
          <w:t>345</w:t>
        </w:r>
        <w:r w:rsidR="001A4631" w:rsidRPr="001A4631">
          <w:rPr>
            <w:noProof/>
            <w:webHidden/>
          </w:rPr>
          <w:fldChar w:fldCharType="end"/>
        </w:r>
      </w:hyperlink>
    </w:p>
    <w:p w14:paraId="05DA1BF6" w14:textId="440A7BD7"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3" w:history="1">
        <w:r w:rsidR="001A4631" w:rsidRPr="001A4631">
          <w:rPr>
            <w:rStyle w:val="Hyperlink"/>
            <w:noProof/>
          </w:rPr>
          <w:t>Table 8-8. Conflicts between motives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_Toc9509093 \h </w:instrText>
        </w:r>
        <w:r w:rsidR="001A4631" w:rsidRPr="001A4631">
          <w:rPr>
            <w:noProof/>
            <w:webHidden/>
          </w:rPr>
        </w:r>
        <w:r w:rsidR="001A4631" w:rsidRPr="001A4631">
          <w:rPr>
            <w:noProof/>
            <w:webHidden/>
          </w:rPr>
          <w:fldChar w:fldCharType="separate"/>
        </w:r>
        <w:r w:rsidR="0026579C">
          <w:rPr>
            <w:noProof/>
            <w:webHidden/>
          </w:rPr>
          <w:t>345</w:t>
        </w:r>
        <w:r w:rsidR="001A4631" w:rsidRPr="001A4631">
          <w:rPr>
            <w:noProof/>
            <w:webHidden/>
          </w:rPr>
          <w:fldChar w:fldCharType="end"/>
        </w:r>
      </w:hyperlink>
    </w:p>
    <w:p w14:paraId="1B6F6CBC" w14:textId="17932770"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4" w:history="1">
        <w:r w:rsidR="001A4631" w:rsidRPr="001A4631">
          <w:rPr>
            <w:rStyle w:val="Hyperlink"/>
            <w:noProof/>
          </w:rPr>
          <w:t>Table 8-9. Acceptable intervention content, setting and method</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_Toc9509094 \h </w:instrText>
        </w:r>
        <w:r w:rsidR="001A4631" w:rsidRPr="001A4631">
          <w:rPr>
            <w:noProof/>
            <w:webHidden/>
          </w:rPr>
        </w:r>
        <w:r w:rsidR="001A4631" w:rsidRPr="001A4631">
          <w:rPr>
            <w:noProof/>
            <w:webHidden/>
          </w:rPr>
          <w:fldChar w:fldCharType="separate"/>
        </w:r>
        <w:r w:rsidR="0026579C">
          <w:rPr>
            <w:noProof/>
            <w:webHidden/>
          </w:rPr>
          <w:t>348</w:t>
        </w:r>
        <w:r w:rsidR="001A4631" w:rsidRPr="001A4631">
          <w:rPr>
            <w:noProof/>
            <w:webHidden/>
          </w:rPr>
          <w:fldChar w:fldCharType="end"/>
        </w:r>
      </w:hyperlink>
    </w:p>
    <w:p w14:paraId="1CAB1CE6" w14:textId="1371D459" w:rsidR="001A4631" w:rsidRPr="001A4631" w:rsidRDefault="00251E9C">
      <w:pPr>
        <w:pStyle w:val="TableofFigures"/>
        <w:tabs>
          <w:tab w:val="right" w:leader="dot" w:pos="9323"/>
        </w:tabs>
        <w:rPr>
          <w:rFonts w:asciiTheme="minorHAnsi" w:eastAsiaTheme="minorEastAsia" w:hAnsiTheme="minorHAnsi" w:cstheme="minorBidi"/>
          <w:noProof/>
          <w:sz w:val="22"/>
          <w:lang w:eastAsia="en-GB"/>
        </w:rPr>
      </w:pPr>
      <w:hyperlink w:anchor="_Toc9509095" w:history="1">
        <w:r w:rsidR="001A4631" w:rsidRPr="001A4631">
          <w:rPr>
            <w:rStyle w:val="Hyperlink"/>
            <w:noProof/>
          </w:rPr>
          <w:t>Table 9-2. Salient behavioural beliefs discouraging and encouraging use of NPS</w:t>
        </w:r>
        <w:r w:rsidR="001A4631" w:rsidRPr="001A4631">
          <w:rPr>
            <w:noProof/>
            <w:webHidden/>
          </w:rPr>
          <w:tab/>
        </w:r>
        <w:r w:rsidR="001A4631" w:rsidRPr="001A4631">
          <w:rPr>
            <w:noProof/>
            <w:webHidden/>
          </w:rPr>
          <w:fldChar w:fldCharType="begin"/>
        </w:r>
        <w:r w:rsidR="001A4631" w:rsidRPr="001A4631">
          <w:rPr>
            <w:noProof/>
            <w:webHidden/>
          </w:rPr>
          <w:instrText xml:space="preserve"> PAGEREF _Toc9509095 \h </w:instrText>
        </w:r>
        <w:r w:rsidR="001A4631" w:rsidRPr="001A4631">
          <w:rPr>
            <w:noProof/>
            <w:webHidden/>
          </w:rPr>
        </w:r>
        <w:r w:rsidR="001A4631" w:rsidRPr="001A4631">
          <w:rPr>
            <w:noProof/>
            <w:webHidden/>
          </w:rPr>
          <w:fldChar w:fldCharType="separate"/>
        </w:r>
        <w:r w:rsidR="0026579C">
          <w:rPr>
            <w:noProof/>
            <w:webHidden/>
          </w:rPr>
          <w:t>399</w:t>
        </w:r>
        <w:r w:rsidR="001A4631" w:rsidRPr="001A4631">
          <w:rPr>
            <w:noProof/>
            <w:webHidden/>
          </w:rPr>
          <w:fldChar w:fldCharType="end"/>
        </w:r>
      </w:hyperlink>
    </w:p>
    <w:p w14:paraId="6DB107A6" w14:textId="028BF02B" w:rsidR="00C637D7" w:rsidRDefault="008B7C26" w:rsidP="00910981">
      <w:pPr>
        <w:pStyle w:val="TableofFigures"/>
        <w:tabs>
          <w:tab w:val="right" w:leader="dot" w:pos="9333"/>
        </w:tabs>
        <w:rPr>
          <w:rStyle w:val="Hyperlink"/>
          <w:noProof/>
        </w:rPr>
      </w:pPr>
      <w:r w:rsidRPr="001A4631">
        <w:rPr>
          <w:rStyle w:val="Hyperlink"/>
          <w:noProof/>
        </w:rPr>
        <w:fldChar w:fldCharType="end"/>
      </w:r>
    </w:p>
    <w:p w14:paraId="6B282C87" w14:textId="26384346" w:rsidR="00C637D7" w:rsidRPr="001A4631" w:rsidRDefault="00C637D7" w:rsidP="00C637D7">
      <w:pPr>
        <w:rPr>
          <w:noProof/>
          <w:color w:val="0000FF"/>
          <w:u w:val="single"/>
        </w:rPr>
      </w:pPr>
    </w:p>
    <w:p w14:paraId="7F9F2CFE" w14:textId="77777777" w:rsidR="00841434" w:rsidRDefault="00841434">
      <w:pPr>
        <w:rPr>
          <w:b/>
          <w:bCs/>
          <w:sz w:val="28"/>
          <w:szCs w:val="32"/>
        </w:rPr>
        <w:sectPr w:rsidR="00841434" w:rsidSect="00910981">
          <w:pgSz w:w="11906" w:h="16838"/>
          <w:pgMar w:top="1440" w:right="1133" w:bottom="1440" w:left="1440" w:header="708" w:footer="708" w:gutter="0"/>
          <w:pgNumType w:fmt="lowerRoman"/>
          <w:cols w:space="708"/>
          <w:docGrid w:linePitch="360"/>
        </w:sectPr>
      </w:pPr>
    </w:p>
    <w:p w14:paraId="188DF673" w14:textId="32212FA2" w:rsidR="00841434" w:rsidRPr="007448D1" w:rsidRDefault="00841434" w:rsidP="00841434">
      <w:pPr>
        <w:pStyle w:val="Heading1"/>
        <w:numPr>
          <w:ilvl w:val="0"/>
          <w:numId w:val="0"/>
        </w:numPr>
        <w:ind w:left="432" w:hanging="432"/>
        <w:rPr>
          <w:szCs w:val="32"/>
        </w:rPr>
      </w:pPr>
      <w:bookmarkStart w:id="14" w:name="_Toc9182713"/>
      <w:bookmarkStart w:id="15" w:name="_Toc35892484"/>
      <w:r w:rsidRPr="00D15CD9">
        <w:rPr>
          <w:szCs w:val="32"/>
        </w:rPr>
        <w:t>List of Figures</w:t>
      </w:r>
      <w:bookmarkEnd w:id="14"/>
      <w:bookmarkEnd w:id="15"/>
    </w:p>
    <w:p w14:paraId="04B9EA77" w14:textId="1429EA91" w:rsidR="001A4631" w:rsidRDefault="008B7C26">
      <w:pPr>
        <w:pStyle w:val="TableofFigures"/>
        <w:tabs>
          <w:tab w:val="right" w:leader="dot" w:pos="9016"/>
        </w:tabs>
        <w:rPr>
          <w:rFonts w:asciiTheme="minorHAnsi" w:eastAsiaTheme="minorEastAsia" w:hAnsiTheme="minorHAnsi" w:cstheme="minorBidi"/>
          <w:noProof/>
          <w:sz w:val="22"/>
          <w:lang w:eastAsia="en-GB"/>
        </w:rPr>
      </w:pPr>
      <w:r>
        <w:rPr>
          <w:rFonts w:asciiTheme="majorBidi" w:hAnsiTheme="majorBidi" w:cstheme="majorBidi"/>
          <w:szCs w:val="24"/>
        </w:rPr>
        <w:fldChar w:fldCharType="begin"/>
      </w:r>
      <w:r>
        <w:rPr>
          <w:rFonts w:asciiTheme="majorBidi" w:hAnsiTheme="majorBidi" w:cstheme="majorBidi"/>
          <w:szCs w:val="24"/>
        </w:rPr>
        <w:instrText xml:space="preserve"> TOC \h \z \t "Figure Heading" \c </w:instrText>
      </w:r>
      <w:r>
        <w:rPr>
          <w:rFonts w:asciiTheme="majorBidi" w:hAnsiTheme="majorBidi" w:cstheme="majorBidi"/>
          <w:szCs w:val="24"/>
        </w:rPr>
        <w:fldChar w:fldCharType="separate"/>
      </w:r>
      <w:hyperlink w:anchor="_Toc9509096" w:history="1">
        <w:r w:rsidR="001A4631" w:rsidRPr="00742E16">
          <w:rPr>
            <w:rStyle w:val="Hyperlink"/>
            <w:noProof/>
          </w:rPr>
          <w:t>Figure 2-1. The Drugs Wheel</w:t>
        </w:r>
        <w:r w:rsidR="001A4631">
          <w:rPr>
            <w:noProof/>
            <w:webHidden/>
          </w:rPr>
          <w:tab/>
        </w:r>
        <w:r w:rsidR="001A4631">
          <w:rPr>
            <w:noProof/>
            <w:webHidden/>
          </w:rPr>
          <w:fldChar w:fldCharType="begin"/>
        </w:r>
        <w:r w:rsidR="001A4631">
          <w:rPr>
            <w:noProof/>
            <w:webHidden/>
          </w:rPr>
          <w:instrText xml:space="preserve"> PAGEREF _Toc9509096 \h </w:instrText>
        </w:r>
        <w:r w:rsidR="001A4631">
          <w:rPr>
            <w:noProof/>
            <w:webHidden/>
          </w:rPr>
        </w:r>
        <w:r w:rsidR="001A4631">
          <w:rPr>
            <w:noProof/>
            <w:webHidden/>
          </w:rPr>
          <w:fldChar w:fldCharType="separate"/>
        </w:r>
        <w:r w:rsidR="0026579C">
          <w:rPr>
            <w:noProof/>
            <w:webHidden/>
          </w:rPr>
          <w:t>17</w:t>
        </w:r>
        <w:r w:rsidR="001A4631">
          <w:rPr>
            <w:noProof/>
            <w:webHidden/>
          </w:rPr>
          <w:fldChar w:fldCharType="end"/>
        </w:r>
      </w:hyperlink>
    </w:p>
    <w:p w14:paraId="6B649A4A" w14:textId="613F013B"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097" w:history="1">
        <w:r w:rsidR="001A4631" w:rsidRPr="00742E16">
          <w:rPr>
            <w:rStyle w:val="Hyperlink"/>
            <w:noProof/>
          </w:rPr>
          <w:t>Figure 2-2. Number and type of NPS newly identified by the EU early warning system</w:t>
        </w:r>
        <w:r w:rsidR="001A4631">
          <w:rPr>
            <w:noProof/>
            <w:webHidden/>
          </w:rPr>
          <w:tab/>
        </w:r>
        <w:r w:rsidR="001A4631">
          <w:rPr>
            <w:noProof/>
            <w:webHidden/>
          </w:rPr>
          <w:fldChar w:fldCharType="begin"/>
        </w:r>
        <w:r w:rsidR="001A4631">
          <w:rPr>
            <w:noProof/>
            <w:webHidden/>
          </w:rPr>
          <w:instrText xml:space="preserve"> PAGEREF _Toc9509097 \h </w:instrText>
        </w:r>
        <w:r w:rsidR="001A4631">
          <w:rPr>
            <w:noProof/>
            <w:webHidden/>
          </w:rPr>
        </w:r>
        <w:r w:rsidR="001A4631">
          <w:rPr>
            <w:noProof/>
            <w:webHidden/>
          </w:rPr>
          <w:fldChar w:fldCharType="separate"/>
        </w:r>
        <w:r w:rsidR="0026579C">
          <w:rPr>
            <w:noProof/>
            <w:webHidden/>
          </w:rPr>
          <w:t>18</w:t>
        </w:r>
        <w:r w:rsidR="001A4631">
          <w:rPr>
            <w:noProof/>
            <w:webHidden/>
          </w:rPr>
          <w:fldChar w:fldCharType="end"/>
        </w:r>
      </w:hyperlink>
    </w:p>
    <w:p w14:paraId="0D7FF888" w14:textId="43FF5879"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098" w:history="1">
        <w:r w:rsidR="001A4631" w:rsidRPr="00742E16">
          <w:rPr>
            <w:rStyle w:val="Hyperlink"/>
            <w:noProof/>
          </w:rPr>
          <w:t>Figure 2-3. NPS drug seizures in 2016 Proportion of seizures by substance type</w:t>
        </w:r>
        <w:r w:rsidR="001A4631">
          <w:rPr>
            <w:noProof/>
            <w:webHidden/>
          </w:rPr>
          <w:tab/>
        </w:r>
        <w:r w:rsidR="001A4631">
          <w:rPr>
            <w:noProof/>
            <w:webHidden/>
          </w:rPr>
          <w:fldChar w:fldCharType="begin"/>
        </w:r>
        <w:r w:rsidR="001A4631">
          <w:rPr>
            <w:noProof/>
            <w:webHidden/>
          </w:rPr>
          <w:instrText xml:space="preserve"> PAGEREF _Toc9509098 \h </w:instrText>
        </w:r>
        <w:r w:rsidR="001A4631">
          <w:rPr>
            <w:noProof/>
            <w:webHidden/>
          </w:rPr>
        </w:r>
        <w:r w:rsidR="001A4631">
          <w:rPr>
            <w:noProof/>
            <w:webHidden/>
          </w:rPr>
          <w:fldChar w:fldCharType="separate"/>
        </w:r>
        <w:r w:rsidR="0026579C">
          <w:rPr>
            <w:noProof/>
            <w:webHidden/>
          </w:rPr>
          <w:t>19</w:t>
        </w:r>
        <w:r w:rsidR="001A4631">
          <w:rPr>
            <w:noProof/>
            <w:webHidden/>
          </w:rPr>
          <w:fldChar w:fldCharType="end"/>
        </w:r>
      </w:hyperlink>
    </w:p>
    <w:p w14:paraId="016E1F66" w14:textId="26F9AA21"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099" w:history="1">
        <w:r w:rsidR="001A4631" w:rsidRPr="00742E16">
          <w:rPr>
            <w:rStyle w:val="Hyperlink"/>
            <w:noProof/>
          </w:rPr>
          <w:t>Figure 2-4. Illicit drug seizures in 2016 Proportion of seizures by substance type</w:t>
        </w:r>
        <w:r w:rsidR="001A4631">
          <w:rPr>
            <w:noProof/>
            <w:webHidden/>
          </w:rPr>
          <w:tab/>
        </w:r>
        <w:r w:rsidR="001A4631">
          <w:rPr>
            <w:noProof/>
            <w:webHidden/>
          </w:rPr>
          <w:fldChar w:fldCharType="begin"/>
        </w:r>
        <w:r w:rsidR="001A4631">
          <w:rPr>
            <w:noProof/>
            <w:webHidden/>
          </w:rPr>
          <w:instrText xml:space="preserve"> PAGEREF _Toc9509099 \h </w:instrText>
        </w:r>
        <w:r w:rsidR="001A4631">
          <w:rPr>
            <w:noProof/>
            <w:webHidden/>
          </w:rPr>
        </w:r>
        <w:r w:rsidR="001A4631">
          <w:rPr>
            <w:noProof/>
            <w:webHidden/>
          </w:rPr>
          <w:fldChar w:fldCharType="separate"/>
        </w:r>
        <w:r w:rsidR="0026579C">
          <w:rPr>
            <w:noProof/>
            <w:webHidden/>
          </w:rPr>
          <w:t>19</w:t>
        </w:r>
        <w:r w:rsidR="001A4631">
          <w:rPr>
            <w:noProof/>
            <w:webHidden/>
          </w:rPr>
          <w:fldChar w:fldCharType="end"/>
        </w:r>
      </w:hyperlink>
    </w:p>
    <w:p w14:paraId="78B7430D" w14:textId="5196F5AA"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0" w:history="1">
        <w:r w:rsidR="001A4631" w:rsidRPr="00742E16">
          <w:rPr>
            <w:rStyle w:val="Hyperlink"/>
            <w:noProof/>
          </w:rPr>
          <w:t>Figure 2-5: Typical high street Headshops selling NPS</w:t>
        </w:r>
        <w:r w:rsidR="001A4631">
          <w:rPr>
            <w:noProof/>
            <w:webHidden/>
          </w:rPr>
          <w:tab/>
        </w:r>
        <w:r w:rsidR="001A4631">
          <w:rPr>
            <w:noProof/>
            <w:webHidden/>
          </w:rPr>
          <w:fldChar w:fldCharType="begin"/>
        </w:r>
        <w:r w:rsidR="001A4631">
          <w:rPr>
            <w:noProof/>
            <w:webHidden/>
          </w:rPr>
          <w:instrText xml:space="preserve"> PAGEREF _Toc9509100 \h </w:instrText>
        </w:r>
        <w:r w:rsidR="001A4631">
          <w:rPr>
            <w:noProof/>
            <w:webHidden/>
          </w:rPr>
        </w:r>
        <w:r w:rsidR="001A4631">
          <w:rPr>
            <w:noProof/>
            <w:webHidden/>
          </w:rPr>
          <w:fldChar w:fldCharType="separate"/>
        </w:r>
        <w:r w:rsidR="0026579C">
          <w:rPr>
            <w:noProof/>
            <w:webHidden/>
          </w:rPr>
          <w:t>30</w:t>
        </w:r>
        <w:r w:rsidR="001A4631">
          <w:rPr>
            <w:noProof/>
            <w:webHidden/>
          </w:rPr>
          <w:fldChar w:fldCharType="end"/>
        </w:r>
      </w:hyperlink>
    </w:p>
    <w:p w14:paraId="29943001" w14:textId="56630FAF"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1" w:history="1">
        <w:r w:rsidR="001A4631" w:rsidRPr="00742E16">
          <w:rPr>
            <w:rStyle w:val="Hyperlink"/>
            <w:noProof/>
          </w:rPr>
          <w:t>Figure 2-6: Websites advertising sales of NPS</w:t>
        </w:r>
        <w:r w:rsidR="001A4631">
          <w:rPr>
            <w:noProof/>
            <w:webHidden/>
          </w:rPr>
          <w:tab/>
        </w:r>
        <w:r w:rsidR="001A4631">
          <w:rPr>
            <w:noProof/>
            <w:webHidden/>
          </w:rPr>
          <w:fldChar w:fldCharType="begin"/>
        </w:r>
        <w:r w:rsidR="001A4631">
          <w:rPr>
            <w:noProof/>
            <w:webHidden/>
          </w:rPr>
          <w:instrText xml:space="preserve"> PAGEREF _Toc9509101 \h </w:instrText>
        </w:r>
        <w:r w:rsidR="001A4631">
          <w:rPr>
            <w:noProof/>
            <w:webHidden/>
          </w:rPr>
        </w:r>
        <w:r w:rsidR="001A4631">
          <w:rPr>
            <w:noProof/>
            <w:webHidden/>
          </w:rPr>
          <w:fldChar w:fldCharType="separate"/>
        </w:r>
        <w:r w:rsidR="0026579C">
          <w:rPr>
            <w:noProof/>
            <w:webHidden/>
          </w:rPr>
          <w:t>31</w:t>
        </w:r>
        <w:r w:rsidR="001A4631">
          <w:rPr>
            <w:noProof/>
            <w:webHidden/>
          </w:rPr>
          <w:fldChar w:fldCharType="end"/>
        </w:r>
      </w:hyperlink>
    </w:p>
    <w:p w14:paraId="35025322" w14:textId="777D536A"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2" w:history="1">
        <w:r w:rsidR="001A4631" w:rsidRPr="00742E16">
          <w:rPr>
            <w:rStyle w:val="Hyperlink"/>
            <w:noProof/>
          </w:rPr>
          <w:t>Figure 2-7: Legal high products sold in headshops and online</w:t>
        </w:r>
        <w:r w:rsidR="001A4631">
          <w:rPr>
            <w:noProof/>
            <w:webHidden/>
          </w:rPr>
          <w:tab/>
        </w:r>
        <w:r w:rsidR="001A4631">
          <w:rPr>
            <w:noProof/>
            <w:webHidden/>
          </w:rPr>
          <w:fldChar w:fldCharType="begin"/>
        </w:r>
        <w:r w:rsidR="001A4631">
          <w:rPr>
            <w:noProof/>
            <w:webHidden/>
          </w:rPr>
          <w:instrText xml:space="preserve"> PAGEREF _Toc9509102 \h </w:instrText>
        </w:r>
        <w:r w:rsidR="001A4631">
          <w:rPr>
            <w:noProof/>
            <w:webHidden/>
          </w:rPr>
        </w:r>
        <w:r w:rsidR="001A4631">
          <w:rPr>
            <w:noProof/>
            <w:webHidden/>
          </w:rPr>
          <w:fldChar w:fldCharType="separate"/>
        </w:r>
        <w:r w:rsidR="0026579C">
          <w:rPr>
            <w:noProof/>
            <w:webHidden/>
          </w:rPr>
          <w:t>33</w:t>
        </w:r>
        <w:r w:rsidR="001A4631">
          <w:rPr>
            <w:noProof/>
            <w:webHidden/>
          </w:rPr>
          <w:fldChar w:fldCharType="end"/>
        </w:r>
      </w:hyperlink>
    </w:p>
    <w:p w14:paraId="353BFEBE" w14:textId="4252D80C"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3" w:history="1">
        <w:r w:rsidR="001A4631" w:rsidRPr="00742E16">
          <w:rPr>
            <w:rStyle w:val="Hyperlink"/>
            <w:noProof/>
          </w:rPr>
          <w:t>Figure 2-8: Screenshot from website pre-ban legal highs</w:t>
        </w:r>
        <w:r w:rsidR="001A4631">
          <w:rPr>
            <w:noProof/>
            <w:webHidden/>
          </w:rPr>
          <w:tab/>
        </w:r>
        <w:r w:rsidR="001A4631">
          <w:rPr>
            <w:noProof/>
            <w:webHidden/>
          </w:rPr>
          <w:fldChar w:fldCharType="begin"/>
        </w:r>
        <w:r w:rsidR="001A4631">
          <w:rPr>
            <w:noProof/>
            <w:webHidden/>
          </w:rPr>
          <w:instrText xml:space="preserve"> PAGEREF _Toc9509103 \h </w:instrText>
        </w:r>
        <w:r w:rsidR="001A4631">
          <w:rPr>
            <w:noProof/>
            <w:webHidden/>
          </w:rPr>
        </w:r>
        <w:r w:rsidR="001A4631">
          <w:rPr>
            <w:noProof/>
            <w:webHidden/>
          </w:rPr>
          <w:fldChar w:fldCharType="separate"/>
        </w:r>
        <w:r w:rsidR="0026579C">
          <w:rPr>
            <w:noProof/>
            <w:webHidden/>
          </w:rPr>
          <w:t>34</w:t>
        </w:r>
        <w:r w:rsidR="001A4631">
          <w:rPr>
            <w:noProof/>
            <w:webHidden/>
          </w:rPr>
          <w:fldChar w:fldCharType="end"/>
        </w:r>
      </w:hyperlink>
    </w:p>
    <w:p w14:paraId="59A88C20" w14:textId="50B17048"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4" w:history="1">
        <w:r w:rsidR="001A4631" w:rsidRPr="00742E16">
          <w:rPr>
            <w:rStyle w:val="Hyperlink"/>
            <w:noProof/>
          </w:rPr>
          <w:t>Figure 2-9. Source of NPS on last occasion used</w:t>
        </w:r>
        <w:r w:rsidR="001A4631">
          <w:rPr>
            <w:noProof/>
            <w:webHidden/>
          </w:rPr>
          <w:tab/>
        </w:r>
        <w:r w:rsidR="001A4631">
          <w:rPr>
            <w:noProof/>
            <w:webHidden/>
          </w:rPr>
          <w:fldChar w:fldCharType="begin"/>
        </w:r>
        <w:r w:rsidR="001A4631">
          <w:rPr>
            <w:noProof/>
            <w:webHidden/>
          </w:rPr>
          <w:instrText xml:space="preserve"> PAGEREF _Toc9509104 \h </w:instrText>
        </w:r>
        <w:r w:rsidR="001A4631">
          <w:rPr>
            <w:noProof/>
            <w:webHidden/>
          </w:rPr>
        </w:r>
        <w:r w:rsidR="001A4631">
          <w:rPr>
            <w:noProof/>
            <w:webHidden/>
          </w:rPr>
          <w:fldChar w:fldCharType="separate"/>
        </w:r>
        <w:r w:rsidR="0026579C">
          <w:rPr>
            <w:noProof/>
            <w:webHidden/>
          </w:rPr>
          <w:t>35</w:t>
        </w:r>
        <w:r w:rsidR="001A4631">
          <w:rPr>
            <w:noProof/>
            <w:webHidden/>
          </w:rPr>
          <w:fldChar w:fldCharType="end"/>
        </w:r>
      </w:hyperlink>
    </w:p>
    <w:p w14:paraId="32147DF2" w14:textId="488DEA92"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5" w:history="1">
        <w:r w:rsidR="001A4631" w:rsidRPr="00742E16">
          <w:rPr>
            <w:rStyle w:val="Hyperlink"/>
            <w:noProof/>
          </w:rPr>
          <w:t>Figure 2-10. Source of NPS on last occasion used</w:t>
        </w:r>
        <w:r w:rsidR="001A4631">
          <w:rPr>
            <w:noProof/>
            <w:webHidden/>
          </w:rPr>
          <w:tab/>
        </w:r>
        <w:r w:rsidR="001A4631">
          <w:rPr>
            <w:noProof/>
            <w:webHidden/>
          </w:rPr>
          <w:fldChar w:fldCharType="begin"/>
        </w:r>
        <w:r w:rsidR="001A4631">
          <w:rPr>
            <w:noProof/>
            <w:webHidden/>
          </w:rPr>
          <w:instrText xml:space="preserve"> PAGEREF _Toc9509105 \h </w:instrText>
        </w:r>
        <w:r w:rsidR="001A4631">
          <w:rPr>
            <w:noProof/>
            <w:webHidden/>
          </w:rPr>
        </w:r>
        <w:r w:rsidR="001A4631">
          <w:rPr>
            <w:noProof/>
            <w:webHidden/>
          </w:rPr>
          <w:fldChar w:fldCharType="separate"/>
        </w:r>
        <w:r w:rsidR="0026579C">
          <w:rPr>
            <w:noProof/>
            <w:webHidden/>
          </w:rPr>
          <w:t>36</w:t>
        </w:r>
        <w:r w:rsidR="001A4631">
          <w:rPr>
            <w:noProof/>
            <w:webHidden/>
          </w:rPr>
          <w:fldChar w:fldCharType="end"/>
        </w:r>
      </w:hyperlink>
    </w:p>
    <w:p w14:paraId="573069FB" w14:textId="36BF46D5"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6" w:history="1">
        <w:r w:rsidR="001A4631" w:rsidRPr="00742E16">
          <w:rPr>
            <w:rStyle w:val="Hyperlink"/>
            <w:noProof/>
          </w:rPr>
          <w:t>Figure 2-11: Screenshot from website selling post-ban legal highs</w:t>
        </w:r>
        <w:r w:rsidR="001A4631">
          <w:rPr>
            <w:noProof/>
            <w:webHidden/>
          </w:rPr>
          <w:tab/>
        </w:r>
        <w:r w:rsidR="001A4631">
          <w:rPr>
            <w:noProof/>
            <w:webHidden/>
          </w:rPr>
          <w:fldChar w:fldCharType="begin"/>
        </w:r>
        <w:r w:rsidR="001A4631">
          <w:rPr>
            <w:noProof/>
            <w:webHidden/>
          </w:rPr>
          <w:instrText xml:space="preserve"> PAGEREF _Toc9509106 \h </w:instrText>
        </w:r>
        <w:r w:rsidR="001A4631">
          <w:rPr>
            <w:noProof/>
            <w:webHidden/>
          </w:rPr>
        </w:r>
        <w:r w:rsidR="001A4631">
          <w:rPr>
            <w:noProof/>
            <w:webHidden/>
          </w:rPr>
          <w:fldChar w:fldCharType="separate"/>
        </w:r>
        <w:r w:rsidR="0026579C">
          <w:rPr>
            <w:noProof/>
            <w:webHidden/>
          </w:rPr>
          <w:t>37</w:t>
        </w:r>
        <w:r w:rsidR="001A4631">
          <w:rPr>
            <w:noProof/>
            <w:webHidden/>
          </w:rPr>
          <w:fldChar w:fldCharType="end"/>
        </w:r>
      </w:hyperlink>
    </w:p>
    <w:p w14:paraId="775E9D71" w14:textId="29469046"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7" w:history="1">
        <w:r w:rsidR="001A4631" w:rsidRPr="00742E16">
          <w:rPr>
            <w:rStyle w:val="Hyperlink"/>
            <w:noProof/>
          </w:rPr>
          <w:t>Figure 2-12. Type of NPS used on the last occasion by young people who used an NPS in the last year</w:t>
        </w:r>
        <w:r w:rsidR="001A4631">
          <w:rPr>
            <w:noProof/>
            <w:webHidden/>
          </w:rPr>
          <w:tab/>
        </w:r>
        <w:r w:rsidR="001A4631">
          <w:rPr>
            <w:noProof/>
            <w:webHidden/>
          </w:rPr>
          <w:fldChar w:fldCharType="begin"/>
        </w:r>
        <w:r w:rsidR="001A4631">
          <w:rPr>
            <w:noProof/>
            <w:webHidden/>
          </w:rPr>
          <w:instrText xml:space="preserve"> PAGEREF _Toc9509107 \h </w:instrText>
        </w:r>
        <w:r w:rsidR="001A4631">
          <w:rPr>
            <w:noProof/>
            <w:webHidden/>
          </w:rPr>
        </w:r>
        <w:r w:rsidR="001A4631">
          <w:rPr>
            <w:noProof/>
            <w:webHidden/>
          </w:rPr>
          <w:fldChar w:fldCharType="separate"/>
        </w:r>
        <w:r w:rsidR="0026579C">
          <w:rPr>
            <w:noProof/>
            <w:webHidden/>
          </w:rPr>
          <w:t>38</w:t>
        </w:r>
        <w:r w:rsidR="001A4631">
          <w:rPr>
            <w:noProof/>
            <w:webHidden/>
          </w:rPr>
          <w:fldChar w:fldCharType="end"/>
        </w:r>
      </w:hyperlink>
    </w:p>
    <w:p w14:paraId="03CB0166" w14:textId="42658C2D"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8" w:history="1">
        <w:r w:rsidR="001A4631" w:rsidRPr="00742E16">
          <w:rPr>
            <w:rStyle w:val="Hyperlink"/>
            <w:noProof/>
          </w:rPr>
          <w:t>Figure 2-13 Adults’ lifetime prevalence of NPS use by gender (NACDA)</w:t>
        </w:r>
        <w:r w:rsidR="001A4631">
          <w:rPr>
            <w:noProof/>
            <w:webHidden/>
          </w:rPr>
          <w:tab/>
        </w:r>
        <w:r w:rsidR="001A4631">
          <w:rPr>
            <w:noProof/>
            <w:webHidden/>
          </w:rPr>
          <w:fldChar w:fldCharType="begin"/>
        </w:r>
        <w:r w:rsidR="001A4631">
          <w:rPr>
            <w:noProof/>
            <w:webHidden/>
          </w:rPr>
          <w:instrText xml:space="preserve"> PAGEREF _Toc9509108 \h </w:instrText>
        </w:r>
        <w:r w:rsidR="001A4631">
          <w:rPr>
            <w:noProof/>
            <w:webHidden/>
          </w:rPr>
        </w:r>
        <w:r w:rsidR="001A4631">
          <w:rPr>
            <w:noProof/>
            <w:webHidden/>
          </w:rPr>
          <w:fldChar w:fldCharType="separate"/>
        </w:r>
        <w:r w:rsidR="0026579C">
          <w:rPr>
            <w:noProof/>
            <w:webHidden/>
          </w:rPr>
          <w:t>40</w:t>
        </w:r>
        <w:r w:rsidR="001A4631">
          <w:rPr>
            <w:noProof/>
            <w:webHidden/>
          </w:rPr>
          <w:fldChar w:fldCharType="end"/>
        </w:r>
      </w:hyperlink>
    </w:p>
    <w:p w14:paraId="1E015796" w14:textId="34ADD735"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09" w:history="1">
        <w:r w:rsidR="001A4631" w:rsidRPr="00742E16">
          <w:rPr>
            <w:rStyle w:val="Hyperlink"/>
            <w:noProof/>
          </w:rPr>
          <w:t>Figure 2-14 Adults’ lifetime prevalence of NPS use by gender (CSEW)</w:t>
        </w:r>
        <w:r w:rsidR="001A4631">
          <w:rPr>
            <w:noProof/>
            <w:webHidden/>
          </w:rPr>
          <w:tab/>
        </w:r>
        <w:r w:rsidR="001A4631">
          <w:rPr>
            <w:noProof/>
            <w:webHidden/>
          </w:rPr>
          <w:fldChar w:fldCharType="begin"/>
        </w:r>
        <w:r w:rsidR="001A4631">
          <w:rPr>
            <w:noProof/>
            <w:webHidden/>
          </w:rPr>
          <w:instrText xml:space="preserve"> PAGEREF _Toc9509109 \h </w:instrText>
        </w:r>
        <w:r w:rsidR="001A4631">
          <w:rPr>
            <w:noProof/>
            <w:webHidden/>
          </w:rPr>
        </w:r>
        <w:r w:rsidR="001A4631">
          <w:rPr>
            <w:noProof/>
            <w:webHidden/>
          </w:rPr>
          <w:fldChar w:fldCharType="separate"/>
        </w:r>
        <w:r w:rsidR="0026579C">
          <w:rPr>
            <w:noProof/>
            <w:webHidden/>
          </w:rPr>
          <w:t>40</w:t>
        </w:r>
        <w:r w:rsidR="001A4631">
          <w:rPr>
            <w:noProof/>
            <w:webHidden/>
          </w:rPr>
          <w:fldChar w:fldCharType="end"/>
        </w:r>
      </w:hyperlink>
    </w:p>
    <w:p w14:paraId="3489CB71" w14:textId="13E54BF5"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0" w:history="1">
        <w:r w:rsidR="001A4631" w:rsidRPr="00742E16">
          <w:rPr>
            <w:rStyle w:val="Hyperlink"/>
            <w:noProof/>
          </w:rPr>
          <w:t>Figure 2-15. Lifetime and last year prevalence of NPS use by adults and young people in England and Wales</w:t>
        </w:r>
        <w:r w:rsidR="001A4631">
          <w:rPr>
            <w:noProof/>
            <w:webHidden/>
          </w:rPr>
          <w:tab/>
        </w:r>
        <w:r w:rsidR="001A4631">
          <w:rPr>
            <w:noProof/>
            <w:webHidden/>
          </w:rPr>
          <w:fldChar w:fldCharType="begin"/>
        </w:r>
        <w:r w:rsidR="001A4631">
          <w:rPr>
            <w:noProof/>
            <w:webHidden/>
          </w:rPr>
          <w:instrText xml:space="preserve"> PAGEREF _Toc9509110 \h </w:instrText>
        </w:r>
        <w:r w:rsidR="001A4631">
          <w:rPr>
            <w:noProof/>
            <w:webHidden/>
          </w:rPr>
        </w:r>
        <w:r w:rsidR="001A4631">
          <w:rPr>
            <w:noProof/>
            <w:webHidden/>
          </w:rPr>
          <w:fldChar w:fldCharType="separate"/>
        </w:r>
        <w:r w:rsidR="0026579C">
          <w:rPr>
            <w:noProof/>
            <w:webHidden/>
          </w:rPr>
          <w:t>42</w:t>
        </w:r>
        <w:r w:rsidR="001A4631">
          <w:rPr>
            <w:noProof/>
            <w:webHidden/>
          </w:rPr>
          <w:fldChar w:fldCharType="end"/>
        </w:r>
      </w:hyperlink>
    </w:p>
    <w:p w14:paraId="254E7F80" w14:textId="02182796"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1" w:history="1">
        <w:r w:rsidR="001A4631" w:rsidRPr="00742E16">
          <w:rPr>
            <w:rStyle w:val="Hyperlink"/>
            <w:noProof/>
          </w:rPr>
          <w:t>Figure 2-16. Lifetime prevalence of selected psychoactive substances by young people in England and Wales</w:t>
        </w:r>
        <w:r w:rsidR="001A4631">
          <w:rPr>
            <w:noProof/>
            <w:webHidden/>
          </w:rPr>
          <w:tab/>
        </w:r>
        <w:r w:rsidR="001A4631">
          <w:rPr>
            <w:noProof/>
            <w:webHidden/>
          </w:rPr>
          <w:fldChar w:fldCharType="begin"/>
        </w:r>
        <w:r w:rsidR="001A4631">
          <w:rPr>
            <w:noProof/>
            <w:webHidden/>
          </w:rPr>
          <w:instrText xml:space="preserve"> PAGEREF _Toc9509111 \h </w:instrText>
        </w:r>
        <w:r w:rsidR="001A4631">
          <w:rPr>
            <w:noProof/>
            <w:webHidden/>
          </w:rPr>
        </w:r>
        <w:r w:rsidR="001A4631">
          <w:rPr>
            <w:noProof/>
            <w:webHidden/>
          </w:rPr>
          <w:fldChar w:fldCharType="separate"/>
        </w:r>
        <w:r w:rsidR="0026579C">
          <w:rPr>
            <w:noProof/>
            <w:webHidden/>
          </w:rPr>
          <w:t>42</w:t>
        </w:r>
        <w:r w:rsidR="001A4631">
          <w:rPr>
            <w:noProof/>
            <w:webHidden/>
          </w:rPr>
          <w:fldChar w:fldCharType="end"/>
        </w:r>
      </w:hyperlink>
    </w:p>
    <w:p w14:paraId="4F7E15FC" w14:textId="34208C2B"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2" w:history="1">
        <w:r w:rsidR="001A4631" w:rsidRPr="00742E16">
          <w:rPr>
            <w:rStyle w:val="Hyperlink"/>
            <w:noProof/>
          </w:rPr>
          <w:t>Figure 2-17. Lifetime use and last year use of NPS for young people aged 16-24 in England and Wales in 2017/18</w:t>
        </w:r>
        <w:r w:rsidR="001A4631">
          <w:rPr>
            <w:noProof/>
            <w:webHidden/>
          </w:rPr>
          <w:tab/>
        </w:r>
        <w:r w:rsidR="001A4631">
          <w:rPr>
            <w:noProof/>
            <w:webHidden/>
          </w:rPr>
          <w:fldChar w:fldCharType="begin"/>
        </w:r>
        <w:r w:rsidR="001A4631">
          <w:rPr>
            <w:noProof/>
            <w:webHidden/>
          </w:rPr>
          <w:instrText xml:space="preserve"> PAGEREF _Toc9509112 \h </w:instrText>
        </w:r>
        <w:r w:rsidR="001A4631">
          <w:rPr>
            <w:noProof/>
            <w:webHidden/>
          </w:rPr>
        </w:r>
        <w:r w:rsidR="001A4631">
          <w:rPr>
            <w:noProof/>
            <w:webHidden/>
          </w:rPr>
          <w:fldChar w:fldCharType="separate"/>
        </w:r>
        <w:r w:rsidR="0026579C">
          <w:rPr>
            <w:noProof/>
            <w:webHidden/>
          </w:rPr>
          <w:t>44</w:t>
        </w:r>
        <w:r w:rsidR="001A4631">
          <w:rPr>
            <w:noProof/>
            <w:webHidden/>
          </w:rPr>
          <w:fldChar w:fldCharType="end"/>
        </w:r>
      </w:hyperlink>
    </w:p>
    <w:p w14:paraId="331E3F23" w14:textId="754ED898"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3" w:history="1">
        <w:r w:rsidR="001A4631" w:rsidRPr="00742E16">
          <w:rPr>
            <w:rStyle w:val="Hyperlink"/>
            <w:noProof/>
          </w:rPr>
          <w:t>Figure 2-18. Percentage of young people in England and Wales reporting last year use of NPS</w:t>
        </w:r>
        <w:r w:rsidR="001A4631">
          <w:rPr>
            <w:noProof/>
            <w:webHidden/>
          </w:rPr>
          <w:tab/>
        </w:r>
        <w:r w:rsidR="001A4631">
          <w:rPr>
            <w:noProof/>
            <w:webHidden/>
          </w:rPr>
          <w:fldChar w:fldCharType="begin"/>
        </w:r>
        <w:r w:rsidR="001A4631">
          <w:rPr>
            <w:noProof/>
            <w:webHidden/>
          </w:rPr>
          <w:instrText xml:space="preserve"> PAGEREF _Toc9509113 \h </w:instrText>
        </w:r>
        <w:r w:rsidR="001A4631">
          <w:rPr>
            <w:noProof/>
            <w:webHidden/>
          </w:rPr>
        </w:r>
        <w:r w:rsidR="001A4631">
          <w:rPr>
            <w:noProof/>
            <w:webHidden/>
          </w:rPr>
          <w:fldChar w:fldCharType="separate"/>
        </w:r>
        <w:r w:rsidR="0026579C">
          <w:rPr>
            <w:noProof/>
            <w:webHidden/>
          </w:rPr>
          <w:t>45</w:t>
        </w:r>
        <w:r w:rsidR="001A4631">
          <w:rPr>
            <w:noProof/>
            <w:webHidden/>
          </w:rPr>
          <w:fldChar w:fldCharType="end"/>
        </w:r>
      </w:hyperlink>
    </w:p>
    <w:p w14:paraId="2A68EC58" w14:textId="0C0F99F3"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4" w:history="1">
        <w:r w:rsidR="001A4631" w:rsidRPr="00742E16">
          <w:rPr>
            <w:rStyle w:val="Hyperlink"/>
            <w:noProof/>
          </w:rPr>
          <w:t>Figure 2-19. Last year use of selected psychoactive substances for young people in England and Wales in 2017/18</w:t>
        </w:r>
        <w:r w:rsidR="001A4631">
          <w:rPr>
            <w:noProof/>
            <w:webHidden/>
          </w:rPr>
          <w:tab/>
        </w:r>
        <w:r w:rsidR="001A4631">
          <w:rPr>
            <w:noProof/>
            <w:webHidden/>
          </w:rPr>
          <w:fldChar w:fldCharType="begin"/>
        </w:r>
        <w:r w:rsidR="001A4631">
          <w:rPr>
            <w:noProof/>
            <w:webHidden/>
          </w:rPr>
          <w:instrText xml:space="preserve"> PAGEREF _Toc9509114 \h </w:instrText>
        </w:r>
        <w:r w:rsidR="001A4631">
          <w:rPr>
            <w:noProof/>
            <w:webHidden/>
          </w:rPr>
        </w:r>
        <w:r w:rsidR="001A4631">
          <w:rPr>
            <w:noProof/>
            <w:webHidden/>
          </w:rPr>
          <w:fldChar w:fldCharType="separate"/>
        </w:r>
        <w:r w:rsidR="0026579C">
          <w:rPr>
            <w:noProof/>
            <w:webHidden/>
          </w:rPr>
          <w:t>48</w:t>
        </w:r>
        <w:r w:rsidR="001A4631">
          <w:rPr>
            <w:noProof/>
            <w:webHidden/>
          </w:rPr>
          <w:fldChar w:fldCharType="end"/>
        </w:r>
      </w:hyperlink>
    </w:p>
    <w:p w14:paraId="163FC284" w14:textId="1A7858EE"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5" w:history="1">
        <w:r w:rsidR="001A4631" w:rsidRPr="00742E16">
          <w:rPr>
            <w:rStyle w:val="Hyperlink"/>
            <w:noProof/>
          </w:rPr>
          <w:t>Figure 2-20. Prevalence of last year use of NPS by use of frequency of alcohol consumption</w:t>
        </w:r>
        <w:r w:rsidR="001A4631">
          <w:rPr>
            <w:noProof/>
            <w:webHidden/>
          </w:rPr>
          <w:tab/>
        </w:r>
        <w:r w:rsidR="001A4631">
          <w:rPr>
            <w:noProof/>
            <w:webHidden/>
          </w:rPr>
          <w:fldChar w:fldCharType="begin"/>
        </w:r>
        <w:r w:rsidR="001A4631">
          <w:rPr>
            <w:noProof/>
            <w:webHidden/>
          </w:rPr>
          <w:instrText xml:space="preserve"> PAGEREF _Toc9509115 \h </w:instrText>
        </w:r>
        <w:r w:rsidR="001A4631">
          <w:rPr>
            <w:noProof/>
            <w:webHidden/>
          </w:rPr>
        </w:r>
        <w:r w:rsidR="001A4631">
          <w:rPr>
            <w:noProof/>
            <w:webHidden/>
          </w:rPr>
          <w:fldChar w:fldCharType="separate"/>
        </w:r>
        <w:r w:rsidR="0026579C">
          <w:rPr>
            <w:noProof/>
            <w:webHidden/>
          </w:rPr>
          <w:t>52</w:t>
        </w:r>
        <w:r w:rsidR="001A4631">
          <w:rPr>
            <w:noProof/>
            <w:webHidden/>
          </w:rPr>
          <w:fldChar w:fldCharType="end"/>
        </w:r>
      </w:hyperlink>
    </w:p>
    <w:p w14:paraId="2715ED90" w14:textId="4512E4D8"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6" w:history="1">
        <w:r w:rsidR="001A4631" w:rsidRPr="00742E16">
          <w:rPr>
            <w:rStyle w:val="Hyperlink"/>
            <w:noProof/>
          </w:rPr>
          <w:t>Figure 2-21. Prevalence of last year use of NPS by use of frequency of visits to nightclubs in the last month</w:t>
        </w:r>
        <w:r w:rsidR="001A4631">
          <w:rPr>
            <w:noProof/>
            <w:webHidden/>
          </w:rPr>
          <w:tab/>
        </w:r>
        <w:r w:rsidR="001A4631">
          <w:rPr>
            <w:noProof/>
            <w:webHidden/>
          </w:rPr>
          <w:fldChar w:fldCharType="begin"/>
        </w:r>
        <w:r w:rsidR="001A4631">
          <w:rPr>
            <w:noProof/>
            <w:webHidden/>
          </w:rPr>
          <w:instrText xml:space="preserve"> PAGEREF _Toc9509116 \h </w:instrText>
        </w:r>
        <w:r w:rsidR="001A4631">
          <w:rPr>
            <w:noProof/>
            <w:webHidden/>
          </w:rPr>
        </w:r>
        <w:r w:rsidR="001A4631">
          <w:rPr>
            <w:noProof/>
            <w:webHidden/>
          </w:rPr>
          <w:fldChar w:fldCharType="separate"/>
        </w:r>
        <w:r w:rsidR="0026579C">
          <w:rPr>
            <w:noProof/>
            <w:webHidden/>
          </w:rPr>
          <w:t>55</w:t>
        </w:r>
        <w:r w:rsidR="001A4631">
          <w:rPr>
            <w:noProof/>
            <w:webHidden/>
          </w:rPr>
          <w:fldChar w:fldCharType="end"/>
        </w:r>
      </w:hyperlink>
    </w:p>
    <w:p w14:paraId="0F477C37" w14:textId="7EBF3F67"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7" w:history="1">
        <w:r w:rsidR="001A4631" w:rsidRPr="00742E16">
          <w:rPr>
            <w:rStyle w:val="Hyperlink"/>
            <w:noProof/>
          </w:rPr>
          <w:t>Figure 2-22. Number of new presentations for adults in treatment</w:t>
        </w:r>
        <w:r w:rsidR="001A4631">
          <w:rPr>
            <w:noProof/>
            <w:webHidden/>
          </w:rPr>
          <w:tab/>
        </w:r>
        <w:r w:rsidR="001A4631">
          <w:rPr>
            <w:noProof/>
            <w:webHidden/>
          </w:rPr>
          <w:fldChar w:fldCharType="begin"/>
        </w:r>
        <w:r w:rsidR="001A4631">
          <w:rPr>
            <w:noProof/>
            <w:webHidden/>
          </w:rPr>
          <w:instrText xml:space="preserve"> PAGEREF _Toc9509117 \h </w:instrText>
        </w:r>
        <w:r w:rsidR="001A4631">
          <w:rPr>
            <w:noProof/>
            <w:webHidden/>
          </w:rPr>
        </w:r>
        <w:r w:rsidR="001A4631">
          <w:rPr>
            <w:noProof/>
            <w:webHidden/>
          </w:rPr>
          <w:fldChar w:fldCharType="separate"/>
        </w:r>
        <w:r w:rsidR="0026579C">
          <w:rPr>
            <w:noProof/>
            <w:webHidden/>
          </w:rPr>
          <w:t>66</w:t>
        </w:r>
        <w:r w:rsidR="001A4631">
          <w:rPr>
            <w:noProof/>
            <w:webHidden/>
          </w:rPr>
          <w:fldChar w:fldCharType="end"/>
        </w:r>
      </w:hyperlink>
    </w:p>
    <w:p w14:paraId="447507B9" w14:textId="075B7216"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8" w:history="1">
        <w:r w:rsidR="001A4631" w:rsidRPr="00742E16">
          <w:rPr>
            <w:rStyle w:val="Hyperlink"/>
            <w:noProof/>
          </w:rPr>
          <w:t>Figure 2-23. Number of deaths in England and Wales where an NPS was included on the death certificate</w:t>
        </w:r>
        <w:r w:rsidR="001A4631">
          <w:rPr>
            <w:noProof/>
            <w:webHidden/>
          </w:rPr>
          <w:tab/>
        </w:r>
        <w:r w:rsidR="001A4631">
          <w:rPr>
            <w:noProof/>
            <w:webHidden/>
          </w:rPr>
          <w:fldChar w:fldCharType="begin"/>
        </w:r>
        <w:r w:rsidR="001A4631">
          <w:rPr>
            <w:noProof/>
            <w:webHidden/>
          </w:rPr>
          <w:instrText xml:space="preserve"> PAGEREF _Toc9509118 \h </w:instrText>
        </w:r>
        <w:r w:rsidR="001A4631">
          <w:rPr>
            <w:noProof/>
            <w:webHidden/>
          </w:rPr>
        </w:r>
        <w:r w:rsidR="001A4631">
          <w:rPr>
            <w:noProof/>
            <w:webHidden/>
          </w:rPr>
          <w:fldChar w:fldCharType="separate"/>
        </w:r>
        <w:r w:rsidR="0026579C">
          <w:rPr>
            <w:noProof/>
            <w:webHidden/>
          </w:rPr>
          <w:t>67</w:t>
        </w:r>
        <w:r w:rsidR="001A4631">
          <w:rPr>
            <w:noProof/>
            <w:webHidden/>
          </w:rPr>
          <w:fldChar w:fldCharType="end"/>
        </w:r>
      </w:hyperlink>
    </w:p>
    <w:p w14:paraId="58B61175" w14:textId="0E6FB092"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19" w:history="1">
        <w:r w:rsidR="001A4631" w:rsidRPr="00742E16">
          <w:rPr>
            <w:rStyle w:val="Hyperlink"/>
            <w:noProof/>
          </w:rPr>
          <w:t>Figure 2-24. Number of drug-related deaths in England and Wales for selected substances</w:t>
        </w:r>
        <w:r w:rsidR="001A4631">
          <w:rPr>
            <w:noProof/>
            <w:webHidden/>
          </w:rPr>
          <w:tab/>
        </w:r>
        <w:r w:rsidR="001A4631">
          <w:rPr>
            <w:noProof/>
            <w:webHidden/>
          </w:rPr>
          <w:fldChar w:fldCharType="begin"/>
        </w:r>
        <w:r w:rsidR="001A4631">
          <w:rPr>
            <w:noProof/>
            <w:webHidden/>
          </w:rPr>
          <w:instrText xml:space="preserve"> PAGEREF _Toc9509119 \h </w:instrText>
        </w:r>
        <w:r w:rsidR="001A4631">
          <w:rPr>
            <w:noProof/>
            <w:webHidden/>
          </w:rPr>
        </w:r>
        <w:r w:rsidR="001A4631">
          <w:rPr>
            <w:noProof/>
            <w:webHidden/>
          </w:rPr>
          <w:fldChar w:fldCharType="separate"/>
        </w:r>
        <w:r w:rsidR="0026579C">
          <w:rPr>
            <w:noProof/>
            <w:webHidden/>
          </w:rPr>
          <w:t>72</w:t>
        </w:r>
        <w:r w:rsidR="001A4631">
          <w:rPr>
            <w:noProof/>
            <w:webHidden/>
          </w:rPr>
          <w:fldChar w:fldCharType="end"/>
        </w:r>
      </w:hyperlink>
    </w:p>
    <w:p w14:paraId="5BC899C2" w14:textId="2D9ED5E4"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0" w:history="1">
        <w:r w:rsidR="001A4631" w:rsidRPr="00742E16">
          <w:rPr>
            <w:rStyle w:val="Hyperlink"/>
            <w:noProof/>
          </w:rPr>
          <w:t>Figure 2-25. Cocaine purity in Europe: changes in percentage purity since 2006</w:t>
        </w:r>
        <w:r w:rsidR="001A4631">
          <w:rPr>
            <w:noProof/>
            <w:webHidden/>
          </w:rPr>
          <w:tab/>
        </w:r>
        <w:r w:rsidR="001A4631">
          <w:rPr>
            <w:noProof/>
            <w:webHidden/>
          </w:rPr>
          <w:fldChar w:fldCharType="begin"/>
        </w:r>
        <w:r w:rsidR="001A4631">
          <w:rPr>
            <w:noProof/>
            <w:webHidden/>
          </w:rPr>
          <w:instrText xml:space="preserve"> PAGEREF _Toc9509120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39BF82AA" w14:textId="1B8A2064"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1" w:history="1">
        <w:r w:rsidR="001A4631" w:rsidRPr="00742E16">
          <w:rPr>
            <w:rStyle w:val="Hyperlink"/>
            <w:noProof/>
          </w:rPr>
          <w:t>Figure 2-26. Cocaine related mortality in England and Wales</w:t>
        </w:r>
        <w:r w:rsidR="001A4631">
          <w:rPr>
            <w:noProof/>
            <w:webHidden/>
          </w:rPr>
          <w:tab/>
        </w:r>
        <w:r w:rsidR="001A4631">
          <w:rPr>
            <w:noProof/>
            <w:webHidden/>
          </w:rPr>
          <w:fldChar w:fldCharType="begin"/>
        </w:r>
        <w:r w:rsidR="001A4631">
          <w:rPr>
            <w:noProof/>
            <w:webHidden/>
          </w:rPr>
          <w:instrText xml:space="preserve"> PAGEREF _Toc9509121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03048FC6" w14:textId="2642A8AF"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2" w:history="1">
        <w:r w:rsidR="001A4631" w:rsidRPr="00742E16">
          <w:rPr>
            <w:rStyle w:val="Hyperlink"/>
            <w:noProof/>
          </w:rPr>
          <w:t>Figure 2-27. Heroin purity in Europe: changes in percentage purity since 2006</w:t>
        </w:r>
        <w:r w:rsidR="001A4631">
          <w:rPr>
            <w:noProof/>
            <w:webHidden/>
          </w:rPr>
          <w:tab/>
        </w:r>
        <w:r w:rsidR="001A4631">
          <w:rPr>
            <w:noProof/>
            <w:webHidden/>
          </w:rPr>
          <w:fldChar w:fldCharType="begin"/>
        </w:r>
        <w:r w:rsidR="001A4631">
          <w:rPr>
            <w:noProof/>
            <w:webHidden/>
          </w:rPr>
          <w:instrText xml:space="preserve"> PAGEREF _Toc9509122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610C5480" w14:textId="698C415C"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3" w:history="1">
        <w:r w:rsidR="001A4631">
          <w:rPr>
            <w:noProof/>
            <w:webHidden/>
          </w:rPr>
          <w:tab/>
        </w:r>
        <w:r w:rsidR="001A4631">
          <w:rPr>
            <w:noProof/>
            <w:webHidden/>
          </w:rPr>
          <w:fldChar w:fldCharType="begin"/>
        </w:r>
        <w:r w:rsidR="001A4631">
          <w:rPr>
            <w:noProof/>
            <w:webHidden/>
          </w:rPr>
          <w:instrText xml:space="preserve"> PAGEREF _Toc9509123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3112ADD6" w14:textId="412388C3"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4" w:history="1">
        <w:r w:rsidR="001A4631" w:rsidRPr="00742E16">
          <w:rPr>
            <w:rStyle w:val="Hyperlink"/>
            <w:noProof/>
          </w:rPr>
          <w:t>Figure 2-28. Heroin related mortality in England and Wales</w:t>
        </w:r>
        <w:r w:rsidR="001A4631">
          <w:rPr>
            <w:noProof/>
            <w:webHidden/>
          </w:rPr>
          <w:tab/>
        </w:r>
        <w:r w:rsidR="001A4631">
          <w:rPr>
            <w:noProof/>
            <w:webHidden/>
          </w:rPr>
          <w:fldChar w:fldCharType="begin"/>
        </w:r>
        <w:r w:rsidR="001A4631">
          <w:rPr>
            <w:noProof/>
            <w:webHidden/>
          </w:rPr>
          <w:instrText xml:space="preserve"> PAGEREF _Toc9509124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34A3B479" w14:textId="258B89DA"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5" w:history="1">
        <w:r w:rsidR="001A4631">
          <w:rPr>
            <w:noProof/>
            <w:webHidden/>
          </w:rPr>
          <w:tab/>
        </w:r>
        <w:r w:rsidR="001A4631">
          <w:rPr>
            <w:noProof/>
            <w:webHidden/>
          </w:rPr>
          <w:fldChar w:fldCharType="begin"/>
        </w:r>
        <w:r w:rsidR="001A4631">
          <w:rPr>
            <w:noProof/>
            <w:webHidden/>
          </w:rPr>
          <w:instrText xml:space="preserve"> PAGEREF _Toc9509125 \h </w:instrText>
        </w:r>
        <w:r w:rsidR="001A4631">
          <w:rPr>
            <w:noProof/>
            <w:webHidden/>
          </w:rPr>
        </w:r>
        <w:r w:rsidR="001A4631">
          <w:rPr>
            <w:noProof/>
            <w:webHidden/>
          </w:rPr>
          <w:fldChar w:fldCharType="separate"/>
        </w:r>
        <w:r w:rsidR="0026579C">
          <w:rPr>
            <w:noProof/>
            <w:webHidden/>
          </w:rPr>
          <w:t>73</w:t>
        </w:r>
        <w:r w:rsidR="001A4631">
          <w:rPr>
            <w:noProof/>
            <w:webHidden/>
          </w:rPr>
          <w:fldChar w:fldCharType="end"/>
        </w:r>
      </w:hyperlink>
    </w:p>
    <w:p w14:paraId="074F559C" w14:textId="6A413BD6"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6" w:history="1">
        <w:r w:rsidR="001A4631" w:rsidRPr="00742E16">
          <w:rPr>
            <w:rStyle w:val="Hyperlink"/>
            <w:noProof/>
          </w:rPr>
          <w:t>Figure 2-29. Number of drug-related deaths in England and Wales for selected substances</w:t>
        </w:r>
        <w:r w:rsidR="001A4631">
          <w:rPr>
            <w:noProof/>
            <w:webHidden/>
          </w:rPr>
          <w:tab/>
        </w:r>
        <w:r w:rsidR="001A4631">
          <w:rPr>
            <w:noProof/>
            <w:webHidden/>
          </w:rPr>
          <w:fldChar w:fldCharType="begin"/>
        </w:r>
        <w:r w:rsidR="001A4631">
          <w:rPr>
            <w:noProof/>
            <w:webHidden/>
          </w:rPr>
          <w:instrText xml:space="preserve"> PAGEREF _Toc9509126 \h </w:instrText>
        </w:r>
        <w:r w:rsidR="001A4631">
          <w:rPr>
            <w:noProof/>
            <w:webHidden/>
          </w:rPr>
        </w:r>
        <w:r w:rsidR="001A4631">
          <w:rPr>
            <w:noProof/>
            <w:webHidden/>
          </w:rPr>
          <w:fldChar w:fldCharType="separate"/>
        </w:r>
        <w:r w:rsidR="0026579C">
          <w:rPr>
            <w:noProof/>
            <w:webHidden/>
          </w:rPr>
          <w:t>76</w:t>
        </w:r>
        <w:r w:rsidR="001A4631">
          <w:rPr>
            <w:noProof/>
            <w:webHidden/>
          </w:rPr>
          <w:fldChar w:fldCharType="end"/>
        </w:r>
      </w:hyperlink>
    </w:p>
    <w:p w14:paraId="0993F860" w14:textId="352B3D1E"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7" w:history="1">
        <w:r w:rsidR="001A4631" w:rsidRPr="00742E16">
          <w:rPr>
            <w:rStyle w:val="Hyperlink"/>
            <w:noProof/>
          </w:rPr>
          <w:t>Figure 2-30. Number of drug-related deaths for selected substances age 30+</w:t>
        </w:r>
        <w:r w:rsidR="001A4631">
          <w:rPr>
            <w:noProof/>
            <w:webHidden/>
          </w:rPr>
          <w:tab/>
        </w:r>
        <w:r w:rsidR="001A4631">
          <w:rPr>
            <w:noProof/>
            <w:webHidden/>
          </w:rPr>
          <w:fldChar w:fldCharType="begin"/>
        </w:r>
        <w:r w:rsidR="001A4631">
          <w:rPr>
            <w:noProof/>
            <w:webHidden/>
          </w:rPr>
          <w:instrText xml:space="preserve"> PAGEREF _Toc9509127 \h </w:instrText>
        </w:r>
        <w:r w:rsidR="001A4631">
          <w:rPr>
            <w:noProof/>
            <w:webHidden/>
          </w:rPr>
        </w:r>
        <w:r w:rsidR="001A4631">
          <w:rPr>
            <w:noProof/>
            <w:webHidden/>
          </w:rPr>
          <w:fldChar w:fldCharType="separate"/>
        </w:r>
        <w:r w:rsidR="0026579C">
          <w:rPr>
            <w:noProof/>
            <w:webHidden/>
          </w:rPr>
          <w:t>77</w:t>
        </w:r>
        <w:r w:rsidR="001A4631">
          <w:rPr>
            <w:noProof/>
            <w:webHidden/>
          </w:rPr>
          <w:fldChar w:fldCharType="end"/>
        </w:r>
      </w:hyperlink>
    </w:p>
    <w:p w14:paraId="0CAC1EEB" w14:textId="380DDF79"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8" w:history="1">
        <w:r w:rsidR="001A4631" w:rsidRPr="00742E16">
          <w:rPr>
            <w:rStyle w:val="Hyperlink"/>
            <w:noProof/>
          </w:rPr>
          <w:t>Figure 2-31. Number of drug-related deaths for selected substances age less than 30</w:t>
        </w:r>
        <w:r w:rsidR="001A4631">
          <w:rPr>
            <w:noProof/>
            <w:webHidden/>
          </w:rPr>
          <w:tab/>
        </w:r>
        <w:r w:rsidR="001A4631">
          <w:rPr>
            <w:noProof/>
            <w:webHidden/>
          </w:rPr>
          <w:fldChar w:fldCharType="begin"/>
        </w:r>
        <w:r w:rsidR="001A4631">
          <w:rPr>
            <w:noProof/>
            <w:webHidden/>
          </w:rPr>
          <w:instrText xml:space="preserve"> PAGEREF _Toc9509128 \h </w:instrText>
        </w:r>
        <w:r w:rsidR="001A4631">
          <w:rPr>
            <w:noProof/>
            <w:webHidden/>
          </w:rPr>
        </w:r>
        <w:r w:rsidR="001A4631">
          <w:rPr>
            <w:noProof/>
            <w:webHidden/>
          </w:rPr>
          <w:fldChar w:fldCharType="separate"/>
        </w:r>
        <w:r w:rsidR="0026579C">
          <w:rPr>
            <w:noProof/>
            <w:webHidden/>
          </w:rPr>
          <w:t>77</w:t>
        </w:r>
        <w:r w:rsidR="001A4631">
          <w:rPr>
            <w:noProof/>
            <w:webHidden/>
          </w:rPr>
          <w:fldChar w:fldCharType="end"/>
        </w:r>
      </w:hyperlink>
    </w:p>
    <w:p w14:paraId="422ADF02" w14:textId="7800B704"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29" w:history="1">
        <w:r w:rsidR="001A4631" w:rsidRPr="00742E16">
          <w:rPr>
            <w:rStyle w:val="Hyperlink"/>
            <w:noProof/>
          </w:rPr>
          <w:t>Figure 3-1. Brofenbrenner’s (1977, 1986) ecological model of development</w:t>
        </w:r>
        <w:r w:rsidR="001A4631">
          <w:rPr>
            <w:noProof/>
            <w:webHidden/>
          </w:rPr>
          <w:tab/>
        </w:r>
        <w:r w:rsidR="001A4631">
          <w:rPr>
            <w:noProof/>
            <w:webHidden/>
          </w:rPr>
          <w:fldChar w:fldCharType="begin"/>
        </w:r>
        <w:r w:rsidR="001A4631">
          <w:rPr>
            <w:noProof/>
            <w:webHidden/>
          </w:rPr>
          <w:instrText xml:space="preserve"> PAGEREF _Toc9509129 \h </w:instrText>
        </w:r>
        <w:r w:rsidR="001A4631">
          <w:rPr>
            <w:noProof/>
            <w:webHidden/>
          </w:rPr>
        </w:r>
        <w:r w:rsidR="001A4631">
          <w:rPr>
            <w:noProof/>
            <w:webHidden/>
          </w:rPr>
          <w:fldChar w:fldCharType="separate"/>
        </w:r>
        <w:r w:rsidR="0026579C">
          <w:rPr>
            <w:noProof/>
            <w:webHidden/>
          </w:rPr>
          <w:t>132</w:t>
        </w:r>
        <w:r w:rsidR="001A4631">
          <w:rPr>
            <w:noProof/>
            <w:webHidden/>
          </w:rPr>
          <w:fldChar w:fldCharType="end"/>
        </w:r>
      </w:hyperlink>
    </w:p>
    <w:p w14:paraId="01BA2E11" w14:textId="601E2750"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0" w:history="1">
        <w:r w:rsidR="001A4631" w:rsidRPr="00742E16">
          <w:rPr>
            <w:rStyle w:val="Hyperlink"/>
            <w:noProof/>
          </w:rPr>
          <w:t>Figure 4-1. Literature review search process</w:t>
        </w:r>
        <w:r w:rsidR="001A4631">
          <w:rPr>
            <w:noProof/>
            <w:webHidden/>
          </w:rPr>
          <w:tab/>
        </w:r>
        <w:r w:rsidR="001A4631">
          <w:rPr>
            <w:noProof/>
            <w:webHidden/>
          </w:rPr>
          <w:fldChar w:fldCharType="begin"/>
        </w:r>
        <w:r w:rsidR="001A4631">
          <w:rPr>
            <w:noProof/>
            <w:webHidden/>
          </w:rPr>
          <w:instrText xml:space="preserve"> PAGEREF _Toc9509130 \h </w:instrText>
        </w:r>
        <w:r w:rsidR="001A4631">
          <w:rPr>
            <w:noProof/>
            <w:webHidden/>
          </w:rPr>
        </w:r>
        <w:r w:rsidR="001A4631">
          <w:rPr>
            <w:noProof/>
            <w:webHidden/>
          </w:rPr>
          <w:fldChar w:fldCharType="separate"/>
        </w:r>
        <w:r w:rsidR="0026579C">
          <w:rPr>
            <w:noProof/>
            <w:webHidden/>
          </w:rPr>
          <w:t>147</w:t>
        </w:r>
        <w:r w:rsidR="001A4631">
          <w:rPr>
            <w:noProof/>
            <w:webHidden/>
          </w:rPr>
          <w:fldChar w:fldCharType="end"/>
        </w:r>
      </w:hyperlink>
    </w:p>
    <w:p w14:paraId="5E85E996" w14:textId="54418F38"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1" w:history="1">
        <w:r w:rsidR="001A4631" w:rsidRPr="00742E16">
          <w:rPr>
            <w:rStyle w:val="Hyperlink"/>
            <w:noProof/>
          </w:rPr>
          <w:t>Figure 5-1 Research flow process diagram</w:t>
        </w:r>
        <w:r w:rsidR="001A4631">
          <w:rPr>
            <w:noProof/>
            <w:webHidden/>
          </w:rPr>
          <w:tab/>
        </w:r>
        <w:r w:rsidR="001A4631">
          <w:rPr>
            <w:noProof/>
            <w:webHidden/>
          </w:rPr>
          <w:fldChar w:fldCharType="begin"/>
        </w:r>
        <w:r w:rsidR="001A4631">
          <w:rPr>
            <w:noProof/>
            <w:webHidden/>
          </w:rPr>
          <w:instrText xml:space="preserve"> PAGEREF _Toc9509131 \h </w:instrText>
        </w:r>
        <w:r w:rsidR="001A4631">
          <w:rPr>
            <w:noProof/>
            <w:webHidden/>
          </w:rPr>
        </w:r>
        <w:r w:rsidR="001A4631">
          <w:rPr>
            <w:noProof/>
            <w:webHidden/>
          </w:rPr>
          <w:fldChar w:fldCharType="separate"/>
        </w:r>
        <w:r w:rsidR="0026579C">
          <w:rPr>
            <w:noProof/>
            <w:webHidden/>
          </w:rPr>
          <w:t>196</w:t>
        </w:r>
        <w:r w:rsidR="001A4631">
          <w:rPr>
            <w:noProof/>
            <w:webHidden/>
          </w:rPr>
          <w:fldChar w:fldCharType="end"/>
        </w:r>
      </w:hyperlink>
    </w:p>
    <w:p w14:paraId="525F0E2A" w14:textId="32983F9F"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2" w:history="1">
        <w:r w:rsidR="001A4631" w:rsidRPr="00742E16">
          <w:rPr>
            <w:rStyle w:val="Hyperlink"/>
            <w:noProof/>
          </w:rPr>
          <w:t xml:space="preserve">Figure 5-2 Health belief model </w:t>
        </w:r>
        <w:r w:rsidR="001A4631">
          <w:rPr>
            <w:noProof/>
            <w:webHidden/>
          </w:rPr>
          <w:tab/>
        </w:r>
        <w:r w:rsidR="001A4631">
          <w:rPr>
            <w:noProof/>
            <w:webHidden/>
          </w:rPr>
          <w:fldChar w:fldCharType="begin"/>
        </w:r>
        <w:r w:rsidR="001A4631">
          <w:rPr>
            <w:noProof/>
            <w:webHidden/>
          </w:rPr>
          <w:instrText xml:space="preserve"> PAGEREF _Toc9509132 \h </w:instrText>
        </w:r>
        <w:r w:rsidR="001A4631">
          <w:rPr>
            <w:noProof/>
            <w:webHidden/>
          </w:rPr>
        </w:r>
        <w:r w:rsidR="001A4631">
          <w:rPr>
            <w:noProof/>
            <w:webHidden/>
          </w:rPr>
          <w:fldChar w:fldCharType="separate"/>
        </w:r>
        <w:r w:rsidR="0026579C">
          <w:rPr>
            <w:noProof/>
            <w:webHidden/>
          </w:rPr>
          <w:t>202</w:t>
        </w:r>
        <w:r w:rsidR="001A4631">
          <w:rPr>
            <w:noProof/>
            <w:webHidden/>
          </w:rPr>
          <w:fldChar w:fldCharType="end"/>
        </w:r>
      </w:hyperlink>
    </w:p>
    <w:p w14:paraId="23AF369A" w14:textId="3E4FF2D6"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3" w:history="1">
        <w:r w:rsidR="001A4631" w:rsidRPr="00742E16">
          <w:rPr>
            <w:rStyle w:val="Hyperlink"/>
            <w:noProof/>
          </w:rPr>
          <w:t>Figure 5-3 Protection motivation theory</w:t>
        </w:r>
        <w:r w:rsidR="001A4631">
          <w:rPr>
            <w:noProof/>
            <w:webHidden/>
          </w:rPr>
          <w:tab/>
        </w:r>
        <w:r w:rsidR="001A4631">
          <w:rPr>
            <w:noProof/>
            <w:webHidden/>
          </w:rPr>
          <w:fldChar w:fldCharType="begin"/>
        </w:r>
        <w:r w:rsidR="001A4631">
          <w:rPr>
            <w:noProof/>
            <w:webHidden/>
          </w:rPr>
          <w:instrText xml:space="preserve"> PAGEREF _Toc9509133 \h </w:instrText>
        </w:r>
        <w:r w:rsidR="001A4631">
          <w:rPr>
            <w:noProof/>
            <w:webHidden/>
          </w:rPr>
        </w:r>
        <w:r w:rsidR="001A4631">
          <w:rPr>
            <w:noProof/>
            <w:webHidden/>
          </w:rPr>
          <w:fldChar w:fldCharType="separate"/>
        </w:r>
        <w:r w:rsidR="0026579C">
          <w:rPr>
            <w:noProof/>
            <w:webHidden/>
          </w:rPr>
          <w:t>203</w:t>
        </w:r>
        <w:r w:rsidR="001A4631">
          <w:rPr>
            <w:noProof/>
            <w:webHidden/>
          </w:rPr>
          <w:fldChar w:fldCharType="end"/>
        </w:r>
      </w:hyperlink>
    </w:p>
    <w:p w14:paraId="13CE8784" w14:textId="0850FA0D"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4" w:history="1">
        <w:r w:rsidR="001A4631" w:rsidRPr="00742E16">
          <w:rPr>
            <w:rStyle w:val="Hyperlink"/>
            <w:noProof/>
          </w:rPr>
          <w:t>Figure 5-4 Theory of planned behaviour</w:t>
        </w:r>
        <w:r w:rsidR="001A4631">
          <w:rPr>
            <w:noProof/>
            <w:webHidden/>
          </w:rPr>
          <w:tab/>
        </w:r>
        <w:r w:rsidR="001A4631">
          <w:rPr>
            <w:noProof/>
            <w:webHidden/>
          </w:rPr>
          <w:fldChar w:fldCharType="begin"/>
        </w:r>
        <w:r w:rsidR="001A4631">
          <w:rPr>
            <w:noProof/>
            <w:webHidden/>
          </w:rPr>
          <w:instrText xml:space="preserve"> PAGEREF _Toc9509134 \h </w:instrText>
        </w:r>
        <w:r w:rsidR="001A4631">
          <w:rPr>
            <w:noProof/>
            <w:webHidden/>
          </w:rPr>
        </w:r>
        <w:r w:rsidR="001A4631">
          <w:rPr>
            <w:noProof/>
            <w:webHidden/>
          </w:rPr>
          <w:fldChar w:fldCharType="separate"/>
        </w:r>
        <w:r w:rsidR="0026579C">
          <w:rPr>
            <w:noProof/>
            <w:webHidden/>
          </w:rPr>
          <w:t>204</w:t>
        </w:r>
        <w:r w:rsidR="001A4631">
          <w:rPr>
            <w:noProof/>
            <w:webHidden/>
          </w:rPr>
          <w:fldChar w:fldCharType="end"/>
        </w:r>
      </w:hyperlink>
    </w:p>
    <w:p w14:paraId="7531970F" w14:textId="13AAE1D2"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5" w:history="1">
        <w:r w:rsidR="001A4631" w:rsidRPr="00742E16">
          <w:rPr>
            <w:rStyle w:val="Hyperlink"/>
            <w:noProof/>
          </w:rPr>
          <w:t>Figure 5-5 Prototype willingness model</w:t>
        </w:r>
        <w:r w:rsidR="001A4631">
          <w:rPr>
            <w:noProof/>
            <w:webHidden/>
          </w:rPr>
          <w:tab/>
        </w:r>
        <w:r w:rsidR="001A4631">
          <w:rPr>
            <w:noProof/>
            <w:webHidden/>
          </w:rPr>
          <w:fldChar w:fldCharType="begin"/>
        </w:r>
        <w:r w:rsidR="001A4631">
          <w:rPr>
            <w:noProof/>
            <w:webHidden/>
          </w:rPr>
          <w:instrText xml:space="preserve"> PAGEREF _Toc9509135 \h </w:instrText>
        </w:r>
        <w:r w:rsidR="001A4631">
          <w:rPr>
            <w:noProof/>
            <w:webHidden/>
          </w:rPr>
        </w:r>
        <w:r w:rsidR="001A4631">
          <w:rPr>
            <w:noProof/>
            <w:webHidden/>
          </w:rPr>
          <w:fldChar w:fldCharType="separate"/>
        </w:r>
        <w:r w:rsidR="0026579C">
          <w:rPr>
            <w:noProof/>
            <w:webHidden/>
          </w:rPr>
          <w:t>205</w:t>
        </w:r>
        <w:r w:rsidR="001A4631">
          <w:rPr>
            <w:noProof/>
            <w:webHidden/>
          </w:rPr>
          <w:fldChar w:fldCharType="end"/>
        </w:r>
      </w:hyperlink>
    </w:p>
    <w:p w14:paraId="0A7D1EED" w14:textId="1DE1AEF5"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6" w:history="1">
        <w:r w:rsidR="001A4631" w:rsidRPr="00742E16">
          <w:rPr>
            <w:rStyle w:val="Hyperlink"/>
            <w:noProof/>
          </w:rPr>
          <w:t>Figure 5-6 Behavioural reasoning theory</w:t>
        </w:r>
        <w:r w:rsidR="001A4631">
          <w:rPr>
            <w:noProof/>
            <w:webHidden/>
          </w:rPr>
          <w:tab/>
        </w:r>
        <w:r w:rsidR="001A4631">
          <w:rPr>
            <w:noProof/>
            <w:webHidden/>
          </w:rPr>
          <w:fldChar w:fldCharType="begin"/>
        </w:r>
        <w:r w:rsidR="001A4631">
          <w:rPr>
            <w:noProof/>
            <w:webHidden/>
          </w:rPr>
          <w:instrText xml:space="preserve"> PAGEREF _Toc9509136 \h </w:instrText>
        </w:r>
        <w:r w:rsidR="001A4631">
          <w:rPr>
            <w:noProof/>
            <w:webHidden/>
          </w:rPr>
        </w:r>
        <w:r w:rsidR="001A4631">
          <w:rPr>
            <w:noProof/>
            <w:webHidden/>
          </w:rPr>
          <w:fldChar w:fldCharType="separate"/>
        </w:r>
        <w:r w:rsidR="0026579C">
          <w:rPr>
            <w:noProof/>
            <w:webHidden/>
          </w:rPr>
          <w:t>206</w:t>
        </w:r>
        <w:r w:rsidR="001A4631">
          <w:rPr>
            <w:noProof/>
            <w:webHidden/>
          </w:rPr>
          <w:fldChar w:fldCharType="end"/>
        </w:r>
      </w:hyperlink>
    </w:p>
    <w:p w14:paraId="7D1822F7" w14:textId="2EB314CD"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7" w:history="1">
        <w:r w:rsidR="001A4631" w:rsidRPr="00742E16">
          <w:rPr>
            <w:rStyle w:val="Hyperlink"/>
            <w:noProof/>
          </w:rPr>
          <w:t>Figure 7-1 proposed mechanisms of change underlying the Psychoactive Substances Act</w:t>
        </w:r>
        <w:r w:rsidR="001A4631">
          <w:rPr>
            <w:noProof/>
            <w:webHidden/>
          </w:rPr>
          <w:tab/>
        </w:r>
        <w:r w:rsidR="001A4631">
          <w:rPr>
            <w:noProof/>
            <w:webHidden/>
          </w:rPr>
          <w:fldChar w:fldCharType="begin"/>
        </w:r>
        <w:r w:rsidR="001A4631">
          <w:rPr>
            <w:noProof/>
            <w:webHidden/>
          </w:rPr>
          <w:instrText xml:space="preserve"> PAGEREF _Toc9509137 \h </w:instrText>
        </w:r>
        <w:r w:rsidR="001A4631">
          <w:rPr>
            <w:noProof/>
            <w:webHidden/>
          </w:rPr>
        </w:r>
        <w:r w:rsidR="001A4631">
          <w:rPr>
            <w:noProof/>
            <w:webHidden/>
          </w:rPr>
          <w:fldChar w:fldCharType="separate"/>
        </w:r>
        <w:r w:rsidR="0026579C">
          <w:rPr>
            <w:noProof/>
            <w:webHidden/>
          </w:rPr>
          <w:t>284</w:t>
        </w:r>
        <w:r w:rsidR="001A4631">
          <w:rPr>
            <w:noProof/>
            <w:webHidden/>
          </w:rPr>
          <w:fldChar w:fldCharType="end"/>
        </w:r>
      </w:hyperlink>
    </w:p>
    <w:p w14:paraId="220258C4" w14:textId="7897608A"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8" w:history="1">
        <w:r w:rsidR="001A4631" w:rsidRPr="00742E16">
          <w:rPr>
            <w:rStyle w:val="Hyperlink"/>
            <w:noProof/>
          </w:rPr>
          <w:t>Figure 7-2. Encouraging use of NPS: Number of statements referencing each theme</w:t>
        </w:r>
        <w:r w:rsidR="001A4631">
          <w:rPr>
            <w:noProof/>
            <w:webHidden/>
          </w:rPr>
          <w:tab/>
        </w:r>
        <w:r w:rsidR="001A4631">
          <w:rPr>
            <w:noProof/>
            <w:webHidden/>
          </w:rPr>
          <w:fldChar w:fldCharType="begin"/>
        </w:r>
        <w:r w:rsidR="001A4631">
          <w:rPr>
            <w:noProof/>
            <w:webHidden/>
          </w:rPr>
          <w:instrText xml:space="preserve"> PAGEREF _Toc9509138 \h </w:instrText>
        </w:r>
        <w:r w:rsidR="001A4631">
          <w:rPr>
            <w:noProof/>
            <w:webHidden/>
          </w:rPr>
        </w:r>
        <w:r w:rsidR="001A4631">
          <w:rPr>
            <w:noProof/>
            <w:webHidden/>
          </w:rPr>
          <w:fldChar w:fldCharType="separate"/>
        </w:r>
        <w:r w:rsidR="0026579C">
          <w:rPr>
            <w:noProof/>
            <w:webHidden/>
          </w:rPr>
          <w:t>304</w:t>
        </w:r>
        <w:r w:rsidR="001A4631">
          <w:rPr>
            <w:noProof/>
            <w:webHidden/>
          </w:rPr>
          <w:fldChar w:fldCharType="end"/>
        </w:r>
      </w:hyperlink>
    </w:p>
    <w:p w14:paraId="4F141492" w14:textId="51E9D184"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39" w:history="1">
        <w:r w:rsidR="001A4631" w:rsidRPr="00742E16">
          <w:rPr>
            <w:rStyle w:val="Hyperlink"/>
            <w:noProof/>
          </w:rPr>
          <w:t>Figure 7-3. Discouraging use of NPS: Number of statements referencing each theme</w:t>
        </w:r>
        <w:r w:rsidR="001A4631">
          <w:rPr>
            <w:noProof/>
            <w:webHidden/>
          </w:rPr>
          <w:tab/>
        </w:r>
        <w:r w:rsidR="001A4631">
          <w:rPr>
            <w:noProof/>
            <w:webHidden/>
          </w:rPr>
          <w:fldChar w:fldCharType="begin"/>
        </w:r>
        <w:r w:rsidR="001A4631">
          <w:rPr>
            <w:noProof/>
            <w:webHidden/>
          </w:rPr>
          <w:instrText xml:space="preserve"> PAGEREF _Toc9509139 \h </w:instrText>
        </w:r>
        <w:r w:rsidR="001A4631">
          <w:rPr>
            <w:noProof/>
            <w:webHidden/>
          </w:rPr>
        </w:r>
        <w:r w:rsidR="001A4631">
          <w:rPr>
            <w:noProof/>
            <w:webHidden/>
          </w:rPr>
          <w:fldChar w:fldCharType="separate"/>
        </w:r>
        <w:r w:rsidR="0026579C">
          <w:rPr>
            <w:noProof/>
            <w:webHidden/>
          </w:rPr>
          <w:t>305</w:t>
        </w:r>
        <w:r w:rsidR="001A4631">
          <w:rPr>
            <w:noProof/>
            <w:webHidden/>
          </w:rPr>
          <w:fldChar w:fldCharType="end"/>
        </w:r>
      </w:hyperlink>
    </w:p>
    <w:p w14:paraId="5065F5D0" w14:textId="24422E7C"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40" w:history="1">
        <w:r w:rsidR="001A4631" w:rsidRPr="00742E16">
          <w:rPr>
            <w:rStyle w:val="Hyperlink"/>
            <w:noProof/>
          </w:rPr>
          <w:t>Figure 7-4. Stacked bar chart showing the number of references to various NPS user and non-user prototypes in the pre-ban and post-ban focus groups.</w:t>
        </w:r>
        <w:r w:rsidR="001A4631">
          <w:rPr>
            <w:noProof/>
            <w:webHidden/>
          </w:rPr>
          <w:tab/>
        </w:r>
        <w:r w:rsidR="001A4631">
          <w:rPr>
            <w:noProof/>
            <w:webHidden/>
          </w:rPr>
          <w:fldChar w:fldCharType="begin"/>
        </w:r>
        <w:r w:rsidR="001A4631">
          <w:rPr>
            <w:noProof/>
            <w:webHidden/>
          </w:rPr>
          <w:instrText xml:space="preserve"> PAGEREF _Toc9509140 \h </w:instrText>
        </w:r>
        <w:r w:rsidR="001A4631">
          <w:rPr>
            <w:noProof/>
            <w:webHidden/>
          </w:rPr>
        </w:r>
        <w:r w:rsidR="001A4631">
          <w:rPr>
            <w:noProof/>
            <w:webHidden/>
          </w:rPr>
          <w:fldChar w:fldCharType="separate"/>
        </w:r>
        <w:r w:rsidR="0026579C">
          <w:rPr>
            <w:noProof/>
            <w:webHidden/>
          </w:rPr>
          <w:t>311</w:t>
        </w:r>
        <w:r w:rsidR="001A4631">
          <w:rPr>
            <w:noProof/>
            <w:webHidden/>
          </w:rPr>
          <w:fldChar w:fldCharType="end"/>
        </w:r>
      </w:hyperlink>
    </w:p>
    <w:p w14:paraId="7293FF0E" w14:textId="0BC66F24"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41" w:history="1">
        <w:r w:rsidR="001A4631" w:rsidRPr="00742E16">
          <w:rPr>
            <w:rStyle w:val="Hyperlink"/>
            <w:noProof/>
          </w:rPr>
          <w:t>Figure 7-5. A potential alternative stigmatisation pathway levered by legislative action</w:t>
        </w:r>
        <w:r w:rsidR="001A4631">
          <w:rPr>
            <w:noProof/>
            <w:webHidden/>
          </w:rPr>
          <w:tab/>
        </w:r>
        <w:r w:rsidR="001A4631">
          <w:rPr>
            <w:noProof/>
            <w:webHidden/>
          </w:rPr>
          <w:fldChar w:fldCharType="begin"/>
        </w:r>
        <w:r w:rsidR="001A4631">
          <w:rPr>
            <w:noProof/>
            <w:webHidden/>
          </w:rPr>
          <w:instrText xml:space="preserve"> PAGEREF _Toc9509141 \h </w:instrText>
        </w:r>
        <w:r w:rsidR="001A4631">
          <w:rPr>
            <w:noProof/>
            <w:webHidden/>
          </w:rPr>
        </w:r>
        <w:r w:rsidR="001A4631">
          <w:rPr>
            <w:noProof/>
            <w:webHidden/>
          </w:rPr>
          <w:fldChar w:fldCharType="separate"/>
        </w:r>
        <w:r w:rsidR="0026579C">
          <w:rPr>
            <w:noProof/>
            <w:webHidden/>
          </w:rPr>
          <w:t>329</w:t>
        </w:r>
        <w:r w:rsidR="001A4631">
          <w:rPr>
            <w:noProof/>
            <w:webHidden/>
          </w:rPr>
          <w:fldChar w:fldCharType="end"/>
        </w:r>
      </w:hyperlink>
    </w:p>
    <w:p w14:paraId="32ACBBC4" w14:textId="4F69818F"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42" w:history="1">
        <w:r w:rsidR="001A4631" w:rsidRPr="00742E16">
          <w:rPr>
            <w:rStyle w:val="Hyperlink"/>
            <w:noProof/>
          </w:rPr>
          <w:t>Figure 9-1. Social cognitive model constructs mapped onto to young people’s motives, beliefs and reasons for using or not using NPS</w:t>
        </w:r>
        <w:r w:rsidR="001A4631">
          <w:rPr>
            <w:noProof/>
            <w:webHidden/>
          </w:rPr>
          <w:tab/>
        </w:r>
        <w:r w:rsidR="001A4631">
          <w:rPr>
            <w:noProof/>
            <w:webHidden/>
          </w:rPr>
          <w:fldChar w:fldCharType="begin"/>
        </w:r>
        <w:r w:rsidR="001A4631">
          <w:rPr>
            <w:noProof/>
            <w:webHidden/>
          </w:rPr>
          <w:instrText xml:space="preserve"> PAGEREF _Toc9509142 \h </w:instrText>
        </w:r>
        <w:r w:rsidR="001A4631">
          <w:rPr>
            <w:noProof/>
            <w:webHidden/>
          </w:rPr>
        </w:r>
        <w:r w:rsidR="001A4631">
          <w:rPr>
            <w:noProof/>
            <w:webHidden/>
          </w:rPr>
          <w:fldChar w:fldCharType="separate"/>
        </w:r>
        <w:r w:rsidR="0026579C">
          <w:rPr>
            <w:noProof/>
            <w:webHidden/>
          </w:rPr>
          <w:t>391</w:t>
        </w:r>
        <w:r w:rsidR="001A4631">
          <w:rPr>
            <w:noProof/>
            <w:webHidden/>
          </w:rPr>
          <w:fldChar w:fldCharType="end"/>
        </w:r>
      </w:hyperlink>
    </w:p>
    <w:p w14:paraId="27AC1576" w14:textId="0C5E095D" w:rsidR="001A4631" w:rsidRDefault="00251E9C">
      <w:pPr>
        <w:pStyle w:val="TableofFigures"/>
        <w:tabs>
          <w:tab w:val="right" w:leader="dot" w:pos="9016"/>
        </w:tabs>
        <w:rPr>
          <w:rFonts w:asciiTheme="minorHAnsi" w:eastAsiaTheme="minorEastAsia" w:hAnsiTheme="minorHAnsi" w:cstheme="minorBidi"/>
          <w:noProof/>
          <w:sz w:val="22"/>
          <w:lang w:eastAsia="en-GB"/>
        </w:rPr>
      </w:pPr>
      <w:hyperlink w:anchor="_Toc9509143" w:history="1">
        <w:r w:rsidR="001A4631" w:rsidRPr="00742E16">
          <w:rPr>
            <w:rStyle w:val="Hyperlink"/>
            <w:noProof/>
          </w:rPr>
          <w:t>Figure 9-2. Integration of the wider perspective</w:t>
        </w:r>
        <w:r w:rsidR="001A4631">
          <w:rPr>
            <w:noProof/>
            <w:webHidden/>
          </w:rPr>
          <w:tab/>
        </w:r>
        <w:r w:rsidR="001A4631">
          <w:rPr>
            <w:noProof/>
            <w:webHidden/>
          </w:rPr>
          <w:fldChar w:fldCharType="begin"/>
        </w:r>
        <w:r w:rsidR="001A4631">
          <w:rPr>
            <w:noProof/>
            <w:webHidden/>
          </w:rPr>
          <w:instrText xml:space="preserve"> PAGEREF _Toc9509143 \h </w:instrText>
        </w:r>
        <w:r w:rsidR="001A4631">
          <w:rPr>
            <w:noProof/>
            <w:webHidden/>
          </w:rPr>
        </w:r>
        <w:r w:rsidR="001A4631">
          <w:rPr>
            <w:noProof/>
            <w:webHidden/>
          </w:rPr>
          <w:fldChar w:fldCharType="separate"/>
        </w:r>
        <w:r w:rsidR="0026579C">
          <w:rPr>
            <w:noProof/>
            <w:webHidden/>
          </w:rPr>
          <w:t>432</w:t>
        </w:r>
        <w:r w:rsidR="001A4631">
          <w:rPr>
            <w:noProof/>
            <w:webHidden/>
          </w:rPr>
          <w:fldChar w:fldCharType="end"/>
        </w:r>
      </w:hyperlink>
    </w:p>
    <w:p w14:paraId="558E2586" w14:textId="1661CDF2" w:rsidR="00C637D7" w:rsidRDefault="008B7C26" w:rsidP="00841434">
      <w:pPr>
        <w:rPr>
          <w:rFonts w:asciiTheme="majorBidi" w:hAnsiTheme="majorBidi" w:cstheme="majorBidi"/>
          <w:szCs w:val="24"/>
        </w:rPr>
      </w:pPr>
      <w:r>
        <w:rPr>
          <w:rFonts w:asciiTheme="majorBidi" w:hAnsiTheme="majorBidi" w:cstheme="majorBidi"/>
          <w:szCs w:val="24"/>
        </w:rPr>
        <w:fldChar w:fldCharType="end"/>
      </w:r>
    </w:p>
    <w:p w14:paraId="2F513FF2" w14:textId="77777777" w:rsidR="00C637D7" w:rsidRDefault="00C637D7" w:rsidP="00841434">
      <w:pPr>
        <w:rPr>
          <w:rFonts w:asciiTheme="majorBidi" w:hAnsiTheme="majorBidi" w:cstheme="majorBidi"/>
          <w:szCs w:val="24"/>
        </w:rPr>
      </w:pPr>
    </w:p>
    <w:p w14:paraId="2151E14E" w14:textId="77777777" w:rsidR="00673744" w:rsidRPr="00673744" w:rsidRDefault="00673744" w:rsidP="00673744">
      <w:pPr>
        <w:rPr>
          <w:szCs w:val="32"/>
        </w:rPr>
      </w:pPr>
      <w:bookmarkStart w:id="16" w:name="_Toc9182714"/>
    </w:p>
    <w:p w14:paraId="0D1DBD5E" w14:textId="77777777" w:rsidR="00673744" w:rsidRPr="00673744" w:rsidRDefault="00673744" w:rsidP="00673744">
      <w:pPr>
        <w:rPr>
          <w:szCs w:val="32"/>
        </w:rPr>
      </w:pPr>
    </w:p>
    <w:p w14:paraId="32250F76" w14:textId="77777777" w:rsidR="00673744" w:rsidRPr="00673744" w:rsidRDefault="00673744" w:rsidP="00673744">
      <w:pPr>
        <w:rPr>
          <w:szCs w:val="32"/>
        </w:rPr>
      </w:pPr>
    </w:p>
    <w:p w14:paraId="6805D2A9" w14:textId="77777777" w:rsidR="00673744" w:rsidRPr="00673744" w:rsidRDefault="00673744" w:rsidP="00673744">
      <w:pPr>
        <w:rPr>
          <w:szCs w:val="32"/>
        </w:rPr>
      </w:pPr>
    </w:p>
    <w:p w14:paraId="4A04618C" w14:textId="77777777" w:rsidR="00673744" w:rsidRPr="00673744" w:rsidRDefault="00673744" w:rsidP="00673744">
      <w:pPr>
        <w:rPr>
          <w:szCs w:val="32"/>
        </w:rPr>
      </w:pPr>
    </w:p>
    <w:p w14:paraId="31870DC4" w14:textId="77777777" w:rsidR="00673744" w:rsidRDefault="00673744" w:rsidP="00673744"/>
    <w:p w14:paraId="0475701A" w14:textId="77777777" w:rsidR="00673744" w:rsidRDefault="00673744" w:rsidP="00673744"/>
    <w:p w14:paraId="281A1506" w14:textId="77777777" w:rsidR="00673744" w:rsidRDefault="00673744" w:rsidP="00673744"/>
    <w:p w14:paraId="43882944" w14:textId="285A37C4" w:rsidR="00673744" w:rsidRPr="00673744" w:rsidRDefault="00673744" w:rsidP="00673744">
      <w:pPr>
        <w:rPr>
          <w:szCs w:val="32"/>
        </w:rPr>
        <w:sectPr w:rsidR="00673744" w:rsidRPr="00673744" w:rsidSect="00841434">
          <w:pgSz w:w="11906" w:h="16838"/>
          <w:pgMar w:top="1440" w:right="1440" w:bottom="1440" w:left="1440" w:header="708" w:footer="708" w:gutter="0"/>
          <w:pgNumType w:fmt="lowerRoman"/>
          <w:cols w:space="708"/>
          <w:docGrid w:linePitch="360"/>
        </w:sectPr>
      </w:pPr>
    </w:p>
    <w:p w14:paraId="49425C12" w14:textId="63740970" w:rsidR="00841434" w:rsidRDefault="00841434" w:rsidP="00841434">
      <w:pPr>
        <w:pStyle w:val="Heading1"/>
        <w:numPr>
          <w:ilvl w:val="0"/>
          <w:numId w:val="0"/>
        </w:numPr>
        <w:spacing w:line="360" w:lineRule="auto"/>
        <w:ind w:left="432" w:hanging="432"/>
        <w:rPr>
          <w:szCs w:val="32"/>
        </w:rPr>
      </w:pPr>
      <w:bookmarkStart w:id="17" w:name="_Toc35892485"/>
      <w:r w:rsidRPr="00D15CD9">
        <w:rPr>
          <w:szCs w:val="32"/>
        </w:rPr>
        <w:t>List of Abbreviations</w:t>
      </w:r>
      <w:bookmarkEnd w:id="16"/>
      <w:bookmarkEnd w:id="17"/>
    </w:p>
    <w:p w14:paraId="5E7606B5" w14:textId="77777777" w:rsidR="00740673" w:rsidRDefault="00740673" w:rsidP="001C2C86">
      <w:pPr>
        <w:spacing w:line="360" w:lineRule="auto"/>
      </w:pPr>
    </w:p>
    <w:p w14:paraId="1B709870" w14:textId="3D99F561" w:rsidR="001C2C86" w:rsidRDefault="001C2C86" w:rsidP="001C2C86">
      <w:pPr>
        <w:spacing w:line="360" w:lineRule="auto"/>
      </w:pPr>
      <w:r>
        <w:t xml:space="preserve">BCW </w:t>
      </w:r>
      <w:r>
        <w:tab/>
      </w:r>
      <w:r>
        <w:tab/>
        <w:t>Behaviour Change Wheel</w:t>
      </w:r>
    </w:p>
    <w:p w14:paraId="593F1B86" w14:textId="2D5F27FB" w:rsidR="000846E2" w:rsidRDefault="000846E2" w:rsidP="0011136F">
      <w:pPr>
        <w:spacing w:line="360" w:lineRule="auto"/>
      </w:pPr>
      <w:r>
        <w:t>BRT</w:t>
      </w:r>
      <w:r>
        <w:tab/>
      </w:r>
      <w:r>
        <w:tab/>
      </w:r>
      <w:r w:rsidR="00EF753D">
        <w:t>Behavioural Reasoning Theory</w:t>
      </w:r>
    </w:p>
    <w:p w14:paraId="19B8DE63" w14:textId="0D2B82A1" w:rsidR="00804102" w:rsidRDefault="00804102" w:rsidP="0011136F">
      <w:pPr>
        <w:spacing w:line="360" w:lineRule="auto"/>
      </w:pPr>
      <w:r>
        <w:t xml:space="preserve">EMCDDA </w:t>
      </w:r>
      <w:r>
        <w:tab/>
        <w:t xml:space="preserve">European Monitoring Centre for Drugs and Drug Addiction </w:t>
      </w:r>
    </w:p>
    <w:p w14:paraId="3E6232BA" w14:textId="60A52271" w:rsidR="000846E2" w:rsidRDefault="000846E2" w:rsidP="0011136F">
      <w:pPr>
        <w:spacing w:line="360" w:lineRule="auto"/>
      </w:pPr>
      <w:r>
        <w:t>HBM</w:t>
      </w:r>
      <w:r>
        <w:tab/>
      </w:r>
      <w:r>
        <w:tab/>
      </w:r>
      <w:r w:rsidR="00EF753D">
        <w:t>Health Belief Model</w:t>
      </w:r>
    </w:p>
    <w:p w14:paraId="6749115A" w14:textId="2FC89E00" w:rsidR="00804102" w:rsidRDefault="00804102" w:rsidP="0011136F">
      <w:pPr>
        <w:spacing w:line="360" w:lineRule="auto"/>
      </w:pPr>
      <w:r>
        <w:t>NICE</w:t>
      </w:r>
      <w:r>
        <w:tab/>
      </w:r>
      <w:r>
        <w:tab/>
        <w:t>National Institute for Health and Clinical Excellence</w:t>
      </w:r>
    </w:p>
    <w:p w14:paraId="2B8074E2" w14:textId="1990E90B" w:rsidR="007A5301" w:rsidRDefault="007A5301" w:rsidP="0011136F">
      <w:pPr>
        <w:spacing w:line="360" w:lineRule="auto"/>
      </w:pPr>
      <w:r>
        <w:t>NPS</w:t>
      </w:r>
      <w:r>
        <w:tab/>
      </w:r>
      <w:r>
        <w:tab/>
        <w:t>Novel Psychoactive Substances</w:t>
      </w:r>
    </w:p>
    <w:p w14:paraId="1C42B3D6" w14:textId="582C19AA" w:rsidR="00EF753D" w:rsidRDefault="00EF753D" w:rsidP="0011136F">
      <w:pPr>
        <w:spacing w:line="360" w:lineRule="auto"/>
      </w:pPr>
      <w:r>
        <w:t>PMT</w:t>
      </w:r>
      <w:r>
        <w:tab/>
      </w:r>
      <w:r>
        <w:tab/>
        <w:t>Protection Motivation Theory</w:t>
      </w:r>
    </w:p>
    <w:p w14:paraId="7662F5AA" w14:textId="1D751991" w:rsidR="0011136F" w:rsidRDefault="007E51B3" w:rsidP="0011136F">
      <w:pPr>
        <w:rPr>
          <w:rFonts w:asciiTheme="majorBidi" w:hAnsiTheme="majorBidi" w:cstheme="majorBidi"/>
          <w:szCs w:val="24"/>
        </w:rPr>
      </w:pPr>
      <w:r>
        <w:t>PS Act</w:t>
      </w:r>
      <w:r w:rsidRPr="00AA7857" w:rsidDel="007E51B3">
        <w:rPr>
          <w:rFonts w:asciiTheme="majorBidi" w:hAnsiTheme="majorBidi" w:cstheme="majorBidi"/>
          <w:szCs w:val="24"/>
        </w:rPr>
        <w:t xml:space="preserve"> </w:t>
      </w:r>
      <w:r>
        <w:rPr>
          <w:rFonts w:asciiTheme="majorBidi" w:hAnsiTheme="majorBidi" w:cstheme="majorBidi"/>
          <w:szCs w:val="24"/>
        </w:rPr>
        <w:tab/>
        <w:t>Psychoactive Substances Act 2016</w:t>
      </w:r>
    </w:p>
    <w:p w14:paraId="124302A1" w14:textId="335047D6" w:rsidR="000846E2" w:rsidRDefault="000846E2" w:rsidP="0011136F">
      <w:r>
        <w:t>PWT</w:t>
      </w:r>
      <w:r w:rsidR="00EF753D">
        <w:tab/>
      </w:r>
      <w:r w:rsidR="00EF753D">
        <w:tab/>
        <w:t>Prototype Willingness Theory</w:t>
      </w:r>
    </w:p>
    <w:p w14:paraId="6AB742B9" w14:textId="399E8AE3" w:rsidR="000846E2" w:rsidRDefault="000846E2" w:rsidP="0011136F">
      <w:r>
        <w:t>TPB</w:t>
      </w:r>
      <w:r>
        <w:tab/>
      </w:r>
      <w:r>
        <w:tab/>
        <w:t>Theory of Planned Behaviour</w:t>
      </w:r>
    </w:p>
    <w:p w14:paraId="724C5B99" w14:textId="5FCD86BF" w:rsidR="0011136F" w:rsidRDefault="00804102" w:rsidP="0011136F">
      <w:r>
        <w:t>UNODC</w:t>
      </w:r>
      <w:r>
        <w:tab/>
        <w:t>United Nations Office on Drugs and Crime</w:t>
      </w:r>
    </w:p>
    <w:p w14:paraId="6286531A" w14:textId="01EF5A96" w:rsidR="00804102" w:rsidRDefault="00804102" w:rsidP="0011136F">
      <w:r>
        <w:t>WHO</w:t>
      </w:r>
      <w:r>
        <w:tab/>
      </w:r>
      <w:r>
        <w:tab/>
        <w:t>World Health Organisation</w:t>
      </w:r>
    </w:p>
    <w:p w14:paraId="68E95DC6" w14:textId="77777777" w:rsidR="005A7BA5" w:rsidRDefault="005A7BA5" w:rsidP="0011136F">
      <w:pPr>
        <w:sectPr w:rsidR="005A7BA5" w:rsidSect="00841434">
          <w:pgSz w:w="11906" w:h="16838"/>
          <w:pgMar w:top="1440" w:right="1440" w:bottom="1440" w:left="1440" w:header="708" w:footer="708" w:gutter="0"/>
          <w:pgNumType w:fmt="lowerRoman"/>
          <w:cols w:space="708"/>
          <w:docGrid w:linePitch="360"/>
        </w:sectPr>
      </w:pPr>
    </w:p>
    <w:p w14:paraId="5BBF5C41" w14:textId="77777777" w:rsidR="005A7BA5" w:rsidRDefault="005A7BA5" w:rsidP="005A7BA5">
      <w:pPr>
        <w:jc w:val="center"/>
        <w:rPr>
          <w:rFonts w:cs="Arial"/>
          <w:b/>
          <w:bCs/>
          <w:sz w:val="28"/>
          <w:szCs w:val="28"/>
        </w:rPr>
      </w:pPr>
    </w:p>
    <w:p w14:paraId="574315F5" w14:textId="77777777" w:rsidR="005A7BA5" w:rsidRDefault="005A7BA5" w:rsidP="005A7BA5">
      <w:pPr>
        <w:jc w:val="center"/>
        <w:rPr>
          <w:rFonts w:cs="Arial"/>
          <w:b/>
          <w:bCs/>
          <w:sz w:val="28"/>
          <w:szCs w:val="28"/>
        </w:rPr>
      </w:pPr>
    </w:p>
    <w:p w14:paraId="43AE4ADE" w14:textId="77777777" w:rsidR="005A7BA5" w:rsidRDefault="005A7BA5" w:rsidP="005A7BA5">
      <w:pPr>
        <w:jc w:val="center"/>
        <w:rPr>
          <w:rFonts w:cs="Arial"/>
          <w:b/>
          <w:bCs/>
          <w:sz w:val="28"/>
          <w:szCs w:val="28"/>
        </w:rPr>
      </w:pPr>
    </w:p>
    <w:p w14:paraId="107B11F3" w14:textId="77777777" w:rsidR="005A7BA5" w:rsidRDefault="005A7BA5" w:rsidP="005A7BA5">
      <w:pPr>
        <w:jc w:val="center"/>
        <w:rPr>
          <w:rFonts w:cs="Arial"/>
          <w:b/>
          <w:bCs/>
          <w:sz w:val="28"/>
          <w:szCs w:val="28"/>
        </w:rPr>
      </w:pPr>
    </w:p>
    <w:p w14:paraId="5C6C4EF3" w14:textId="77777777" w:rsidR="005A7BA5" w:rsidRDefault="005A7BA5" w:rsidP="005A7BA5">
      <w:pPr>
        <w:jc w:val="center"/>
        <w:rPr>
          <w:rFonts w:cs="Arial"/>
          <w:b/>
          <w:bCs/>
          <w:sz w:val="28"/>
          <w:szCs w:val="28"/>
        </w:rPr>
      </w:pPr>
    </w:p>
    <w:p w14:paraId="421D988B" w14:textId="77777777" w:rsidR="005A7BA5" w:rsidRDefault="005A7BA5" w:rsidP="005A7BA5">
      <w:pPr>
        <w:jc w:val="center"/>
        <w:rPr>
          <w:rFonts w:cs="Arial"/>
          <w:b/>
          <w:bCs/>
          <w:sz w:val="28"/>
          <w:szCs w:val="28"/>
        </w:rPr>
      </w:pPr>
    </w:p>
    <w:p w14:paraId="0471E54A" w14:textId="77777777" w:rsidR="005A7BA5" w:rsidRDefault="005A7BA5" w:rsidP="005A7BA5">
      <w:pPr>
        <w:jc w:val="center"/>
        <w:rPr>
          <w:rFonts w:cs="Arial"/>
          <w:b/>
          <w:bCs/>
          <w:sz w:val="28"/>
          <w:szCs w:val="28"/>
        </w:rPr>
      </w:pPr>
    </w:p>
    <w:p w14:paraId="5672D46E" w14:textId="207604BA" w:rsidR="005A7BA5" w:rsidRPr="0011136F" w:rsidRDefault="005A7BA5" w:rsidP="005A7BA5">
      <w:pPr>
        <w:jc w:val="center"/>
      </w:pPr>
      <w:r w:rsidRPr="00EE0FE9">
        <w:t>[This page intentionally blank]</w:t>
      </w:r>
    </w:p>
    <w:p w14:paraId="6465B81E" w14:textId="7E0197DE" w:rsidR="00A6471B" w:rsidRDefault="00A6471B" w:rsidP="00841434">
      <w:pPr>
        <w:rPr>
          <w:b/>
          <w:bCs/>
          <w:sz w:val="28"/>
          <w:szCs w:val="32"/>
        </w:rPr>
      </w:pPr>
    </w:p>
    <w:p w14:paraId="609DABDE" w14:textId="77777777" w:rsidR="00841434" w:rsidRDefault="00841434" w:rsidP="001C2C86">
      <w:pPr>
        <w:pStyle w:val="Heading1"/>
        <w:numPr>
          <w:ilvl w:val="0"/>
          <w:numId w:val="1"/>
        </w:numPr>
        <w:spacing w:before="0" w:after="100" w:afterAutospacing="1" w:line="240" w:lineRule="auto"/>
        <w:ind w:left="431" w:hanging="431"/>
        <w:jc w:val="left"/>
        <w:rPr>
          <w:szCs w:val="32"/>
        </w:rPr>
        <w:sectPr w:rsidR="00841434" w:rsidSect="00841434">
          <w:pgSz w:w="11906" w:h="16838"/>
          <w:pgMar w:top="1440" w:right="1440" w:bottom="1440" w:left="1440" w:header="708" w:footer="708" w:gutter="0"/>
          <w:pgNumType w:fmt="lowerRoman"/>
          <w:cols w:space="708"/>
          <w:docGrid w:linePitch="360"/>
        </w:sectPr>
      </w:pPr>
    </w:p>
    <w:p w14:paraId="270BC57E" w14:textId="1309EAFC" w:rsidR="001C2C86" w:rsidRPr="0033479F" w:rsidRDefault="001C2C86" w:rsidP="001C2C86">
      <w:pPr>
        <w:pStyle w:val="Heading1"/>
        <w:numPr>
          <w:ilvl w:val="0"/>
          <w:numId w:val="1"/>
        </w:numPr>
        <w:spacing w:before="0" w:after="100" w:afterAutospacing="1" w:line="240" w:lineRule="auto"/>
        <w:ind w:left="431" w:hanging="431"/>
        <w:rPr>
          <w:szCs w:val="32"/>
        </w:rPr>
      </w:pPr>
      <w:bookmarkStart w:id="18" w:name="_Toc9160652"/>
      <w:bookmarkStart w:id="19" w:name="_Toc35892486"/>
      <w:bookmarkEnd w:id="1"/>
      <w:r w:rsidRPr="0033479F">
        <w:rPr>
          <w:szCs w:val="32"/>
        </w:rPr>
        <w:t>Introduction</w:t>
      </w:r>
      <w:bookmarkEnd w:id="18"/>
      <w:bookmarkEnd w:id="19"/>
    </w:p>
    <w:p w14:paraId="09A43A55" w14:textId="14B53CC8" w:rsidR="001C2C86" w:rsidRPr="00720CB4" w:rsidRDefault="001C2C86" w:rsidP="001C2C86">
      <w:pPr>
        <w:pStyle w:val="Heading2"/>
        <w:ind w:left="567"/>
      </w:pPr>
      <w:bookmarkStart w:id="20" w:name="_Toc9160653"/>
      <w:bookmarkStart w:id="21" w:name="_Toc35892487"/>
      <w:r w:rsidRPr="00720CB4">
        <w:t>Rationale</w:t>
      </w:r>
      <w:bookmarkEnd w:id="20"/>
      <w:bookmarkEnd w:id="21"/>
      <w:r w:rsidRPr="00720CB4">
        <w:t xml:space="preserve"> </w:t>
      </w:r>
    </w:p>
    <w:p w14:paraId="7C5E9442" w14:textId="03FB5617" w:rsidR="001C2C86" w:rsidRDefault="001C2C86" w:rsidP="001C2C86">
      <w:pPr>
        <w:spacing w:line="480" w:lineRule="auto"/>
      </w:pPr>
      <w:r>
        <w:t>New psychoactive substances (NPS), also known as ‘legal highs’, are manufactured chemicals that produce similar psychoactive effects to traditional illicit drugs of abuse such as cannabis, ecstasy, cocaine and heroin (NEPTUNE, 2015). From around 2007, after a decades-long stable market for a relatively small number of well-known recreational drugs, the number of new psychoactive substances detected in European countries increased rapidly. By 2017, the EU early warning system had detected more than 670 novel substances in drug seizures and forensic tests (EMCDDA, 2018). Although the number of deaths associated with NPS use in England and Wales are considered</w:t>
      </w:r>
      <w:r w:rsidR="00595C48">
        <w:t xml:space="preserve"> to be</w:t>
      </w:r>
      <w:r>
        <w:t xml:space="preserve"> low, making up less than 5% of those attributed to drug misuse annually (ONS, 2015), sharp increases in the death rate linked with NPS from about 2010 onwards have been the cause of concern (HM Government, 2011; 2015). Much of this concern has focused on young people, as evidence shows that young people are twice as likely to use NPS than older adults (CSEW, 2018; NACDA, 2016), and are especially vulnerable to acute harms resulting from overdose and dangerous substance combinations (EMCDDA, 2018). </w:t>
      </w:r>
    </w:p>
    <w:p w14:paraId="536AAFD2" w14:textId="5C225C30" w:rsidR="001C2C86" w:rsidRDefault="001C2C86" w:rsidP="001C2C86">
      <w:pPr>
        <w:spacing w:line="480" w:lineRule="auto"/>
      </w:pPr>
      <w:r>
        <w:t>In 2016, in response to the concerns, the UK Government introduced the Psychoactive Substances Act (PS Act). The PS Act criminalises the production and supply of all psychoactive substances not exempted by law, with the result that all NPS are subject to legal control by default, until such time as they might be assessed and brought under other forms of legislation. Although the Act appears to have been successful in achieving its primary purpose, namely prevention of the open sales of NPS in the UK by high</w:t>
      </w:r>
      <w:r w:rsidR="00740673">
        <w:t xml:space="preserve"> </w:t>
      </w:r>
      <w:r>
        <w:t xml:space="preserve">street and web-based retailers (Home Office, 2018), evidence shows that many NPS continue to be available via black market sources, often in more dangerous forms (DrugWise, 2017; Ralphs, Gray &amp; Norton, 2017). Furthermore, the global scale of the NPS market, its pervasiveness online and the adaptability of producers and suppliers are all likely to ensure that NPS remain a feature of the UK drug market for the foreseeable future. Recognising the challenges that NPS present to existing forms of drug control, numerous high-level organisations and commentators have called for new, alternative approaches to addressing the risks NPS pose to the public, particularly young people (ACMD, 2015; UKCPD, 2012). </w:t>
      </w:r>
    </w:p>
    <w:p w14:paraId="3EE7F144" w14:textId="10578E5B" w:rsidR="001C2C86" w:rsidRPr="00BC1C6C" w:rsidRDefault="001C2C86" w:rsidP="001C2C86">
      <w:pPr>
        <w:spacing w:line="480" w:lineRule="auto"/>
      </w:pPr>
      <w:r>
        <w:t xml:space="preserve">This thesis aims to inform the development of behaviour change interventions that seek to address young people’s use of NPS. With prohibitive methods of drug control insufficient to protect young people from exposure to NPS, it is necessary to support young people’s own ability to avoid NPS use. A focus on young people’s motivations for using, and not using, NPS is vital if we are to engage young people with the intention of discouraging the use of NPS. The importance of understanding young people’s motivations for using NPS and how best to influence them has been highlighted by authors who have been critical of traditional methods of drug control that are based on prohibition and criminalisation (The Lancet, 2010; UKCPD; 2012). </w:t>
      </w:r>
    </w:p>
    <w:p w14:paraId="02425836" w14:textId="2D37813E" w:rsidR="00B63892" w:rsidRPr="0026579C" w:rsidRDefault="001C2C86" w:rsidP="00B63892">
      <w:pPr>
        <w:spacing w:line="480" w:lineRule="auto"/>
      </w:pPr>
      <w:r>
        <w:t>While there is a clear need for interventions that discourage young people’s use of NPS, to date, there is little or no evidence available on the effectiveness of drug prevention interventions addressing young people’s NPS use.</w:t>
      </w:r>
      <w:bookmarkStart w:id="22" w:name="_Toc9160654"/>
      <w:r w:rsidR="00F04917">
        <w:t xml:space="preserve"> </w:t>
      </w:r>
      <w:r w:rsidR="00B63892" w:rsidRPr="0026579C">
        <w:t>In the absence of an empirical evidence base specific to the use of NPS, current drug prevention guidelines recommend that interventions developed for traditional drugs should be applied to NPS, as without evidence to support the use of NPS-specific interventions it is difficult to justify the costs involved with the implementation of novel interventions (ACMD, 2015; Home Office, 2017; NICE, 2017). The application of approaches developed for use with traditional illicit drugs is recommeded</w:t>
      </w:r>
      <w:r w:rsidR="00595C48" w:rsidRPr="0026579C">
        <w:t>,</w:t>
      </w:r>
      <w:r w:rsidR="00B63892" w:rsidRPr="0026579C">
        <w:t xml:space="preserve"> as NPS share many similarities with classic drugs of abuse.  </w:t>
      </w:r>
    </w:p>
    <w:p w14:paraId="463EC651" w14:textId="78FF4966" w:rsidR="00B63892" w:rsidRPr="0026579C" w:rsidRDefault="00B63892" w:rsidP="00B63892">
      <w:pPr>
        <w:spacing w:line="480" w:lineRule="auto"/>
      </w:pPr>
      <w:r w:rsidRPr="0026579C">
        <w:t xml:space="preserve">NPS are substances deliberately manufactured to mimic classic drugs of abuse (EMCDDA, 2014; Zawilska, 2011). They are sold in the same forms (e.g. powders and pills) and are consumed by the same methods, (e.g. snorting, swallowing and injecting) (ACMD, 2011). NPS can be so similar to their illicit counterparts that they can only be distinguished by laboratory testing (EMCDDA, 2014). Retailers intentionally target the same markets as classic drugs and NPS are openly advertised as alternatives to traditional illicit drugs (Corazza et al. 2012; Corazza, Parrott et al. 2017; Bersani et al. 2002). Prior to implementation of the PS Act, NPS were predominantly sold in drug paraphernalia shops and websites alongside equipment for drug consumption (ADMD 2011). Users share knowledge and information about NPS on drug-fora (Hearne &amp; Van Hout, 2016) and NPS are sold alongside classic drugs on specialist cryptomarket websites (Wadsworth et al. 2017). Extensive research indicates that the vast majority of NPS users are also users of other traditional illicit drugs (Home Office, 2014). NPS and traditional drug markets are known to overlap (Deligianni et al., 2019) and NPS are commonly substituted for traditional illicit drugs and vice versa (e.g. Deligianni et al., 2017; Penney et al., 2016; Winstock &amp; Barratt, 2013). </w:t>
      </w:r>
    </w:p>
    <w:p w14:paraId="714ADBD4" w14:textId="4565FF44" w:rsidR="00B63892" w:rsidRPr="0026579C" w:rsidRDefault="00B63892" w:rsidP="00B63892">
      <w:pPr>
        <w:spacing w:line="480" w:lineRule="auto"/>
      </w:pPr>
      <w:r w:rsidRPr="0026579C">
        <w:t>However, while NPS share many characteristics with traditional drugs of abuse there are key differences that can be expected to influence young people’s perceptions of NPS in important ways. Unlike traditional illicit drugs, for the most part of the previous decade</w:t>
      </w:r>
      <w:r w:rsidR="00595C48" w:rsidRPr="0026579C">
        <w:t>,</w:t>
      </w:r>
      <w:r w:rsidRPr="0026579C">
        <w:t xml:space="preserve"> NPS have been legally available via the highstreet and legitimate websites. With the benefit of legal status, NPS have been sold in brightly coloured packaging with attractive brand names (</w:t>
      </w:r>
      <w:r w:rsidRPr="0026579C">
        <w:rPr>
          <w:rFonts w:eastAsiaTheme="minorEastAsia"/>
        </w:rPr>
        <w:t>Patil, Tewari and Rao, 2016) and marketed in ways that enhance their emotional appeal (Morris, 2016).</w:t>
      </w:r>
      <w:r w:rsidRPr="0026579C">
        <w:t xml:space="preserve"> The impact of legal status can be expected to have a significant impact on young people’s perceptions of NPS and associated risks of use. </w:t>
      </w:r>
      <w:r w:rsidRPr="0026579C">
        <w:rPr>
          <w:rFonts w:eastAsiaTheme="minorEastAsia"/>
        </w:rPr>
        <w:t>While colourful, graphically exciting packaging has been shown to enhance the appeal of substances (Moodie et.al., 2010), there are also significant concerns that the perceived legal status of NPS confers connotations of safety (</w:t>
      </w:r>
      <w:r w:rsidRPr="0026579C">
        <w:t>HM Government, 2011; 2015</w:t>
      </w:r>
      <w:r w:rsidRPr="0026579C">
        <w:rPr>
          <w:rFonts w:eastAsiaTheme="minorEastAsia"/>
        </w:rPr>
        <w:t xml:space="preserve">) and studies have confirmed that legality is associated with perceptions of safety for some users (Sheridan and Butler, 2010; Corazza et. al. 2011). </w:t>
      </w:r>
    </w:p>
    <w:p w14:paraId="5FE05304" w14:textId="018A24D1" w:rsidR="00B63892" w:rsidRPr="0026579C" w:rsidRDefault="00B63892" w:rsidP="00B63892">
      <w:pPr>
        <w:spacing w:line="480" w:lineRule="auto"/>
      </w:pPr>
      <w:r w:rsidRPr="0026579C">
        <w:t>Although arguably the legal status and branded marketing of NPS aligns them more readily with other commonly used licit substances such as alcohol and tobacco, the overlap between these markets is not as extensive (CSEW, 2015). While some NPS users appear to show higher rates of alcohol consumption than the general population (CSEW, 2015) other user groups have been found to drink less than the average person (Soussan, 2018). In addition, interventions developed for these long</w:t>
      </w:r>
      <w:r w:rsidR="00595C48" w:rsidRPr="0026579C">
        <w:t>-</w:t>
      </w:r>
      <w:r w:rsidRPr="0026579C">
        <w:t>established products of mature regulated markets may not be adequately designed for addressing the principal risks associated with NPS use. NPS products are distinguished by their novelty, the unknown risks associated with their use and the ambiguity of their legal status. Despite being legally available for a period of time, unlike alcohol and tobacco, NPS were uncontrolled substances which have never been approved for human consumption. As a result, the information supplied with NPS products is largely inaccurate and misleading (Vandrey et al., 2012; Vardakou et al., 2010) and ingredients, health warnings and dosage information are usually absent. When contents are listed key psychoactive ingredients are usually omitted or inaccurate and the active ingredients of popular brands are regularly substituted to evade drug controls (e.g. Kelleher et al., 2011). Consequently, the consistency and potency</w:t>
      </w:r>
      <w:r w:rsidR="008A505E" w:rsidRPr="0026579C">
        <w:t xml:space="preserve"> of</w:t>
      </w:r>
      <w:r w:rsidRPr="0026579C">
        <w:t xml:space="preserve"> NPS can vary considerably and products claiming to be legal often contain prohibited substances (Brandt, Sumnall &amp; Measham). This lack of regulation and consumer information means that</w:t>
      </w:r>
      <w:r w:rsidR="008A505E" w:rsidRPr="0026579C">
        <w:t>,</w:t>
      </w:r>
      <w:r w:rsidRPr="0026579C">
        <w:t xml:space="preserve"> as with traditional illicit drugs</w:t>
      </w:r>
      <w:r w:rsidR="008A505E" w:rsidRPr="0026579C">
        <w:t>,</w:t>
      </w:r>
      <w:r w:rsidRPr="0026579C">
        <w:t xml:space="preserve"> the primary risks addressed in intervention</w:t>
      </w:r>
      <w:r w:rsidR="00595C48" w:rsidRPr="0026579C">
        <w:t>s</w:t>
      </w:r>
      <w:r w:rsidRPr="0026579C">
        <w:t xml:space="preserve"> are the acute harms associated with overdose and polydrug use (EMCDDA, 2015). In contrast, for heavily regulated psychoactive substances such as alcohol and tobacco</w:t>
      </w:r>
      <w:r w:rsidR="008A505E" w:rsidRPr="0026579C">
        <w:t>,</w:t>
      </w:r>
      <w:r w:rsidRPr="0026579C">
        <w:t xml:space="preserve"> interventions predominantly focus on the long term risks of use, supporting smokers to break an existing habit (NICE, 2018a) and drinkers to reduce their consumption for the prevention of alcohol-use disorders (NICE, 2018b). Applying interventions designed for managing young people’s consumption of regulated psychoactive products to unregulated products may be ineffective, and where interventions focus on adherence to recommended guidelines and product information, they could advertently increase the risks to users. </w:t>
      </w:r>
    </w:p>
    <w:p w14:paraId="3BDDBC29" w14:textId="2BB3282A" w:rsidR="00B63892" w:rsidRPr="0026579C" w:rsidRDefault="00B63892" w:rsidP="00B63892">
      <w:pPr>
        <w:spacing w:line="480" w:lineRule="auto"/>
      </w:pPr>
      <w:r w:rsidRPr="0026579C">
        <w:t>Furthermore, within the academic literature base, official government documents and third sector reports NPS are overwhelming framed as a drug-based issue. As a result, NPS are generally addressed using the same legal instruments as traditional illicit drugs and interventions are expected to align with national drug-policies (Home Office, 2014). Since interventions that align with recomme</w:t>
      </w:r>
      <w:r w:rsidR="00595C48" w:rsidRPr="0026579C">
        <w:t>n</w:t>
      </w:r>
      <w:r w:rsidRPr="0026579C">
        <w:t xml:space="preserve">ded guidelines are more likely to be commissioned and supported (NICE, 2017), the majority of interventions developed to tackle NPS can be expected to draw upon the evidence base for traditional illicit drugs. </w:t>
      </w:r>
      <w:r w:rsidRPr="0026579C">
        <w:rPr>
          <w:rFonts w:eastAsiaTheme="minorEastAsia"/>
        </w:rPr>
        <w:t>Although more recently the PS Act has brought the legal status of NPS more in line with the controls placed on traditional illicit drugs</w:t>
      </w:r>
      <w:r w:rsidRPr="0026579C">
        <w:t xml:space="preserve">, there are concerns that NPS continue to be associated with legal availability (HM Government, 2011; 2015). Without specifically exploring young people’s beliefs about NPS, the impact of legal status on their perceptions and their motivations for using them, it cannot be assumed that interventions based on traditional illicit drugs will be effective when applied to NPS use. </w:t>
      </w:r>
    </w:p>
    <w:p w14:paraId="7609181C" w14:textId="542FB5B7" w:rsidR="00B63892" w:rsidRDefault="00AE75FF">
      <w:pPr>
        <w:rPr>
          <w:b/>
          <w:bCs/>
          <w:szCs w:val="26"/>
        </w:rPr>
      </w:pPr>
      <w:r>
        <w:br w:type="page"/>
      </w:r>
    </w:p>
    <w:p w14:paraId="4F3ED312" w14:textId="55EEDD30" w:rsidR="001C2C86" w:rsidRPr="0011136F" w:rsidRDefault="001C2C86" w:rsidP="001C2C86">
      <w:pPr>
        <w:pStyle w:val="Heading2"/>
      </w:pPr>
      <w:bookmarkStart w:id="23" w:name="_Toc35892488"/>
      <w:r w:rsidRPr="0011136F">
        <w:t xml:space="preserve">Research </w:t>
      </w:r>
      <w:bookmarkEnd w:id="22"/>
      <w:r>
        <w:t>questions</w:t>
      </w:r>
      <w:bookmarkEnd w:id="23"/>
      <w:r w:rsidRPr="0011136F">
        <w:t xml:space="preserve"> </w:t>
      </w:r>
    </w:p>
    <w:p w14:paraId="38343E18" w14:textId="13189C9E" w:rsidR="001C2C86" w:rsidRDefault="001C2C86" w:rsidP="001C2C86">
      <w:pPr>
        <w:spacing w:line="480" w:lineRule="auto"/>
      </w:pPr>
      <w:r>
        <w:t xml:space="preserve">The purpose of this research project is to inform the development of behaviour change interventions that aim to reduce NPS use and related harms. As the most effective form of harm-reduction is </w:t>
      </w:r>
      <w:r w:rsidR="00595C48">
        <w:t xml:space="preserve">the </w:t>
      </w:r>
      <w:r>
        <w:t xml:space="preserve">avoidance of NPS use, the primary focus is to develop interventions which aim to prevent or reduce young people’s NPS use. </w:t>
      </w:r>
    </w:p>
    <w:p w14:paraId="473EEF6B" w14:textId="77777777" w:rsidR="001C2C86" w:rsidRDefault="001C2C86" w:rsidP="001C2C86">
      <w:pPr>
        <w:spacing w:line="480" w:lineRule="auto"/>
      </w:pPr>
      <w:r>
        <w:t xml:space="preserve">The project takes the perspective of the interventionist and is guided by principles of intervention design drawn from key guidelines and resources created to support the development of behaviour change interventions and drug-use prevention activities. The intention is to critically examine NPS-related literature and empirical evidence in the light of core principles of intervention design, including evidence generated by the project itself, to map key issues and potential opportunities for those interested in the development of interventions addressing young people’s NPS use. </w:t>
      </w:r>
    </w:p>
    <w:p w14:paraId="5473A766" w14:textId="77777777" w:rsidR="001C2C86" w:rsidRDefault="001C2C86" w:rsidP="001C2C86">
      <w:pPr>
        <w:spacing w:line="480" w:lineRule="auto"/>
      </w:pPr>
      <w:r>
        <w:t>Within this context, the implementation of the PS Act, which occurred during the course of the research, was taken as an opportunity to observe the impact of a real-world intervention on young people’s beliefs and attitudes surrounding NPS use and to consider the implications of these impacts for approaches to NPS-focused interventions.</w:t>
      </w:r>
    </w:p>
    <w:p w14:paraId="73E9D17D" w14:textId="77777777" w:rsidR="001C2C86" w:rsidRDefault="001C2C86" w:rsidP="001C2C86">
      <w:pPr>
        <w:spacing w:line="480" w:lineRule="auto"/>
        <w:rPr>
          <w:szCs w:val="24"/>
        </w:rPr>
      </w:pPr>
      <w:r w:rsidRPr="0033479F">
        <w:rPr>
          <w:szCs w:val="24"/>
        </w:rPr>
        <w:t xml:space="preserve">As </w:t>
      </w:r>
      <w:r>
        <w:t xml:space="preserve">there is evidence to show that </w:t>
      </w:r>
      <w:r w:rsidRPr="0033479F">
        <w:rPr>
          <w:szCs w:val="24"/>
        </w:rPr>
        <w:t xml:space="preserve">the most effective approaches to changing health behaviours are theory-based </w:t>
      </w:r>
      <w:r>
        <w:rPr>
          <w:szCs w:val="24"/>
        </w:rPr>
        <w:fldChar w:fldCharType="begin" w:fldLock="1"/>
      </w:r>
      <w:r>
        <w:rPr>
          <w:szCs w:val="24"/>
        </w:rPr>
        <w:instrText>ADDIN CSL_CITATION {"citationItems":[{"id":"ITEM-1","itemData":{"DOI":"10.1016/j.copsyc.2015.02.011","ISBN":"2352-250X","ISSN":"2352250X","abstract":"Using theory to develop health behaviour interventions provides a useful framework to accumulate evidence and has been associated with larger changes in health behaviour. The present review suggests, however, that the evidence that using theory in this way produces greater health behaviour change is mixed. Furthermore, evaluating such evidence is difficult because: first, a significant proportion of interventions are not based on theory; second, those that are, tend not to apply the theory extensively; third, theory-based and comparison groups can be confounded; and fourth, interventions may be based on multiple theories. Such difficulties delay theory evolution and the development of interventions that are capable of achieving significant and sustained changes in health behaviours. Recommendations are made to address these issues.","author":[{"dropping-particle":"","family":"Prestwich","given":"Andrew","non-dropping-particle":"","parse-names":false,"suffix":""},{"dropping-particle":"","family":"Webb","given":"Thomas L.","non-dropping-particle":"","parse-names":false,"suffix":""},{"dropping-particle":"","family":"Conner","given":"Mark","non-dropping-particle":"","parse-names":false,"suffix":""}],"container-title":"Current Opinion in Psychology","id":"ITEM-1","issue":"6","issued":{"date-parts":[["2015"]]},"page":"1-5","publisher":"Elsevier Ltd","title":"Using theory to develop and test interventions to promote changes in health behaviour: Evidence, issues, and recommendations","type":"article-journal","volume":"5"},"uris":["http://www.mendeley.com/documents/?uuid=c9d3bba4-6bbe-499e-8a1c-62e0ef2faed6"]}],"mendeley":{"formattedCitation":"(Prestwich, Webb, &amp; Conner, 2015)","plainTextFormattedCitation":"(Prestwich, Webb, &amp; Conner, 2015)","previouslyFormattedCitation":"(Prestwich, Webb, &amp; Conner, 2015)"},"properties":{"noteIndex":0},"schema":"https://github.com/citation-style-language/schema/raw/master/csl-citation.json"}</w:instrText>
      </w:r>
      <w:r>
        <w:rPr>
          <w:szCs w:val="24"/>
        </w:rPr>
        <w:fldChar w:fldCharType="separate"/>
      </w:r>
      <w:r w:rsidRPr="000A5B77">
        <w:rPr>
          <w:noProof/>
          <w:szCs w:val="24"/>
        </w:rPr>
        <w:t>(Prestwich, Webb, &amp; Conner, 2015)</w:t>
      </w:r>
      <w:r>
        <w:rPr>
          <w:szCs w:val="24"/>
        </w:rPr>
        <w:fldChar w:fldCharType="end"/>
      </w:r>
      <w:r w:rsidRPr="0033479F">
        <w:rPr>
          <w:szCs w:val="24"/>
        </w:rPr>
        <w:t xml:space="preserve">, </w:t>
      </w:r>
      <w:r>
        <w:rPr>
          <w:szCs w:val="24"/>
        </w:rPr>
        <w:t>an important aim of the work is</w:t>
      </w:r>
      <w:r w:rsidRPr="0033479F">
        <w:rPr>
          <w:szCs w:val="24"/>
        </w:rPr>
        <w:t xml:space="preserve"> to link young people’s </w:t>
      </w:r>
      <w:r>
        <w:rPr>
          <w:szCs w:val="24"/>
        </w:rPr>
        <w:t xml:space="preserve">NPS-related beliefs and motivations </w:t>
      </w:r>
      <w:r w:rsidRPr="0033479F">
        <w:rPr>
          <w:szCs w:val="24"/>
        </w:rPr>
        <w:t>with theoretical framework</w:t>
      </w:r>
      <w:r>
        <w:rPr>
          <w:szCs w:val="24"/>
        </w:rPr>
        <w:t>s</w:t>
      </w:r>
      <w:r w:rsidRPr="0033479F">
        <w:rPr>
          <w:szCs w:val="24"/>
        </w:rPr>
        <w:t xml:space="preserve"> </w:t>
      </w:r>
      <w:r>
        <w:rPr>
          <w:szCs w:val="24"/>
        </w:rPr>
        <w:t xml:space="preserve">suitable for use in NPS-focused behaviour change interventions. </w:t>
      </w:r>
    </w:p>
    <w:p w14:paraId="2486EA84" w14:textId="77777777" w:rsidR="00E70466" w:rsidRDefault="00E70466">
      <w:pPr>
        <w:rPr>
          <w:szCs w:val="24"/>
        </w:rPr>
      </w:pPr>
      <w:r>
        <w:rPr>
          <w:szCs w:val="24"/>
        </w:rPr>
        <w:br w:type="page"/>
      </w:r>
    </w:p>
    <w:p w14:paraId="6C1695A7" w14:textId="77F59CA2" w:rsidR="001C2C86" w:rsidRDefault="001C2C86" w:rsidP="001C2C86">
      <w:pPr>
        <w:spacing w:line="480" w:lineRule="auto"/>
      </w:pPr>
      <w:r>
        <w:rPr>
          <w:szCs w:val="24"/>
        </w:rPr>
        <w:t>The present research therefore addressed the following research questions:</w:t>
      </w:r>
    </w:p>
    <w:p w14:paraId="50ACF29F" w14:textId="77777777" w:rsidR="001C2C86" w:rsidRDefault="001C2C86" w:rsidP="00C92BD2">
      <w:pPr>
        <w:pStyle w:val="ListParagraph"/>
        <w:numPr>
          <w:ilvl w:val="0"/>
          <w:numId w:val="4"/>
        </w:numPr>
        <w:spacing w:line="480" w:lineRule="auto"/>
      </w:pPr>
      <w:bookmarkStart w:id="24" w:name="_Hlk7611724"/>
      <w:r w:rsidRPr="0033479F">
        <w:t>Why do young people use NPS?</w:t>
      </w:r>
    </w:p>
    <w:p w14:paraId="15E49F06" w14:textId="77777777" w:rsidR="001C2C86" w:rsidRDefault="001C2C86" w:rsidP="00C92BD2">
      <w:pPr>
        <w:pStyle w:val="ListParagraph"/>
        <w:numPr>
          <w:ilvl w:val="1"/>
          <w:numId w:val="4"/>
        </w:numPr>
        <w:spacing w:line="480" w:lineRule="auto"/>
      </w:pPr>
      <w:r w:rsidRPr="0033479F">
        <w:t xml:space="preserve">What </w:t>
      </w:r>
      <w:r>
        <w:t xml:space="preserve">salient </w:t>
      </w:r>
      <w:r w:rsidRPr="0033479F">
        <w:t xml:space="preserve">beliefs </w:t>
      </w:r>
      <w:r>
        <w:t>do young people</w:t>
      </w:r>
      <w:r w:rsidRPr="0033479F">
        <w:t xml:space="preserve"> hold about NPS?</w:t>
      </w:r>
    </w:p>
    <w:p w14:paraId="7EB553CF" w14:textId="77777777" w:rsidR="001C2C86" w:rsidRPr="0033479F" w:rsidRDefault="001C2C86" w:rsidP="00C92BD2">
      <w:pPr>
        <w:pStyle w:val="ListParagraph"/>
        <w:numPr>
          <w:ilvl w:val="1"/>
          <w:numId w:val="4"/>
        </w:numPr>
        <w:spacing w:line="360" w:lineRule="auto"/>
      </w:pPr>
      <w:r w:rsidRPr="00DA0795">
        <w:t xml:space="preserve">What </w:t>
      </w:r>
      <w:r>
        <w:t>are young people’s</w:t>
      </w:r>
      <w:r w:rsidRPr="00DA0795">
        <w:t xml:space="preserve"> mot</w:t>
      </w:r>
      <w:r>
        <w:t>ives and reasons</w:t>
      </w:r>
      <w:r w:rsidRPr="00DA0795">
        <w:t xml:space="preserve"> </w:t>
      </w:r>
      <w:r>
        <w:t>for</w:t>
      </w:r>
      <w:r w:rsidRPr="00DA0795">
        <w:t xml:space="preserve"> us</w:t>
      </w:r>
      <w:r>
        <w:t xml:space="preserve">ing </w:t>
      </w:r>
      <w:r w:rsidRPr="00DA0795">
        <w:t xml:space="preserve">or </w:t>
      </w:r>
      <w:r>
        <w:rPr>
          <w:rStyle w:val="NotesstructureChar"/>
          <w:color w:val="auto"/>
        </w:rPr>
        <w:t>not</w:t>
      </w:r>
      <w:r w:rsidRPr="00EB45CC">
        <w:rPr>
          <w:rStyle w:val="NotesstructureChar"/>
          <w:color w:val="auto"/>
        </w:rPr>
        <w:t xml:space="preserve"> using</w:t>
      </w:r>
      <w:r w:rsidRPr="00DA0795">
        <w:t xml:space="preserve"> NPS?</w:t>
      </w:r>
      <w:bookmarkEnd w:id="24"/>
      <w:r>
        <w:br/>
      </w:r>
    </w:p>
    <w:p w14:paraId="0D5D39F8" w14:textId="6BE1A4CE" w:rsidR="001C2C86" w:rsidRDefault="001C2C86" w:rsidP="00C92BD2">
      <w:pPr>
        <w:pStyle w:val="ListParagraph"/>
        <w:numPr>
          <w:ilvl w:val="0"/>
          <w:numId w:val="4"/>
        </w:numPr>
        <w:spacing w:line="480" w:lineRule="auto"/>
      </w:pPr>
      <w:r w:rsidRPr="0033479F">
        <w:t>To what extent has</w:t>
      </w:r>
      <w:r w:rsidR="00595C48">
        <w:t xml:space="preserve"> </w:t>
      </w:r>
      <w:r>
        <w:t>implementation of the PS Act</w:t>
      </w:r>
      <w:r w:rsidRPr="0033479F">
        <w:t xml:space="preserve"> </w:t>
      </w:r>
      <w:r>
        <w:t>affected:</w:t>
      </w:r>
    </w:p>
    <w:p w14:paraId="4C8585AE" w14:textId="77777777" w:rsidR="001C2C86" w:rsidRDefault="001C2C86" w:rsidP="00C92BD2">
      <w:pPr>
        <w:pStyle w:val="ListParagraph"/>
        <w:numPr>
          <w:ilvl w:val="1"/>
          <w:numId w:val="4"/>
        </w:numPr>
        <w:spacing w:line="480" w:lineRule="auto"/>
      </w:pPr>
      <w:r>
        <w:t>Young people’s</w:t>
      </w:r>
      <w:r w:rsidRPr="0033479F">
        <w:t xml:space="preserve"> beliefs </w:t>
      </w:r>
      <w:r>
        <w:t xml:space="preserve">about NPS? </w:t>
      </w:r>
    </w:p>
    <w:p w14:paraId="396652F5" w14:textId="77777777" w:rsidR="001C2C86" w:rsidRDefault="001C2C86" w:rsidP="00C92BD2">
      <w:pPr>
        <w:pStyle w:val="ListParagraph"/>
        <w:numPr>
          <w:ilvl w:val="1"/>
          <w:numId w:val="4"/>
        </w:numPr>
        <w:spacing w:line="360" w:lineRule="auto"/>
      </w:pPr>
      <w:r>
        <w:t xml:space="preserve">Young people’s </w:t>
      </w:r>
      <w:r w:rsidRPr="0033479F">
        <w:t>motivations</w:t>
      </w:r>
      <w:r>
        <w:t xml:space="preserve"> and reasons for using or not using NPS</w:t>
      </w:r>
      <w:r w:rsidRPr="0033479F">
        <w:t>?</w:t>
      </w:r>
      <w:r>
        <w:br/>
      </w:r>
    </w:p>
    <w:p w14:paraId="25894651" w14:textId="77777777" w:rsidR="001C2C86" w:rsidRDefault="001C2C86" w:rsidP="00C92BD2">
      <w:pPr>
        <w:pStyle w:val="ListParagraph"/>
        <w:numPr>
          <w:ilvl w:val="0"/>
          <w:numId w:val="4"/>
        </w:numPr>
        <w:spacing w:line="480" w:lineRule="auto"/>
      </w:pPr>
      <w:r>
        <w:t>What approach to NPS intervention do young people think is suitable and acceptable?</w:t>
      </w:r>
    </w:p>
    <w:p w14:paraId="1E5B4594" w14:textId="77777777" w:rsidR="001C2C86" w:rsidRDefault="001C2C86" w:rsidP="001C2C86">
      <w:pPr>
        <w:pStyle w:val="ListParagraph"/>
        <w:spacing w:line="480" w:lineRule="auto"/>
      </w:pPr>
    </w:p>
    <w:p w14:paraId="2E89026D" w14:textId="77777777" w:rsidR="001C2C86" w:rsidRDefault="001C2C86" w:rsidP="00C92BD2">
      <w:pPr>
        <w:pStyle w:val="ListParagraph"/>
        <w:numPr>
          <w:ilvl w:val="0"/>
          <w:numId w:val="4"/>
        </w:numPr>
        <w:spacing w:line="480" w:lineRule="auto"/>
      </w:pPr>
      <w:bookmarkStart w:id="25" w:name="_Hlk7614733"/>
      <w:r>
        <w:t>Which theoretical framework/s are appropriate for use in NPS-related behaviour change interventions?</w:t>
      </w:r>
      <w:bookmarkEnd w:id="25"/>
    </w:p>
    <w:p w14:paraId="592EEA42" w14:textId="77777777" w:rsidR="001C2C86" w:rsidRDefault="001C2C86" w:rsidP="00C92BD2">
      <w:pPr>
        <w:pStyle w:val="ListParagraph"/>
        <w:numPr>
          <w:ilvl w:val="1"/>
          <w:numId w:val="4"/>
        </w:numPr>
        <w:spacing w:line="480" w:lineRule="auto"/>
      </w:pPr>
      <w:r>
        <w:t>Which frameworks are compatible?</w:t>
      </w:r>
    </w:p>
    <w:p w14:paraId="77DDDDEF" w14:textId="77777777" w:rsidR="001C2C86" w:rsidRPr="006B19E1" w:rsidRDefault="001C2C86" w:rsidP="00C92BD2">
      <w:pPr>
        <w:pStyle w:val="ListParagraph"/>
        <w:numPr>
          <w:ilvl w:val="1"/>
          <w:numId w:val="4"/>
        </w:numPr>
        <w:spacing w:line="480" w:lineRule="auto"/>
      </w:pPr>
      <w:r>
        <w:t>Is there a need for extensions or modifications?</w:t>
      </w:r>
    </w:p>
    <w:p w14:paraId="1598129D" w14:textId="7758FA49" w:rsidR="001C2C86" w:rsidRDefault="001C2C86" w:rsidP="001C2C86">
      <w:pPr>
        <w:pStyle w:val="Heading2"/>
      </w:pPr>
      <w:bookmarkStart w:id="26" w:name="_Toc9160656"/>
      <w:bookmarkStart w:id="27" w:name="_Toc35892489"/>
      <w:r>
        <w:t>Intervention guidelines</w:t>
      </w:r>
      <w:bookmarkEnd w:id="26"/>
      <w:bookmarkEnd w:id="27"/>
      <w:r>
        <w:t xml:space="preserve"> </w:t>
      </w:r>
    </w:p>
    <w:p w14:paraId="060EBD06" w14:textId="22FFDC43" w:rsidR="001C2C86" w:rsidRDefault="001C2C86" w:rsidP="001C2C86">
      <w:pPr>
        <w:spacing w:line="480" w:lineRule="auto"/>
      </w:pPr>
      <w:r>
        <w:t>The overarching guidelines used as a framework for this research are the behaviour change intervention guidelines published by the National Institute for Health and Clinical Excellence (NICE, 2007), the publicly</w:t>
      </w:r>
      <w:r w:rsidR="00595C48">
        <w:t>-</w:t>
      </w:r>
      <w:r>
        <w:t xml:space="preserve">funded UK agency responsible for providing guidance on health interventions to the NHS, local councils and other health professionals. These guidelines are complemented by NICE recommendations on drug misuse interventions in addition to the international standards on drug use prevention published by the United Nations Office on Drugs and Crime in partnership with the World Health Organisation (UNODC &amp; WHO, 2013; 2018), and the European drug prevention quality standards published by the European Monitoring Centre for Drugs and Drug Addiction (EMCDDA, 2010; 2011). </w:t>
      </w:r>
    </w:p>
    <w:p w14:paraId="7E763431" w14:textId="590E4E9A" w:rsidR="001C2C86" w:rsidRDefault="001C2C86" w:rsidP="001C2C86">
      <w:pPr>
        <w:spacing w:line="480" w:lineRule="auto"/>
      </w:pPr>
      <w:r>
        <w:t>The use of guidelines is important for ensuring the development of high</w:t>
      </w:r>
      <w:r w:rsidR="00595C48">
        <w:t>-</w:t>
      </w:r>
      <w:r>
        <w:t xml:space="preserve">quality interventions and to reduce the likelihood of interventions being ineffective or harmful. This is especially important for interventions addressing drug use, as drug-focused interventions are particularly vulnerable to iatrogenic effects where the very behaviours being targeted for prevention can be inadvertently encouraged (ACMD, 2015; NICE, 2017). </w:t>
      </w:r>
    </w:p>
    <w:p w14:paraId="17BD31AA" w14:textId="5A2403B2" w:rsidR="001C2C86" w:rsidRDefault="001C2C86" w:rsidP="001C2C86">
      <w:pPr>
        <w:pStyle w:val="Heading2"/>
      </w:pPr>
      <w:bookmarkStart w:id="28" w:name="_Toc9160657"/>
      <w:bookmarkStart w:id="29" w:name="_Toc35892490"/>
      <w:r>
        <w:t>Important considerations for intervention development</w:t>
      </w:r>
      <w:bookmarkEnd w:id="28"/>
      <w:bookmarkEnd w:id="29"/>
      <w:r>
        <w:t xml:space="preserve"> </w:t>
      </w:r>
    </w:p>
    <w:p w14:paraId="502715F5" w14:textId="7C7ECD6F" w:rsidR="001C2C86" w:rsidRDefault="001C2C86" w:rsidP="001C2C86">
      <w:pPr>
        <w:spacing w:line="480" w:lineRule="auto"/>
      </w:pPr>
      <w:r>
        <w:t>High</w:t>
      </w:r>
      <w:r w:rsidR="00595C48">
        <w:t>-</w:t>
      </w:r>
      <w:r>
        <w:t>quality interventions must be both ethical and effective. Ethical interventions prioritise concerns of equity, safety and acceptability, while the most effective interventions are those which are relevant, feasible and grounded in evidence (EMCDDA, 2011; NICE, 2007;</w:t>
      </w:r>
      <w:r w:rsidRPr="00C33F64">
        <w:t xml:space="preserve"> </w:t>
      </w:r>
      <w:r>
        <w:t xml:space="preserve">UNODC &amp; WHO, 2018). As these principles form recurring themes throughout this work, they are introduced briefly here; however, each principle will also be explored in greater depth within the main body of the thesis as relevant issues arise.   </w:t>
      </w:r>
    </w:p>
    <w:p w14:paraId="0682319F" w14:textId="67E42802" w:rsidR="001C2C86" w:rsidRPr="00170AA6" w:rsidRDefault="001C2C86" w:rsidP="001C2C86">
      <w:pPr>
        <w:pStyle w:val="Heading3"/>
        <w:rPr>
          <w:szCs w:val="24"/>
        </w:rPr>
      </w:pPr>
      <w:bookmarkStart w:id="30" w:name="_Toc9160658"/>
      <w:bookmarkStart w:id="31" w:name="_Toc35892491"/>
      <w:r w:rsidRPr="00170AA6">
        <w:rPr>
          <w:szCs w:val="24"/>
        </w:rPr>
        <w:t>Equity</w:t>
      </w:r>
      <w:bookmarkEnd w:id="30"/>
      <w:bookmarkEnd w:id="31"/>
      <w:r w:rsidRPr="00170AA6">
        <w:rPr>
          <w:szCs w:val="24"/>
        </w:rPr>
        <w:t xml:space="preserve"> </w:t>
      </w:r>
    </w:p>
    <w:p w14:paraId="4BB65D87" w14:textId="6C064CB3" w:rsidR="001C2C86" w:rsidRDefault="001C2C86" w:rsidP="001C2C86">
      <w:pPr>
        <w:spacing w:line="480" w:lineRule="auto"/>
      </w:pPr>
      <w:r>
        <w:t>Equitable interventions pay attention to health inequalities and recognise the influence of wider factors, particularly the social determinants of health (e.g., socioeconomic status, education, employment and ethnicity) and the social determinants of health inequalities (e.g., economic, health and social policies, legislation and societal norms; WHO, 2010). If wider factors are not sufficiently considered, interventions, however well-meaning, can exacerbate health inequalities (</w:t>
      </w:r>
      <w:r w:rsidRPr="0078092B">
        <w:t>Albarracı´n, Gillete, Earl, Glasman, &amp; Durantini, 2005; Michie, Jochelson, Markham, &amp; Bridle, 2007</w:t>
      </w:r>
      <w:r>
        <w:t>). This happens when the intervention helps one group, whilst exposing other groups to increased health or social risks, which includes increased levels of neglect, marginalisation or stigmatisation, or the diversion of resources away from those in need (Holman et al., 2017). To reduce the risk of interventions exacerbating health inequalities and to support the development of interventions which contribute towards the reduction of health inequalities, it is important to remain alert to power relations and processes of marginalisation or oppression</w:t>
      </w:r>
      <w:r w:rsidR="00595C48">
        <w:t>;</w:t>
      </w:r>
      <w:r>
        <w:t xml:space="preserve"> and to carefully consider the perspective of the target population (Prilleltensky &amp; Prilleltensky, 2005; Vincent et al., 2017). </w:t>
      </w:r>
    </w:p>
    <w:p w14:paraId="2E2EE9CC" w14:textId="5CFD1DDD" w:rsidR="001C2C86" w:rsidRPr="00170AA6" w:rsidRDefault="001C2C86" w:rsidP="001C2C86">
      <w:pPr>
        <w:pStyle w:val="Heading3"/>
        <w:rPr>
          <w:szCs w:val="24"/>
        </w:rPr>
      </w:pPr>
      <w:bookmarkStart w:id="32" w:name="_Toc9160659"/>
      <w:bookmarkStart w:id="33" w:name="_Toc35892492"/>
      <w:r w:rsidRPr="00170AA6">
        <w:rPr>
          <w:szCs w:val="24"/>
        </w:rPr>
        <w:t>Safety</w:t>
      </w:r>
      <w:bookmarkEnd w:id="32"/>
      <w:bookmarkEnd w:id="33"/>
      <w:r w:rsidRPr="00170AA6">
        <w:rPr>
          <w:szCs w:val="24"/>
        </w:rPr>
        <w:t xml:space="preserve"> </w:t>
      </w:r>
    </w:p>
    <w:p w14:paraId="58CC0436" w14:textId="77777777" w:rsidR="001C2C86" w:rsidRDefault="001C2C86" w:rsidP="001C2C86">
      <w:pPr>
        <w:spacing w:line="480" w:lineRule="auto"/>
      </w:pPr>
      <w:r>
        <w:t xml:space="preserve">Safe interventions protect people from harm and safeguard their human rights. This is a duty of care which not only demands that those at risk of harm receive appropriate help, but that any potential unintended consequences are considered to ensure that intervention activities do not expose people to increased or unacceptable risks, including people outside of the intended target population (EMCDDA, 2010, NICE, 2007; 2017). </w:t>
      </w:r>
    </w:p>
    <w:p w14:paraId="25CA61F0" w14:textId="2CD62509" w:rsidR="001C2C86" w:rsidRPr="00170AA6" w:rsidRDefault="001C2C86" w:rsidP="001C2C86">
      <w:pPr>
        <w:pStyle w:val="Heading3"/>
        <w:rPr>
          <w:szCs w:val="24"/>
        </w:rPr>
      </w:pPr>
      <w:bookmarkStart w:id="34" w:name="_Toc9160660"/>
      <w:bookmarkStart w:id="35" w:name="_Toc35892493"/>
      <w:r w:rsidRPr="00170AA6">
        <w:rPr>
          <w:szCs w:val="24"/>
        </w:rPr>
        <w:t>Acceptability</w:t>
      </w:r>
      <w:bookmarkEnd w:id="34"/>
      <w:bookmarkEnd w:id="35"/>
      <w:r w:rsidRPr="00170AA6">
        <w:rPr>
          <w:szCs w:val="24"/>
        </w:rPr>
        <w:t xml:space="preserve"> </w:t>
      </w:r>
    </w:p>
    <w:p w14:paraId="601BF141" w14:textId="5E7C2FEF" w:rsidR="001C2C86" w:rsidRPr="00264CD5" w:rsidRDefault="001C2C86" w:rsidP="001C2C86">
      <w:pPr>
        <w:spacing w:line="480" w:lineRule="auto"/>
      </w:pPr>
      <w:r>
        <w:t>Acceptable interventions respect people’s autonomy and dignity. This means ensuring that intervention activities remain culturally sensitive and recognise the specific needs and strengths of the target population and any other groups involved in intervention activities (NICE, 2017;</w:t>
      </w:r>
      <w:r w:rsidRPr="00F90D2C">
        <w:t xml:space="preserve"> </w:t>
      </w:r>
      <w:r>
        <w:t xml:space="preserve">UNODC &amp; WHO, 2018). Interventions which are acceptable to the people they engage with are not only respectful but are more likely to encourage intervention uptake and remain sustainable (ACMD, 2015; NICE, 2017; UNODC &amp; WHO, 2018). The acceptability of interventions can be increased by working closely with communities and conducting thorough needs assessments (NICE, 2007; Ungar </w:t>
      </w:r>
      <w:r w:rsidR="006E065C">
        <w:t>&amp;</w:t>
      </w:r>
      <w:r>
        <w:t xml:space="preserve"> Liebenberg, 2009).</w:t>
      </w:r>
    </w:p>
    <w:p w14:paraId="2B0325E1" w14:textId="2D24E167" w:rsidR="001C2C86" w:rsidRPr="00170AA6" w:rsidRDefault="001C2C86" w:rsidP="00C92BD2">
      <w:pPr>
        <w:pStyle w:val="Heading3"/>
        <w:numPr>
          <w:ilvl w:val="2"/>
          <w:numId w:val="3"/>
        </w:numPr>
        <w:rPr>
          <w:szCs w:val="24"/>
        </w:rPr>
      </w:pPr>
      <w:bookmarkStart w:id="36" w:name="_Toc9160661"/>
      <w:bookmarkStart w:id="37" w:name="_Toc35892494"/>
      <w:r w:rsidRPr="00170AA6">
        <w:rPr>
          <w:szCs w:val="24"/>
        </w:rPr>
        <w:t>Relevance</w:t>
      </w:r>
      <w:bookmarkEnd w:id="36"/>
      <w:bookmarkEnd w:id="37"/>
      <w:r w:rsidRPr="00170AA6">
        <w:rPr>
          <w:szCs w:val="24"/>
        </w:rPr>
        <w:t xml:space="preserve"> </w:t>
      </w:r>
    </w:p>
    <w:p w14:paraId="32D0E55B" w14:textId="65F68571" w:rsidR="001C2C86" w:rsidRDefault="001C2C86" w:rsidP="001C2C86">
      <w:pPr>
        <w:spacing w:line="480" w:lineRule="auto"/>
      </w:pPr>
      <w:r>
        <w:t>Relevant interventions are not only well suited for achieving the aims of the intervention but</w:t>
      </w:r>
      <w:r w:rsidR="00595C48">
        <w:t xml:space="preserve"> also</w:t>
      </w:r>
      <w:r>
        <w:t xml:space="preserve"> target those who need help most. This involves identifying who is most at risk, as well as ensuring a good match between the intervention design and the needs and resources of the target population. This means paying attention to the unique aspects of both the target behaviour and the target population, as well as any moderators or mediators which may impact the effectiveness of the intervention such as age, socio-economic status or any other potential risk or protective factors (EMCDDA, 2011; NICE, 2017). A careful needs analysis will indicate the appropriate level and scope of the intervention, as well as aiding </w:t>
      </w:r>
      <w:r w:rsidR="00595C48">
        <w:t xml:space="preserve">the </w:t>
      </w:r>
      <w:r>
        <w:t>selection of suitable mechanisms of change; the causal pathways through which the intervention is expected to bring about the desired change in behaviour. Interventions can aim to lever factors at a level close to the people whose behaviour is intended to change, such as internal psycho-social factors like beliefs and attitudes (microsystem); at more intermediary levels, such as factors which shape their family environment (mesosystem) and parents’ workplace (exosystem); or at more distal levels such as national policies or societal norms (macrosystem)  (Brofenbrenner, 1977, 1986). The scope of the intervention can be broad, encompassing the whole population (universal); or more selective, targeting particular at</w:t>
      </w:r>
      <w:r w:rsidR="00595C48">
        <w:t>-</w:t>
      </w:r>
      <w:r>
        <w:t>risk groups (selective);, or narrow, targeting specific individuals known to be at risk (indicated) (Mrazek &amp; Haggerty, 1994).</w:t>
      </w:r>
    </w:p>
    <w:p w14:paraId="12FBABE1" w14:textId="4D6E9256" w:rsidR="001C2C86" w:rsidRPr="00170AA6" w:rsidRDefault="001C2C86" w:rsidP="00C92BD2">
      <w:pPr>
        <w:pStyle w:val="Heading3"/>
        <w:numPr>
          <w:ilvl w:val="2"/>
          <w:numId w:val="3"/>
        </w:numPr>
        <w:rPr>
          <w:szCs w:val="24"/>
        </w:rPr>
      </w:pPr>
      <w:bookmarkStart w:id="38" w:name="_Toc9160662"/>
      <w:bookmarkStart w:id="39" w:name="_Toc35892495"/>
      <w:r w:rsidRPr="00170AA6">
        <w:rPr>
          <w:szCs w:val="24"/>
        </w:rPr>
        <w:t>Feasibility</w:t>
      </w:r>
      <w:bookmarkEnd w:id="38"/>
      <w:bookmarkEnd w:id="39"/>
      <w:r w:rsidRPr="00170AA6">
        <w:rPr>
          <w:szCs w:val="24"/>
        </w:rPr>
        <w:t xml:space="preserve"> </w:t>
      </w:r>
    </w:p>
    <w:p w14:paraId="5BFD85B8" w14:textId="77777777" w:rsidR="001C2C86" w:rsidRDefault="001C2C86" w:rsidP="001C2C86">
      <w:pPr>
        <w:spacing w:line="480" w:lineRule="auto"/>
      </w:pPr>
      <w:r>
        <w:t>Feasible interventions are those which are most likely to be implemented and sustained. This means assessing practical aspects of implementation, such as funding and cost-effectiveness, in addition to</w:t>
      </w:r>
      <w:r w:rsidRPr="00794C50">
        <w:t xml:space="preserve"> </w:t>
      </w:r>
      <w:r>
        <w:t xml:space="preserve">considering the compatibility of the approach with local and national policy, relevant guidelines, strategies and funding priorities (NICE, 2017).  </w:t>
      </w:r>
    </w:p>
    <w:p w14:paraId="27FFB96A" w14:textId="47A239D4" w:rsidR="001C2C86" w:rsidRPr="00170AA6" w:rsidRDefault="001C2C86" w:rsidP="00C92BD2">
      <w:pPr>
        <w:pStyle w:val="Heading3"/>
        <w:numPr>
          <w:ilvl w:val="2"/>
          <w:numId w:val="3"/>
        </w:numPr>
        <w:rPr>
          <w:szCs w:val="24"/>
        </w:rPr>
      </w:pPr>
      <w:bookmarkStart w:id="40" w:name="_Toc9160663"/>
      <w:bookmarkStart w:id="41" w:name="_Toc35892496"/>
      <w:r w:rsidRPr="00170AA6">
        <w:rPr>
          <w:szCs w:val="24"/>
        </w:rPr>
        <w:t>Evidence-based</w:t>
      </w:r>
      <w:bookmarkEnd w:id="40"/>
      <w:bookmarkEnd w:id="41"/>
    </w:p>
    <w:p w14:paraId="1878DB9F" w14:textId="47A766EB" w:rsidR="001C2C86" w:rsidRDefault="001C2C86" w:rsidP="001C2C86">
      <w:pPr>
        <w:spacing w:line="480" w:lineRule="auto"/>
      </w:pPr>
      <w:r>
        <w:t>Evidence-based interventions consider scientific knowledge about what works. This means reviewing the available evidence on the effectiveness of previous interventions to identi</w:t>
      </w:r>
      <w:r w:rsidR="00595C48">
        <w:t>f</w:t>
      </w:r>
      <w:r>
        <w:t>y which interventions, in which contexts, have a proven track record as well as identifying those which are ineffective or potentially harmful (EMCDDA, 2011; NICE, 2007). Where possible, interventions should not only be evidence-based but evidence-producing (EMCDDA, 2010; 2011). As the creation of a high-quality evidence base is dependent upon understanding what was done, to whom, and how, to produce the desired outcome, it is vital that intervention components and the proposed mechanisms of change are clearly reported. A clear understanding of key intervention components and how they relate to each other is significantly aided by the use of theory (EMCDDA, 2011). As high</w:t>
      </w:r>
      <w:r w:rsidR="00595C48">
        <w:t>-</w:t>
      </w:r>
      <w:r>
        <w:t xml:space="preserve">quality theory-based interventions are also more effective </w:t>
      </w:r>
      <w:r>
        <w:rPr>
          <w:szCs w:val="24"/>
        </w:rPr>
        <w:fldChar w:fldCharType="begin" w:fldLock="1"/>
      </w:r>
      <w:r>
        <w:rPr>
          <w:szCs w:val="24"/>
        </w:rPr>
        <w:instrText>ADDIN CSL_CITATION {"citationItems":[{"id":"ITEM-1","itemData":{"DOI":"10.1016/j.copsyc.2015.02.011","ISBN":"2352-250X","ISSN":"2352250X","abstract":"Using theory to develop health behaviour interventions provides a useful framework to accumulate evidence and has been associated with larger changes in health behaviour. The present review suggests, however, that the evidence that using theory in this way produces greater health behaviour change is mixed. Furthermore, evaluating such evidence is difficult because: first, a significant proportion of interventions are not based on theory; second, those that are, tend not to apply the theory extensively; third, theory-based and comparison groups can be confounded; and fourth, interventions may be based on multiple theories. Such difficulties delay theory evolution and the development of interventions that are capable of achieving significant and sustained changes in health behaviours. Recommendations are made to address these issues.","author":[{"dropping-particle":"","family":"Prestwich","given":"Andrew","non-dropping-particle":"","parse-names":false,"suffix":""},{"dropping-particle":"","family":"Webb","given":"Thomas L.","non-dropping-particle":"","parse-names":false,"suffix":""},{"dropping-particle":"","family":"Conner","given":"Mark","non-dropping-particle":"","parse-names":false,"suffix":""}],"container-title":"Current Opinion in Psychology","id":"ITEM-1","issue":"6","issued":{"date-parts":[["2015"]]},"page":"1-5","publisher":"Elsevier Ltd","title":"Using theory to develop and test interventions to promote changes in health behaviour: Evidence, issues, and recommendations","type":"article-journal","volume":"5"},"uris":["http://www.mendeley.com/documents/?uuid=c9d3bba4-6bbe-499e-8a1c-62e0ef2faed6"]}],"mendeley":{"formattedCitation":"(Prestwich, Webb, &amp; Conner, 2015)","plainTextFormattedCitation":"(Prestwich, Webb, &amp; Conner, 2015)","previouslyFormattedCitation":"(Prestwich, Webb, &amp; Conner, 2015)"},"properties":{"noteIndex":0},"schema":"https://github.com/citation-style-language/schema/raw/master/csl-citation.json"}</w:instrText>
      </w:r>
      <w:r>
        <w:rPr>
          <w:szCs w:val="24"/>
        </w:rPr>
        <w:fldChar w:fldCharType="separate"/>
      </w:r>
      <w:r w:rsidRPr="000A5B77">
        <w:rPr>
          <w:noProof/>
          <w:szCs w:val="24"/>
        </w:rPr>
        <w:t>(Prestwich, Webb, &amp; Conner, 2015)</w:t>
      </w:r>
      <w:r>
        <w:rPr>
          <w:szCs w:val="24"/>
        </w:rPr>
        <w:fldChar w:fldCharType="end"/>
      </w:r>
      <w:r>
        <w:t>, using appropriate theory to aid intervention development can improve both the effectiveness of the intervention itself and the efficacy of future interventions.</w:t>
      </w:r>
    </w:p>
    <w:p w14:paraId="6F8E1A81" w14:textId="6A8B1469" w:rsidR="001C2C86" w:rsidRPr="0033479F" w:rsidRDefault="001C2C86" w:rsidP="001C2C86">
      <w:pPr>
        <w:pStyle w:val="Heading2"/>
      </w:pPr>
      <w:bookmarkStart w:id="42" w:name="_Toc9160664"/>
      <w:bookmarkStart w:id="43" w:name="_Toc35892497"/>
      <w:r w:rsidRPr="0033479F">
        <w:t>Thesis overview</w:t>
      </w:r>
      <w:bookmarkEnd w:id="42"/>
      <w:bookmarkEnd w:id="43"/>
      <w:r w:rsidRPr="0033479F">
        <w:t xml:space="preserve"> </w:t>
      </w:r>
    </w:p>
    <w:p w14:paraId="399BCC76" w14:textId="7C242B7F" w:rsidR="001C2C86" w:rsidRPr="0033479F" w:rsidRDefault="001C2C86" w:rsidP="001C2C86">
      <w:pPr>
        <w:spacing w:line="480" w:lineRule="auto"/>
        <w:rPr>
          <w:szCs w:val="24"/>
        </w:rPr>
      </w:pPr>
      <w:r>
        <w:rPr>
          <w:szCs w:val="24"/>
        </w:rPr>
        <w:t xml:space="preserve">The current chapter (Chapter 1) provides </w:t>
      </w:r>
      <w:r w:rsidR="00595C48">
        <w:rPr>
          <w:szCs w:val="24"/>
        </w:rPr>
        <w:t xml:space="preserve">an </w:t>
      </w:r>
      <w:r>
        <w:rPr>
          <w:szCs w:val="24"/>
        </w:rPr>
        <w:t xml:space="preserve">introduction to, and an overview of, the research reported in this thesis. The remaining chapters are outlined below. </w:t>
      </w:r>
    </w:p>
    <w:p w14:paraId="28FF9F9D" w14:textId="12A59715" w:rsidR="001C2C86" w:rsidRPr="0033479F" w:rsidRDefault="001C2C86" w:rsidP="001C2C86">
      <w:pPr>
        <w:spacing w:line="480" w:lineRule="auto"/>
        <w:rPr>
          <w:szCs w:val="24"/>
        </w:rPr>
      </w:pPr>
      <w:r w:rsidRPr="0033479F">
        <w:rPr>
          <w:b/>
          <w:szCs w:val="24"/>
        </w:rPr>
        <w:t>Chapter 2</w:t>
      </w:r>
      <w:r w:rsidRPr="0033479F">
        <w:rPr>
          <w:szCs w:val="24"/>
        </w:rPr>
        <w:t xml:space="preserve"> provides the background to the research, beginning with a description of NPS that presents a definition, clarifies terminology and describes the shifting situation around legal status. The political context is discussed further in terms of how NPS are addressed by legislati</w:t>
      </w:r>
      <w:r>
        <w:rPr>
          <w:szCs w:val="24"/>
        </w:rPr>
        <w:t>on</w:t>
      </w:r>
      <w:r w:rsidRPr="0033479F">
        <w:rPr>
          <w:szCs w:val="24"/>
        </w:rPr>
        <w:t xml:space="preserve"> including a</w:t>
      </w:r>
      <w:r>
        <w:rPr>
          <w:szCs w:val="24"/>
        </w:rPr>
        <w:t xml:space="preserve"> consideration of </w:t>
      </w:r>
      <w:r w:rsidRPr="0033479F">
        <w:rPr>
          <w:szCs w:val="24"/>
        </w:rPr>
        <w:t xml:space="preserve">the Psychoactive Substance Act 2016 (PS Act). It then discusses the NPS market and its relationship to the market for illicit drugs, the supply chain and the drivers for growth. The social context is discussed in relation to </w:t>
      </w:r>
      <w:r w:rsidR="00595C48">
        <w:rPr>
          <w:szCs w:val="24"/>
        </w:rPr>
        <w:t xml:space="preserve">the </w:t>
      </w:r>
      <w:r w:rsidRPr="0033479F">
        <w:rPr>
          <w:szCs w:val="24"/>
        </w:rPr>
        <w:t>prevalence of use in different populations</w:t>
      </w:r>
      <w:r>
        <w:rPr>
          <w:szCs w:val="24"/>
        </w:rPr>
        <w:t xml:space="preserve"> and evidence for different</w:t>
      </w:r>
      <w:r w:rsidRPr="0033479F">
        <w:rPr>
          <w:szCs w:val="24"/>
        </w:rPr>
        <w:t xml:space="preserve"> user</w:t>
      </w:r>
      <w:r>
        <w:rPr>
          <w:szCs w:val="24"/>
        </w:rPr>
        <w:t xml:space="preserve"> populations.</w:t>
      </w:r>
      <w:r w:rsidRPr="0033479F">
        <w:rPr>
          <w:szCs w:val="24"/>
        </w:rPr>
        <w:t xml:space="preserve"> The health context is discussed in terms of the harm potential of NPS, followed by evidence of harms associated with NPS use, mortality rates and the reliability of available evidence. </w:t>
      </w:r>
    </w:p>
    <w:p w14:paraId="719B0E38" w14:textId="77777777" w:rsidR="001C2C86" w:rsidRDefault="001C2C86" w:rsidP="001C2C86">
      <w:pPr>
        <w:spacing w:line="480" w:lineRule="auto"/>
        <w:rPr>
          <w:szCs w:val="24"/>
        </w:rPr>
      </w:pPr>
      <w:r w:rsidRPr="0033479F">
        <w:rPr>
          <w:b/>
          <w:szCs w:val="24"/>
        </w:rPr>
        <w:t>Chapter 3</w:t>
      </w:r>
      <w:r w:rsidRPr="0033479F">
        <w:rPr>
          <w:szCs w:val="24"/>
        </w:rPr>
        <w:t xml:space="preserve"> positions NPS as a target for behaviour change interventions and </w:t>
      </w:r>
      <w:r>
        <w:rPr>
          <w:szCs w:val="24"/>
        </w:rPr>
        <w:t xml:space="preserve">in acknowledgement of the recommendation </w:t>
      </w:r>
      <w:r>
        <w:t>that interventions targeting traditional drugs should be applied to NPS,</w:t>
      </w:r>
      <w:r>
        <w:rPr>
          <w:szCs w:val="24"/>
        </w:rPr>
        <w:t xml:space="preserve"> reviews </w:t>
      </w:r>
      <w:r w:rsidRPr="0033479F">
        <w:rPr>
          <w:szCs w:val="24"/>
        </w:rPr>
        <w:t>the</w:t>
      </w:r>
      <w:r>
        <w:rPr>
          <w:szCs w:val="24"/>
        </w:rPr>
        <w:t xml:space="preserve"> current guidelines on illicit drug interventions. Key evidence-based guidelines are identified and their recommendations are presented along with an overview of types of drug interventions described.</w:t>
      </w:r>
    </w:p>
    <w:p w14:paraId="647D5F6C" w14:textId="77777777" w:rsidR="001C2C86" w:rsidRPr="00AF0C73" w:rsidRDefault="001C2C86" w:rsidP="001C2C86">
      <w:pPr>
        <w:spacing w:line="480" w:lineRule="auto"/>
      </w:pPr>
      <w:r w:rsidRPr="0033479F">
        <w:rPr>
          <w:b/>
          <w:szCs w:val="24"/>
        </w:rPr>
        <w:t xml:space="preserve">Chapter </w:t>
      </w:r>
      <w:r>
        <w:rPr>
          <w:b/>
          <w:szCs w:val="24"/>
        </w:rPr>
        <w:t xml:space="preserve">4 </w:t>
      </w:r>
      <w:r w:rsidRPr="0073304F">
        <w:rPr>
          <w:szCs w:val="24"/>
        </w:rPr>
        <w:t xml:space="preserve">presents a systematic </w:t>
      </w:r>
      <w:r w:rsidRPr="00AF0C73">
        <w:rPr>
          <w:szCs w:val="24"/>
        </w:rPr>
        <w:t>review</w:t>
      </w:r>
      <w:r>
        <w:rPr>
          <w:szCs w:val="24"/>
        </w:rPr>
        <w:t xml:space="preserve"> of</w:t>
      </w:r>
      <w:r w:rsidRPr="0033479F">
        <w:rPr>
          <w:szCs w:val="24"/>
        </w:rPr>
        <w:t xml:space="preserve"> the current literature concerned with psychosocial factors associated with NPS use</w:t>
      </w:r>
      <w:r>
        <w:rPr>
          <w:szCs w:val="24"/>
        </w:rPr>
        <w:t xml:space="preserve"> to </w:t>
      </w:r>
      <w:r>
        <w:t xml:space="preserve">examine the available evidence on users’ and potential users’ reasons for using or not using NPS. The chapter provides an overview of what is known, identifies similarities and differences between study findings and identifies gaps in the literature addressing young people’s motives for using or not using NPS. </w:t>
      </w:r>
    </w:p>
    <w:p w14:paraId="38C28D6C" w14:textId="5D697B3C" w:rsidR="001C2C86" w:rsidRDefault="001C2C86" w:rsidP="001C2C86">
      <w:pPr>
        <w:spacing w:line="480" w:lineRule="auto"/>
        <w:rPr>
          <w:szCs w:val="24"/>
        </w:rPr>
      </w:pPr>
      <w:r w:rsidRPr="0033479F">
        <w:rPr>
          <w:b/>
          <w:szCs w:val="24"/>
        </w:rPr>
        <w:t>Chapter 5</w:t>
      </w:r>
      <w:r w:rsidRPr="0033479F">
        <w:rPr>
          <w:szCs w:val="24"/>
        </w:rPr>
        <w:t xml:space="preserve"> provides a rationale for the methods used </w:t>
      </w:r>
      <w:r>
        <w:rPr>
          <w:szCs w:val="24"/>
        </w:rPr>
        <w:t xml:space="preserve">in the thesis </w:t>
      </w:r>
      <w:r w:rsidRPr="0033479F">
        <w:rPr>
          <w:szCs w:val="24"/>
        </w:rPr>
        <w:t>and sets out the research work plan.</w:t>
      </w:r>
      <w:r>
        <w:rPr>
          <w:szCs w:val="24"/>
        </w:rPr>
        <w:t xml:space="preserve"> The chapter provides an overview of the three qualitative studies designed to address the research questions. Existing </w:t>
      </w:r>
      <w:r w:rsidR="006B4FD3">
        <w:rPr>
          <w:szCs w:val="24"/>
        </w:rPr>
        <w:t xml:space="preserve">theoretical </w:t>
      </w:r>
      <w:r>
        <w:rPr>
          <w:szCs w:val="24"/>
        </w:rPr>
        <w:t xml:space="preserve">models informing the study design are described along with the processes for question development, </w:t>
      </w:r>
      <w:r w:rsidRPr="0033479F">
        <w:rPr>
          <w:szCs w:val="24"/>
        </w:rPr>
        <w:t>data collection</w:t>
      </w:r>
      <w:r>
        <w:rPr>
          <w:szCs w:val="24"/>
        </w:rPr>
        <w:t xml:space="preserve"> and an explanation for the choice of analytical methods used. The community-based approach is set out and the role of community groups described. </w:t>
      </w:r>
    </w:p>
    <w:p w14:paraId="1AB84440" w14:textId="77777777" w:rsidR="001C2C86" w:rsidRDefault="001C2C86" w:rsidP="001C2C86">
      <w:pPr>
        <w:spacing w:line="480" w:lineRule="auto"/>
        <w:rPr>
          <w:szCs w:val="24"/>
        </w:rPr>
      </w:pPr>
      <w:r w:rsidRPr="0033479F">
        <w:rPr>
          <w:b/>
          <w:szCs w:val="24"/>
        </w:rPr>
        <w:t>Chapter</w:t>
      </w:r>
      <w:r>
        <w:rPr>
          <w:b/>
          <w:szCs w:val="24"/>
        </w:rPr>
        <w:t xml:space="preserve"> 6</w:t>
      </w:r>
      <w:r w:rsidRPr="0033479F">
        <w:rPr>
          <w:b/>
          <w:szCs w:val="24"/>
        </w:rPr>
        <w:t xml:space="preserve"> </w:t>
      </w:r>
      <w:r w:rsidRPr="0033479F">
        <w:rPr>
          <w:szCs w:val="24"/>
        </w:rPr>
        <w:t xml:space="preserve">presents </w:t>
      </w:r>
      <w:r>
        <w:rPr>
          <w:szCs w:val="24"/>
        </w:rPr>
        <w:t>S</w:t>
      </w:r>
      <w:r w:rsidRPr="0033479F">
        <w:rPr>
          <w:szCs w:val="24"/>
        </w:rPr>
        <w:t>tudy 1 which use</w:t>
      </w:r>
      <w:r>
        <w:rPr>
          <w:szCs w:val="24"/>
        </w:rPr>
        <w:t>d</w:t>
      </w:r>
      <w:r w:rsidRPr="0033479F">
        <w:rPr>
          <w:szCs w:val="24"/>
        </w:rPr>
        <w:t xml:space="preserve"> focus groups to elicit young people’s beliefs and </w:t>
      </w:r>
      <w:r>
        <w:rPr>
          <w:szCs w:val="24"/>
        </w:rPr>
        <w:t>motives for</w:t>
      </w:r>
      <w:r w:rsidRPr="0033479F">
        <w:rPr>
          <w:szCs w:val="24"/>
        </w:rPr>
        <w:t xml:space="preserve"> NPS use and non-use. This chapter documents the procedure and findings from the focus groups</w:t>
      </w:r>
      <w:r>
        <w:rPr>
          <w:szCs w:val="24"/>
        </w:rPr>
        <w:t xml:space="preserve">, presenting the </w:t>
      </w:r>
      <w:r w:rsidRPr="0033479F">
        <w:rPr>
          <w:szCs w:val="24"/>
        </w:rPr>
        <w:t>analysis of the data</w:t>
      </w:r>
      <w:r>
        <w:rPr>
          <w:szCs w:val="24"/>
        </w:rPr>
        <w:t xml:space="preserve"> and a description of the ten motivational domains identified as relevant to young people’s NPS behaviour. </w:t>
      </w:r>
      <w:r w:rsidRPr="0033479F">
        <w:rPr>
          <w:szCs w:val="24"/>
        </w:rPr>
        <w:t>The findings of the study, including implications for</w:t>
      </w:r>
      <w:r>
        <w:rPr>
          <w:szCs w:val="24"/>
        </w:rPr>
        <w:t xml:space="preserve"> </w:t>
      </w:r>
      <w:r w:rsidRPr="0033479F">
        <w:rPr>
          <w:szCs w:val="24"/>
        </w:rPr>
        <w:t>intervention</w:t>
      </w:r>
      <w:r>
        <w:rPr>
          <w:szCs w:val="24"/>
        </w:rPr>
        <w:t xml:space="preserve">s, </w:t>
      </w:r>
      <w:r w:rsidRPr="0033479F">
        <w:rPr>
          <w:szCs w:val="24"/>
        </w:rPr>
        <w:t xml:space="preserve">are discussed together with </w:t>
      </w:r>
      <w:r>
        <w:rPr>
          <w:szCs w:val="24"/>
        </w:rPr>
        <w:t xml:space="preserve">an assessment of theoretical models suitable for use in intervention design.  </w:t>
      </w:r>
    </w:p>
    <w:p w14:paraId="2A1F00D3" w14:textId="59AF28A6" w:rsidR="001C2C86" w:rsidRPr="0033479F" w:rsidRDefault="001C2C86" w:rsidP="001C2C86">
      <w:pPr>
        <w:spacing w:line="480" w:lineRule="auto"/>
        <w:rPr>
          <w:szCs w:val="24"/>
        </w:rPr>
      </w:pPr>
      <w:r w:rsidRPr="0033479F">
        <w:rPr>
          <w:b/>
          <w:szCs w:val="24"/>
        </w:rPr>
        <w:t>Chapter 7</w:t>
      </w:r>
      <w:r w:rsidRPr="0033479F">
        <w:rPr>
          <w:szCs w:val="24"/>
        </w:rPr>
        <w:t xml:space="preserve"> presents </w:t>
      </w:r>
      <w:r>
        <w:rPr>
          <w:szCs w:val="24"/>
        </w:rPr>
        <w:t>S</w:t>
      </w:r>
      <w:r w:rsidRPr="0033479F">
        <w:rPr>
          <w:szCs w:val="24"/>
        </w:rPr>
        <w:t xml:space="preserve">tudy 2 which replicates the </w:t>
      </w:r>
      <w:r>
        <w:rPr>
          <w:szCs w:val="24"/>
        </w:rPr>
        <w:t>S</w:t>
      </w:r>
      <w:r w:rsidRPr="0033479F">
        <w:rPr>
          <w:szCs w:val="24"/>
        </w:rPr>
        <w:t>tudy 1 procedure</w:t>
      </w:r>
      <w:r>
        <w:rPr>
          <w:szCs w:val="24"/>
        </w:rPr>
        <w:t xml:space="preserve"> approximately 15</w:t>
      </w:r>
      <w:r w:rsidRPr="0033479F">
        <w:rPr>
          <w:szCs w:val="24"/>
        </w:rPr>
        <w:t xml:space="preserve"> months after the PS Act came into force, providing comparative data for investigating the impact of the ban on young people’s beliefs about NPS. The findings </w:t>
      </w:r>
      <w:r>
        <w:rPr>
          <w:szCs w:val="24"/>
        </w:rPr>
        <w:t xml:space="preserve">present </w:t>
      </w:r>
      <w:r w:rsidRPr="0033479F">
        <w:rPr>
          <w:szCs w:val="24"/>
        </w:rPr>
        <w:t xml:space="preserve">the most notable </w:t>
      </w:r>
      <w:r>
        <w:rPr>
          <w:szCs w:val="24"/>
        </w:rPr>
        <w:t>differences</w:t>
      </w:r>
      <w:r w:rsidRPr="0033479F">
        <w:rPr>
          <w:szCs w:val="24"/>
        </w:rPr>
        <w:t xml:space="preserve"> in beliefs </w:t>
      </w:r>
      <w:r>
        <w:rPr>
          <w:szCs w:val="24"/>
        </w:rPr>
        <w:t>before and after</w:t>
      </w:r>
      <w:r w:rsidRPr="0033479F">
        <w:rPr>
          <w:szCs w:val="24"/>
        </w:rPr>
        <w:t xml:space="preserve"> </w:t>
      </w:r>
      <w:r w:rsidR="00595C48">
        <w:rPr>
          <w:szCs w:val="24"/>
        </w:rPr>
        <w:t xml:space="preserve">the </w:t>
      </w:r>
      <w:r w:rsidRPr="0033479F">
        <w:rPr>
          <w:szCs w:val="24"/>
        </w:rPr>
        <w:t xml:space="preserve">introduction of the PS Act </w:t>
      </w:r>
      <w:r>
        <w:rPr>
          <w:szCs w:val="24"/>
        </w:rPr>
        <w:t xml:space="preserve">and describe how the ban appears to have </w:t>
      </w:r>
      <w:r w:rsidRPr="0033479F">
        <w:rPr>
          <w:szCs w:val="24"/>
        </w:rPr>
        <w:t>affected young people’s perceptions of NPS users</w:t>
      </w:r>
      <w:r>
        <w:rPr>
          <w:szCs w:val="24"/>
        </w:rPr>
        <w:t>.</w:t>
      </w:r>
      <w:r w:rsidRPr="0033479F">
        <w:rPr>
          <w:szCs w:val="24"/>
        </w:rPr>
        <w:t xml:space="preserve"> The implications </w:t>
      </w:r>
      <w:r>
        <w:rPr>
          <w:szCs w:val="24"/>
        </w:rPr>
        <w:t xml:space="preserve">of the findings </w:t>
      </w:r>
      <w:r w:rsidRPr="0033479F">
        <w:rPr>
          <w:szCs w:val="24"/>
        </w:rPr>
        <w:t xml:space="preserve">are </w:t>
      </w:r>
      <w:r>
        <w:rPr>
          <w:szCs w:val="24"/>
        </w:rPr>
        <w:t>discussed and it is argued that</w:t>
      </w:r>
      <w:r w:rsidRPr="0033479F">
        <w:rPr>
          <w:szCs w:val="24"/>
        </w:rPr>
        <w:t xml:space="preserve"> the introduction of the PS Act has led to several unintended consequences such as stigmatisation of vulnerable users and displacement onto other substances of abuse. The </w:t>
      </w:r>
      <w:r>
        <w:rPr>
          <w:szCs w:val="24"/>
        </w:rPr>
        <w:t xml:space="preserve">implications of the </w:t>
      </w:r>
      <w:r w:rsidRPr="0033479F">
        <w:rPr>
          <w:szCs w:val="24"/>
        </w:rPr>
        <w:t xml:space="preserve">findings </w:t>
      </w:r>
      <w:r>
        <w:rPr>
          <w:szCs w:val="24"/>
        </w:rPr>
        <w:t>are considered in light of what they mean for interventions and the suitability of theoretical models for use in intervention design</w:t>
      </w:r>
      <w:r w:rsidRPr="0033479F">
        <w:rPr>
          <w:szCs w:val="24"/>
        </w:rPr>
        <w:t>.</w:t>
      </w:r>
    </w:p>
    <w:p w14:paraId="026F73A0" w14:textId="77777777" w:rsidR="001C2C86" w:rsidRDefault="001C2C86" w:rsidP="001C2C86">
      <w:pPr>
        <w:spacing w:line="480" w:lineRule="auto"/>
      </w:pPr>
      <w:r w:rsidRPr="0033479F">
        <w:rPr>
          <w:b/>
        </w:rPr>
        <w:t>Chapter 8</w:t>
      </w:r>
      <w:r w:rsidRPr="0033479F">
        <w:t xml:space="preserve"> presents </w:t>
      </w:r>
      <w:r>
        <w:t>S</w:t>
      </w:r>
      <w:r w:rsidRPr="0033479F">
        <w:t>tudy 3</w:t>
      </w:r>
      <w:r>
        <w:t>,</w:t>
      </w:r>
      <w:r w:rsidRPr="0033479F">
        <w:t xml:space="preserve"> which uses focus groups to further explore conflicts and interactions between the motivations identified in </w:t>
      </w:r>
      <w:r>
        <w:t>S</w:t>
      </w:r>
      <w:r w:rsidRPr="0033479F">
        <w:t>tud</w:t>
      </w:r>
      <w:r>
        <w:t>ies</w:t>
      </w:r>
      <w:r w:rsidRPr="0033479F">
        <w:t xml:space="preserve"> 1 and 2</w:t>
      </w:r>
      <w:r>
        <w:t>,</w:t>
      </w:r>
      <w:r w:rsidRPr="0033479F">
        <w:t xml:space="preserve"> </w:t>
      </w:r>
      <w:r>
        <w:t>as well as young people’s opinions about the best ways to help people and what would make an acceptable (or unacceptable) intervention.</w:t>
      </w:r>
    </w:p>
    <w:p w14:paraId="08B373DB" w14:textId="2FB7503B" w:rsidR="001C2C86" w:rsidRDefault="001C2C86" w:rsidP="001C2C86">
      <w:pPr>
        <w:spacing w:line="480" w:lineRule="auto"/>
      </w:pPr>
      <w:r w:rsidRPr="0033479F">
        <w:rPr>
          <w:b/>
        </w:rPr>
        <w:t xml:space="preserve">Chapter </w:t>
      </w:r>
      <w:r>
        <w:rPr>
          <w:b/>
        </w:rPr>
        <w:t>9</w:t>
      </w:r>
      <w:r w:rsidRPr="0033479F">
        <w:t xml:space="preserve"> summarises the principal findings of the thesis and discusses how they answer the research questions and their contribution to the existing literature. </w:t>
      </w:r>
      <w:r>
        <w:t xml:space="preserve">The findings are considered in the light of the changes to the drug market signalled by the emergence of NPS as well as the impact of the PS Act and what this means for NPS interventions. The chapter goes on to explore some of the key issues which emerged as relevant to young people in particular and would need to be considered by interventionists working with this population. Finally, an example approach for addressing NPS in the context of the changes in the market brought about with the introduction of the PS Act is presented. </w:t>
      </w:r>
      <w:r w:rsidRPr="0033479F">
        <w:t xml:space="preserve">The chapter concludes with </w:t>
      </w:r>
      <w:r w:rsidR="00595C48">
        <w:t xml:space="preserve">a </w:t>
      </w:r>
      <w:r w:rsidRPr="0033479F">
        <w:t xml:space="preserve">discussion of the strengths and limitations of the research project and consideration of the implications of the findings for </w:t>
      </w:r>
      <w:r w:rsidR="00A14E39" w:rsidRPr="0033479F">
        <w:t>research</w:t>
      </w:r>
      <w:r w:rsidR="00A14E39">
        <w:t>.</w:t>
      </w:r>
    </w:p>
    <w:p w14:paraId="772664A5" w14:textId="3A1A3F5E" w:rsidR="00885BC8" w:rsidRDefault="00885BC8" w:rsidP="001C2C86">
      <w:pPr>
        <w:spacing w:line="480" w:lineRule="auto"/>
      </w:pPr>
    </w:p>
    <w:p w14:paraId="1BFDDE87" w14:textId="77777777" w:rsidR="001C2C86" w:rsidRPr="0033479F" w:rsidRDefault="001C2C86" w:rsidP="00A14E39">
      <w:pPr>
        <w:spacing w:line="480" w:lineRule="auto"/>
      </w:pPr>
    </w:p>
    <w:p w14:paraId="44E1FF0D" w14:textId="77777777" w:rsidR="00A64E15" w:rsidRDefault="00A64E15" w:rsidP="00A6471B">
      <w:pPr>
        <w:spacing w:line="480" w:lineRule="auto"/>
        <w:sectPr w:rsidR="00A64E15" w:rsidSect="00841434">
          <w:headerReference w:type="default" r:id="rId12"/>
          <w:pgSz w:w="11906" w:h="16838"/>
          <w:pgMar w:top="1440" w:right="1440" w:bottom="1440" w:left="1440" w:header="708" w:footer="708" w:gutter="0"/>
          <w:pgNumType w:start="1"/>
          <w:cols w:space="708"/>
          <w:docGrid w:linePitch="360"/>
        </w:sectPr>
      </w:pPr>
    </w:p>
    <w:p w14:paraId="3A1275A2" w14:textId="671D07C4" w:rsidR="00A64E15" w:rsidRPr="00673744" w:rsidRDefault="00A64E15" w:rsidP="00673744">
      <w:pPr>
        <w:pStyle w:val="Heading1"/>
        <w:ind w:left="426"/>
      </w:pPr>
      <w:bookmarkStart w:id="44" w:name="_Toc9182728"/>
      <w:bookmarkStart w:id="45" w:name="_Toc35892498"/>
      <w:r w:rsidRPr="00673744">
        <w:t>Background</w:t>
      </w:r>
      <w:bookmarkEnd w:id="44"/>
      <w:bookmarkEnd w:id="45"/>
      <w:r w:rsidRPr="00673744">
        <w:t xml:space="preserve"> </w:t>
      </w:r>
    </w:p>
    <w:p w14:paraId="7137A549" w14:textId="464CB300" w:rsidR="00A64E15" w:rsidRPr="000334B1" w:rsidRDefault="00A64E15" w:rsidP="00A14E39">
      <w:pPr>
        <w:pStyle w:val="Heading2"/>
      </w:pPr>
      <w:bookmarkStart w:id="46" w:name="_Toc9182729"/>
      <w:bookmarkStart w:id="47" w:name="_Toc35892499"/>
      <w:r w:rsidRPr="001900C0">
        <w:t>Introduction</w:t>
      </w:r>
      <w:bookmarkEnd w:id="46"/>
      <w:bookmarkEnd w:id="47"/>
    </w:p>
    <w:p w14:paraId="7ECCCEC3" w14:textId="77777777" w:rsidR="00A64E15" w:rsidRPr="00A14E39" w:rsidRDefault="00A64E15" w:rsidP="00A14E39">
      <w:pPr>
        <w:spacing w:line="480" w:lineRule="auto"/>
        <w:rPr>
          <w:lang w:val="en-US"/>
        </w:rPr>
      </w:pPr>
      <w:r w:rsidRPr="00A14E39">
        <w:rPr>
          <w:lang w:val="en-US"/>
        </w:rPr>
        <w:t xml:space="preserve">This research aims to inform the development of interventions targeting young people’s use of a group of psychoactive substances which have become known as legal highs. As work grounded in the discipline of social psychology, the project sets out to improve our understanding of young people’s motivations and attitudes around these substances following the logic that influencing people’s attitudes can lead to behaviour change. Before investigating young people’s thoughts about them, however, it is important to appreciate what legal highs are, who uses them, what the risks of use are and who is most at risk of harm. Accordingly, this chapter provides an overview of the wider context and background that frames legal highs as a public health concern. The opening section focuses on the substances themselves, starting with a description that presents the difficulties of definition, examines the types of substances involved and describes the growth of the market and its interactions with legislation and the illicit drug trade. The shifting situation around legal status is then explored further, with a description of drugs legislation and the circumstances leading to the introduction of the Psychoactive Substance Act 2016 (PS Act). This is followed by an overview of the legal highs market, the products available, where they are sourced, and a brief review of the evolving situation post-implementation of the PS Act. The next section focuses on users, examining prevalence of use, comparing estimates for young people with the general population and use of other substances, as well as looking at trends in use before taking a closer look at specific subpopulations and at-risk groups. The final section examines the risks of use, looking at growing evidence of health harms associated with legal highs and the impact of the PS Act on measures of harm, examining healthcare admissions and mortality data while paying attention to confounding variables such as polydrug use and other influences affecting the wider drugs market and healthcare services. The chapter concludes by drawing together the findings of each section, reflecting on the impact of legislative change on the legal highs market and the dynamic interactions between regulation, production, supply, demand and resultant health harms. </w:t>
      </w:r>
    </w:p>
    <w:p w14:paraId="122508C0" w14:textId="28587B41" w:rsidR="00A64E15" w:rsidRPr="000334B1" w:rsidRDefault="00A64E15" w:rsidP="00A14E39">
      <w:pPr>
        <w:pStyle w:val="Heading2"/>
      </w:pPr>
      <w:bookmarkStart w:id="48" w:name="_Toc9182730"/>
      <w:bookmarkStart w:id="49" w:name="_Toc35892500"/>
      <w:r w:rsidRPr="001900C0">
        <w:t>New psychoactive substances or ‘legal highs’</w:t>
      </w:r>
      <w:bookmarkEnd w:id="48"/>
      <w:bookmarkEnd w:id="49"/>
    </w:p>
    <w:p w14:paraId="31CD759C" w14:textId="1CF85472" w:rsidR="00A64E15" w:rsidRDefault="00A64E15" w:rsidP="00A64E15">
      <w:pPr>
        <w:spacing w:line="480" w:lineRule="auto"/>
        <w:rPr>
          <w:rStyle w:val="NotesstructureChar"/>
          <w:color w:val="auto"/>
        </w:rPr>
      </w:pPr>
      <w:r>
        <w:rPr>
          <w:lang w:val="en-US"/>
        </w:rPr>
        <w:t>P</w:t>
      </w:r>
      <w:r w:rsidRPr="00B5035A">
        <w:rPr>
          <w:lang w:val="en-US"/>
        </w:rPr>
        <w:t>sychoactive substance</w:t>
      </w:r>
      <w:r>
        <w:rPr>
          <w:lang w:val="en-US"/>
        </w:rPr>
        <w:t>s</w:t>
      </w:r>
      <w:r w:rsidRPr="00B5035A">
        <w:rPr>
          <w:lang w:val="en-US"/>
        </w:rPr>
        <w:t xml:space="preserve"> </w:t>
      </w:r>
      <w:r>
        <w:rPr>
          <w:lang w:val="en-US"/>
        </w:rPr>
        <w:t>are</w:t>
      </w:r>
      <w:r w:rsidRPr="00B5035A">
        <w:t xml:space="preserve"> </w:t>
      </w:r>
      <w:r>
        <w:t>chemicals</w:t>
      </w:r>
      <w:r w:rsidRPr="00B5035A">
        <w:t xml:space="preserve"> that</w:t>
      </w:r>
      <w:r>
        <w:t>,</w:t>
      </w:r>
      <w:r w:rsidRPr="00B5035A">
        <w:t xml:space="preserve"> when ingested</w:t>
      </w:r>
      <w:r>
        <w:t xml:space="preserve">, have mood-altering properties and </w:t>
      </w:r>
      <w:r w:rsidRPr="00B5035A">
        <w:t>affect mental processes (WHO, 2012).</w:t>
      </w:r>
      <w:r w:rsidRPr="00B5035A">
        <w:rPr>
          <w:lang w:val="en-US"/>
        </w:rPr>
        <w:t xml:space="preserve"> </w:t>
      </w:r>
      <w:r w:rsidRPr="00586D69">
        <w:rPr>
          <w:szCs w:val="24"/>
          <w:lang w:eastAsia="en-GB"/>
        </w:rPr>
        <w:t>N</w:t>
      </w:r>
      <w:r>
        <w:rPr>
          <w:szCs w:val="24"/>
          <w:lang w:eastAsia="en-GB"/>
        </w:rPr>
        <w:t>ew</w:t>
      </w:r>
      <w:r w:rsidRPr="00586D69">
        <w:rPr>
          <w:szCs w:val="24"/>
          <w:lang w:eastAsia="en-GB"/>
        </w:rPr>
        <w:t xml:space="preserve"> Psychoactive Substances (NPS), also known as ‘legal highs’, are synthetic</w:t>
      </w:r>
      <w:r>
        <w:rPr>
          <w:szCs w:val="24"/>
          <w:lang w:eastAsia="en-GB"/>
        </w:rPr>
        <w:t>,</w:t>
      </w:r>
      <w:r w:rsidRPr="00586D69">
        <w:rPr>
          <w:szCs w:val="24"/>
          <w:lang w:eastAsia="en-GB"/>
        </w:rPr>
        <w:t xml:space="preserve"> manufactured chemicals that produce similar psychoactive effects to traditional illicit drugs of abuse such as </w:t>
      </w:r>
      <w:r w:rsidRPr="00586D69">
        <w:rPr>
          <w:rStyle w:val="NotesstructureChar"/>
          <w:color w:val="auto"/>
          <w:lang w:eastAsia="en-GB"/>
        </w:rPr>
        <w:t>cannabis, ecstasy, cocaine and heroin</w:t>
      </w:r>
      <w:r>
        <w:rPr>
          <w:rStyle w:val="NotesstructureChar"/>
          <w:color w:val="auto"/>
          <w:lang w:eastAsia="en-GB"/>
        </w:rPr>
        <w:t xml:space="preserve"> (NEPTUNE, 2015;</w:t>
      </w:r>
      <w:r w:rsidRPr="00586D69">
        <w:rPr>
          <w:rStyle w:val="NotesstructureChar"/>
          <w:color w:val="auto"/>
          <w:lang w:eastAsia="en-GB"/>
        </w:rPr>
        <w:t xml:space="preserve"> </w:t>
      </w:r>
      <w:r w:rsidRPr="00586D69">
        <w:rPr>
          <w:rStyle w:val="NotesstructureChar"/>
          <w:color w:val="auto"/>
          <w:lang w:eastAsia="en-GB"/>
        </w:rPr>
        <w:fldChar w:fldCharType="begin" w:fldLock="1"/>
      </w:r>
      <w:r w:rsidRPr="00586D69">
        <w:rPr>
          <w:rStyle w:val="NotesstructureChar"/>
          <w:color w:val="auto"/>
          <w:lang w:eastAsia="en-GB"/>
        </w:rPr>
        <w:instrText>ADDIN CSL_CITATION {"citationItems":[{"id":"ITEM-1","itemData":{"abstract":"Objectives of the NEPTUNE Project This guidance has been developed by NEPTUNE (Novel Psychoactive Treatment UK Network), a project funded by the Health Foundation’s* Shine Innovation Programme 2012† and led by Central and North West London NHS Foundation Trust. The","author":[{"dropping-particle":"","family":"Novel Psychoactive Treatment UK Network","given":"","non-dropping-particle":"","parse-names":false,"suffix":""}],"id":"ITEM-1","issued":{"date-parts":[["2015"]]},"title":"Guidance on the Clinical Management of Acute and Chronic Harms of Club Drugs and Novel Psychoactive Substances","type":"article-journal"},"uris":["http://www.mendeley.com/documents/?uuid=ba6a7336-5c20-470f-b405-086577136c86"]},{"id":"ITEM-2","itemData":{"DOI":"Figure 3: Trend in Crime Survey for England and Wales violence, 1981 to year ending December 2014","abstract":"The most recent crime statistics from the Crime Survey for England and Wales and police recorded crime.","author":[{"dropping-particle":"","family":"Office for National Statistics","given":"","non-dropping-particle":"","parse-names":false,"suffix":""}],"container-title":"Office for National Statistics","id":"ITEM-2","issue":"July","issued":{"date-parts":[["2014"]]},"page":"1-133","title":"Crime in England and Wales, Year Ending March 2014","type":"article-journal"},"uris":["http://www.mendeley.com/documents/?uuid=e8334046-6b7c-4870-84b8-104fb88cdf60"]}],"mendeley":{"formattedCitation":"(Novel Psychoactive Treatment UK Network, 2015; Office for National Statistics, 2014)","plainTextFormattedCitation":"(Novel Psychoactive Treatment UK Network, 2015; Office for National Statistics, 2014)","previouslyFormattedCitation":"(Novel Psychoactive Treatment UK Network, 2015; Office for National Statistics, 2014)"},"properties":{"noteIndex":0},"schema":"https://github.com/citation-style-language/schema/raw/master/csl-citation.json"}</w:instrText>
      </w:r>
      <w:r w:rsidRPr="00586D69">
        <w:rPr>
          <w:rStyle w:val="NotesstructureChar"/>
          <w:color w:val="auto"/>
          <w:lang w:eastAsia="en-GB"/>
        </w:rPr>
        <w:fldChar w:fldCharType="separate"/>
      </w:r>
      <w:r w:rsidRPr="00586D69">
        <w:rPr>
          <w:rStyle w:val="NotesstructureChar"/>
          <w:noProof/>
          <w:color w:val="auto"/>
          <w:lang w:eastAsia="en-GB"/>
        </w:rPr>
        <w:t>ON</w:t>
      </w:r>
      <w:r>
        <w:rPr>
          <w:rStyle w:val="NotesstructureChar"/>
          <w:noProof/>
          <w:color w:val="auto"/>
          <w:lang w:eastAsia="en-GB"/>
        </w:rPr>
        <w:t>S</w:t>
      </w:r>
      <w:r w:rsidRPr="00586D69">
        <w:rPr>
          <w:rStyle w:val="NotesstructureChar"/>
          <w:noProof/>
          <w:color w:val="auto"/>
          <w:lang w:eastAsia="en-GB"/>
        </w:rPr>
        <w:t>, 2014)</w:t>
      </w:r>
      <w:r w:rsidRPr="00586D69">
        <w:rPr>
          <w:rStyle w:val="NotesstructureChar"/>
          <w:color w:val="auto"/>
          <w:lang w:eastAsia="en-GB"/>
        </w:rPr>
        <w:fldChar w:fldCharType="end"/>
      </w:r>
      <w:r w:rsidRPr="00586D69">
        <w:rPr>
          <w:rStyle w:val="NotesstructureChar"/>
          <w:color w:val="auto"/>
          <w:lang w:eastAsia="en-GB"/>
        </w:rPr>
        <w:t xml:space="preserve">. </w:t>
      </w:r>
      <w:r>
        <w:t xml:space="preserve"> </w:t>
      </w:r>
      <w:r w:rsidRPr="00586D69">
        <w:rPr>
          <w:rStyle w:val="NotesstructureChar"/>
          <w:color w:val="auto"/>
          <w:lang w:eastAsia="en-GB"/>
        </w:rPr>
        <w:t>I</w:t>
      </w:r>
      <w:r w:rsidRPr="00586D69">
        <w:t>n the UK</w:t>
      </w:r>
      <w:r>
        <w:t>,</w:t>
      </w:r>
      <w:r w:rsidRPr="00586D69">
        <w:t xml:space="preserve"> the market for legal highs remained limited to only a handful of substances until about a decade ago when the number of </w:t>
      </w:r>
      <w:r>
        <w:t>novel drugs</w:t>
      </w:r>
      <w:r w:rsidRPr="00586D69">
        <w:t xml:space="preserve"> increased exponentially. </w:t>
      </w:r>
      <w:r>
        <w:t xml:space="preserve">While numbers remained low, drugs could be referred to by individual name but as the </w:t>
      </w:r>
      <w:r w:rsidR="00595C48">
        <w:t>number</w:t>
      </w:r>
      <w:r>
        <w:t xml:space="preserve"> of new substances grew, </w:t>
      </w:r>
      <w:bookmarkStart w:id="50" w:name="_Hlk9145785"/>
      <w:r>
        <w:t>classifying this heterogeneous and constantly shifting group of hundreds of drugs has proved problematic. At the heart of the problem is legal status. So long as new substances remain outside the scope of drug legislation they can be sold legally, provided they are not advertised for human consumption. Once a substance is brought under legislative control however, it becomes classified as an illicit substance. The problem then becomes how to distinguish these novel psychoactive substances from traditional illicit drugs given that, prior to being controlled, the only common feature of this group of heterogeneous drugs is their legal status</w:t>
      </w:r>
      <w:bookmarkEnd w:id="50"/>
      <w:r>
        <w:t>. While informally, the marketing term ‘legal highs’ gained traction as a catch-all term, it is seen as inappropriate for formal contexts due to connotations of legality and safety and its emphasis on exciting recreational effects (Corazza et. al., 2013; McElrath, 2011</w:t>
      </w:r>
      <w:r w:rsidR="00A61664">
        <w:t>; NAW, 2015</w:t>
      </w:r>
      <w:r>
        <w:t xml:space="preserve">; Sheridan, 2010). However, the challenges of defining </w:t>
      </w:r>
      <w:r w:rsidRPr="0042686C">
        <w:t xml:space="preserve">such a varied group of drugs mean there is yet to be consensus on what to call these substances in </w:t>
      </w:r>
      <w:r>
        <w:t>formal</w:t>
      </w:r>
      <w:r w:rsidRPr="0042686C">
        <w:t xml:space="preserve"> settings and definitions remain contested, inconsistent and tend to </w:t>
      </w:r>
      <w:r w:rsidRPr="0042686C">
        <w:rPr>
          <w:rStyle w:val="NotesstructureChar"/>
          <w:color w:val="auto"/>
        </w:rPr>
        <w:t xml:space="preserve">diverge from what is </w:t>
      </w:r>
      <w:r>
        <w:rPr>
          <w:rStyle w:val="NotesstructureChar"/>
          <w:color w:val="auto"/>
        </w:rPr>
        <w:t>culturally</w:t>
      </w:r>
      <w:r w:rsidRPr="0042686C">
        <w:rPr>
          <w:rStyle w:val="NotesstructureChar"/>
          <w:color w:val="auto"/>
        </w:rPr>
        <w:t xml:space="preserve"> meant by the term legal highs.</w:t>
      </w:r>
      <w:r>
        <w:rPr>
          <w:rStyle w:val="NotesstructureChar"/>
          <w:color w:val="auto"/>
        </w:rPr>
        <w:t xml:space="preserve"> Although they have variously been referred to as </w:t>
      </w:r>
      <w:r w:rsidRPr="006858E3">
        <w:rPr>
          <w:rStyle w:val="NotesstructureChar"/>
          <w:i/>
          <w:color w:val="auto"/>
        </w:rPr>
        <w:t>new</w:t>
      </w:r>
      <w:r>
        <w:rPr>
          <w:rStyle w:val="NotesstructureChar"/>
          <w:color w:val="auto"/>
        </w:rPr>
        <w:t xml:space="preserve">, </w:t>
      </w:r>
      <w:r w:rsidRPr="006858E3">
        <w:rPr>
          <w:rStyle w:val="NotesstructureChar"/>
          <w:i/>
          <w:color w:val="auto"/>
        </w:rPr>
        <w:t>synthetic</w:t>
      </w:r>
      <w:r>
        <w:rPr>
          <w:rStyle w:val="NotesstructureChar"/>
          <w:color w:val="auto"/>
        </w:rPr>
        <w:t xml:space="preserve">, </w:t>
      </w:r>
      <w:r w:rsidRPr="006858E3">
        <w:rPr>
          <w:rStyle w:val="NotesstructureChar"/>
          <w:i/>
          <w:color w:val="auto"/>
        </w:rPr>
        <w:t>novel</w:t>
      </w:r>
      <w:r>
        <w:rPr>
          <w:rStyle w:val="NotesstructureChar"/>
          <w:color w:val="auto"/>
        </w:rPr>
        <w:t xml:space="preserve">, </w:t>
      </w:r>
      <w:r w:rsidRPr="000625E9">
        <w:rPr>
          <w:rStyle w:val="NotesstructureChar"/>
          <w:i/>
          <w:color w:val="auto"/>
        </w:rPr>
        <w:t>designer</w:t>
      </w:r>
      <w:r>
        <w:rPr>
          <w:rStyle w:val="NotesstructureChar"/>
          <w:color w:val="auto"/>
        </w:rPr>
        <w:t xml:space="preserve"> and </w:t>
      </w:r>
      <w:r w:rsidRPr="006858E3">
        <w:rPr>
          <w:rStyle w:val="NotesstructureChar"/>
          <w:i/>
          <w:color w:val="auto"/>
        </w:rPr>
        <w:t>emerging</w:t>
      </w:r>
      <w:r>
        <w:rPr>
          <w:rStyle w:val="NotesstructureChar"/>
          <w:color w:val="auto"/>
        </w:rPr>
        <w:t xml:space="preserve"> psychoactive substances, many legally available substances were known to the authorities for decades, while several traditional drugs could also be described as synthetic. </w:t>
      </w:r>
    </w:p>
    <w:p w14:paraId="32259C91" w14:textId="23D67FAC" w:rsidR="00A64E15" w:rsidRDefault="00A64E15" w:rsidP="00A64E15">
      <w:pPr>
        <w:spacing w:line="480" w:lineRule="auto"/>
        <w:rPr>
          <w:rStyle w:val="NotesstructureChar"/>
          <w:color w:val="auto"/>
        </w:rPr>
      </w:pPr>
      <w:r w:rsidRPr="00ED0CD7">
        <w:rPr>
          <w:rStyle w:val="NotesstructureChar"/>
          <w:color w:val="auto"/>
        </w:rPr>
        <w:t>Generally,</w:t>
      </w:r>
      <w:r>
        <w:rPr>
          <w:rStyle w:val="NotesstructureChar"/>
          <w:color w:val="auto"/>
        </w:rPr>
        <w:t xml:space="preserve"> the term</w:t>
      </w:r>
      <w:r w:rsidRPr="00ED0CD7">
        <w:rPr>
          <w:rStyle w:val="NotesstructureChar"/>
          <w:color w:val="auto"/>
        </w:rPr>
        <w:t xml:space="preserve"> </w:t>
      </w:r>
      <w:r>
        <w:rPr>
          <w:rStyle w:val="NotesstructureChar"/>
          <w:i/>
          <w:color w:val="auto"/>
        </w:rPr>
        <w:t>n</w:t>
      </w:r>
      <w:r w:rsidRPr="00ED0CD7">
        <w:rPr>
          <w:rStyle w:val="NotesstructureChar"/>
          <w:i/>
          <w:color w:val="auto"/>
        </w:rPr>
        <w:t xml:space="preserve">ew </w:t>
      </w:r>
      <w:r>
        <w:rPr>
          <w:rStyle w:val="NotesstructureChar"/>
          <w:i/>
          <w:color w:val="auto"/>
        </w:rPr>
        <w:t>p</w:t>
      </w:r>
      <w:r w:rsidRPr="00ED0CD7">
        <w:rPr>
          <w:rStyle w:val="NotesstructureChar"/>
          <w:i/>
          <w:color w:val="auto"/>
        </w:rPr>
        <w:t xml:space="preserve">sychoactive </w:t>
      </w:r>
      <w:r>
        <w:rPr>
          <w:rStyle w:val="NotesstructureChar"/>
          <w:i/>
          <w:color w:val="auto"/>
        </w:rPr>
        <w:t>s</w:t>
      </w:r>
      <w:r w:rsidRPr="00ED0CD7">
        <w:rPr>
          <w:rStyle w:val="NotesstructureChar"/>
          <w:i/>
          <w:color w:val="auto"/>
        </w:rPr>
        <w:t>ubstances</w:t>
      </w:r>
      <w:r w:rsidRPr="00ED0CD7">
        <w:rPr>
          <w:rStyle w:val="NotesstructureChar"/>
          <w:color w:val="auto"/>
        </w:rPr>
        <w:t xml:space="preserve"> </w:t>
      </w:r>
      <w:r>
        <w:rPr>
          <w:rStyle w:val="NotesstructureChar"/>
          <w:color w:val="auto"/>
        </w:rPr>
        <w:t>is</w:t>
      </w:r>
      <w:r w:rsidRPr="00ED0CD7">
        <w:rPr>
          <w:rStyle w:val="NotesstructureChar"/>
          <w:color w:val="auto"/>
        </w:rPr>
        <w:t xml:space="preserve"> emerging as the dominant </w:t>
      </w:r>
      <w:r w:rsidRPr="00ED0CD7">
        <w:t xml:space="preserve">descriptive phrase for contrasting this group of substances with traditional drugs of abuse. Nevertheless, there are no clear criteria for what defines an NPS and precisely which drugs are included as NPS varies between publications and over time (ONS, 2015). In particular, there is </w:t>
      </w:r>
      <w:r w:rsidR="00595C48">
        <w:t xml:space="preserve">a </w:t>
      </w:r>
      <w:r w:rsidRPr="00ED0CD7">
        <w:t xml:space="preserve">lack of clarity around whether definitions of NPS include illicit substances or whether, by default, when a substance is made illegal it is no longer considered an NPS. </w:t>
      </w:r>
      <w:r w:rsidRPr="00ED0CD7">
        <w:rPr>
          <w:rStyle w:val="NotesstructureChar"/>
          <w:color w:val="auto"/>
        </w:rPr>
        <w:t xml:space="preserve">For example, two popular laboratory synthesised drugs, ketamine and mephedrone (controlled in 1999 and 2010 respectively) are </w:t>
      </w:r>
      <w:r>
        <w:rPr>
          <w:rStyle w:val="NotesstructureChar"/>
          <w:color w:val="auto"/>
        </w:rPr>
        <w:t>occasionally</w:t>
      </w:r>
      <w:r w:rsidRPr="00ED0CD7">
        <w:rPr>
          <w:rStyle w:val="NotesstructureChar"/>
          <w:color w:val="auto"/>
        </w:rPr>
        <w:t xml:space="preserve"> included as an NPS </w:t>
      </w:r>
      <w:r>
        <w:rPr>
          <w:rStyle w:val="NotesstructureChar"/>
          <w:color w:val="auto"/>
        </w:rPr>
        <w:t xml:space="preserve">in some measures </w:t>
      </w:r>
      <w:r w:rsidRPr="00ED0CD7">
        <w:rPr>
          <w:rStyle w:val="NotesstructureChar"/>
          <w:color w:val="auto"/>
        </w:rPr>
        <w:t xml:space="preserve">but generally </w:t>
      </w:r>
      <w:r>
        <w:rPr>
          <w:rStyle w:val="NotesstructureChar"/>
          <w:color w:val="auto"/>
        </w:rPr>
        <w:t xml:space="preserve">remain </w:t>
      </w:r>
      <w:r w:rsidRPr="00ED0CD7">
        <w:rPr>
          <w:rStyle w:val="NotesstructureChar"/>
          <w:color w:val="auto"/>
        </w:rPr>
        <w:t>excluded from analyses.</w:t>
      </w:r>
    </w:p>
    <w:p w14:paraId="67F437AC" w14:textId="76ECAB0B" w:rsidR="00A64E15" w:rsidRDefault="00A64E15" w:rsidP="00A64E15">
      <w:pPr>
        <w:spacing w:line="480" w:lineRule="auto"/>
      </w:pPr>
      <w:r>
        <w:t>F</w:t>
      </w:r>
      <w:r w:rsidRPr="00ED0CD7">
        <w:t xml:space="preserve">rom the perspective of </w:t>
      </w:r>
      <w:r>
        <w:t xml:space="preserve">young </w:t>
      </w:r>
      <w:r w:rsidRPr="00ED0CD7">
        <w:t xml:space="preserve">people contemplating drug use, overly formal terminology may be counterproductive, as they might not equate terms such as </w:t>
      </w:r>
      <w:r>
        <w:t>New</w:t>
      </w:r>
      <w:r w:rsidRPr="00ED0CD7">
        <w:t xml:space="preserve"> </w:t>
      </w:r>
      <w:r>
        <w:t>P</w:t>
      </w:r>
      <w:r w:rsidRPr="00ED0CD7">
        <w:t xml:space="preserve">sychoactive </w:t>
      </w:r>
      <w:r>
        <w:t>S</w:t>
      </w:r>
      <w:r w:rsidRPr="00ED0CD7">
        <w:t>ubstances with the legal highs and branded products talked about in social interactions, promoted in the media or sold in shops and o</w:t>
      </w:r>
      <w:r>
        <w:t>nline</w:t>
      </w:r>
      <w:r w:rsidRPr="00ED0CD7">
        <w:t>. Consequently, for the purposes of this research</w:t>
      </w:r>
      <w:r w:rsidR="00595C48">
        <w:t>,</w:t>
      </w:r>
      <w:r w:rsidRPr="00ED0CD7">
        <w:t xml:space="preserve"> the group of drugs of interest will be referred to</w:t>
      </w:r>
      <w:r>
        <w:t xml:space="preserve"> interchangeably</w:t>
      </w:r>
      <w:r w:rsidRPr="00ED0CD7">
        <w:t xml:space="preserve"> as </w:t>
      </w:r>
      <w:r>
        <w:t>New</w:t>
      </w:r>
      <w:r w:rsidRPr="00ED0CD7">
        <w:t xml:space="preserve"> Psychoactive Substances </w:t>
      </w:r>
      <w:r>
        <w:t xml:space="preserve">(NPS) </w:t>
      </w:r>
      <w:r w:rsidRPr="00ED0CD7">
        <w:t xml:space="preserve">and Legal Highs as appropriate, depending on context. </w:t>
      </w:r>
    </w:p>
    <w:p w14:paraId="1F08A8E3" w14:textId="6213DE39" w:rsidR="00A64E15" w:rsidRPr="00ED0CD7" w:rsidRDefault="00A64E15" w:rsidP="000464DC">
      <w:pPr>
        <w:pStyle w:val="Heading3"/>
      </w:pPr>
      <w:bookmarkStart w:id="51" w:name="_Toc9182731"/>
      <w:bookmarkStart w:id="52" w:name="_Toc35892501"/>
      <w:r w:rsidRPr="00ED0CD7">
        <w:t>Types of NPS</w:t>
      </w:r>
      <w:bookmarkEnd w:id="51"/>
      <w:bookmarkEnd w:id="52"/>
    </w:p>
    <w:p w14:paraId="2A43D96B" w14:textId="740CEA9F" w:rsidR="00A64E15" w:rsidRDefault="00A64E15" w:rsidP="00A64E15">
      <w:pPr>
        <w:spacing w:line="480" w:lineRule="auto"/>
      </w:pPr>
      <w:r w:rsidRPr="00ED0CD7">
        <w:t xml:space="preserve">There is no formal system for categorising NPS, and no officially agreed list of substances (ONS, 2015). NPS can be grouped in several ways such as chemical family, psychoactive effects or legal status. From the perspective </w:t>
      </w:r>
      <w:r w:rsidRPr="00B5035A">
        <w:t xml:space="preserve">of </w:t>
      </w:r>
      <w:r>
        <w:t xml:space="preserve">young </w:t>
      </w:r>
      <w:r w:rsidRPr="00B5035A">
        <w:t xml:space="preserve">people encountering NPS in their everyday </w:t>
      </w:r>
      <w:r>
        <w:t xml:space="preserve">lives the psychoactive effects and legal status of the drugs are likely to be most relevant. </w:t>
      </w:r>
      <w:r w:rsidRPr="00B5035A">
        <w:t>A useful resource for understanding NPS</w:t>
      </w:r>
      <w:r>
        <w:t xml:space="preserve"> in this way</w:t>
      </w:r>
      <w:r w:rsidRPr="00B5035A">
        <w:t xml:space="preserve"> is The Drugs Wheel </w:t>
      </w:r>
      <w:r>
        <w:t xml:space="preserve">(Figure </w:t>
      </w:r>
      <w:r w:rsidR="00FE6B2A">
        <w:t>2-</w:t>
      </w:r>
      <w:r>
        <w:t xml:space="preserve">1: </w:t>
      </w:r>
      <w:r w:rsidRPr="00B5035A">
        <w:t>Adley</w:t>
      </w:r>
      <w:r>
        <w:t xml:space="preserve"> and DrugsWatch, </w:t>
      </w:r>
      <w:r w:rsidRPr="00B5035A">
        <w:t xml:space="preserve">2015) </w:t>
      </w:r>
      <w:r>
        <w:t xml:space="preserve">which differentiates between stimulants, empathogens, psychedelics, dissociatives, cannabinoids, depressants and opioids. </w:t>
      </w:r>
    </w:p>
    <w:p w14:paraId="07F8A641" w14:textId="42201E1A" w:rsidR="00A64E15" w:rsidRPr="008B7C26" w:rsidRDefault="00A64E15" w:rsidP="00D96745">
      <w:pPr>
        <w:pStyle w:val="FigureHeading"/>
      </w:pPr>
      <w:bookmarkStart w:id="53" w:name="_Toc9186662"/>
      <w:bookmarkStart w:id="54" w:name="_Toc9509096"/>
      <w:r w:rsidRPr="008B7C26">
        <w:drawing>
          <wp:anchor distT="0" distB="0" distL="114300" distR="114300" simplePos="0" relativeHeight="252691456" behindDoc="0" locked="0" layoutInCell="1" allowOverlap="1" wp14:anchorId="145C68A3" wp14:editId="3826F056">
            <wp:simplePos x="0" y="0"/>
            <wp:positionH relativeFrom="column">
              <wp:posOffset>1905</wp:posOffset>
            </wp:positionH>
            <wp:positionV relativeFrom="paragraph">
              <wp:posOffset>285428</wp:posOffset>
            </wp:positionV>
            <wp:extent cx="4176215" cy="4176215"/>
            <wp:effectExtent l="0" t="0" r="0" b="0"/>
            <wp:wrapNone/>
            <wp:docPr id="24" name="Picture 24" descr="Macintosh HD:Users:paulnorman:Desktop:TheDrugsWhe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norman:Desktop:TheDrugsWheel.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6215" cy="417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C26">
        <mc:AlternateContent>
          <mc:Choice Requires="wps">
            <w:drawing>
              <wp:anchor distT="45720" distB="45720" distL="114300" distR="114300" simplePos="0" relativeHeight="252633088" behindDoc="0" locked="0" layoutInCell="1" allowOverlap="1" wp14:anchorId="48DED2C8" wp14:editId="27491DB2">
                <wp:simplePos x="0" y="0"/>
                <wp:positionH relativeFrom="page">
                  <wp:posOffset>5127303</wp:posOffset>
                </wp:positionH>
                <wp:positionV relativeFrom="paragraph">
                  <wp:posOffset>200660</wp:posOffset>
                </wp:positionV>
                <wp:extent cx="1774190" cy="173164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731645"/>
                        </a:xfrm>
                        <a:prstGeom prst="rect">
                          <a:avLst/>
                        </a:prstGeom>
                        <a:noFill/>
                        <a:ln w="9525">
                          <a:noFill/>
                          <a:miter lim="800000"/>
                          <a:headEnd/>
                          <a:tailEnd/>
                        </a:ln>
                      </wps:spPr>
                      <wps:txbx>
                        <w:txbxContent>
                          <w:p w14:paraId="79F0FB20" w14:textId="77777777" w:rsidR="00777EE0" w:rsidRDefault="00777EE0" w:rsidP="00A64E15">
                            <w:pPr>
                              <w:rPr>
                                <w:b/>
                                <w:noProof/>
                                <w:lang w:eastAsia="en-GB"/>
                              </w:rPr>
                            </w:pPr>
                            <w:r>
                              <w:t>Middle</w:t>
                            </w:r>
                            <w:r w:rsidRPr="00B5035A">
                              <w:t xml:space="preserve"> ring: Controlled or regulated </w:t>
                            </w:r>
                            <w:r>
                              <w:t>in</w:t>
                            </w:r>
                            <w:r w:rsidRPr="00B5035A">
                              <w:t xml:space="preserve"> the UK </w:t>
                            </w:r>
                            <w:r w:rsidRPr="00B5035A">
                              <w:br/>
                              <w:t>Inner ring: Legal in the UK prior to 26</w:t>
                            </w:r>
                            <w:r w:rsidRPr="00B5035A">
                              <w:rPr>
                                <w:vertAlign w:val="superscript"/>
                              </w:rPr>
                              <w:t>th</w:t>
                            </w:r>
                            <w:r w:rsidRPr="00B5035A">
                              <w:t xml:space="preserve"> May 2016</w:t>
                            </w:r>
                            <w:r w:rsidRPr="00B5035A">
                              <w:br/>
                            </w:r>
                          </w:p>
                          <w:p w14:paraId="71BEFDDA" w14:textId="77777777" w:rsidR="00777EE0" w:rsidRDefault="00777EE0" w:rsidP="00A64E15">
                            <w:pPr>
                              <w:rPr>
                                <w:sz w:val="22"/>
                              </w:rPr>
                            </w:pPr>
                          </w:p>
                          <w:p w14:paraId="50972FA2" w14:textId="77777777" w:rsidR="00777EE0" w:rsidRDefault="00777EE0" w:rsidP="00A64E15">
                            <w:pPr>
                              <w:rPr>
                                <w:sz w:val="22"/>
                              </w:rPr>
                            </w:pPr>
                          </w:p>
                          <w:p w14:paraId="6EED88EE" w14:textId="77777777" w:rsidR="00777EE0" w:rsidRDefault="00777EE0" w:rsidP="00A64E15">
                            <w:pPr>
                              <w:rPr>
                                <w:sz w:val="22"/>
                              </w:rPr>
                            </w:pPr>
                          </w:p>
                          <w:p w14:paraId="1EB66672" w14:textId="77777777" w:rsidR="00777EE0" w:rsidRDefault="00777EE0" w:rsidP="00A64E15">
                            <w:pPr>
                              <w:rPr>
                                <w:sz w:val="22"/>
                              </w:rPr>
                            </w:pPr>
                          </w:p>
                          <w:p w14:paraId="453CAC12" w14:textId="77777777" w:rsidR="00777EE0" w:rsidRDefault="00777EE0" w:rsidP="00A64E15">
                            <w:pPr>
                              <w:rPr>
                                <w:sz w:val="22"/>
                              </w:rPr>
                            </w:pPr>
                          </w:p>
                          <w:p w14:paraId="3C9806D9" w14:textId="77777777" w:rsidR="00777EE0" w:rsidRDefault="00777EE0" w:rsidP="00A64E15">
                            <w:pPr>
                              <w:rPr>
                                <w:sz w:val="22"/>
                              </w:rPr>
                            </w:pPr>
                          </w:p>
                          <w:p w14:paraId="7E86297E" w14:textId="77777777" w:rsidR="00777EE0" w:rsidRDefault="00777EE0" w:rsidP="00A64E15">
                            <w:pPr>
                              <w:rPr>
                                <w:sz w:val="22"/>
                              </w:rPr>
                            </w:pPr>
                          </w:p>
                          <w:p w14:paraId="2CDEE972" w14:textId="2F4B804F" w:rsidR="00777EE0" w:rsidRPr="007B731C" w:rsidRDefault="00777EE0" w:rsidP="00A64E15">
                            <w:pPr>
                              <w:rPr>
                                <w:sz w:val="20"/>
                              </w:rPr>
                            </w:pPr>
                            <w:r w:rsidRPr="00B5035A">
                              <w:rPr>
                                <w:sz w:val="22"/>
                              </w:rPr>
                              <w:t>Image courtesy of Mark Aldley in collaboration with DrugWatch</w:t>
                            </w:r>
                            <w:r>
                              <w:rPr>
                                <w:sz w:val="22"/>
                              </w:rPr>
                              <w:t xml:space="preserve">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8DED2C8" id="_x0000_t202" coordsize="21600,21600" o:spt="202" path="m,l,21600r21600,l21600,xe">
                <v:stroke joinstyle="miter"/>
                <v:path gradientshapeok="t" o:connecttype="rect"/>
              </v:shapetype>
              <v:shape id="Text Box 2" o:spid="_x0000_s1026" type="#_x0000_t202" style="position:absolute;margin-left:403.7pt;margin-top:15.8pt;width:139.7pt;height:136.35pt;z-index:25263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7UDAIAAPQDAAAOAAAAZHJzL2Uyb0RvYy54bWysU9tu2zAMfR+wfxD0vtjOkqYxohRduwwD&#10;ugvQ7gMUWY6FSaImKbGzry8lp2mwvQ3zg0CZ5CHPIbW6GYwmB+mDAstoNSkpkVZAo+yO0R9Pm3fX&#10;lITIbcM1WMnoUQZ6s377ZtW7Wk6hA91ITxDEhrp3jHYxurooguik4WECTlp0tuANj3j1u6LxvEd0&#10;o4tpWV4VPfjGeRAyBPx7PzrpOuO3rRTxW9sGGYlmFHuL+fT53KazWK94vfPcdUqc2uD/0IXhymLR&#10;M9Q9j5zsvfoLyijhIUAbJwJMAW2rhMwckE1V/sHmseNOZi4oTnBnmcL/gxVfD989UQ2jU5THcoMz&#10;epJDJB9gINMkT+9CjVGPDuPigL9xzJlqcA8gfgZi4a7jdidvvYe+k7zB9qqUWVykjjghgWz7L9Bg&#10;Gb6PkIGG1pukHapBEB37OJ5Hk1oRqeRiMauW6BLoqxbvq6vZPNfg9Uu68yF+kmBIMhj1OPsMzw8P&#10;IaZ2eP0SkqpZ2Cit8/y1JT2jy/l0nhMuPEZFXE+tDKPXZfrGhUksP9omJ0eu9GhjAW1PtBPTkXMc&#10;tgMGJi220BxRAA/jGuKzQaMD/5uSHleQ0fBrz72kRH+2KOKyms3SzubLbL5IE/KXnu2lh1uBUIxG&#10;SkbzLuY9T1yDu0WxNyrL8NrJqVdcrazO6Rmk3b2856jXx7p+BgAA//8DAFBLAwQUAAYACAAAACEA&#10;rlRa9t4AAAALAQAADwAAAGRycy9kb3ducmV2LnhtbEyPTU/DMAyG70j8h8hI3FhSNkrVNZ0mPiQO&#10;XBjl7jVeW9E4VZOt3b8nO7Gj7Uevn7fYzLYXJxp951hDslAgiGtnOm40VN/vDxkIH5AN9o5Jw5k8&#10;bMrbmwJz4yb+otMuNCKGsM9RQxvCkEvp65Ys+oUbiOPt4EaLIY5jI82IUwy3vXxUKpUWO44fWhzo&#10;paX6d3e0GkIw2+RcvVn/8TN/vk6tqp+w0vr+bt6uQQSawz8MF/2oDmV02rsjGy96DZl6XkVUwzJJ&#10;QVwAlaWxzD5u1GoJsizkdYfyDwAA//8DAFBLAQItABQABgAIAAAAIQC2gziS/gAAAOEBAAATAAAA&#10;AAAAAAAAAAAAAAAAAABbQ29udGVudF9UeXBlc10ueG1sUEsBAi0AFAAGAAgAAAAhADj9If/WAAAA&#10;lAEAAAsAAAAAAAAAAAAAAAAALwEAAF9yZWxzLy5yZWxzUEsBAi0AFAAGAAgAAAAhADQkjtQMAgAA&#10;9AMAAA4AAAAAAAAAAAAAAAAALgIAAGRycy9lMm9Eb2MueG1sUEsBAi0AFAAGAAgAAAAhAK5UWvbe&#10;AAAACwEAAA8AAAAAAAAAAAAAAAAAZgQAAGRycy9kb3ducmV2LnhtbFBLBQYAAAAABAAEAPMAAABx&#10;BQAAAAA=&#10;" filled="f" stroked="f">
                <v:textbox style="mso-fit-shape-to-text:t">
                  <w:txbxContent>
                    <w:p w14:paraId="79F0FB20" w14:textId="77777777" w:rsidR="00777EE0" w:rsidRDefault="00777EE0" w:rsidP="00A64E15">
                      <w:pPr>
                        <w:rPr>
                          <w:b/>
                          <w:noProof/>
                          <w:lang w:eastAsia="en-GB"/>
                        </w:rPr>
                      </w:pPr>
                      <w:r>
                        <w:t>Middle</w:t>
                      </w:r>
                      <w:r w:rsidRPr="00B5035A">
                        <w:t xml:space="preserve"> ring: Controlled or regulated </w:t>
                      </w:r>
                      <w:r>
                        <w:t>in</w:t>
                      </w:r>
                      <w:r w:rsidRPr="00B5035A">
                        <w:t xml:space="preserve"> the UK </w:t>
                      </w:r>
                      <w:r w:rsidRPr="00B5035A">
                        <w:br/>
                        <w:t>Inner ring: Legal in the UK prior to 26</w:t>
                      </w:r>
                      <w:r w:rsidRPr="00B5035A">
                        <w:rPr>
                          <w:vertAlign w:val="superscript"/>
                        </w:rPr>
                        <w:t>th</w:t>
                      </w:r>
                      <w:r w:rsidRPr="00B5035A">
                        <w:t xml:space="preserve"> May 2016</w:t>
                      </w:r>
                      <w:r w:rsidRPr="00B5035A">
                        <w:br/>
                      </w:r>
                    </w:p>
                    <w:p w14:paraId="71BEFDDA" w14:textId="77777777" w:rsidR="00777EE0" w:rsidRDefault="00777EE0" w:rsidP="00A64E15">
                      <w:pPr>
                        <w:rPr>
                          <w:sz w:val="22"/>
                        </w:rPr>
                      </w:pPr>
                    </w:p>
                    <w:p w14:paraId="50972FA2" w14:textId="77777777" w:rsidR="00777EE0" w:rsidRDefault="00777EE0" w:rsidP="00A64E15">
                      <w:pPr>
                        <w:rPr>
                          <w:sz w:val="22"/>
                        </w:rPr>
                      </w:pPr>
                    </w:p>
                    <w:p w14:paraId="6EED88EE" w14:textId="77777777" w:rsidR="00777EE0" w:rsidRDefault="00777EE0" w:rsidP="00A64E15">
                      <w:pPr>
                        <w:rPr>
                          <w:sz w:val="22"/>
                        </w:rPr>
                      </w:pPr>
                    </w:p>
                    <w:p w14:paraId="1EB66672" w14:textId="77777777" w:rsidR="00777EE0" w:rsidRDefault="00777EE0" w:rsidP="00A64E15">
                      <w:pPr>
                        <w:rPr>
                          <w:sz w:val="22"/>
                        </w:rPr>
                      </w:pPr>
                    </w:p>
                    <w:p w14:paraId="453CAC12" w14:textId="77777777" w:rsidR="00777EE0" w:rsidRDefault="00777EE0" w:rsidP="00A64E15">
                      <w:pPr>
                        <w:rPr>
                          <w:sz w:val="22"/>
                        </w:rPr>
                      </w:pPr>
                    </w:p>
                    <w:p w14:paraId="3C9806D9" w14:textId="77777777" w:rsidR="00777EE0" w:rsidRDefault="00777EE0" w:rsidP="00A64E15">
                      <w:pPr>
                        <w:rPr>
                          <w:sz w:val="22"/>
                        </w:rPr>
                      </w:pPr>
                    </w:p>
                    <w:p w14:paraId="7E86297E" w14:textId="77777777" w:rsidR="00777EE0" w:rsidRDefault="00777EE0" w:rsidP="00A64E15">
                      <w:pPr>
                        <w:rPr>
                          <w:sz w:val="22"/>
                        </w:rPr>
                      </w:pPr>
                    </w:p>
                    <w:p w14:paraId="2CDEE972" w14:textId="2F4B804F" w:rsidR="00777EE0" w:rsidRPr="007B731C" w:rsidRDefault="00777EE0" w:rsidP="00A64E15">
                      <w:pPr>
                        <w:rPr>
                          <w:sz w:val="20"/>
                        </w:rPr>
                      </w:pPr>
                      <w:r w:rsidRPr="00B5035A">
                        <w:rPr>
                          <w:sz w:val="22"/>
                        </w:rPr>
                        <w:t>Image courtesy of Mark Aldley in collaboration with DrugWatch</w:t>
                      </w:r>
                      <w:r>
                        <w:rPr>
                          <w:sz w:val="22"/>
                        </w:rPr>
                        <w:t xml:space="preserve"> (2015)</w:t>
                      </w:r>
                    </w:p>
                  </w:txbxContent>
                </v:textbox>
                <w10:wrap anchorx="page"/>
              </v:shape>
            </w:pict>
          </mc:Fallback>
        </mc:AlternateContent>
      </w:r>
      <w:r w:rsidRPr="008B7C26">
        <w:t xml:space="preserve">Figure </w:t>
      </w:r>
      <w:r w:rsidR="00195751">
        <w:t>2-</w:t>
      </w:r>
      <w:r w:rsidRPr="008B7C26">
        <w:t>1. The Drugs Wheel</w:t>
      </w:r>
      <w:bookmarkEnd w:id="53"/>
      <w:bookmarkEnd w:id="54"/>
    </w:p>
    <w:p w14:paraId="690ED0EB" w14:textId="77777777" w:rsidR="00A64E15" w:rsidRDefault="00A64E15" w:rsidP="00A64E15">
      <w:pPr>
        <w:spacing w:line="240" w:lineRule="auto"/>
        <w:rPr>
          <w:b/>
          <w:lang w:val="en-US"/>
        </w:rPr>
      </w:pPr>
    </w:p>
    <w:p w14:paraId="7871C83F" w14:textId="77777777" w:rsidR="00A64E15" w:rsidRDefault="00A64E15" w:rsidP="00A64E15">
      <w:pPr>
        <w:spacing w:line="240" w:lineRule="auto"/>
        <w:rPr>
          <w:b/>
          <w:lang w:val="en-US"/>
        </w:rPr>
      </w:pPr>
    </w:p>
    <w:p w14:paraId="401C02E9" w14:textId="77777777" w:rsidR="00A64E15" w:rsidRDefault="00A64E15" w:rsidP="00A64E15"/>
    <w:p w14:paraId="0DA87F63" w14:textId="77777777" w:rsidR="00A64E15" w:rsidRDefault="00A64E15" w:rsidP="00A64E15">
      <w:pPr>
        <w:spacing w:line="240" w:lineRule="auto"/>
        <w:rPr>
          <w:rStyle w:val="NotesstructureChar"/>
        </w:rPr>
      </w:pPr>
    </w:p>
    <w:p w14:paraId="142BAB2B" w14:textId="77777777" w:rsidR="00A64E15" w:rsidRDefault="00A64E15" w:rsidP="00A64E15">
      <w:pPr>
        <w:spacing w:line="240" w:lineRule="auto"/>
        <w:rPr>
          <w:rStyle w:val="NotesstructureChar"/>
        </w:rPr>
      </w:pPr>
    </w:p>
    <w:p w14:paraId="6A525EEB" w14:textId="77777777" w:rsidR="00A64E15" w:rsidRDefault="00A64E15" w:rsidP="00A64E15">
      <w:pPr>
        <w:spacing w:line="480" w:lineRule="auto"/>
        <w:rPr>
          <w:rStyle w:val="NotesstructureChar"/>
          <w:color w:val="auto"/>
        </w:rPr>
      </w:pPr>
    </w:p>
    <w:p w14:paraId="75105674" w14:textId="77777777" w:rsidR="00A64E15" w:rsidRDefault="00A64E15" w:rsidP="00A64E15">
      <w:pPr>
        <w:spacing w:line="480" w:lineRule="auto"/>
        <w:rPr>
          <w:rStyle w:val="NotesstructureChar"/>
          <w:color w:val="auto"/>
        </w:rPr>
      </w:pPr>
    </w:p>
    <w:p w14:paraId="0ED18E5D" w14:textId="77777777" w:rsidR="00A64E15" w:rsidRDefault="00A64E15" w:rsidP="00A64E15">
      <w:pPr>
        <w:spacing w:line="480" w:lineRule="auto"/>
        <w:rPr>
          <w:rStyle w:val="NotesstructureChar"/>
          <w:color w:val="auto"/>
        </w:rPr>
      </w:pPr>
    </w:p>
    <w:p w14:paraId="184F40C2" w14:textId="77777777" w:rsidR="00A64E15" w:rsidRDefault="00A64E15" w:rsidP="00A64E15">
      <w:pPr>
        <w:spacing w:line="480" w:lineRule="auto"/>
        <w:rPr>
          <w:rStyle w:val="NotesstructureChar"/>
          <w:color w:val="auto"/>
        </w:rPr>
      </w:pPr>
    </w:p>
    <w:p w14:paraId="33740415" w14:textId="77777777" w:rsidR="00A64E15" w:rsidRDefault="00A64E15" w:rsidP="00A64E15">
      <w:pPr>
        <w:spacing w:line="480" w:lineRule="auto"/>
        <w:rPr>
          <w:rStyle w:val="NotesstructureChar"/>
          <w:color w:val="auto"/>
        </w:rPr>
      </w:pPr>
    </w:p>
    <w:p w14:paraId="04CD568D" w14:textId="77777777" w:rsidR="00A64E15" w:rsidRPr="00ED0CD7" w:rsidRDefault="00A64E15" w:rsidP="00A64E15">
      <w:pPr>
        <w:spacing w:line="480" w:lineRule="auto"/>
        <w:rPr>
          <w:rStyle w:val="NotesstructureChar"/>
          <w:color w:val="auto"/>
        </w:rPr>
      </w:pPr>
    </w:p>
    <w:p w14:paraId="547E062F" w14:textId="369815C3" w:rsidR="00A64E15" w:rsidRDefault="00A64E15" w:rsidP="00A64E15">
      <w:pPr>
        <w:spacing w:line="480" w:lineRule="auto"/>
      </w:pPr>
      <w:r w:rsidRPr="00B5035A">
        <w:t>The</w:t>
      </w:r>
      <w:r>
        <w:t xml:space="preserve"> primary source of information on the availability of NPS comes from the EU early warning system managed by the European Monitoring Centre for Drugs and Drugs Addiction (EMCDDA). The EU early warning system collates information on drug seizure and law enforcement activities provided by the 28 European member states plus Norway and Turkey (</w:t>
      </w:r>
      <w:r w:rsidR="00D96745">
        <w:t>F</w:t>
      </w:r>
      <w:r>
        <w:t>igure 2</w:t>
      </w:r>
      <w:r w:rsidR="00FE6B2A">
        <w:t>-2</w:t>
      </w:r>
      <w:r>
        <w:t xml:space="preserve">). Although the data presented is based on European trends there are several reasons why it remains relevant to the UK. European and UK drug markets are known to be closely linked, with the majority of NPS thought to be imported to the UK from producers and processors located on the European mainland (EMCDDA, 2018). In addition, the UK Government has strongly promoted engagement with the EU early warning system and data from </w:t>
      </w:r>
      <w:r w:rsidR="00394D21">
        <w:t xml:space="preserve">the </w:t>
      </w:r>
      <w:r>
        <w:t xml:space="preserve">UK is credited as being some of the most extensive and reliable provided to the EMCDDA. </w:t>
      </w:r>
    </w:p>
    <w:p w14:paraId="01C0244D" w14:textId="3149F06B" w:rsidR="00A64E15" w:rsidRPr="00D00FC5" w:rsidRDefault="00A64E15" w:rsidP="00C53338">
      <w:pPr>
        <w:pStyle w:val="FigureHeading"/>
        <w:rPr>
          <w:rStyle w:val="NotesstructureChar"/>
          <w:color w:val="auto"/>
        </w:rPr>
      </w:pPr>
      <w:bookmarkStart w:id="55" w:name="_Toc9186663"/>
      <w:bookmarkStart w:id="56" w:name="_Toc9509097"/>
      <w:r w:rsidRPr="00D00FC5">
        <w:t xml:space="preserve">Figure </w:t>
      </w:r>
      <w:r w:rsidR="00195751">
        <w:t>2-</w:t>
      </w:r>
      <w:r w:rsidRPr="00D00FC5">
        <w:t>2. Number and type of NPS newly identified by the EU early warning system</w:t>
      </w:r>
      <w:bookmarkEnd w:id="55"/>
      <w:bookmarkEnd w:id="56"/>
      <w:r w:rsidRPr="00D00FC5">
        <w:t xml:space="preserve"> </w:t>
      </w:r>
    </w:p>
    <w:p w14:paraId="433D4EAD" w14:textId="77777777" w:rsidR="00A64E15" w:rsidRPr="00422283" w:rsidRDefault="00A64E15" w:rsidP="00A64E15">
      <w:pPr>
        <w:spacing w:line="240" w:lineRule="auto"/>
        <w:rPr>
          <w:szCs w:val="24"/>
          <w:lang w:val="en-US"/>
        </w:rPr>
      </w:pPr>
      <w:r w:rsidRPr="009970A8">
        <w:rPr>
          <w:noProof/>
          <w:szCs w:val="24"/>
          <w:lang w:val="en-US" w:eastAsia="en-US"/>
        </w:rPr>
        <mc:AlternateContent>
          <mc:Choice Requires="wps">
            <w:drawing>
              <wp:anchor distT="45720" distB="45720" distL="114300" distR="114300" simplePos="0" relativeHeight="252747776" behindDoc="0" locked="0" layoutInCell="1" allowOverlap="1" wp14:anchorId="3B0503BD" wp14:editId="3D9AAF1D">
                <wp:simplePos x="0" y="0"/>
                <wp:positionH relativeFrom="page">
                  <wp:posOffset>-384795</wp:posOffset>
                </wp:positionH>
                <wp:positionV relativeFrom="paragraph">
                  <wp:posOffset>1202676</wp:posOffset>
                </wp:positionV>
                <wp:extent cx="2658745" cy="42862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58745" cy="428625"/>
                        </a:xfrm>
                        <a:prstGeom prst="rect">
                          <a:avLst/>
                        </a:prstGeom>
                        <a:noFill/>
                        <a:ln w="9525">
                          <a:noFill/>
                          <a:miter lim="800000"/>
                          <a:headEnd/>
                          <a:tailEnd/>
                        </a:ln>
                      </wps:spPr>
                      <wps:txbx>
                        <w:txbxContent>
                          <w:p w14:paraId="7EAE86C3" w14:textId="77777777" w:rsidR="00777EE0" w:rsidRPr="009970A8" w:rsidRDefault="00777EE0" w:rsidP="00A64E15">
                            <w:r>
                              <w:t>Number of newly identified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0503BD" id="_x0000_s1027" type="#_x0000_t202" style="position:absolute;margin-left:-30.3pt;margin-top:94.7pt;width:209.35pt;height:33.75pt;rotation:-90;z-index:25274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KbFQIAAAoEAAAOAAAAZHJzL2Uyb0RvYy54bWysU8GO2yAQvVfqPyDujWMryWatkNV2t6kq&#10;bbeVdvsBBOMYFRgKJHb69R1wlETbW1UfLGCGN++9GVZ3g9HkIH1QYBktJ1NKpBXQKLtj9Mfr5sOS&#10;khC5bbgGKxk9ykDv1u/frXpXywo60I30BEFsqHvHaBejq4siiE4aHibgpMVgC97wiFu/KxrPe0Q3&#10;uqim00XRg2+cByFDwNPHMUjXGb9tpYjf2jbISDSjyC3mv8//bfoX6xWvd567TokTDf4PLAxXFoue&#10;oR555GTv1V9QRgkPAdo4EWAKaFslZNaAasrpGzUvHXcya0FzgjvbFP4frHg+fPdENYxWFbbKcoNN&#10;epVDJB9hIFXyp3ehxrQXh4lxwGPsc9Ya3BOIn4FYeOi43cl776HvJG+QX5luFldXR5yQQLb9V2iw&#10;DN9HyEBD6w3xgM0pF9hU/PIxukOwGLbteG5VYibwsFrMlzezOSUCY7NquajmuSKvE1jqhPMhfpZg&#10;SFow6nEUMio/PIWYyF1SUrqFjdI6j4O2pGf0do6QbyJGRZxWrQyjy5FnvpA0f7JNXkeu9LjGAtqe&#10;TEi6RwfisB2y39mhZNAWmiO6kvWjVnxMSLcD/5uSHgeT0fBrz72kRH+x6OxtOZulSc6b2fymwo2/&#10;jmyvI9wKhGI0UjIuH2Ke/iQsuHvswEZlNy5MTpRx4LJJp8eRJvp6n7MuT3j9BwAA//8DAFBLAwQU&#10;AAYACAAAACEAG5T2U90AAAAKAQAADwAAAGRycy9kb3ducmV2LnhtbEyPwW7CMBBE75X6D9Yi9VIV&#10;B0IQSuOgCqkXLlVpenfiJYmI11FsQuDru5zKbUY7mp2XbSfbiREH3zpSsJhHIJAqZ1qqFRQ/n28b&#10;ED5oMrpzhAqu6GGbPz9lOjXuQt84HkItuIR8qhU0IfSplL5q0Go/dz0S345usDqwHWppBn3hctvJ&#10;ZRStpdUt8YdG97hrsDodzlbB63FXXH/37uu2tlgk5WjauAhKvcymj3cQAafwH4b7fJ4OOW8q3ZmM&#10;Fx37RcIsgUXMCPfAZpmAKBWsYhYyz+QjQv4HAAD//wMAUEsBAi0AFAAGAAgAAAAhALaDOJL+AAAA&#10;4QEAABMAAAAAAAAAAAAAAAAAAAAAAFtDb250ZW50X1R5cGVzXS54bWxQSwECLQAUAAYACAAAACEA&#10;OP0h/9YAAACUAQAACwAAAAAAAAAAAAAAAAAvAQAAX3JlbHMvLnJlbHNQSwECLQAUAAYACAAAACEA&#10;VdtimxUCAAAKBAAADgAAAAAAAAAAAAAAAAAuAgAAZHJzL2Uyb0RvYy54bWxQSwECLQAUAAYACAAA&#10;ACEAG5T2U90AAAAKAQAADwAAAAAAAAAAAAAAAABvBAAAZHJzL2Rvd25yZXYueG1sUEsFBgAAAAAE&#10;AAQA8wAAAHkFAAAAAA==&#10;" filled="f" stroked="f">
                <v:textbox style="mso-fit-shape-to-text:t">
                  <w:txbxContent>
                    <w:p w14:paraId="7EAE86C3" w14:textId="77777777" w:rsidR="00777EE0" w:rsidRPr="009970A8" w:rsidRDefault="00777EE0" w:rsidP="00A64E15">
                      <w:r>
                        <w:t>Number of newly identified NPS</w:t>
                      </w:r>
                    </w:p>
                  </w:txbxContent>
                </v:textbox>
                <w10:wrap anchorx="page"/>
              </v:shape>
            </w:pict>
          </mc:Fallback>
        </mc:AlternateContent>
      </w:r>
      <w:r>
        <w:rPr>
          <w:noProof/>
          <w:lang w:val="en-US" w:eastAsia="en-US"/>
        </w:rPr>
        <mc:AlternateContent>
          <mc:Choice Requires="wps">
            <w:drawing>
              <wp:anchor distT="45720" distB="45720" distL="114300" distR="114300" simplePos="0" relativeHeight="253319168" behindDoc="0" locked="0" layoutInCell="1" allowOverlap="1" wp14:anchorId="5E500553" wp14:editId="3EE92149">
                <wp:simplePos x="0" y="0"/>
                <wp:positionH relativeFrom="column">
                  <wp:posOffset>2889487</wp:posOffset>
                </wp:positionH>
                <wp:positionV relativeFrom="paragraph">
                  <wp:posOffset>615353</wp:posOffset>
                </wp:positionV>
                <wp:extent cx="403225" cy="2730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0874EA91" w14:textId="77777777" w:rsidR="00777EE0" w:rsidRDefault="00777EE0" w:rsidP="00A64E15">
                            <w: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00553" id="_x0000_s1028" type="#_x0000_t202" style="position:absolute;margin-left:227.5pt;margin-top:48.45pt;width:31.75pt;height:21.5pt;z-index:2533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3JCwIAAPoDAAAOAAAAZHJzL2Uyb0RvYy54bWysU9tuGyEQfa/Uf0C817ve2E288jpKk6aq&#10;lF6kpB8wZlkvKjAUcHbTr8/AOq6VvlXlAQEzHOacM6wvR6PZo/RBoW34fFZyJq3AVtldw3883L67&#10;4CxEsC1otLLhTzLwy83bN+vB1bLCHnUrPSMQG+rBNbyP0dVFEUQvDYQZOmkp2KE3EGnrd0XrYSB0&#10;o4uqLN8XA/rWeRQyBDq9mYJ8k/G7Tor4reuCjEw3nGqLefZ53qa52Kyh3nlwvRKHMuAfqjCgLD16&#10;hLqBCGzv1V9QRgmPAbs4E2gK7DolZOZAbOblKzb3PTiZuZA4wR1lCv8PVnx9/O6Zasm7FVllwZBJ&#10;D3KM7AOOrEr6DC7UlHbvKDGOdEy5mWtwdyh+Bmbxuge7k1fe49BLaKm+ebpZnFydcEIC2Q5fsKVn&#10;YB8xA42dN0k8koMROvn0dPQmlSLocFGeVdWSM0Gh6vysXGbvCqhfLjsf4ieJhqVFwz1Zn8Hh8S7E&#10;VAzULynpLYu3Sutsv7ZsaPhqSfCvIkZF6k6tTMMvyjSmfkkcP9o2X46g9LSmB7Q9kE48J8Zx3I5Z&#10;36OWW2yfSAWPUzPS56FFj/43ZwM1YsPDrz14yZn+bEnJ1XyxSJ2bN4vleUUbfxrZnkbACoJqeORs&#10;Wl7H3O0TsStSvFNZjWTNVMmhZGqwLNLhM6QOPt3nrD9fdvMMAAD//wMAUEsDBBQABgAIAAAAIQBv&#10;3i7K3gAAAAoBAAAPAAAAZHJzL2Rvd25yZXYueG1sTI/LTsMwEEX3SPyDNUjsqF2oqzrEqRCILYjy&#10;kNi58TSJiMdR7Dbh7xlWsBzN0b3nlts59OKEY+oiWVguFAikOvqOGgtvr49XGxApO/Kuj4QWvjHB&#10;tjo/K13h40QveNrlRnAIpcJZaHMeCilT3WJwaREHJP4d4hhc5nNspB/dxOGhl9dKrWVwHXFD6wa8&#10;b7H+2h2Dhfenw+fHSj03D0EPU5yVpGCktZcX890tiIxz/oPhV5/VoWKnfTyST6K3sNKat2QLZm1A&#10;MKCXGw1iz+SNMSCrUv6fUP0AAAD//wMAUEsBAi0AFAAGAAgAAAAhALaDOJL+AAAA4QEAABMAAAAA&#10;AAAAAAAAAAAAAAAAAFtDb250ZW50X1R5cGVzXS54bWxQSwECLQAUAAYACAAAACEAOP0h/9YAAACU&#10;AQAACwAAAAAAAAAAAAAAAAAvAQAAX3JlbHMvLnJlbHNQSwECLQAUAAYACAAAACEAQyGNyQsCAAD6&#10;AwAADgAAAAAAAAAAAAAAAAAuAgAAZHJzL2Uyb0RvYy54bWxQSwECLQAUAAYACAAAACEAb94uyt4A&#10;AAAKAQAADwAAAAAAAAAAAAAAAABlBAAAZHJzL2Rvd25yZXYueG1sUEsFBgAAAAAEAAQA8wAAAHAF&#10;AAAAAA==&#10;" filled="f" stroked="f">
                <v:textbox>
                  <w:txbxContent>
                    <w:p w14:paraId="0874EA91" w14:textId="77777777" w:rsidR="00777EE0" w:rsidRDefault="00777EE0" w:rsidP="00A64E15">
                      <w:r>
                        <w:t>81</w:t>
                      </w:r>
                    </w:p>
                  </w:txbxContent>
                </v:textbox>
              </v:shape>
            </w:pict>
          </mc:Fallback>
        </mc:AlternateContent>
      </w:r>
      <w:r>
        <w:rPr>
          <w:noProof/>
          <w:lang w:val="en-US" w:eastAsia="en-US"/>
        </w:rPr>
        <mc:AlternateContent>
          <mc:Choice Requires="wps">
            <w:drawing>
              <wp:anchor distT="45720" distB="45720" distL="114300" distR="114300" simplePos="0" relativeHeight="253262848" behindDoc="0" locked="0" layoutInCell="1" allowOverlap="1" wp14:anchorId="10AEC916" wp14:editId="1C65031F">
                <wp:simplePos x="0" y="0"/>
                <wp:positionH relativeFrom="column">
                  <wp:posOffset>2564348</wp:posOffset>
                </wp:positionH>
                <wp:positionV relativeFrom="paragraph">
                  <wp:posOffset>774757</wp:posOffset>
                </wp:positionV>
                <wp:extent cx="403225" cy="27305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08577CBE" w14:textId="77777777" w:rsidR="00777EE0" w:rsidRDefault="00777EE0" w:rsidP="00A64E15">
                            <w:r>
                              <w:t>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C916" id="_x0000_s1029" type="#_x0000_t202" style="position:absolute;margin-left:201.9pt;margin-top:61pt;width:31.75pt;height:21.5pt;z-index:2532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85DQIAAPoDAAAOAAAAZHJzL2Uyb0RvYy54bWysU21v2yAQ/j5p/wHxfbHjJEtjxam6dp0m&#10;dS9Sux+AMY7RgGNAYme/vgdO0qj9No0P6ODuHu557lhfD1qRvXBegqnodJJTIgyHRpptRX893X+4&#10;osQHZhqmwIiKHoSn15v379a9LUUBHahGOIIgxpe9rWgXgi2zzPNOaOYnYIVBZwtOs4BHt80ax3pE&#10;1yor8vxj1oNrrAMuvMfbu9FJNwm/bQUPP9rWi0BURbG2kHaX9jru2WbNyq1jtpP8WAb7hyo0kwYf&#10;PUPdscDIzsk3UFpyBx7aMOGgM2hbyUXigGym+Ss2jx2zInFBcbw9y+T/Hyz/vv/piGywd6slJYZp&#10;bNKTGAL5BAMpoj699SWGPVoMDANeY2zi6u0D8N+eGLjtmNmKG+eg7wRrsL5pzMwuUkccH0Hq/hs0&#10;+AzbBUhAQ+t0FA/lIIiOfTqcexNL4Xg5z2dFsaCEo6tYzvJF6l3GylOydT58EaBJNCrqsPUJnO0f&#10;fIjFsPIUEt8ycC+VSu1XhvQVXS0Q/pVHy4DTqaSu6FUe1zgvkeNn06TkwKQabXxAmSPpyHNkHIZ6&#10;SPrOTlrW0BxQBQfjMOLnQaMD95eSHgexov7PjjlBifpqUMnVdD6Pk5sO88WywIO79NSXHmY4QlU0&#10;UDKatyFN+0jsBhVvZVIjtmas5FgyDlgS6fgZ4gRfnlPUy5fdPAMAAP//AwBQSwMEFAAGAAgAAAAh&#10;AB9KSyTeAAAACwEAAA8AAABkcnMvZG93bnJldi54bWxMj8FOwzAQRO9I/QdrK3GjNmmaQohTVSCu&#10;IApF4ubG2yRqvI5itwl/z3KC486MZt8Um8l14oJDaD1puF0oEEiVty3VGj7en2/uQIRoyJrOE2r4&#10;xgCbcnZVmNz6kd7wsou14BIKudHQxNjnUoaqQWfCwvdI7B394Ezkc6ilHczI5a6TiVKZdKYl/tCY&#10;Hh8brE67s9Owfzl+fabqtX5yq370k5Lk7qXW1/Np+wAi4hT/wvCLz+hQMtPBn8kG0WlI1ZLRIxtJ&#10;wqM4kWbrJYgDK9lKgSwL+X9D+QMAAP//AwBQSwECLQAUAAYACAAAACEAtoM4kv4AAADhAQAAEwAA&#10;AAAAAAAAAAAAAAAAAAAAW0NvbnRlbnRfVHlwZXNdLnhtbFBLAQItABQABgAIAAAAIQA4/SH/1gAA&#10;AJQBAAALAAAAAAAAAAAAAAAAAC8BAABfcmVscy8ucmVsc1BLAQItABQABgAIAAAAIQDOXB85DQIA&#10;APoDAAAOAAAAAAAAAAAAAAAAAC4CAABkcnMvZTJvRG9jLnhtbFBLAQItABQABgAIAAAAIQAfSksk&#10;3gAAAAsBAAAPAAAAAAAAAAAAAAAAAGcEAABkcnMvZG93bnJldi54bWxQSwUGAAAAAAQABADzAAAA&#10;cgUAAAAA&#10;" filled="f" stroked="f">
                <v:textbox>
                  <w:txbxContent>
                    <w:p w14:paraId="08577CBE" w14:textId="77777777" w:rsidR="00777EE0" w:rsidRDefault="00777EE0" w:rsidP="00A64E15">
                      <w:r>
                        <w:t>74</w:t>
                      </w:r>
                    </w:p>
                  </w:txbxContent>
                </v:textbox>
              </v:shape>
            </w:pict>
          </mc:Fallback>
        </mc:AlternateContent>
      </w:r>
      <w:r>
        <w:rPr>
          <w:noProof/>
          <w:lang w:val="en-US" w:eastAsia="en-US"/>
        </w:rPr>
        <mc:AlternateContent>
          <mc:Choice Requires="wps">
            <w:drawing>
              <wp:anchor distT="45720" distB="45720" distL="114300" distR="114300" simplePos="0" relativeHeight="253142016" behindDoc="0" locked="0" layoutInCell="1" allowOverlap="1" wp14:anchorId="6A358397" wp14:editId="22063510">
                <wp:simplePos x="0" y="0"/>
                <wp:positionH relativeFrom="column">
                  <wp:posOffset>2256022</wp:posOffset>
                </wp:positionH>
                <wp:positionV relativeFrom="paragraph">
                  <wp:posOffset>1443118</wp:posOffset>
                </wp:positionV>
                <wp:extent cx="403225" cy="273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1F59441E" w14:textId="77777777" w:rsidR="00777EE0" w:rsidRDefault="00777EE0" w:rsidP="00A64E15">
                            <w: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8397" id="_x0000_s1030" type="#_x0000_t202" style="position:absolute;margin-left:177.65pt;margin-top:113.65pt;width:31.75pt;height:21.5pt;z-index:2531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76DQIAAPoDAAAOAAAAZHJzL2Uyb0RvYy54bWysU9tu2zAMfR+wfxD0vthxk7Yx4hRduw4D&#10;ugvQ7gMYWY6FSaImqbW7rx8lJ1nQvQ3Tg0CJ5BHPIbW+Go1mz9IHhbbh81nJmbQCW2V3Df/+ePfu&#10;krMQwbag0cqGv8jArzZv36wHV8sKe9St9IxAbKgH1/A+RlcXRRC9NBBm6KQlZ4feQKSj3xWth4HQ&#10;jS6qsjwvBvSt8yhkCHR7Ozn5JuN3nRTxa9cFGZluONUW8+7zvk17sVlDvfPgeiX2ZcA/VGFAWXr0&#10;CHULEdiTV39BGSU8BuziTKApsOuUkJkDsZmXr9g89OBk5kLiBHeUKfw/WPHl+ZtnqqXerc45s2Co&#10;SY9yjOw9jqxK+gwu1BT24CgwjnRNsZlrcPcofgRm8aYHu5PX3uPQS2ipvnnKLE5SJ5yQQLbDZ2zp&#10;GXiKmIHGzpskHsnBCJ369HLsTSpF0OWiPKuqJWeCXNXFWbnMvSugPiQ7H+JHiYYlo+GeWp/B4fk+&#10;xFQM1IeQ9JbFO6V1br+2bGj4aknwrzxGRZpOrUzDL8u0pnlJHD/YNidHUHqy6QFt96QTz4lxHLdj&#10;1ndx0HKL7Qup4HEaRvo8ZPTof3E20CA2PPx8Ai85058sKbmaLxZpcvNhsbyo6OBPPdtTD1hBUA2P&#10;nE3mTczTPhG7JsU7ldVIrZkq2ZdMA5ZF2n+GNMGn5xz158tufgMAAP//AwBQSwMEFAAGAAgAAAAh&#10;ADnotv/fAAAACwEAAA8AAABkcnMvZG93bnJldi54bWxMj81OwzAQhO9IvIO1SNyo3aTpTxqnQiCu&#10;IFpA4ubG2yQiXkex24S3ZznBbXdnNPtNsZtcJy44hNaThvlMgUCqvG2p1vB2eLpbgwjRkDWdJ9Tw&#10;jQF25fVVYXLrR3rFyz7WgkMo5EZDE2OfSxmqBp0JM98jsXbygzOR16GWdjAjh7tOJkotpTMt8YfG&#10;9PjQYPW1PzsN78+nz4+FeqkfXdaPflKS3EZqfXsz3W9BRJzinxl+8RkdSmY6+jPZIDoNaZalbNWQ&#10;JCse2LGYr7nMkS8rlYIsC/m/Q/kDAAD//wMAUEsBAi0AFAAGAAgAAAAhALaDOJL+AAAA4QEAABMA&#10;AAAAAAAAAAAAAAAAAAAAAFtDb250ZW50X1R5cGVzXS54bWxQSwECLQAUAAYACAAAACEAOP0h/9YA&#10;AACUAQAACwAAAAAAAAAAAAAAAAAvAQAAX3JlbHMvLnJlbHNQSwECLQAUAAYACAAAACEA1+6O+g0C&#10;AAD6AwAADgAAAAAAAAAAAAAAAAAuAgAAZHJzL2Uyb0RvYy54bWxQSwECLQAUAAYACAAAACEAOei2&#10;/98AAAALAQAADwAAAAAAAAAAAAAAAABnBAAAZHJzL2Rvd25yZXYueG1sUEsFBgAAAAAEAAQA8wAA&#10;AHMFAAAAAA==&#10;" filled="f" stroked="f">
                <v:textbox>
                  <w:txbxContent>
                    <w:p w14:paraId="1F59441E" w14:textId="77777777" w:rsidR="00777EE0" w:rsidRDefault="00777EE0" w:rsidP="00A64E15">
                      <w:r>
                        <w:t>48</w:t>
                      </w:r>
                    </w:p>
                  </w:txbxContent>
                </v:textbox>
              </v:shape>
            </w:pict>
          </mc:Fallback>
        </mc:AlternateContent>
      </w:r>
      <w:r>
        <w:rPr>
          <w:noProof/>
          <w:lang w:val="en-US" w:eastAsia="en-US"/>
        </w:rPr>
        <mc:AlternateContent>
          <mc:Choice Requires="wps">
            <w:drawing>
              <wp:anchor distT="45720" distB="45720" distL="114300" distR="114300" simplePos="0" relativeHeight="253085696" behindDoc="0" locked="0" layoutInCell="1" allowOverlap="1" wp14:anchorId="632E6E4B" wp14:editId="074A1807">
                <wp:simplePos x="0" y="0"/>
                <wp:positionH relativeFrom="column">
                  <wp:posOffset>1971191</wp:posOffset>
                </wp:positionH>
                <wp:positionV relativeFrom="paragraph">
                  <wp:posOffset>1611071</wp:posOffset>
                </wp:positionV>
                <wp:extent cx="403225" cy="2730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3E96E420" w14:textId="77777777" w:rsidR="00777EE0" w:rsidRDefault="00777EE0" w:rsidP="00A64E15">
                            <w: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E6E4B" id="_x0000_s1031" type="#_x0000_t202" style="position:absolute;margin-left:155.2pt;margin-top:126.85pt;width:31.75pt;height:21.5pt;z-index:25308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y7DAIAAPoDAAAOAAAAZHJzL2Uyb0RvYy54bWysU9tuGyEQfa/Uf0C817ve2E288jpKk6aq&#10;lF6kpB8wZlkvKjAUSHbTr8/A2q6VvlXlAQEzHM45M6wvR6PZk/RBoW34fFZyJq3AVtldw3883L67&#10;4CxEsC1otLLhzzLwy83bN+vB1bLCHnUrPSMQG+rBNbyP0dVFEUQvDYQZOmkp2KE3EGnrd0XrYSB0&#10;o4uqLN8XA/rWeRQyBDq9mYJ8k/G7Tor4reuCjEw3nLjFPPs8b9NcbNZQ7zy4Xok9DfgHFgaUpUeP&#10;UDcQgT169ReUUcJjwC7OBJoCu04JmTWQmnn5Ss19D05mLWROcEebwv+DFV+fvnumWqrdasmZBUNF&#10;epBjZB9wZFXyZ3ChprR7R4lxpGPKzVqDu0PxMzCL1z3YnbzyHodeQkv85ulmcXJ1wgkJZDt8wZae&#10;gceIGWjsvEnmkR2M0KlOz8faJCqCDhflWVURQ0Gh6vysXObaFVAfLjsf4ieJhqVFwz2VPoPD012I&#10;iQzUh5T0lsVbpXUuv7ZsaPhqSfCvIkZF6k6tTMMvyjSmfkkaP9o2X46g9LSmB7Tdi046J8Vx3I7Z&#10;3+XByy22z+SCx6kZ6fPQokf/m7OBGrHh4dcjeMmZ/mzJydV8sUidmzeL5XlFG38a2Z5GwAqCanjk&#10;bFpex9ztk7ArcrxT2Y1UmonJnjI1WDZp/xlSB5/uc9afL7t5AQAA//8DAFBLAwQUAAYACAAAACEA&#10;+D+tqN8AAAALAQAADwAAAGRycy9kb3ducmV2LnhtbEyPwU7DMAyG70i8Q2QkbizZuq1raTohEFfQ&#10;BkziljVeW9E4VZOt5e0xJzja/vT7+4vt5DpxwSG0njTMZwoEUuVtS7WG97fnuw2IEA1Z03lCDd8Y&#10;YFteXxUmt36kHV72sRYcQiE3GpoY+1zKUDXoTJj5HolvJz84E3kcamkHM3K46+RCqbV0piX+0Jge&#10;HxusvvZnp+Hj5fR5WKrX+smt+tFPSpLLpNa3N9PDPYiIU/yD4Vef1aFkp6M/kw2i05DM1ZJRDYtV&#10;koJgIkmTDMSRN9k6BVkW8n+H8gcAAP//AwBQSwECLQAUAAYACAAAACEAtoM4kv4AAADhAQAAEwAA&#10;AAAAAAAAAAAAAAAAAAAAW0NvbnRlbnRfVHlwZXNdLnhtbFBLAQItABQABgAIAAAAIQA4/SH/1gAA&#10;AJQBAAALAAAAAAAAAAAAAAAAAC8BAABfcmVscy8ucmVsc1BLAQItABQABgAIAAAAIQApmfy7DAIA&#10;APoDAAAOAAAAAAAAAAAAAAAAAC4CAABkcnMvZTJvRG9jLnhtbFBLAQItABQABgAIAAAAIQD4P62o&#10;3wAAAAsBAAAPAAAAAAAAAAAAAAAAAGYEAABkcnMvZG93bnJldi54bWxQSwUGAAAAAAQABADzAAAA&#10;cgUAAAAA&#10;" filled="f" stroked="f">
                <v:textbox>
                  <w:txbxContent>
                    <w:p w14:paraId="3E96E420" w14:textId="77777777" w:rsidR="00777EE0" w:rsidRDefault="00777EE0" w:rsidP="00A64E15">
                      <w:r>
                        <w:t>41</w:t>
                      </w:r>
                    </w:p>
                  </w:txbxContent>
                </v:textbox>
              </v:shape>
            </w:pict>
          </mc:Fallback>
        </mc:AlternateContent>
      </w:r>
      <w:r>
        <w:rPr>
          <w:noProof/>
          <w:lang w:val="en-US" w:eastAsia="en-US"/>
        </w:rPr>
        <mc:AlternateContent>
          <mc:Choice Requires="wps">
            <w:drawing>
              <wp:anchor distT="45720" distB="45720" distL="114300" distR="114300" simplePos="0" relativeHeight="253029376" behindDoc="0" locked="0" layoutInCell="1" allowOverlap="1" wp14:anchorId="408883C8" wp14:editId="5034752F">
                <wp:simplePos x="0" y="0"/>
                <wp:positionH relativeFrom="column">
                  <wp:posOffset>1645418</wp:posOffset>
                </wp:positionH>
                <wp:positionV relativeFrom="paragraph">
                  <wp:posOffset>2030834</wp:posOffset>
                </wp:positionV>
                <wp:extent cx="403225" cy="2730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3DBA866D" w14:textId="77777777" w:rsidR="00777EE0" w:rsidRDefault="00777EE0" w:rsidP="00A64E15">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883C8" id="_x0000_s1032" type="#_x0000_t202" style="position:absolute;margin-left:129.55pt;margin-top:159.9pt;width:31.75pt;height:21.5pt;z-index:25302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XDQIAAPoDAAAOAAAAZHJzL2Uyb0RvYy54bWysU9tu2zAMfR+wfxD0vthxk7Yx4hRduw4D&#10;ugvQ7gMYWY6FSaImqbW7rx8lJ1nQvQ3Tg0CJ5BHPIbW+Go1mz9IHhbbh81nJmbQCW2V3Df/+ePfu&#10;krMQwbag0cqGv8jArzZv36wHV8sKe9St9IxAbKgH1/A+RlcXRRC9NBBm6KQlZ4feQKSj3xWth4HQ&#10;jS6qsjwvBvSt8yhkCHR7Ozn5JuN3nRTxa9cFGZluONUW8+7zvk17sVlDvfPgeiX2ZcA/VGFAWXr0&#10;CHULEdiTV39BGSU8BuziTKApsOuUkJkDsZmXr9g89OBk5kLiBHeUKfw/WPHl+ZtnqqXerRacWTDU&#10;pEc5RvYeR1YlfQYXagp7cBQYR7qm2Mw1uHsUPwKzeNOD3clr73HoJbRU3zxlFiepE05IINvhM7b0&#10;DDxFzEBj500Sj+RghE59ejn2JpUi6HJRnlXVkjNBrurirFzm3hVQH5KdD/GjRMOS0XBPrc/g8Hwf&#10;YioG6kNIesvindI6t19bNjR8tST4Vx6jIk2nVqbhl2Va07wkjh9sm5MjKD3Z9IC2e9KJ58Q4jtsx&#10;63t+0HKL7Qup4HEaRvo8ZPTof3E20CA2PPx8Ai85058sKbmaLxZpcvNhsbyo6OBPPdtTD1hBUA2P&#10;nE3mTczTPhG7JsU7ldVIrZkq2ZdMA5ZF2n+GNMGn5xz158tufgMAAP//AwBQSwMEFAAGAAgAAAAh&#10;ABROdj7gAAAACwEAAA8AAABkcnMvZG93bnJldi54bWxMj01PwzAMhu9I/IfISNxY0o5Va9d0QiCu&#10;IMaHtFvWeG1F41RNtpZ/jzmxmy0/ev285XZ2vTjjGDpPGpKFAoFUe9tRo+Hj/fluDSJEQ9b0nlDD&#10;DwbYVtdXpSmsn+gNz7vYCA6hUBgNbYxDIWWoW3QmLPyAxLejH52JvI6NtKOZONz1MlUqk850xB9a&#10;M+Bji/X37uQ0fL4c91/36rV5cqth8rOS5HKp9e3N/LABEXGO/zD86bM6VOx08CeyQfQa0lWeMKph&#10;meTcgYllmmYgDjxk6RpkVcrLDtUvAAAA//8DAFBLAQItABQABgAIAAAAIQC2gziS/gAAAOEBAAAT&#10;AAAAAAAAAAAAAAAAAAAAAABbQ29udGVudF9UeXBlc10ueG1sUEsBAi0AFAAGAAgAAAAhADj9If/W&#10;AAAAlAEAAAsAAAAAAAAAAAAAAAAALwEAAF9yZWxzLy5yZWxzUEsBAi0AFAAGAAgAAAAhAPr4NRcN&#10;AgAA+gMAAA4AAAAAAAAAAAAAAAAALgIAAGRycy9lMm9Eb2MueG1sUEsBAi0AFAAGAAgAAAAhABRO&#10;dj7gAAAACwEAAA8AAAAAAAAAAAAAAAAAZwQAAGRycy9kb3ducmV2LnhtbFBLBQYAAAAABAAEAPMA&#10;AAB0BQAAAAA=&#10;" filled="f" stroked="f">
                <v:textbox>
                  <w:txbxContent>
                    <w:p w14:paraId="3DBA866D" w14:textId="77777777" w:rsidR="00777EE0" w:rsidRDefault="00777EE0" w:rsidP="00A64E15">
                      <w:r>
                        <w:t>24</w:t>
                      </w:r>
                    </w:p>
                  </w:txbxContent>
                </v:textbox>
              </v:shape>
            </w:pict>
          </mc:Fallback>
        </mc:AlternateContent>
      </w:r>
      <w:r>
        <w:rPr>
          <w:noProof/>
          <w:lang w:val="en-US" w:eastAsia="en-US"/>
        </w:rPr>
        <mc:AlternateContent>
          <mc:Choice Requires="wps">
            <w:drawing>
              <wp:anchor distT="45720" distB="45720" distL="114300" distR="114300" simplePos="0" relativeHeight="252973056" behindDoc="0" locked="0" layoutInCell="1" allowOverlap="1" wp14:anchorId="07806AA3" wp14:editId="6487AB88">
                <wp:simplePos x="0" y="0"/>
                <wp:positionH relativeFrom="column">
                  <wp:posOffset>1348522</wp:posOffset>
                </wp:positionH>
                <wp:positionV relativeFrom="paragraph">
                  <wp:posOffset>2293724</wp:posOffset>
                </wp:positionV>
                <wp:extent cx="403225" cy="2730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37C3E588" w14:textId="77777777" w:rsidR="00777EE0" w:rsidRDefault="00777EE0" w:rsidP="00A64E15">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06AA3" id="_x0000_s1033" type="#_x0000_t202" style="position:absolute;margin-left:106.2pt;margin-top:180.6pt;width:31.75pt;height:21.5pt;z-index:25297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g5DQIAAPoDAAAOAAAAZHJzL2Uyb0RvYy54bWysU21v2yAQ/j5p/wHxfbHjJEtjxam6dp0m&#10;dS9Sux+AMY7RgGNAYme/vgdO0qj9No0P6ODuHu557lhfD1qRvXBegqnodJJTIgyHRpptRX893X+4&#10;osQHZhqmwIiKHoSn15v379a9LUUBHahGOIIgxpe9rWgXgi2zzPNOaOYnYIVBZwtOs4BHt80ax3pE&#10;1yor8vxj1oNrrAMuvMfbu9FJNwm/bQUPP9rWi0BURbG2kHaX9jru2WbNyq1jtpP8WAb7hyo0kwYf&#10;PUPdscDIzsk3UFpyBx7aMOGgM2hbyUXigGym+Ss2jx2zInFBcbw9y+T/Hyz/vv/piGywd6sZJYZp&#10;bNKTGAL5BAMpoj699SWGPVoMDANeY2zi6u0D8N+eGLjtmNmKG+eg7wRrsL5pzMwuUkccH0Hq/hs0&#10;+AzbBUhAQ+t0FA/lIIiOfTqcexNL4Xg5z2dFsaCEo6tYzvJF6l3GylOydT58EaBJNCrqsPUJnO0f&#10;fIjFsPIUEt8ycC+VSu1XhvQVXS0Q/pVHy4DTqaSu6FUe1zgvkeNn06TkwKQabXxAmSPpyHNkHIZ6&#10;SPouT1rW0BxQBQfjMOLnQaMD95eSHgexov7PjjlBifpqUMnVdD6Pk5sO88WywIO79NSXHmY4QlU0&#10;UDKatyFN+0jsBhVvZVIjtmas5FgyDlgS6fgZ4gRfnlPUy5fdPAMAAP//AwBQSwMEFAAGAAgAAAAh&#10;AK4nAATfAAAACwEAAA8AAABkcnMvZG93bnJldi54bWxMj8tOwzAQRfdI/IM1SOyoHZMWGjKpEIgt&#10;qOUhsXPjaRIRj6PYbcLfY1awHN2je8+Um9n14kRj6DwjZAsFgrj2tuMG4e316eoWRIiGrek9E8I3&#10;BdhU52elKayfeEunXWxEKuFQGIQ2xqGQMtQtORMWfiBO2cGPzsR0jo20o5lSueulVmolnek4LbRm&#10;oIeW6q/d0SG8Px8+P3L10jy65TD5WUl2a4l4eTHf34GINMc/GH71kzpUyWnvj2yD6BF0pvOEIlyv&#10;Mg0iEfpmuQaxR8hVrkFWpfz/Q/UDAAD//wMAUEsBAi0AFAAGAAgAAAAhALaDOJL+AAAA4QEAABMA&#10;AAAAAAAAAAAAAAAAAAAAAFtDb250ZW50X1R5cGVzXS54bWxQSwECLQAUAAYACAAAACEAOP0h/9YA&#10;AACUAQAACwAAAAAAAAAAAAAAAAAvAQAAX3JlbHMvLnJlbHNQSwECLQAUAAYACAAAACEA1XYYOQ0C&#10;AAD6AwAADgAAAAAAAAAAAAAAAAAuAgAAZHJzL2Uyb0RvYy54bWxQSwECLQAUAAYACAAAACEAricA&#10;BN8AAAALAQAADwAAAAAAAAAAAAAAAABnBAAAZHJzL2Rvd25yZXYueG1sUEsFBgAAAAAEAAQA8wAA&#10;AHMFAAAAAA==&#10;" filled="f" stroked="f">
                <v:textbox>
                  <w:txbxContent>
                    <w:p w14:paraId="37C3E588" w14:textId="77777777" w:rsidR="00777EE0" w:rsidRDefault="00777EE0" w:rsidP="00A64E15">
                      <w:r>
                        <w:t>13</w:t>
                      </w:r>
                    </w:p>
                  </w:txbxContent>
                </v:textbox>
              </v:shape>
            </w:pict>
          </mc:Fallback>
        </mc:AlternateContent>
      </w:r>
      <w:r>
        <w:rPr>
          <w:noProof/>
          <w:lang w:val="en-US" w:eastAsia="en-US"/>
        </w:rPr>
        <mc:AlternateContent>
          <mc:Choice Requires="wps">
            <w:drawing>
              <wp:anchor distT="45720" distB="45720" distL="114300" distR="114300" simplePos="0" relativeHeight="252916736" behindDoc="0" locked="0" layoutInCell="1" allowOverlap="1" wp14:anchorId="43CC62B6" wp14:editId="12F3C5F3">
                <wp:simplePos x="0" y="0"/>
                <wp:positionH relativeFrom="column">
                  <wp:posOffset>1049730</wp:posOffset>
                </wp:positionH>
                <wp:positionV relativeFrom="paragraph">
                  <wp:posOffset>2234679</wp:posOffset>
                </wp:positionV>
                <wp:extent cx="403225" cy="2730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71495564" w14:textId="77777777" w:rsidR="00777EE0" w:rsidRDefault="00777EE0" w:rsidP="00A64E15">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C62B6" id="_x0000_s1034" type="#_x0000_t202" style="position:absolute;margin-left:82.65pt;margin-top:175.95pt;width:31.75pt;height:21.5pt;z-index:25291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gkDQIAAPoDAAAOAAAAZHJzL2Uyb0RvYy54bWysU9tuGyEQfa/Uf0C817ve2I298jpKk6aq&#10;lF6kpB+AWfCiAkMBe9f9+gys7VrpW1Ue0MDMHOacGVY3g9FkL3xQYBs6nZSUCMuhVXbb0B/PD+8W&#10;lITIbMs0WNHQgwj0Zv32zap3taigA90KTxDEhrp3De1idHVRBN4Jw8IEnLDolOANi3j026L1rEd0&#10;o4uqLN8XPfjWeeAiBLy9H510nfGlFDx+kzKISHRDsbaYd5/3TdqL9YrVW89cp/ixDPYPVRimLD56&#10;hrpnkZGdV39BGcU9BJBxwsEUIKXiInNANtPyFZunjjmRuaA4wZ1lCv8Pln/df/dEtdi7ZUWJZQab&#10;9CyGSD7AQKqkT+9CjWFPDgPjgNcYm7kG9wj8ZyAW7jpmt+LWe+g7wVqsb5oyi4vUESckkE3/BVp8&#10;hu0iZKBBepPEQzkIomOfDufepFI4Xs7Kq6qaU8LRVV1flfPcu4LVp2TnQ/wkwJBkNNRj6zM42z+G&#10;mIph9SkkvWXhQWmd268t6Ru6nCP8K49REadTK9PQRZnWOC+J40fb5uTIlB5tfEDbI+nEc2Qch82Q&#10;9V2ctNxAe0AVPIzDiJ8HjQ78b0p6HMSGhl875gUl+rNFJZfT2SxNbj7M5tcVHvylZ3PpYZYjVEMj&#10;JaN5F/O0j8RuUXGpshqpNWMlx5JxwLJIx8+QJvjynKP+fNn1CwAAAP//AwBQSwMEFAAGAAgAAAAh&#10;AA9pJunfAAAACwEAAA8AAABkcnMvZG93bnJldi54bWxMj81OwzAQhO9IfQdrK3GjdtOmakKcqiri&#10;CqL8SNzceJtExOsodpvw9iwnOM7sp9mZYje5TlxxCK0nDcuFAoFUedtSreHt9fFuCyJEQ9Z0nlDD&#10;NwbYlbObwuTWj/SC12OsBYdQyI2GJsY+lzJUDToTFr5H4tvZD85ElkMt7WBGDnedTJTaSGda4g+N&#10;6fHQYPV1vDgN70/nz4+1eq4fXNqPflKSXCa1vp1P+3sQEaf4B8Nvfa4OJXc6+QvZIDrWm3TFqIZV&#10;usxAMJEkWx5zYidbZyDLQv7fUP4AAAD//wMAUEsBAi0AFAAGAAgAAAAhALaDOJL+AAAA4QEAABMA&#10;AAAAAAAAAAAAAAAAAAAAAFtDb250ZW50X1R5cGVzXS54bWxQSwECLQAUAAYACAAAACEAOP0h/9YA&#10;AACUAQAACwAAAAAAAAAAAAAAAAAvAQAAX3JlbHMvLnJlbHNQSwECLQAUAAYACAAAACEAWGM4JA0C&#10;AAD6AwAADgAAAAAAAAAAAAAAAAAuAgAAZHJzL2Uyb0RvYy54bWxQSwECLQAUAAYACAAAACEAD2km&#10;6d8AAAALAQAADwAAAAAAAAAAAAAAAABnBAAAZHJzL2Rvd25yZXYueG1sUEsFBgAAAAAEAAQA8wAA&#10;AHMFAAAAAA==&#10;" filled="f" stroked="f">
                <v:textbox>
                  <w:txbxContent>
                    <w:p w14:paraId="71495564" w14:textId="77777777" w:rsidR="00777EE0" w:rsidRDefault="00777EE0" w:rsidP="00A64E15">
                      <w:r>
                        <w:t>15</w:t>
                      </w:r>
                    </w:p>
                  </w:txbxContent>
                </v:textbox>
              </v:shape>
            </w:pict>
          </mc:Fallback>
        </mc:AlternateContent>
      </w:r>
      <w:r>
        <w:rPr>
          <w:noProof/>
          <w:lang w:val="en-US" w:eastAsia="en-US"/>
        </w:rPr>
        <mc:AlternateContent>
          <mc:Choice Requires="wps">
            <w:drawing>
              <wp:anchor distT="45720" distB="45720" distL="114300" distR="114300" simplePos="0" relativeHeight="252860416" behindDoc="0" locked="0" layoutInCell="1" allowOverlap="1" wp14:anchorId="2CFDA8FC" wp14:editId="1A489DBF">
                <wp:simplePos x="0" y="0"/>
                <wp:positionH relativeFrom="column">
                  <wp:posOffset>792518</wp:posOffset>
                </wp:positionH>
                <wp:positionV relativeFrom="paragraph">
                  <wp:posOffset>2457157</wp:posOffset>
                </wp:positionV>
                <wp:extent cx="237490" cy="260985"/>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60985"/>
                        </a:xfrm>
                        <a:prstGeom prst="rect">
                          <a:avLst/>
                        </a:prstGeom>
                        <a:noFill/>
                        <a:ln w="9525">
                          <a:noFill/>
                          <a:miter lim="800000"/>
                          <a:headEnd/>
                          <a:tailEnd/>
                        </a:ln>
                      </wps:spPr>
                      <wps:txbx>
                        <w:txbxContent>
                          <w:p w14:paraId="255DC601" w14:textId="77777777" w:rsidR="00777EE0" w:rsidRDefault="00777EE0" w:rsidP="00A64E15">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DA8FC" id="_x0000_s1035" type="#_x0000_t202" style="position:absolute;margin-left:62.4pt;margin-top:193.5pt;width:18.7pt;height:20.55pt;z-index:25286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BrDgIAAPk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9mlJiucEe&#10;vcghkvcwkCrJ07tQ46tnh+/igNfY5kw1uCcQPwKxcN9xu5V33kPfSd5gedMUWVyEjjghgWz6z9Bg&#10;Gr6LkIGG1pukHapBEB3bdDi3JpUi8LK6upkt0SPQVV2Xy8U8Z+D1Kdj5ED9KMCQdGPXY+QzO908h&#10;pmJ4fXqScll4VFrn7mtLekaX82qeAy48RkUcTq0Mo4syrXFcEscPtsnBkSs9njGBtkfSiefIOA6b&#10;Icu7PGm5geaAKngYZxH/Dh468L8o6XEOGQ0/d9xLSvQni0oup7NZGtxszOY3FRr+0rO59HArEIrR&#10;SMl4vI952EfKd6h4q7IaqTVjJceScb6ySMe/kAb40s6vfv/Y9SsAAAD//wMAUEsDBBQABgAIAAAA&#10;IQANJvOq3gAAAAsBAAAPAAAAZHJzL2Rvd25yZXYueG1sTI/NTsMwEITvSLyDtUjcqF0TSghxKgTi&#10;Cmr5kbi58TaJiNdR7Dbh7dme4Dia0cw35Xr2vTjiGLtABpYLBQKpDq6jxsD72/NVDiImS872gdDA&#10;D0ZYV+dnpS1cmGiDx21qBJdQLKyBNqWhkDLWLXobF2FAYm8fRm8Ty7GRbrQTl/teaqVW0tuOeKG1&#10;Az62WH9vD97Ax8v+6zNTr82TvxmmMCtJ/k4ac3kxP9yDSDinvzCc8BkdKmbahQO5KHrWOmP0ZOA6&#10;v+VTp8RKaxA7A5nOlyCrUv7/UP0CAAD//wMAUEsBAi0AFAAGAAgAAAAhALaDOJL+AAAA4QEAABMA&#10;AAAAAAAAAAAAAAAAAAAAAFtDb250ZW50X1R5cGVzXS54bWxQSwECLQAUAAYACAAAACEAOP0h/9YA&#10;AACUAQAACwAAAAAAAAAAAAAAAAAvAQAAX3JlbHMvLnJlbHNQSwECLQAUAAYACAAAACEAF63waw4C&#10;AAD5AwAADgAAAAAAAAAAAAAAAAAuAgAAZHJzL2Uyb0RvYy54bWxQSwECLQAUAAYACAAAACEADSbz&#10;qt4AAAALAQAADwAAAAAAAAAAAAAAAABoBAAAZHJzL2Rvd25yZXYueG1sUEsFBgAAAAAEAAQA8wAA&#10;AHMFAAAAAA==&#10;" filled="f" stroked="f">
                <v:textbox>
                  <w:txbxContent>
                    <w:p w14:paraId="255DC601" w14:textId="77777777" w:rsidR="00777EE0" w:rsidRDefault="00777EE0" w:rsidP="00A64E15">
                      <w:r>
                        <w:t>7</w:t>
                      </w:r>
                    </w:p>
                  </w:txbxContent>
                </v:textbox>
              </v:shape>
            </w:pict>
          </mc:Fallback>
        </mc:AlternateContent>
      </w:r>
      <w:r>
        <w:rPr>
          <w:noProof/>
          <w:lang w:val="en-US" w:eastAsia="en-US"/>
        </w:rPr>
        <mc:AlternateContent>
          <mc:Choice Requires="wps">
            <w:drawing>
              <wp:anchor distT="45720" distB="45720" distL="114300" distR="114300" simplePos="0" relativeHeight="252804096" behindDoc="0" locked="0" layoutInCell="1" allowOverlap="1" wp14:anchorId="6ED865D3" wp14:editId="7EC74DC1">
                <wp:simplePos x="0" y="0"/>
                <wp:positionH relativeFrom="column">
                  <wp:posOffset>450850</wp:posOffset>
                </wp:positionH>
                <wp:positionV relativeFrom="paragraph">
                  <wp:posOffset>2293639</wp:posOffset>
                </wp:positionV>
                <wp:extent cx="403225" cy="2730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1981E4C4" w14:textId="77777777" w:rsidR="00777EE0" w:rsidRDefault="00777EE0" w:rsidP="00A64E15">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865D3" id="_x0000_s1036" type="#_x0000_t202" style="position:absolute;margin-left:35.5pt;margin-top:180.6pt;width:31.75pt;height:21.5pt;z-index:25280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sTCwIAAPoDAAAOAAAAZHJzL2Uyb0RvYy54bWysU9tuGyEQfa/Uf0C813uJ3SQr4yhNmqpS&#10;epGSfgBmWS8qMBSwd92v78A6jpW+ReEBDczMYc6ZYXk1Gk120gcFltFqVlIirYBW2Q2jvx7vPlxQ&#10;EiK3LddgJaN7GejV6v275eAaWUMPupWeIIgNzeAY7WN0TVEE0UvDwwyctOjswBse8eg3Rev5gOhG&#10;F3VZfiwG8K3zIGQIeHs7Oekq43edFPFH1wUZiWYUa4t593lfp71YLXmz8dz1ShzK4K+ownBl8dEj&#10;1C2PnGy9+g/KKOEhQBdnAkwBXaeEzByQTVW+YPPQcyczFxQnuKNM4e1gxffdT09Uy2hdUWK5wR49&#10;yjGSTzCSOskzuNBg1IPDuDjiNbY5Uw3uHsTvQCzc9Nxu5LX3MPSSt1helTKLk9QJJySQ9fANWnyG&#10;byNkoLHzJmmHahBExzbtj61JpQi8nJdndb2gRKCrPj8rF7l1BW+ekp0P8YsEQ5LBqMfOZ3C+uw8x&#10;FcObp5D0loU7pXXuvrZkYPRygfAvPEZFHE6tDKMXZVrTuCSOn22bkyNXerLxAW0PpBPPiXEc12OW&#10;t8rJSZE1tHuUwcM0jPh50OjB/6VkwEFkNPzZci8p0V8tSnlZzedpcvNhvjiv8eBPPetTD7cCoRiN&#10;lEzmTczTPjG7Rsk7leV4ruRQMw5YVunwGdIEn55z1POXXf0DAAD//wMAUEsDBBQABgAIAAAAIQBZ&#10;DBTg3wAAAAoBAAAPAAAAZHJzL2Rvd25yZXYueG1sTI/NTsMwEITvSH0Ha5G4UTtpWmjIpkIgriDK&#10;j9SbG2+TqPE6it0mvD3uCY6jGc18U2wm24kzDb51jJDMFQjiypmWa4TPj5fbexA+aDa6c0wIP+Rh&#10;U86uCp0bN/I7nbehFrGEfa4RmhD6XEpfNWS1n7ueOHoHN1gdohxqaQY9xnLbyVSplbS65bjQ6J6e&#10;GqqO25NF+Ho97L4z9VY/22U/uklJtmuJeHM9PT6ACDSFvzBc8CM6lJFp705svOgQ7pJ4JSAsVkkK&#10;4hJYZEsQe4RMZSnIspD/L5S/AAAA//8DAFBLAQItABQABgAIAAAAIQC2gziS/gAAAOEBAAATAAAA&#10;AAAAAAAAAAAAAAAAAABbQ29udGVudF9UeXBlc10ueG1sUEsBAi0AFAAGAAgAAAAhADj9If/WAAAA&#10;lAEAAAsAAAAAAAAAAAAAAAAALwEAAF9yZWxzLy5yZWxzUEsBAi0AFAAGAAgAAAAhAOcEmxMLAgAA&#10;+gMAAA4AAAAAAAAAAAAAAAAALgIAAGRycy9lMm9Eb2MueG1sUEsBAi0AFAAGAAgAAAAhAFkMFODf&#10;AAAACgEAAA8AAAAAAAAAAAAAAAAAZQQAAGRycy9kb3ducmV2LnhtbFBLBQYAAAAABAAEAPMAAABx&#10;BQAAAAA=&#10;" filled="f" stroked="f">
                <v:textbox>
                  <w:txbxContent>
                    <w:p w14:paraId="1981E4C4" w14:textId="77777777" w:rsidR="00777EE0" w:rsidRDefault="00777EE0" w:rsidP="00A64E15">
                      <w:r>
                        <w:t>13</w:t>
                      </w:r>
                    </w:p>
                  </w:txbxContent>
                </v:textbox>
              </v:shape>
            </w:pict>
          </mc:Fallback>
        </mc:AlternateContent>
      </w:r>
      <w:r>
        <w:rPr>
          <w:noProof/>
          <w:lang w:val="en-US" w:eastAsia="en-US"/>
        </w:rPr>
        <mc:AlternateContent>
          <mc:Choice Requires="wps">
            <w:drawing>
              <wp:anchor distT="45720" distB="45720" distL="114300" distR="114300" simplePos="0" relativeHeight="253488128" behindDoc="0" locked="0" layoutInCell="1" allowOverlap="1" wp14:anchorId="3EFED9ED" wp14:editId="51FB39D4">
                <wp:simplePos x="0" y="0"/>
                <wp:positionH relativeFrom="column">
                  <wp:posOffset>3468361</wp:posOffset>
                </wp:positionH>
                <wp:positionV relativeFrom="paragraph">
                  <wp:posOffset>177838</wp:posOffset>
                </wp:positionV>
                <wp:extent cx="403225" cy="2730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2731E2DC" w14:textId="77777777" w:rsidR="00777EE0" w:rsidRDefault="00777EE0" w:rsidP="00A64E15">
                            <w: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D9ED" id="_x0000_s1037" type="#_x0000_t202" style="position:absolute;margin-left:273.1pt;margin-top:14pt;width:31.75pt;height:21.5pt;z-index:2534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4CDAIAAPsDAAAOAAAAZHJzL2Uyb0RvYy54bWysU9tu2zAMfR+wfxD0vthxk7U14hRduw4D&#10;ugvQ7gMYWY6FSaImKbG7rx8lp2nQvQ3Tg0CJ1CHPIbW6Go1me+mDQtvw+azkTFqBrbLbhv94vHt3&#10;wVmIYFvQaGXDn2TgV+u3b1aDq2WFPepWekYgNtSDa3gfo6uLIoheGggzdNKSs0NvINLRb4vWw0Do&#10;RhdVWb4vBvSt8yhkCHR7Ozn5OuN3nRTxW9cFGZluONUW8+7zvkl7sV5BvfXgeiUOZcA/VGFAWUp6&#10;hLqFCGzn1V9QRgmPAbs4E2gK7DolZOZAbOblKzYPPTiZuZA4wR1lCv8PVnzdf/dMtQ2n/JxZMNSk&#10;RzlG9gFHViV9BhdqCntwFBhHuqY+Z67B3aP4GZjFmx7sVl57j0MvoaX65ullcfJ0wgkJZDN8wZbS&#10;wC5iBho7b5J4JAcjdOrT07E3qRRBl4vyrKqWnAlyVedn5TL3roD6+bHzIX6SaFgyGu6p9Rkc9vch&#10;pmKgfg5JuSzeKa1z+7VlQ8MvlwT/ymNUpOnUyjT8okxrmpfE8aNt8+MISk82JdD2QDrxnBjHcTNm&#10;fedZkqTIBtsnksHjNI30e8jo0f/mbKBJbHj4tQMvOdOfLUl5OV8s0ujmw2J5XtHBn3o2px6wgqAa&#10;HjmbzJuYx31idk2SdyrL8VLJoWaasKzS4TekET4956iXP7v+AwAA//8DAFBLAwQUAAYACAAAACEA&#10;rAMHl94AAAAJAQAADwAAAGRycy9kb3ducmV2LnhtbEyPQUvDQBCF74L/YRnBm91taNM2ZlJE8apY&#10;tdDbNpkmwexsyG6b+O8dT3oc5uO97+XbyXXqQkNoPSPMZwYUcemrlmuEj/fnuzWoEC1XtvNMCN8U&#10;YFtcX+U2q/zIb3TZxVpJCIfMIjQx9pnWoWzI2TDzPbH8Tn5wNso51Loa7CjhrtOJMal2tmVpaGxP&#10;jw2VX7uzQ/h8OR32C/NaP7llP/rJaHYbjXh7Mz3cg4o0xT8YfvVFHQpxOvozV0F1CMtFmgiKkKxl&#10;kwCp2axAHRFWcwO6yPX/BcUPAAAA//8DAFBLAQItABQABgAIAAAAIQC2gziS/gAAAOEBAAATAAAA&#10;AAAAAAAAAAAAAAAAAABbQ29udGVudF9UeXBlc10ueG1sUEsBAi0AFAAGAAgAAAAhADj9If/WAAAA&#10;lAEAAAsAAAAAAAAAAAAAAAAALwEAAF9yZWxzLy5yZWxzUEsBAi0AFAAGAAgAAAAhAL0j3gIMAgAA&#10;+wMAAA4AAAAAAAAAAAAAAAAALgIAAGRycy9lMm9Eb2MueG1sUEsBAi0AFAAGAAgAAAAhAKwDB5fe&#10;AAAACQEAAA8AAAAAAAAAAAAAAAAAZgQAAGRycy9kb3ducmV2LnhtbFBLBQYAAAAABAAEAPMAAABx&#10;BQAAAAA=&#10;" filled="f" stroked="f">
                <v:textbox>
                  <w:txbxContent>
                    <w:p w14:paraId="2731E2DC" w14:textId="77777777" w:rsidR="00777EE0" w:rsidRDefault="00777EE0" w:rsidP="00A64E15">
                      <w:r>
                        <w:t>98</w:t>
                      </w:r>
                    </w:p>
                  </w:txbxContent>
                </v:textbox>
              </v:shape>
            </w:pict>
          </mc:Fallback>
        </mc:AlternateContent>
      </w:r>
      <w:r>
        <w:rPr>
          <w:noProof/>
          <w:lang w:val="en-US" w:eastAsia="en-US"/>
        </w:rPr>
        <mc:AlternateContent>
          <mc:Choice Requires="wps">
            <w:drawing>
              <wp:anchor distT="45720" distB="45720" distL="114300" distR="114300" simplePos="0" relativeHeight="253375488" behindDoc="0" locked="0" layoutInCell="1" allowOverlap="1" wp14:anchorId="2DE666F6" wp14:editId="7B08C940">
                <wp:simplePos x="0" y="0"/>
                <wp:positionH relativeFrom="column">
                  <wp:posOffset>3147819</wp:posOffset>
                </wp:positionH>
                <wp:positionV relativeFrom="paragraph">
                  <wp:posOffset>123541</wp:posOffset>
                </wp:positionV>
                <wp:extent cx="427355" cy="2489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48920"/>
                        </a:xfrm>
                        <a:prstGeom prst="rect">
                          <a:avLst/>
                        </a:prstGeom>
                        <a:noFill/>
                        <a:ln w="9525">
                          <a:noFill/>
                          <a:miter lim="800000"/>
                          <a:headEnd/>
                          <a:tailEnd/>
                        </a:ln>
                      </wps:spPr>
                      <wps:txbx>
                        <w:txbxContent>
                          <w:p w14:paraId="3FD8D97B" w14:textId="77777777" w:rsidR="00777EE0" w:rsidRDefault="00777EE0" w:rsidP="00A64E15">
                            <w: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66F6" id="_x0000_s1038" type="#_x0000_t202" style="position:absolute;margin-left:247.85pt;margin-top:9.75pt;width:33.65pt;height:19.6pt;z-index:2533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iDgIAAPsDAAAOAAAAZHJzL2Uyb0RvYy54bWysU9tu2zAMfR+wfxD0vjjxkjUx4hRduw4D&#10;ugvQ7gMYWY6FSaImKbGzry8lp1mwvQ3TgyCJ5CHPIbW+HoxmB+mDQlvz2WTKmbQCG2V3Nf/+dP9m&#10;yVmIYBvQaGXNjzLw683rV+veVbLEDnUjPSMQG6re1byL0VVFEUQnDYQJOmnJ2KI3EOnqd0XjoSd0&#10;o4tyOn1X9Ogb51HIEOj1bjTyTcZvWyni17YNMjJdc6ot5t3nfZv2YrOGaufBdUqcyoB/qMKAspT0&#10;DHUHEdjeq7+gjBIeA7ZxItAU2LZKyMyB2Mymf7B57MDJzIXECe4sU/h/sOLL4ZtnqqHerVacWTDU&#10;pCc5RPYeB1YmfXoXKnJ7dOQYB3om38w1uAcUPwKzeNuB3ckb77HvJDRU3yxFFhehI05IINv+MzaU&#10;BvYRM9DQepPEIzkYoVOfjufepFIEPc7Lq7eLBWeCTOV8uSpz7wqoXoKdD/GjRMPSoeaeWp/B4fAQ&#10;YioGqheXlMvivdI6t19b1td8tSgXOeDCYlSk6dTK1Hw5TWucl8Txg21ycASlxzMl0PZEOvEcGcdh&#10;O4z6nsXcYnMkGTyO00i/hw4d+l+c9TSJNQ8/9+AlZ/qTJSlXs/k8jW6+zBdXxJz5S8v20gJWEFTN&#10;I2fj8TbmcR8535DkrcpypN6MlZxqpgnLKp1+Qxrhy3v2+v1nN88AAAD//wMAUEsDBBQABgAIAAAA&#10;IQBf0aJv3gAAAAkBAAAPAAAAZHJzL2Rvd25yZXYueG1sTI/BTsMwEETvSPyDtUjcqF1o2iaNUyEQ&#10;V1BbqNSbG2+TiHgdxW4T/p7lRG87mqfZmXw9ulZcsA+NJw3TiQKBVHrbUKXhc/f2sAQRoiFrWk+o&#10;4QcDrIvbm9xk1g+0wcs2VoJDKGRGQx1jl0kZyhqdCRPfIbF38r0zkWVfSdubgcNdKx+VmktnGuIP&#10;tenwpcbye3t2Gr7eT4f9TH1Ury7pBj8qSS6VWt/fjc8rEBHH+A/DX32uDgV3Ovoz2SBaDbM0WTDK&#10;RpqAYCCZP/G4Ix/LBcgil9cLil8AAAD//wMAUEsBAi0AFAAGAAgAAAAhALaDOJL+AAAA4QEAABMA&#10;AAAAAAAAAAAAAAAAAAAAAFtDb250ZW50X1R5cGVzXS54bWxQSwECLQAUAAYACAAAACEAOP0h/9YA&#10;AACUAQAACwAAAAAAAAAAAAAAAAAvAQAAX3JlbHMvLnJlbHNQSwECLQAUAAYACAAAACEAxTqLog4C&#10;AAD7AwAADgAAAAAAAAAAAAAAAAAuAgAAZHJzL2Uyb0RvYy54bWxQSwECLQAUAAYACAAAACEAX9Gi&#10;b94AAAAJAQAADwAAAAAAAAAAAAAAAABoBAAAZHJzL2Rvd25yZXYueG1sUEsFBgAAAAAEAAQA8wAA&#10;AHMFAAAAAA==&#10;" filled="f" stroked="f">
                <v:textbox>
                  <w:txbxContent>
                    <w:p w14:paraId="3FD8D97B" w14:textId="77777777" w:rsidR="00777EE0" w:rsidRDefault="00777EE0" w:rsidP="00A64E15">
                      <w:r>
                        <w:t>101</w:t>
                      </w:r>
                    </w:p>
                  </w:txbxContent>
                </v:textbox>
              </v:shape>
            </w:pict>
          </mc:Fallback>
        </mc:AlternateContent>
      </w:r>
      <w:r>
        <w:rPr>
          <w:noProof/>
          <w:lang w:val="en-US" w:eastAsia="en-US"/>
        </w:rPr>
        <mc:AlternateContent>
          <mc:Choice Requires="wps">
            <w:drawing>
              <wp:anchor distT="45720" distB="45720" distL="114300" distR="114300" simplePos="0" relativeHeight="253431808" behindDoc="0" locked="0" layoutInCell="1" allowOverlap="1" wp14:anchorId="1B1D8CF2" wp14:editId="57B4DA95">
                <wp:simplePos x="0" y="0"/>
                <wp:positionH relativeFrom="column">
                  <wp:posOffset>3772592</wp:posOffset>
                </wp:positionH>
                <wp:positionV relativeFrom="paragraph">
                  <wp:posOffset>995812</wp:posOffset>
                </wp:positionV>
                <wp:extent cx="403225" cy="27305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7D1C0910" w14:textId="77777777" w:rsidR="00777EE0" w:rsidRDefault="00777EE0" w:rsidP="00A64E15">
                            <w: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8CF2" id="_x0000_s1039" type="#_x0000_t202" style="position:absolute;margin-left:297.05pt;margin-top:78.4pt;width:31.75pt;height:21.5pt;z-index:2534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iSDQIAAPsDAAAOAAAAZHJzL2Uyb0RvYy54bWysU9tuGyEQfa/Uf0C817te202yMo7SpKkq&#10;pRcp6QdglvWiAkMBe9f9+gys7VjJW1UeEMPA4Zwzw/J6MJrspA8KLKPTSUmJtAIaZTeM/nq6/3BJ&#10;SYjcNlyDlYzuZaDXq/fvlr2rZQUd6EZ6giA21L1jtIvR1UURRCcNDxNw0mKyBW94xNBvisbzHtGN&#10;Lqqy/Fj04BvnQcgQcPduTNJVxm9bKeKPtg0yEs0ocot59nlep7lYLXm98dx1Shxo8H9gYbiy+OgJ&#10;6o5HTrZevYEySngI0MaJAFNA2yohswZUMy1fqXnsuJNZC5oT3Mmm8P9gxffdT09Uwyi6SYnlBov0&#10;JIdIPsFAquRP70KNxx4dHowDbmOds9bgHkD8DsTCbcftRt54D30neYP8pulmcXZ1xAkJZN1/gwaf&#10;4dsIGWhovUnmoR0E0ZHH/lSbREXg5rycVdWCEoGp6mJWLnLtCl4fLzsf4hcJhqQFox5Ln8H57iHE&#10;RIbXxyPpLQv3Sutcfm1Jz+jVAuFfZYyK2J1aGUYvyzTGfkkaP9smX45c6XGND2h7EJ10jorjsB6y&#10;v9PZ0cw1NHu0wcPYjfh7cNGB/0tJj53IaPiz5V5Sor9atPJqOp+n1s3BfHFRYeDPM+vzDLcCoRiN&#10;lIzL25jbfVR2g5a3KtuRajMyOXDGDssuHX5DauHzOJ96+bOrZwAAAP//AwBQSwMEFAAGAAgAAAAh&#10;ADqicy/fAAAACwEAAA8AAABkcnMvZG93bnJldi54bWxMj8FOwzAQRO9I/QdrkbhRu6hJmzROVYG4&#10;gigFqTc33iYR8TqK3Sb8PcsJjjvzNDtTbCfXiSsOofWkYTFXIJAqb1uqNRzen+/XIEI0ZE3nCTV8&#10;Y4BtObspTG79SG943cdacAiF3GhoYuxzKUPVoDNh7nsk9s5+cCbyOdTSDmbkcNfJB6VS6UxL/KEx&#10;PT42WH3tL07Dx8v5+LlUr/WTS/rRT0qSy6TWd7fTbgMi4hT/YPitz9Wh5E4nfyEbRKchyZYLRtlI&#10;Ut7ARJqsUhAnVrJsDbIs5P8N5Q8AAAD//wMAUEsBAi0AFAAGAAgAAAAhALaDOJL+AAAA4QEAABMA&#10;AAAAAAAAAAAAAAAAAAAAAFtDb250ZW50X1R5cGVzXS54bWxQSwECLQAUAAYACAAAACEAOP0h/9YA&#10;AACUAQAACwAAAAAAAAAAAAAAAAAvAQAAX3JlbHMvLnJlbHNQSwECLQAUAAYACAAAACEAhmd4kg0C&#10;AAD7AwAADgAAAAAAAAAAAAAAAAAuAgAAZHJzL2Uyb0RvYy54bWxQSwECLQAUAAYACAAAACEAOqJz&#10;L98AAAALAQAADwAAAAAAAAAAAAAAAABnBAAAZHJzL2Rvd25yZXYueG1sUEsFBgAAAAAEAAQA8wAA&#10;AHMFAAAAAA==&#10;" filled="f" stroked="f">
                <v:textbox>
                  <w:txbxContent>
                    <w:p w14:paraId="7D1C0910" w14:textId="77777777" w:rsidR="00777EE0" w:rsidRDefault="00777EE0" w:rsidP="00A64E15">
                      <w:r>
                        <w:t>66</w:t>
                      </w:r>
                    </w:p>
                  </w:txbxContent>
                </v:textbox>
              </v:shape>
            </w:pict>
          </mc:Fallback>
        </mc:AlternateContent>
      </w:r>
      <w:r>
        <w:rPr>
          <w:noProof/>
          <w:lang w:val="en-US" w:eastAsia="en-US"/>
        </w:rPr>
        <mc:AlternateContent>
          <mc:Choice Requires="wps">
            <w:drawing>
              <wp:anchor distT="45720" distB="45720" distL="114300" distR="114300" simplePos="0" relativeHeight="253613056" behindDoc="0" locked="0" layoutInCell="1" allowOverlap="1" wp14:anchorId="50326896" wp14:editId="38E30FE5">
                <wp:simplePos x="0" y="0"/>
                <wp:positionH relativeFrom="column">
                  <wp:posOffset>4072568</wp:posOffset>
                </wp:positionH>
                <wp:positionV relativeFrom="paragraph">
                  <wp:posOffset>1358900</wp:posOffset>
                </wp:positionV>
                <wp:extent cx="403225" cy="27305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73050"/>
                        </a:xfrm>
                        <a:prstGeom prst="rect">
                          <a:avLst/>
                        </a:prstGeom>
                        <a:noFill/>
                        <a:ln w="9525">
                          <a:noFill/>
                          <a:miter lim="800000"/>
                          <a:headEnd/>
                          <a:tailEnd/>
                        </a:ln>
                      </wps:spPr>
                      <wps:txbx>
                        <w:txbxContent>
                          <w:p w14:paraId="3794B2A9" w14:textId="77777777" w:rsidR="00777EE0" w:rsidRDefault="00777EE0" w:rsidP="00A64E15">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26896" id="_x0000_s1040" type="#_x0000_t202" style="position:absolute;margin-left:320.65pt;margin-top:107pt;width:31.75pt;height:21.5pt;z-index:2536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epDQIAAPsDAAAOAAAAZHJzL2Uyb0RvYy54bWysU9tuGyEQfa/Uf0C813uJ3SQr4yhNmqpS&#10;epGSfgBmWS8qMBSwd92vz8DarpW+VeUBMQxzZs6ZYXkzGk120gcFltFqVlIirYBW2Q2jP54f3l1R&#10;EiK3LddgJaN7GejN6u2b5eAaWUMPupWeIIgNzeAY7WN0TVEE0UvDwwyctOjswBse0fSbovV8QHSj&#10;i7os3xcD+NZ5EDIEvL2fnHSV8btOivit64KMRDOKtcW8+7yv016slrzZeO56JQ5l8H+ownBlMekJ&#10;6p5HTrZe/QVllPAQoIszAaaArlNCZg7IpipfsXnquZOZC4oT3Emm8P9gxdfdd09Uy2hd1pRYbrBJ&#10;z3KM5AOMpE76DC40+OzJ4cM44jX2OXMN7hHEz0As3PXcbuSt9zD0krdYX5Uii7PQCSckkPXwBVpM&#10;w7cRMtDYeZPEQzkIomOf9qfepFIEXs7Li7peUCLQVV9elIvcu4I3x2DnQ/wkwZB0YNRj6zM43z2G&#10;mIrhzfFJymXhQWmd268tGRi9XiD8K49REadTK8PoVZnWNC+J40fb5uDIlZ7OmEDbA+nEc2Icx/WY&#10;9a3mRzHX0O5RBg/TNOLvwUMP/jclA04io+HXlntJif5sUcrraj5Po5uN+eKyRsOfe9bnHm4FQjEa&#10;KZmOdzGP+8TsFiXvVJYj9Waq5FAzTlhW6fAb0gif2/nVnz+7egEAAP//AwBQSwMEFAAGAAgAAAAh&#10;AB/JB9ffAAAACwEAAA8AAABkcnMvZG93bnJldi54bWxMj01PwzAMhu9I/IfISNxY0tF9laYTAnEF&#10;bcCk3bLGaysap2qytfz7eSc42n70+nnz9ehaccY+NJ40JBMFAqn0tqFKw9fn28MSRIiGrGk9oYZf&#10;DLAubm9yk1k/0AbP21gJDqGQGQ11jF0mZShrdCZMfIfEt6PvnYk89pW0vRk43LVyqtRcOtMQf6hN&#10;hy81lj/bk9Pw/X7c71L1Ub26WTf4UUlyK6n1/d34/AQi4hj/YLjqszoU7HTwJ7JBtBrmafLIqIZp&#10;knIpJhYq5TIH3swWCmSRy/8digsAAAD//wMAUEsBAi0AFAAGAAgAAAAhALaDOJL+AAAA4QEAABMA&#10;AAAAAAAAAAAAAAAAAAAAAFtDb250ZW50X1R5cGVzXS54bWxQSwECLQAUAAYACAAAACEAOP0h/9YA&#10;AACUAQAACwAAAAAAAAAAAAAAAAAvAQAAX3JlbHMvLnJlbHNQSwECLQAUAAYACAAAACEAhjeHqQ0C&#10;AAD7AwAADgAAAAAAAAAAAAAAAAAuAgAAZHJzL2Uyb0RvYy54bWxQSwECLQAUAAYACAAAACEAH8kH&#10;198AAAALAQAADwAAAAAAAAAAAAAAAABnBAAAZHJzL2Rvd25yZXYueG1sUEsFBgAAAAAEAAQA8wAA&#10;AHMFAAAAAA==&#10;" filled="f" stroked="f">
                <v:textbox>
                  <w:txbxContent>
                    <w:p w14:paraId="3794B2A9" w14:textId="77777777" w:rsidR="00777EE0" w:rsidRDefault="00777EE0" w:rsidP="00A64E15">
                      <w:r>
                        <w:t>51</w:t>
                      </w:r>
                    </w:p>
                  </w:txbxContent>
                </v:textbox>
              </v:shape>
            </w:pict>
          </mc:Fallback>
        </mc:AlternateContent>
      </w:r>
      <w:r w:rsidRPr="00D84AE4">
        <w:rPr>
          <w:noProof/>
          <w:lang w:val="en-US" w:eastAsia="en-US"/>
        </w:rPr>
        <mc:AlternateContent>
          <mc:Choice Requires="wps">
            <w:drawing>
              <wp:anchor distT="45720" distB="45720" distL="114300" distR="114300" simplePos="0" relativeHeight="253669376" behindDoc="0" locked="0" layoutInCell="1" allowOverlap="1" wp14:anchorId="79E59004" wp14:editId="76D2E2C2">
                <wp:simplePos x="0" y="0"/>
                <wp:positionH relativeFrom="column">
                  <wp:posOffset>4462553</wp:posOffset>
                </wp:positionH>
                <wp:positionV relativeFrom="paragraph">
                  <wp:posOffset>2715629</wp:posOffset>
                </wp:positionV>
                <wp:extent cx="1401237" cy="532262"/>
                <wp:effectExtent l="0" t="0" r="0" b="12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37" cy="532262"/>
                        </a:xfrm>
                        <a:prstGeom prst="rect">
                          <a:avLst/>
                        </a:prstGeom>
                        <a:noFill/>
                        <a:ln w="9525">
                          <a:noFill/>
                          <a:miter lim="800000"/>
                          <a:headEnd/>
                          <a:tailEnd/>
                        </a:ln>
                      </wps:spPr>
                      <wps:txbx>
                        <w:txbxContent>
                          <w:p w14:paraId="5E96BD02" w14:textId="77777777" w:rsidR="00777EE0" w:rsidRPr="00B96922" w:rsidRDefault="00777EE0" w:rsidP="00A64E15">
                            <w:pPr>
                              <w:jc w:val="center"/>
                              <w:rPr>
                                <w:b/>
                                <w:sz w:val="16"/>
                              </w:rPr>
                            </w:pPr>
                            <w:r>
                              <w:rPr>
                                <w:b/>
                                <w:sz w:val="16"/>
                              </w:rPr>
                              <w:t>Source:</w:t>
                            </w:r>
                            <w:r w:rsidRPr="00B96922">
                              <w:rPr>
                                <w:b/>
                                <w:sz w:val="16"/>
                              </w:rPr>
                              <w:t xml:space="preserve"> </w:t>
                            </w:r>
                            <w:r>
                              <w:rPr>
                                <w:b/>
                                <w:sz w:val="16"/>
                              </w:rPr>
                              <w:t>EMCDDA</w:t>
                            </w:r>
                            <w:r w:rsidRPr="00B96922">
                              <w:rPr>
                                <w:b/>
                                <w:sz w:val="16"/>
                              </w:rPr>
                              <w:t xml:space="preserve"> </w:t>
                            </w:r>
                            <w:r>
                              <w:rPr>
                                <w:b/>
                                <w:sz w:val="16"/>
                              </w:rPr>
                              <w:br/>
                              <w:t>(2018)</w:t>
                            </w:r>
                          </w:p>
                          <w:p w14:paraId="57DDD7BB"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9004" id="_x0000_s1041" type="#_x0000_t202" style="position:absolute;margin-left:351.4pt;margin-top:213.85pt;width:110.35pt;height:41.9pt;z-index:25366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PgDwIAAPwDAAAOAAAAZHJzL2Uyb0RvYy54bWysU9uO2yAQfa/Uf0C8N75svBcrzmq7260q&#10;bS/Sbj+AYByjAkOBxE6/fgecpFb7VtUPCDzMmXPODKvbUSuyF85LMA0tFjklwnBopdk29PvL47tr&#10;SnxgpmUKjGjoQXh6u377ZjXYWpTQg2qFIwhifD3YhvYh2DrLPO+FZn4BVhgMduA0C3h026x1bEB0&#10;rbIyzy+zAVxrHXDhPf59mIJ0nfC7TvDwteu8CEQ1FLmFtLq0buKarVes3jpme8mPNNg/sNBMGix6&#10;hnpggZGdk39BackdeOjCgoPOoOskF0kDqinyP9Q898yKpAXN8fZsk/9/sPzL/psjsm1oWWGrDNPY&#10;pBcxBvIeRlJGfwbra7z2bPFiGPE39jlp9fYJ+A9PDNz3zGzFnXMw9IK1yK+ImdksdcLxEWQzfIYW&#10;y7BdgAQ0dk5H89AOgujYp8O5N5EKjyWXeVFeXFHCMVZdlOVlIpex+pRtnQ8fBWgSNw112PuEzvZP&#10;PkQ2rD5dicUMPEqlUv+VIUNDb6qySgmziJYBx1NJ3dDrPH7TwESRH0ybkgOTatpjAWWOqqPQSXIY&#10;N2MyuKhObm6gPaAPDqZxxOeDmx7cL0oGHMWG+p875gQl6pNBL2+K5TLObjosq6sSD24e2cwjzHCE&#10;amigZNrehzTvk+Y79LyTyY7YnInJkTOOWHLp+BziDM/P6dbvR7t+BQAA//8DAFBLAwQUAAYACAAA&#10;ACEA+RBTPt8AAAALAQAADwAAAGRycy9kb3ducmV2LnhtbEyPwU7DMBBE70j8g7VI3Kid0BAasqkQ&#10;iCuohVbi5sbbJCJeR7HbhL/HnOA4mtHMm3I9216cafSdY4RkoUAQ18503CB8vL/c3IPwQbPRvWNC&#10;+CYP6+ryotSFcRNv6LwNjYgl7AuN0IYwFFL6uiWr/cINxNE7utHqEOXYSDPqKZbbXqZK3UmrO44L&#10;rR7oqaX6a3uyCLvX4+d+qd6aZ5sNk5uVZLuSiNdX8+MDiEBz+AvDL35EhyoyHdyJjRc9Qq7SiB4Q&#10;lmmeg4iJVXqbgTggZEmSgaxK+f9D9QMAAP//AwBQSwECLQAUAAYACAAAACEAtoM4kv4AAADhAQAA&#10;EwAAAAAAAAAAAAAAAAAAAAAAW0NvbnRlbnRfVHlwZXNdLnhtbFBLAQItABQABgAIAAAAIQA4/SH/&#10;1gAAAJQBAAALAAAAAAAAAAAAAAAAAC8BAABfcmVscy8ucmVsc1BLAQItABQABgAIAAAAIQDVFxPg&#10;DwIAAPwDAAAOAAAAAAAAAAAAAAAAAC4CAABkcnMvZTJvRG9jLnhtbFBLAQItABQABgAIAAAAIQD5&#10;EFM+3wAAAAsBAAAPAAAAAAAAAAAAAAAAAGkEAABkcnMvZG93bnJldi54bWxQSwUGAAAAAAQABADz&#10;AAAAdQUAAAAA&#10;" filled="f" stroked="f">
                <v:textbox>
                  <w:txbxContent>
                    <w:p w14:paraId="5E96BD02" w14:textId="77777777" w:rsidR="00777EE0" w:rsidRPr="00B96922" w:rsidRDefault="00777EE0" w:rsidP="00A64E15">
                      <w:pPr>
                        <w:jc w:val="center"/>
                        <w:rPr>
                          <w:b/>
                          <w:sz w:val="16"/>
                        </w:rPr>
                      </w:pPr>
                      <w:r>
                        <w:rPr>
                          <w:b/>
                          <w:sz w:val="16"/>
                        </w:rPr>
                        <w:t>Source:</w:t>
                      </w:r>
                      <w:r w:rsidRPr="00B96922">
                        <w:rPr>
                          <w:b/>
                          <w:sz w:val="16"/>
                        </w:rPr>
                        <w:t xml:space="preserve"> </w:t>
                      </w:r>
                      <w:r>
                        <w:rPr>
                          <w:b/>
                          <w:sz w:val="16"/>
                        </w:rPr>
                        <w:t>EMCDDA</w:t>
                      </w:r>
                      <w:r w:rsidRPr="00B96922">
                        <w:rPr>
                          <w:b/>
                          <w:sz w:val="16"/>
                        </w:rPr>
                        <w:t xml:space="preserve"> </w:t>
                      </w:r>
                      <w:r>
                        <w:rPr>
                          <w:b/>
                          <w:sz w:val="16"/>
                        </w:rPr>
                        <w:br/>
                        <w:t>(2018)</w:t>
                      </w:r>
                    </w:p>
                    <w:p w14:paraId="57DDD7BB" w14:textId="77777777" w:rsidR="00777EE0" w:rsidRPr="00B96922" w:rsidRDefault="00777EE0" w:rsidP="00A64E15">
                      <w:pPr>
                        <w:rPr>
                          <w:b/>
                          <w:sz w:val="20"/>
                          <w:szCs w:val="20"/>
                        </w:rPr>
                      </w:pPr>
                    </w:p>
                  </w:txbxContent>
                </v:textbox>
              </v:shape>
            </w:pict>
          </mc:Fallback>
        </mc:AlternateContent>
      </w:r>
      <w:r>
        <w:rPr>
          <w:noProof/>
          <w:lang w:val="en-US" w:eastAsia="en-US"/>
        </w:rPr>
        <w:drawing>
          <wp:inline distT="0" distB="0" distL="0" distR="0" wp14:anchorId="13522FAE" wp14:editId="0E7644A2">
            <wp:extent cx="6122936" cy="3452495"/>
            <wp:effectExtent l="0" t="0" r="0" b="0"/>
            <wp:docPr id="13" name="Chart 13">
              <a:extLst xmlns:a="http://schemas.openxmlformats.org/drawingml/2006/main">
                <a:ext uri="{FF2B5EF4-FFF2-40B4-BE49-F238E27FC236}">
                  <a16:creationId xmlns:a16="http://schemas.microsoft.com/office/drawing/2014/main" id="{B90DE865-2CE5-468F-AC78-C9C9F816A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001F3D" w14:textId="77777777" w:rsidR="00A64E15" w:rsidRPr="00A120E2" w:rsidRDefault="00A64E15" w:rsidP="00A64E15">
      <w:pPr>
        <w:spacing w:line="480" w:lineRule="auto"/>
        <w:rPr>
          <w:szCs w:val="24"/>
          <w:lang w:val="en-US"/>
        </w:rPr>
      </w:pPr>
      <w:r w:rsidRPr="00536F56">
        <w:rPr>
          <w:szCs w:val="24"/>
          <w:lang w:val="en-US"/>
        </w:rPr>
        <w:t xml:space="preserve">By 2017, the </w:t>
      </w:r>
      <w:r>
        <w:rPr>
          <w:szCs w:val="24"/>
          <w:lang w:val="en-US"/>
        </w:rPr>
        <w:t>EU</w:t>
      </w:r>
      <w:r w:rsidRPr="00536F56">
        <w:rPr>
          <w:szCs w:val="24"/>
          <w:lang w:val="en-US"/>
        </w:rPr>
        <w:t xml:space="preserve"> early warning system had detected 670 new psychoactive substances</w:t>
      </w:r>
      <w:r>
        <w:rPr>
          <w:szCs w:val="24"/>
          <w:lang w:val="en-US"/>
        </w:rPr>
        <w:t xml:space="preserve"> of which</w:t>
      </w:r>
      <w:r w:rsidRPr="00536F56">
        <w:rPr>
          <w:szCs w:val="24"/>
          <w:lang w:val="en-US"/>
        </w:rPr>
        <w:t xml:space="preserve"> 70% were detected in the </w:t>
      </w:r>
      <w:r>
        <w:rPr>
          <w:szCs w:val="24"/>
          <w:lang w:val="en-US"/>
        </w:rPr>
        <w:t>preceding</w:t>
      </w:r>
      <w:r w:rsidRPr="00536F56">
        <w:rPr>
          <w:szCs w:val="24"/>
          <w:lang w:val="en-US"/>
        </w:rPr>
        <w:t xml:space="preserve"> five years. </w:t>
      </w:r>
      <w:r>
        <w:rPr>
          <w:szCs w:val="24"/>
          <w:lang w:val="en-US"/>
        </w:rPr>
        <w:t>The most commonly detected new substances were synthetic cannabinoids and synthetic stimulants/ empathogens making these two NPS types the most chemically diverse groups. N</w:t>
      </w:r>
      <w:r w:rsidRPr="00536F56">
        <w:rPr>
          <w:szCs w:val="24"/>
          <w:lang w:val="en-US"/>
        </w:rPr>
        <w:t>ew substance detection</w:t>
      </w:r>
      <w:r>
        <w:rPr>
          <w:szCs w:val="24"/>
          <w:lang w:val="en-US"/>
        </w:rPr>
        <w:t>s</w:t>
      </w:r>
      <w:r w:rsidRPr="00536F56">
        <w:rPr>
          <w:szCs w:val="24"/>
          <w:lang w:val="en-US"/>
        </w:rPr>
        <w:t xml:space="preserve"> peaked in 2014 and 2015 </w:t>
      </w:r>
      <w:r>
        <w:rPr>
          <w:szCs w:val="24"/>
          <w:lang w:val="en-US"/>
        </w:rPr>
        <w:t>but s</w:t>
      </w:r>
      <w:r w:rsidRPr="00536F56">
        <w:rPr>
          <w:szCs w:val="24"/>
          <w:lang w:val="en-US"/>
        </w:rPr>
        <w:t xml:space="preserve">ince </w:t>
      </w:r>
      <w:r>
        <w:rPr>
          <w:szCs w:val="24"/>
          <w:lang w:val="en-US"/>
        </w:rPr>
        <w:t>then</w:t>
      </w:r>
      <w:r w:rsidRPr="00536F56">
        <w:rPr>
          <w:szCs w:val="24"/>
          <w:lang w:val="en-US"/>
        </w:rPr>
        <w:t xml:space="preserve"> </w:t>
      </w:r>
      <w:r>
        <w:rPr>
          <w:szCs w:val="24"/>
          <w:lang w:val="en-US"/>
        </w:rPr>
        <w:t>have</w:t>
      </w:r>
      <w:r w:rsidRPr="00536F56">
        <w:rPr>
          <w:szCs w:val="24"/>
          <w:lang w:val="en-US"/>
        </w:rPr>
        <w:t xml:space="preserve"> been in decline</w:t>
      </w:r>
      <w:r>
        <w:rPr>
          <w:szCs w:val="24"/>
          <w:lang w:val="en-US"/>
        </w:rPr>
        <w:t>. A</w:t>
      </w:r>
      <w:r w:rsidRPr="00536F56">
        <w:rPr>
          <w:szCs w:val="24"/>
          <w:lang w:val="en-US"/>
        </w:rPr>
        <w:t>lthough the reasons for the decline are not entirely clear</w:t>
      </w:r>
      <w:r>
        <w:rPr>
          <w:szCs w:val="24"/>
          <w:lang w:val="en-US"/>
        </w:rPr>
        <w:t>,</w:t>
      </w:r>
      <w:r w:rsidRPr="00536F56">
        <w:rPr>
          <w:szCs w:val="24"/>
          <w:lang w:val="en-US"/>
        </w:rPr>
        <w:t xml:space="preserve"> it is thought that it is likely the result of law enforcement operations targeting NPS factories in </w:t>
      </w:r>
      <w:r>
        <w:rPr>
          <w:szCs w:val="24"/>
          <w:lang w:val="en-US"/>
        </w:rPr>
        <w:t>C</w:t>
      </w:r>
      <w:r w:rsidRPr="00536F56">
        <w:rPr>
          <w:szCs w:val="24"/>
          <w:lang w:val="en-US"/>
        </w:rPr>
        <w:t xml:space="preserve">hina and the measures taken by the Governments of European countries to prohibit new substances (EMCDDA, 2018). </w:t>
      </w:r>
      <w:r>
        <w:rPr>
          <w:szCs w:val="24"/>
          <w:lang w:val="en-US"/>
        </w:rPr>
        <w:t>Although seizures of novel substances may not directly equate to marketed products, o</w:t>
      </w:r>
      <w:r w:rsidRPr="00536F56">
        <w:rPr>
          <w:szCs w:val="24"/>
          <w:lang w:val="en-US"/>
        </w:rPr>
        <w:t>ver 50% of the substances being monitored</w:t>
      </w:r>
      <w:r>
        <w:rPr>
          <w:szCs w:val="24"/>
          <w:lang w:val="en-US"/>
        </w:rPr>
        <w:t xml:space="preserve"> by the EU early warning system</w:t>
      </w:r>
      <w:r w:rsidRPr="00536F56">
        <w:rPr>
          <w:szCs w:val="24"/>
          <w:lang w:val="en-US"/>
        </w:rPr>
        <w:t xml:space="preserve"> </w:t>
      </w:r>
      <w:r>
        <w:rPr>
          <w:szCs w:val="24"/>
          <w:lang w:val="en-US"/>
        </w:rPr>
        <w:t>remained</w:t>
      </w:r>
      <w:r w:rsidRPr="00536F56">
        <w:rPr>
          <w:szCs w:val="24"/>
          <w:lang w:val="en-US"/>
        </w:rPr>
        <w:t xml:space="preserve"> active within Europe’s drug market</w:t>
      </w:r>
      <w:r>
        <w:rPr>
          <w:szCs w:val="24"/>
          <w:lang w:val="en-US"/>
        </w:rPr>
        <w:t xml:space="preserve"> during 2017 which suggests that many substances have found some commercial success (</w:t>
      </w:r>
      <w:r w:rsidRPr="00536F56">
        <w:rPr>
          <w:szCs w:val="24"/>
          <w:lang w:val="en-US"/>
        </w:rPr>
        <w:t>EMCDDA</w:t>
      </w:r>
      <w:r>
        <w:rPr>
          <w:szCs w:val="24"/>
          <w:lang w:val="en-US"/>
        </w:rPr>
        <w:t>, 2018)</w:t>
      </w:r>
      <w:r w:rsidRPr="00536F56">
        <w:rPr>
          <w:szCs w:val="24"/>
          <w:lang w:val="en-US"/>
        </w:rPr>
        <w:t>.</w:t>
      </w:r>
    </w:p>
    <w:p w14:paraId="79BB3036" w14:textId="03E5FB59" w:rsidR="00874B78" w:rsidRDefault="00A64E15" w:rsidP="00A64E15">
      <w:pPr>
        <w:spacing w:line="480" w:lineRule="auto"/>
      </w:pPr>
      <w:r>
        <w:rPr>
          <w:szCs w:val="24"/>
          <w:lang w:val="en-US"/>
        </w:rPr>
        <w:t>In terms of the quantity of NPS seized, synthetic cannabinoids make up the greatest volume, followed by synthetic stimulants/empathogens (</w:t>
      </w:r>
      <w:r w:rsidR="00D96745">
        <w:rPr>
          <w:szCs w:val="24"/>
          <w:lang w:val="en-US"/>
        </w:rPr>
        <w:t>F</w:t>
      </w:r>
      <w:r>
        <w:rPr>
          <w:szCs w:val="24"/>
          <w:lang w:val="en-US"/>
        </w:rPr>
        <w:t xml:space="preserve">igure </w:t>
      </w:r>
      <w:r w:rsidR="00FE6B2A">
        <w:rPr>
          <w:szCs w:val="24"/>
          <w:lang w:val="en-US"/>
        </w:rPr>
        <w:t>2-</w:t>
      </w:r>
      <w:r>
        <w:rPr>
          <w:szCs w:val="24"/>
          <w:lang w:val="en-US"/>
        </w:rPr>
        <w:t>3). Together these two NPS types comprised</w:t>
      </w:r>
      <w:r w:rsidRPr="00536F56">
        <w:rPr>
          <w:szCs w:val="24"/>
          <w:lang w:val="en-US"/>
        </w:rPr>
        <w:t xml:space="preserve"> 80% of </w:t>
      </w:r>
      <w:r>
        <w:rPr>
          <w:szCs w:val="24"/>
          <w:lang w:val="en-US"/>
        </w:rPr>
        <w:t xml:space="preserve">all </w:t>
      </w:r>
      <w:r w:rsidRPr="00536F56">
        <w:rPr>
          <w:szCs w:val="24"/>
          <w:lang w:val="en-US"/>
        </w:rPr>
        <w:t xml:space="preserve">NPS seizures in 2016. </w:t>
      </w:r>
      <w:r>
        <w:rPr>
          <w:szCs w:val="24"/>
          <w:lang w:val="en-US"/>
        </w:rPr>
        <w:t xml:space="preserve">This </w:t>
      </w:r>
      <w:r>
        <w:t>suggests these two groups make up the majority of NPS products and are potentially, therefore, the NPS young people are most likely to come into contact with.</w:t>
      </w:r>
      <w:r>
        <w:rPr>
          <w:szCs w:val="24"/>
          <w:lang w:val="en-US"/>
        </w:rPr>
        <w:t xml:space="preserve"> The relative volumes of synthetic cannabinoids (45%) and synthetic stimulants/empathogens (35%) found in seizures echoes the relative quantities of </w:t>
      </w:r>
      <w:r>
        <w:t xml:space="preserve">their traditional counterparts where cannabis makes up the bulk of drug seizures (71%), followed by stimulants/empathogens (17%: see </w:t>
      </w:r>
      <w:r w:rsidR="00D96745">
        <w:t>F</w:t>
      </w:r>
      <w:r>
        <w:t xml:space="preserve">igure </w:t>
      </w:r>
      <w:r w:rsidR="00FE6B2A">
        <w:t>2-</w:t>
      </w:r>
      <w:r>
        <w:t>4). Overall</w:t>
      </w:r>
      <w:r w:rsidR="00394D21">
        <w:t>,</w:t>
      </w:r>
      <w:r>
        <w:t xml:space="preserve"> however, NPS seizures are considerably smaller in scale than seizures for traditional drugs with 71,000 NPS seizures in Europe in 2016, compared to over one million for traditional illicit drugs. The relative dominance of cannabinoids and stimulants/ empathogens in both traditional and synthetic drug seizures suggests that the market for NPS, although smaller, may follow similar trends to the traditional drugs they emulate. </w:t>
      </w:r>
    </w:p>
    <w:p w14:paraId="59913AD3" w14:textId="77777777" w:rsidR="00874B78" w:rsidRDefault="00874B78" w:rsidP="00A64E15">
      <w:pPr>
        <w:spacing w:line="480" w:lineRule="auto"/>
        <w:sectPr w:rsidR="00874B78" w:rsidSect="00A64E15">
          <w:headerReference w:type="default" r:id="rId15"/>
          <w:pgSz w:w="11900" w:h="16840"/>
          <w:pgMar w:top="1418" w:right="1418" w:bottom="1418" w:left="1418" w:header="709" w:footer="709" w:gutter="0"/>
          <w:cols w:space="708"/>
          <w:docGrid w:linePitch="360"/>
        </w:sectPr>
      </w:pPr>
    </w:p>
    <w:p w14:paraId="25A79D20" w14:textId="56F03E41" w:rsidR="00A64E15" w:rsidRDefault="00A64E15" w:rsidP="00A64E15">
      <w:pPr>
        <w:spacing w:line="480" w:lineRule="auto"/>
      </w:pPr>
    </w:p>
    <w:p w14:paraId="0FBDA769" w14:textId="2B42EDE4" w:rsidR="00874B78" w:rsidRDefault="00874B78" w:rsidP="00A64E15">
      <w:pPr>
        <w:spacing w:line="480" w:lineRule="auto"/>
        <w:sectPr w:rsidR="00874B78" w:rsidSect="00874B78">
          <w:type w:val="continuous"/>
          <w:pgSz w:w="11900" w:h="16840"/>
          <w:pgMar w:top="1418" w:right="1418" w:bottom="1418" w:left="1418" w:header="709" w:footer="709" w:gutter="0"/>
          <w:cols w:num="2" w:space="708"/>
          <w:docGrid w:linePitch="360"/>
        </w:sectPr>
      </w:pPr>
    </w:p>
    <w:bookmarkStart w:id="57" w:name="_Toc9509098"/>
    <w:p w14:paraId="2EAEB31C" w14:textId="439FF7EE" w:rsidR="00874B78" w:rsidRPr="00FF2A65" w:rsidRDefault="00874B78" w:rsidP="00A61664">
      <w:pPr>
        <w:pStyle w:val="FigureHeading"/>
      </w:pPr>
      <w:r>
        <mc:AlternateContent>
          <mc:Choice Requires="cx1">
            <w:drawing>
              <wp:anchor distT="0" distB="0" distL="114300" distR="114300" simplePos="0" relativeHeight="250745856" behindDoc="0" locked="0" layoutInCell="1" allowOverlap="1" wp14:anchorId="1E83026F" wp14:editId="27C33B7C">
                <wp:simplePos x="0" y="0"/>
                <wp:positionH relativeFrom="column">
                  <wp:posOffset>3810</wp:posOffset>
                </wp:positionH>
                <wp:positionV relativeFrom="paragraph">
                  <wp:posOffset>685247</wp:posOffset>
                </wp:positionV>
                <wp:extent cx="2811145" cy="2565400"/>
                <wp:effectExtent l="0" t="0" r="8255" b="6350"/>
                <wp:wrapTopAndBottom/>
                <wp:docPr id="27" name="Chart 27">
                  <a:extLst xmlns:a="http://schemas.openxmlformats.org/drawingml/2006/main">
                    <a:ext uri="{FF2B5EF4-FFF2-40B4-BE49-F238E27FC236}">
                      <a16:creationId xmlns:a16="http://schemas.microsoft.com/office/drawing/2014/main" id="{74268171-826E-4F70-B5A8-B98B167B525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0745856" behindDoc="0" locked="0" layoutInCell="1" allowOverlap="1" wp14:anchorId="1E83026F" wp14:editId="27C33B7C">
                <wp:simplePos x="0" y="0"/>
                <wp:positionH relativeFrom="column">
                  <wp:posOffset>3810</wp:posOffset>
                </wp:positionH>
                <wp:positionV relativeFrom="paragraph">
                  <wp:posOffset>685247</wp:posOffset>
                </wp:positionV>
                <wp:extent cx="2811145" cy="2565400"/>
                <wp:effectExtent l="0" t="0" r="8255" b="6350"/>
                <wp:wrapTopAndBottom/>
                <wp:docPr id="27" name="Chart 27">
                  <a:extLst xmlns:a="http://schemas.openxmlformats.org/drawingml/2006/main">
                    <a:ext uri="{FF2B5EF4-FFF2-40B4-BE49-F238E27FC236}">
                      <a16:creationId xmlns:a16="http://schemas.microsoft.com/office/drawing/2014/main" id="{74268171-826E-4F70-B5A8-B98B167B525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a:extLst>
                            <a:ext uri="{FF2B5EF4-FFF2-40B4-BE49-F238E27FC236}">
                              <a16:creationId xmlns:a16="http://schemas.microsoft.com/office/drawing/2014/main" id="{74268171-826E-4F70-B5A8-B98B167B525B}"/>
                            </a:ext>
                          </a:extLst>
                        </pic:cNvPr>
                        <pic:cNvPicPr>
                          <a:picLocks noGrp="1" noRot="1" noChangeAspect="1" noMove="1" noResize="1" noEditPoints="1" noAdjustHandles="1" noChangeArrowheads="1" noChangeShapeType="1"/>
                        </pic:cNvPicPr>
                      </pic:nvPicPr>
                      <pic:blipFill>
                        <a:blip r:embed="rId20"/>
                        <a:stretch>
                          <a:fillRect/>
                        </a:stretch>
                      </pic:blipFill>
                      <pic:spPr>
                        <a:xfrm>
                          <a:off x="0" y="0"/>
                          <a:ext cx="2811145" cy="25654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FF2A65">
        <w:t xml:space="preserve">Figure </w:t>
      </w:r>
      <w:r>
        <w:t>2-</w:t>
      </w:r>
      <w:r w:rsidRPr="00FF2A65">
        <w:t>3. NPS drug seizures in 2016</w:t>
      </w:r>
      <w:r w:rsidRPr="00FF2A65">
        <w:br/>
        <w:t>Proportion of seizures by substance type</w:t>
      </w:r>
      <w:bookmarkEnd w:id="57"/>
      <w:r w:rsidRPr="00FF2A65">
        <w:t xml:space="preserve"> </w:t>
      </w:r>
    </w:p>
    <w:p w14:paraId="496C0940" w14:textId="132E34E3" w:rsidR="00874B78" w:rsidRDefault="008E73AB" w:rsidP="00A64E15">
      <w:pPr>
        <w:spacing w:line="240" w:lineRule="auto"/>
        <w:rPr>
          <w:szCs w:val="24"/>
          <w:lang w:val="en-US"/>
        </w:rPr>
      </w:pPr>
      <w:r w:rsidRPr="00D84AE4">
        <w:rPr>
          <w:noProof/>
          <w:lang w:val="en-US" w:eastAsia="en-US"/>
        </w:rPr>
        <mc:AlternateContent>
          <mc:Choice Requires="wps">
            <w:drawing>
              <wp:anchor distT="45720" distB="45720" distL="114300" distR="114300" simplePos="0" relativeHeight="251798528" behindDoc="0" locked="0" layoutInCell="1" allowOverlap="1" wp14:anchorId="232B82FE" wp14:editId="5D99BCEC">
                <wp:simplePos x="0" y="0"/>
                <wp:positionH relativeFrom="column">
                  <wp:posOffset>1199408</wp:posOffset>
                </wp:positionH>
                <wp:positionV relativeFrom="paragraph">
                  <wp:posOffset>2803970</wp:posOffset>
                </wp:positionV>
                <wp:extent cx="2256155" cy="320040"/>
                <wp:effectExtent l="0" t="0" r="0" b="381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320040"/>
                        </a:xfrm>
                        <a:prstGeom prst="rect">
                          <a:avLst/>
                        </a:prstGeom>
                        <a:noFill/>
                        <a:ln w="9525">
                          <a:noFill/>
                          <a:miter lim="800000"/>
                          <a:headEnd/>
                          <a:tailEnd/>
                        </a:ln>
                      </wps:spPr>
                      <wps:txbx>
                        <w:txbxContent>
                          <w:p w14:paraId="74AA1140" w14:textId="77777777" w:rsidR="00777EE0" w:rsidRPr="00B96922" w:rsidRDefault="00777EE0" w:rsidP="00A64E15">
                            <w:pPr>
                              <w:jc w:val="center"/>
                              <w:rPr>
                                <w:b/>
                                <w:sz w:val="16"/>
                              </w:rPr>
                            </w:pPr>
                            <w:r>
                              <w:rPr>
                                <w:b/>
                                <w:sz w:val="16"/>
                              </w:rPr>
                              <w:t>Source:</w:t>
                            </w:r>
                            <w:r w:rsidRPr="00B96922">
                              <w:rPr>
                                <w:b/>
                                <w:sz w:val="16"/>
                              </w:rPr>
                              <w:t xml:space="preserve"> </w:t>
                            </w:r>
                            <w:r>
                              <w:rPr>
                                <w:b/>
                                <w:sz w:val="16"/>
                              </w:rPr>
                              <w:t>EMCDDA</w:t>
                            </w:r>
                            <w:r w:rsidRPr="00B96922">
                              <w:rPr>
                                <w:b/>
                                <w:sz w:val="16"/>
                              </w:rPr>
                              <w:t xml:space="preserve"> </w:t>
                            </w:r>
                            <w:r>
                              <w:rPr>
                                <w:b/>
                                <w:sz w:val="16"/>
                              </w:rPr>
                              <w:t>(2018)</w:t>
                            </w:r>
                          </w:p>
                          <w:p w14:paraId="3B64A8CE"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B82FE" id="_x0000_s1042" type="#_x0000_t202" style="position:absolute;margin-left:94.45pt;margin-top:220.8pt;width:177.65pt;height:25.2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ZIDwIAAPwDAAAOAAAAZHJzL2Uyb0RvYy54bWysU11v2yAUfZ+0/4B4Xxx7cdpaIVXXrtOk&#10;7kNq9wMIxjEacBmQ2Nmv3wUnWbS9TeMBAZd7uOecy+p2NJrspQ8KLKPlbE6JtAJaZbeMfnt5fHNN&#10;SYjctlyDlYweZKC369evVoNrZAU96FZ6giA2NINjtI/RNUURRC8NDzNw0mKwA294xK3fFq3nA6Ib&#10;XVTz+bIYwLfOg5Ah4OnDFKTrjN91UsQvXRdkJJpRrC3m2ed5k+ZiveLN1nPXK3Esg/9DFYYri4+e&#10;oR545GTn1V9QRgkPAbo4E2AK6DolZOaAbMr5H2yee+5k5oLiBHeWKfw/WPF5/9UT1TJa1VeUWG7Q&#10;pBc5RvIORlIlfQYXGrz27PBiHPEYfc5cg3sC8T0QC/c9t1t55z0MveQt1lemzOIidcIJCWQzfIIW&#10;n+G7CBlo7LxJ4qEcBNHRp8PZm1SKwMOqqpdlXVMiMPYWrV9k8wrenLKdD/GDBEPSglGP3md0vn8K&#10;MVXDm9OV9JiFR6V19l9bMjB6U1d1TriIGBWxPbUyjF7P05gaJpF8b9ucHLnS0xof0PbIOhGdKMdx&#10;M2aBy+VJzQ20B9TBw9SO+H1w0YP/ScmArcho+LHjXlKiP1rU8qZcIFkS82ZRX1W48ZeRzWWEW4FQ&#10;jEZKpuV9zP0+cb5DzTuV5UjmTJUca8YWyyodv0Pq4ct9vvX7065/AQAA//8DAFBLAwQUAAYACAAA&#10;ACEA8ZSdOt4AAAALAQAADwAAAGRycy9kb3ducmV2LnhtbEyPTU/DMAyG70j8h8hI3FiyKpva0nRC&#10;IK4gxofELWu8tqJxqiZby7/HnOD42o9eP652ix/EGafYBzKwXikQSE1wPbUG3l4fb3IQMVlydgiE&#10;Br4xwq6+vKhs6cJML3jep1ZwCcXSGuhSGkspY9Oht3EVRiTeHcPkbeI4tdJNduZyP8hMqa30tie+&#10;0NkR7ztsvvYnb+D96fj5odVz++A34xwWJckX0pjrq+XuFkTCJf3B8KvP6lCz0yGcyEUxcM7zglED&#10;Wq+3IJjYaJ2BOPCkyBTIupL/f6h/AAAA//8DAFBLAQItABQABgAIAAAAIQC2gziS/gAAAOEBAAAT&#10;AAAAAAAAAAAAAAAAAAAAAABbQ29udGVudF9UeXBlc10ueG1sUEsBAi0AFAAGAAgAAAAhADj9If/W&#10;AAAAlAEAAAsAAAAAAAAAAAAAAAAALwEAAF9yZWxzLy5yZWxzUEsBAi0AFAAGAAgAAAAhAGuMlkgP&#10;AgAA/AMAAA4AAAAAAAAAAAAAAAAALgIAAGRycy9lMm9Eb2MueG1sUEsBAi0AFAAGAAgAAAAhAPGU&#10;nTreAAAACwEAAA8AAAAAAAAAAAAAAAAAaQQAAGRycy9kb3ducmV2LnhtbFBLBQYAAAAABAAEAPMA&#10;AAB0BQAAAAA=&#10;" filled="f" stroked="f">
                <v:textbox>
                  <w:txbxContent>
                    <w:p w14:paraId="74AA1140" w14:textId="77777777" w:rsidR="00777EE0" w:rsidRPr="00B96922" w:rsidRDefault="00777EE0" w:rsidP="00A64E15">
                      <w:pPr>
                        <w:jc w:val="center"/>
                        <w:rPr>
                          <w:b/>
                          <w:sz w:val="16"/>
                        </w:rPr>
                      </w:pPr>
                      <w:r>
                        <w:rPr>
                          <w:b/>
                          <w:sz w:val="16"/>
                        </w:rPr>
                        <w:t>Source:</w:t>
                      </w:r>
                      <w:r w:rsidRPr="00B96922">
                        <w:rPr>
                          <w:b/>
                          <w:sz w:val="16"/>
                        </w:rPr>
                        <w:t xml:space="preserve"> </w:t>
                      </w:r>
                      <w:r>
                        <w:rPr>
                          <w:b/>
                          <w:sz w:val="16"/>
                        </w:rPr>
                        <w:t>EMCDDA</w:t>
                      </w:r>
                      <w:r w:rsidRPr="00B96922">
                        <w:rPr>
                          <w:b/>
                          <w:sz w:val="16"/>
                        </w:rPr>
                        <w:t xml:space="preserve"> </w:t>
                      </w:r>
                      <w:r>
                        <w:rPr>
                          <w:b/>
                          <w:sz w:val="16"/>
                        </w:rPr>
                        <w:t>(2018)</w:t>
                      </w:r>
                    </w:p>
                    <w:p w14:paraId="3B64A8CE" w14:textId="77777777" w:rsidR="00777EE0" w:rsidRPr="00B96922" w:rsidRDefault="00777EE0" w:rsidP="00A64E15">
                      <w:pPr>
                        <w:rPr>
                          <w:b/>
                          <w:sz w:val="20"/>
                          <w:szCs w:val="20"/>
                        </w:rPr>
                      </w:pPr>
                    </w:p>
                  </w:txbxContent>
                </v:textbox>
              </v:shape>
            </w:pict>
          </mc:Fallback>
        </mc:AlternateContent>
      </w:r>
    </w:p>
    <w:p w14:paraId="0F130878" w14:textId="77777777" w:rsidR="00874B78" w:rsidRPr="00D84AE4" w:rsidRDefault="00874B78" w:rsidP="00874B78">
      <w:pPr>
        <w:pStyle w:val="FigureHeading"/>
      </w:pPr>
      <w:bookmarkStart w:id="58" w:name="_Toc9509099"/>
      <w:r w:rsidRPr="00D84AE4">
        <w:t xml:space="preserve">Figure </w:t>
      </w:r>
      <w:r>
        <w:t>2-4. Illicit drug seizures in 2016</w:t>
      </w:r>
      <w:r>
        <w:br/>
        <w:t>Proportion of seizures by substance type</w:t>
      </w:r>
      <w:bookmarkEnd w:id="58"/>
    </w:p>
    <w:p w14:paraId="435F2DD5" w14:textId="01D1761A" w:rsidR="00874B78" w:rsidRDefault="00874B78" w:rsidP="00874B78">
      <w:pPr>
        <w:spacing w:line="240" w:lineRule="auto"/>
        <w:rPr>
          <w:lang w:val="en-US"/>
        </w:rPr>
      </w:pPr>
      <w:r>
        <w:rPr>
          <w:noProof/>
          <w:lang w:val="en-US" w:eastAsia="en-US"/>
        </w:rPr>
        <mc:AlternateContent>
          <mc:Choice Requires="cx1">
            <w:drawing>
              <wp:anchor distT="0" distB="0" distL="114300" distR="114300" simplePos="0" relativeHeight="252340224" behindDoc="0" locked="0" layoutInCell="1" allowOverlap="1" wp14:anchorId="35310E53" wp14:editId="5585D10D">
                <wp:simplePos x="0" y="0"/>
                <wp:positionH relativeFrom="column">
                  <wp:posOffset>112841</wp:posOffset>
                </wp:positionH>
                <wp:positionV relativeFrom="paragraph">
                  <wp:posOffset>222959</wp:posOffset>
                </wp:positionV>
                <wp:extent cx="2769870" cy="2565400"/>
                <wp:effectExtent l="0" t="0" r="11430" b="6350"/>
                <wp:wrapNone/>
                <wp:docPr id="26" name="Chart 26">
                  <a:extLst xmlns:a="http://schemas.openxmlformats.org/drawingml/2006/main">
                    <a:ext uri="{FF2B5EF4-FFF2-40B4-BE49-F238E27FC236}">
                      <a16:creationId xmlns:a16="http://schemas.microsoft.com/office/drawing/2014/main" id="{E7C3F244-10B7-4D6D-9CE3-743F6CFCA33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anchor>
            </w:drawing>
          </mc:Choice>
          <mc:Fallback>
            <w:drawing>
              <wp:anchor distT="0" distB="0" distL="114300" distR="114300" simplePos="0" relativeHeight="252340224" behindDoc="0" locked="0" layoutInCell="1" allowOverlap="1" wp14:anchorId="35310E53" wp14:editId="5585D10D">
                <wp:simplePos x="0" y="0"/>
                <wp:positionH relativeFrom="column">
                  <wp:posOffset>112841</wp:posOffset>
                </wp:positionH>
                <wp:positionV relativeFrom="paragraph">
                  <wp:posOffset>222959</wp:posOffset>
                </wp:positionV>
                <wp:extent cx="2769870" cy="2565400"/>
                <wp:effectExtent l="0" t="0" r="11430" b="6350"/>
                <wp:wrapNone/>
                <wp:docPr id="26" name="Chart 26">
                  <a:extLst xmlns:a="http://schemas.openxmlformats.org/drawingml/2006/main">
                    <a:ext uri="{FF2B5EF4-FFF2-40B4-BE49-F238E27FC236}">
                      <a16:creationId xmlns:a16="http://schemas.microsoft.com/office/drawing/2014/main" id="{E7C3F244-10B7-4D6D-9CE3-743F6CFCA33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Chart 26">
                          <a:extLst>
                            <a:ext uri="{FF2B5EF4-FFF2-40B4-BE49-F238E27FC236}">
                              <a16:creationId xmlns:a16="http://schemas.microsoft.com/office/drawing/2014/main" id="{E7C3F244-10B7-4D6D-9CE3-743F6CFCA33C}"/>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2769870" cy="2565400"/>
                        </a:xfrm>
                        <a:prstGeom prst="rect">
                          <a:avLst/>
                        </a:prstGeom>
                      </pic:spPr>
                    </pic:pic>
                  </a:graphicData>
                </a:graphic>
              </wp:anchor>
            </w:drawing>
          </mc:Fallback>
        </mc:AlternateContent>
      </w:r>
    </w:p>
    <w:p w14:paraId="0D4846D7" w14:textId="64EBE460" w:rsidR="00874B78" w:rsidRDefault="00874B78" w:rsidP="00874B78">
      <w:pPr>
        <w:spacing w:line="240" w:lineRule="auto"/>
        <w:rPr>
          <w:lang w:val="en-US"/>
        </w:rPr>
      </w:pPr>
    </w:p>
    <w:p w14:paraId="48A52445" w14:textId="4D8D8D14" w:rsidR="00874B78" w:rsidRDefault="00874B78" w:rsidP="00874B78">
      <w:pPr>
        <w:spacing w:line="240" w:lineRule="auto"/>
        <w:rPr>
          <w:lang w:val="en-US"/>
        </w:rPr>
      </w:pPr>
    </w:p>
    <w:p w14:paraId="3618BD05" w14:textId="6E184C19" w:rsidR="00874B78" w:rsidRDefault="00874B78" w:rsidP="00874B78">
      <w:pPr>
        <w:spacing w:line="240" w:lineRule="auto"/>
        <w:rPr>
          <w:lang w:val="en-US"/>
        </w:rPr>
      </w:pPr>
    </w:p>
    <w:p w14:paraId="352C3F69" w14:textId="29CEF74C" w:rsidR="00874B78" w:rsidRDefault="00874B78" w:rsidP="00874B78">
      <w:pPr>
        <w:spacing w:line="240" w:lineRule="auto"/>
        <w:rPr>
          <w:lang w:val="en-US"/>
        </w:rPr>
      </w:pPr>
    </w:p>
    <w:p w14:paraId="1F351EBD" w14:textId="3704C338" w:rsidR="00874B78" w:rsidRDefault="00874B78" w:rsidP="00874B78">
      <w:pPr>
        <w:spacing w:line="240" w:lineRule="auto"/>
        <w:rPr>
          <w:lang w:val="en-US"/>
        </w:rPr>
      </w:pPr>
    </w:p>
    <w:p w14:paraId="59E69A68" w14:textId="62ECE96A" w:rsidR="00874B78" w:rsidRDefault="00874B78" w:rsidP="00874B78">
      <w:pPr>
        <w:spacing w:line="240" w:lineRule="auto"/>
        <w:rPr>
          <w:lang w:val="en-US"/>
        </w:rPr>
      </w:pPr>
    </w:p>
    <w:p w14:paraId="6A09F30B" w14:textId="47C23598" w:rsidR="00874B78" w:rsidRDefault="00874B78" w:rsidP="00874B78">
      <w:pPr>
        <w:spacing w:line="240" w:lineRule="auto"/>
        <w:rPr>
          <w:lang w:val="en-US"/>
        </w:rPr>
      </w:pPr>
    </w:p>
    <w:p w14:paraId="7EB283B4" w14:textId="1963FA91" w:rsidR="00874B78" w:rsidRDefault="00874B78" w:rsidP="00874B78">
      <w:pPr>
        <w:spacing w:line="240" w:lineRule="auto"/>
        <w:rPr>
          <w:lang w:val="en-US"/>
        </w:rPr>
      </w:pPr>
    </w:p>
    <w:p w14:paraId="6A1A7CAA" w14:textId="77777777" w:rsidR="00874B78" w:rsidRDefault="00874B78" w:rsidP="00874B78">
      <w:pPr>
        <w:spacing w:line="240" w:lineRule="auto"/>
        <w:rPr>
          <w:lang w:val="en-US"/>
        </w:rPr>
        <w:sectPr w:rsidR="00874B78" w:rsidSect="00874B78">
          <w:type w:val="continuous"/>
          <w:pgSz w:w="11900" w:h="16840"/>
          <w:pgMar w:top="1418" w:right="1418" w:bottom="1418" w:left="1418" w:header="709" w:footer="709" w:gutter="0"/>
          <w:cols w:num="2" w:space="708"/>
          <w:docGrid w:linePitch="360"/>
        </w:sectPr>
      </w:pPr>
    </w:p>
    <w:p w14:paraId="24BAFFC6" w14:textId="77777777" w:rsidR="00874B78" w:rsidRDefault="00874B78" w:rsidP="00874B78">
      <w:pPr>
        <w:spacing w:line="240" w:lineRule="auto"/>
        <w:rPr>
          <w:lang w:val="en-US"/>
        </w:rPr>
        <w:sectPr w:rsidR="00874B78" w:rsidSect="00874B78">
          <w:type w:val="continuous"/>
          <w:pgSz w:w="11900" w:h="16840"/>
          <w:pgMar w:top="1418" w:right="1418" w:bottom="1418" w:left="1418" w:header="709" w:footer="709" w:gutter="0"/>
          <w:cols w:num="2" w:space="708"/>
          <w:docGrid w:linePitch="360"/>
        </w:sectPr>
      </w:pPr>
    </w:p>
    <w:p w14:paraId="2A3AEE84" w14:textId="3F5370FC" w:rsidR="00A64E15" w:rsidRPr="000464DC" w:rsidRDefault="00A64E15" w:rsidP="000464DC">
      <w:pPr>
        <w:pStyle w:val="Heading3"/>
      </w:pPr>
      <w:bookmarkStart w:id="59" w:name="_Toc9182732"/>
      <w:bookmarkStart w:id="60" w:name="_Toc35892502"/>
      <w:r w:rsidRPr="000464DC">
        <w:t>Synthetic cannabinoids</w:t>
      </w:r>
      <w:bookmarkEnd w:id="59"/>
      <w:bookmarkEnd w:id="60"/>
      <w:r w:rsidRPr="000464DC">
        <w:t xml:space="preserve"> </w:t>
      </w:r>
    </w:p>
    <w:p w14:paraId="31DD12EC" w14:textId="1E0BB5E7" w:rsidR="00A64E15" w:rsidRDefault="00A64E15" w:rsidP="00A64E15">
      <w:pPr>
        <w:spacing w:line="480" w:lineRule="auto"/>
        <w:rPr>
          <w:szCs w:val="24"/>
          <w:lang w:val="en-US"/>
        </w:rPr>
      </w:pPr>
      <w:r w:rsidRPr="00536F56">
        <w:rPr>
          <w:szCs w:val="24"/>
          <w:lang w:val="en-US"/>
        </w:rPr>
        <w:t>Synthetic cannabinoids mimi</w:t>
      </w:r>
      <w:r>
        <w:rPr>
          <w:szCs w:val="24"/>
          <w:lang w:val="en-US"/>
        </w:rPr>
        <w:t>c</w:t>
      </w:r>
      <w:r w:rsidRPr="00536F56">
        <w:rPr>
          <w:szCs w:val="24"/>
          <w:lang w:val="en-US"/>
        </w:rPr>
        <w:t xml:space="preserve"> the psychoactive element found in cannabis</w:t>
      </w:r>
      <w:r>
        <w:rPr>
          <w:szCs w:val="24"/>
          <w:lang w:val="en-US"/>
        </w:rPr>
        <w:t>. They are</w:t>
      </w:r>
      <w:r w:rsidRPr="00536F56">
        <w:rPr>
          <w:szCs w:val="24"/>
          <w:lang w:val="en-US"/>
        </w:rPr>
        <w:t xml:space="preserve"> import</w:t>
      </w:r>
      <w:r>
        <w:rPr>
          <w:szCs w:val="24"/>
          <w:lang w:val="en-US"/>
        </w:rPr>
        <w:t xml:space="preserve">ed into Europe from factories in China or India </w:t>
      </w:r>
      <w:r w:rsidR="00394D21">
        <w:rPr>
          <w:szCs w:val="24"/>
          <w:lang w:val="en-US"/>
        </w:rPr>
        <w:t>as</w:t>
      </w:r>
      <w:r w:rsidRPr="00536F56">
        <w:rPr>
          <w:szCs w:val="24"/>
          <w:lang w:val="en-US"/>
        </w:rPr>
        <w:t xml:space="preserve"> highly concentrated forms</w:t>
      </w:r>
      <w:r w:rsidR="00394D21">
        <w:rPr>
          <w:szCs w:val="24"/>
          <w:lang w:val="en-US"/>
        </w:rPr>
        <w:t>,</w:t>
      </w:r>
      <w:r w:rsidRPr="00536F56">
        <w:rPr>
          <w:szCs w:val="24"/>
          <w:lang w:val="en-US"/>
        </w:rPr>
        <w:t xml:space="preserve"> which are then sprayed onto plant materials, packaged and sold as smoking mixtures. </w:t>
      </w:r>
      <w:r>
        <w:rPr>
          <w:szCs w:val="24"/>
          <w:lang w:val="en-US"/>
        </w:rPr>
        <w:t>They are sold under numerous brand names, the most well-known being Spice and Black mamba. Despite the fact that the original Spice product was banned in 2009, over time, the name Spice has become generic slang for all synthetic cannabinoids. O</w:t>
      </w:r>
      <w:r w:rsidRPr="00536F56">
        <w:rPr>
          <w:szCs w:val="24"/>
          <w:lang w:val="en-US"/>
        </w:rPr>
        <w:t>riginally marketed as legal alternatives to natural cannabis products</w:t>
      </w:r>
      <w:r>
        <w:rPr>
          <w:szCs w:val="24"/>
          <w:lang w:val="en-US"/>
        </w:rPr>
        <w:t xml:space="preserve"> they were initially associated with recreational use as relaxants </w:t>
      </w:r>
      <w:r w:rsidRPr="002A6E3F">
        <w:rPr>
          <w:szCs w:val="24"/>
        </w:rPr>
        <w:t>(Vandrey et al., 2012</w:t>
      </w:r>
      <w:r w:rsidRPr="002A6E3F">
        <w:rPr>
          <w:szCs w:val="24"/>
          <w:lang w:val="en-US"/>
        </w:rPr>
        <w:t>) but</w:t>
      </w:r>
      <w:r>
        <w:rPr>
          <w:szCs w:val="24"/>
          <w:lang w:val="en-US"/>
        </w:rPr>
        <w:t xml:space="preserve"> are increasingly being used by </w:t>
      </w:r>
      <w:r w:rsidRPr="00536F56">
        <w:rPr>
          <w:szCs w:val="24"/>
          <w:lang w:val="en-US"/>
        </w:rPr>
        <w:t>more marginalised groups such as the homeless and prison inmates (</w:t>
      </w:r>
      <w:r w:rsidRPr="00B10CC6">
        <w:rPr>
          <w:szCs w:val="24"/>
          <w:lang w:eastAsia="en-GB"/>
        </w:rPr>
        <w:t xml:space="preserve">Bonar, Ashrafioun, </w:t>
      </w:r>
      <w:r>
        <w:rPr>
          <w:szCs w:val="24"/>
          <w:lang w:eastAsia="en-GB"/>
        </w:rPr>
        <w:t xml:space="preserve">&amp; </w:t>
      </w:r>
      <w:r w:rsidRPr="00B10CC6">
        <w:rPr>
          <w:szCs w:val="24"/>
          <w:lang w:eastAsia="en-GB"/>
        </w:rPr>
        <w:t>Ilgen 2014</w:t>
      </w:r>
      <w:r>
        <w:rPr>
          <w:rStyle w:val="NotesstructureChar"/>
          <w:color w:val="auto"/>
        </w:rPr>
        <w:t xml:space="preserve">; </w:t>
      </w:r>
      <w:r w:rsidRPr="00B10CC6">
        <w:rPr>
          <w:rStyle w:val="NotesstructureChar"/>
          <w:color w:val="auto"/>
          <w:lang w:eastAsia="en-GB"/>
        </w:rPr>
        <w:t>Scottish Prisoner Survey, 2017</w:t>
      </w:r>
      <w:r w:rsidR="00A61664">
        <w:rPr>
          <w:rStyle w:val="NotesstructureChar"/>
          <w:color w:val="auto"/>
          <w:lang w:eastAsia="en-GB"/>
        </w:rPr>
        <w:t>;</w:t>
      </w:r>
      <w:r w:rsidR="00A61664" w:rsidRPr="00A61664">
        <w:rPr>
          <w:rStyle w:val="NotesstructureChar"/>
          <w:color w:val="auto"/>
        </w:rPr>
        <w:t xml:space="preserve"> </w:t>
      </w:r>
      <w:r w:rsidR="00A61664" w:rsidRPr="00B10CC6">
        <w:rPr>
          <w:rStyle w:val="NotesstructureChar"/>
          <w:color w:val="auto"/>
        </w:rPr>
        <w:t>User Voice, 2016</w:t>
      </w:r>
      <w:r>
        <w:rPr>
          <w:rStyle w:val="NotesstructureChar"/>
          <w:color w:val="auto"/>
        </w:rPr>
        <w:t>)</w:t>
      </w:r>
      <w:r w:rsidRPr="00536F56">
        <w:rPr>
          <w:szCs w:val="24"/>
          <w:lang w:val="en-US"/>
        </w:rPr>
        <w:t>.</w:t>
      </w:r>
      <w:r>
        <w:rPr>
          <w:szCs w:val="24"/>
          <w:lang w:val="en-US"/>
        </w:rPr>
        <w:t xml:space="preserve"> Successive generations of increasingly potent synthetic cannabinoids have evolved in response to key substances being banned in 2009 and 2010 </w:t>
      </w:r>
      <w:r w:rsidRPr="00536F56">
        <w:rPr>
          <w:szCs w:val="24"/>
          <w:lang w:val="en-US"/>
        </w:rPr>
        <w:t>(</w:t>
      </w:r>
      <w:r>
        <w:rPr>
          <w:szCs w:val="24"/>
          <w:lang w:val="en-US"/>
        </w:rPr>
        <w:t>ACMD, 2011</w:t>
      </w:r>
      <w:r w:rsidRPr="00536F56">
        <w:rPr>
          <w:szCs w:val="24"/>
          <w:lang w:val="en-US"/>
        </w:rPr>
        <w:t>)</w:t>
      </w:r>
      <w:r>
        <w:rPr>
          <w:szCs w:val="24"/>
          <w:lang w:val="en-US"/>
        </w:rPr>
        <w:t xml:space="preserve"> and recently there have been reports of even greater increases in potency (DrugsWatch, 2018; EMCDDA, 2018). Although they appear to be the most commonly used NPS, the volume of synthetic cannabinoids in drug seizures has decreased in the last couple of years. Together with anecdotal reports that the quality of synthetic cannabinoids has been dropping, this suggests that they may be declining in popularity (</w:t>
      </w:r>
      <w:r w:rsidR="00A61664">
        <w:rPr>
          <w:szCs w:val="24"/>
          <w:lang w:val="en-US"/>
        </w:rPr>
        <w:t xml:space="preserve">DrugWise, 2017; </w:t>
      </w:r>
      <w:r>
        <w:rPr>
          <w:szCs w:val="24"/>
          <w:lang w:val="en-US"/>
        </w:rPr>
        <w:t>EMCDDA, 2018</w:t>
      </w:r>
      <w:bookmarkStart w:id="61" w:name="_Hlk9148055"/>
      <w:r>
        <w:rPr>
          <w:szCs w:val="24"/>
          <w:lang w:val="en-US"/>
        </w:rPr>
        <w:t>; Ralphs Gray &amp; Norton, 2017</w:t>
      </w:r>
      <w:bookmarkEnd w:id="61"/>
      <w:r>
        <w:rPr>
          <w:szCs w:val="24"/>
          <w:lang w:val="en-US"/>
        </w:rPr>
        <w:t xml:space="preserve">). </w:t>
      </w:r>
      <w:r w:rsidRPr="00536F56">
        <w:rPr>
          <w:szCs w:val="24"/>
          <w:lang w:val="en-US"/>
        </w:rPr>
        <w:t>Although prevalence appears to be</w:t>
      </w:r>
      <w:r>
        <w:rPr>
          <w:szCs w:val="24"/>
          <w:lang w:val="en-US"/>
        </w:rPr>
        <w:t xml:space="preserve"> relatively</w:t>
      </w:r>
      <w:r w:rsidRPr="00536F56">
        <w:rPr>
          <w:szCs w:val="24"/>
          <w:lang w:val="en-US"/>
        </w:rPr>
        <w:t xml:space="preserve"> low</w:t>
      </w:r>
      <w:r>
        <w:rPr>
          <w:szCs w:val="24"/>
          <w:lang w:val="en-US"/>
        </w:rPr>
        <w:t xml:space="preserve"> in comparison to natural cannabis</w:t>
      </w:r>
      <w:r w:rsidR="00394D21">
        <w:rPr>
          <w:szCs w:val="24"/>
          <w:lang w:val="en-US"/>
        </w:rPr>
        <w:t>,</w:t>
      </w:r>
      <w:r w:rsidRPr="00703B11">
        <w:rPr>
          <w:szCs w:val="24"/>
          <w:lang w:val="en-US"/>
        </w:rPr>
        <w:t xml:space="preserve"> </w:t>
      </w:r>
      <w:r w:rsidRPr="00536F56">
        <w:rPr>
          <w:szCs w:val="24"/>
          <w:lang w:val="en-US"/>
        </w:rPr>
        <w:t>their harm potential is thought to be considerable</w:t>
      </w:r>
      <w:r>
        <w:rPr>
          <w:szCs w:val="24"/>
          <w:lang w:val="en-US"/>
        </w:rPr>
        <w:t xml:space="preserve"> and</w:t>
      </w:r>
      <w:r w:rsidRPr="00536F56">
        <w:rPr>
          <w:szCs w:val="24"/>
          <w:lang w:val="en-US"/>
        </w:rPr>
        <w:t xml:space="preserve"> evidence now links synthetic cannabinoids to acute health harms </w:t>
      </w:r>
      <w:r>
        <w:rPr>
          <w:szCs w:val="24"/>
          <w:lang w:val="en-US"/>
        </w:rPr>
        <w:t xml:space="preserve">and death </w:t>
      </w:r>
      <w:r w:rsidRPr="00536F56">
        <w:rPr>
          <w:szCs w:val="24"/>
          <w:lang w:val="en-US"/>
        </w:rPr>
        <w:t xml:space="preserve">(EMCDDA, 2018). </w:t>
      </w:r>
    </w:p>
    <w:p w14:paraId="092BC0D4" w14:textId="6F1F3E5B" w:rsidR="00A64E15" w:rsidRPr="00CE5920" w:rsidRDefault="00A64E15" w:rsidP="000464DC">
      <w:pPr>
        <w:pStyle w:val="Heading3"/>
        <w:rPr>
          <w:lang w:val="en-US"/>
        </w:rPr>
      </w:pPr>
      <w:bookmarkStart w:id="62" w:name="_Toc9182733"/>
      <w:bookmarkStart w:id="63" w:name="_Toc35892503"/>
      <w:r w:rsidRPr="00536F56">
        <w:rPr>
          <w:lang w:val="en-US"/>
        </w:rPr>
        <w:t xml:space="preserve">Synthetic </w:t>
      </w:r>
      <w:r>
        <w:rPr>
          <w:lang w:val="en-US"/>
        </w:rPr>
        <w:t>stimulants and empathogens</w:t>
      </w:r>
      <w:bookmarkEnd w:id="62"/>
      <w:bookmarkEnd w:id="63"/>
      <w:r>
        <w:rPr>
          <w:lang w:val="en-US"/>
        </w:rPr>
        <w:t xml:space="preserve"> </w:t>
      </w:r>
    </w:p>
    <w:p w14:paraId="6E91375D" w14:textId="1509711D" w:rsidR="00A64E15" w:rsidRDefault="00A64E15" w:rsidP="00A64E15">
      <w:pPr>
        <w:tabs>
          <w:tab w:val="left" w:pos="5224"/>
        </w:tabs>
        <w:spacing w:line="480" w:lineRule="auto"/>
        <w:rPr>
          <w:szCs w:val="24"/>
          <w:lang w:val="en-US"/>
        </w:rPr>
      </w:pPr>
      <w:r w:rsidRPr="007C609A">
        <w:rPr>
          <w:szCs w:val="24"/>
          <w:lang w:val="en-US"/>
        </w:rPr>
        <w:t>Synthetic stimulants and empathogens are mostly made up of</w:t>
      </w:r>
      <w:r>
        <w:rPr>
          <w:b/>
          <w:szCs w:val="24"/>
          <w:lang w:val="en-US"/>
        </w:rPr>
        <w:t xml:space="preserve"> </w:t>
      </w:r>
      <w:r>
        <w:rPr>
          <w:szCs w:val="24"/>
          <w:lang w:val="en-US"/>
        </w:rPr>
        <w:t>s</w:t>
      </w:r>
      <w:r w:rsidRPr="00536F56">
        <w:rPr>
          <w:szCs w:val="24"/>
          <w:lang w:val="en-US"/>
        </w:rPr>
        <w:t>ynthetic cathinones</w:t>
      </w:r>
      <w:r>
        <w:rPr>
          <w:szCs w:val="24"/>
          <w:lang w:val="en-US"/>
        </w:rPr>
        <w:t xml:space="preserve"> and to a lesser extent, </w:t>
      </w:r>
      <w:r w:rsidRPr="00B5035A">
        <w:t>substituted piperazines</w:t>
      </w:r>
      <w:r>
        <w:t xml:space="preserve"> </w:t>
      </w:r>
      <w:r w:rsidRPr="00B5035A">
        <w:t>and tryptamines</w:t>
      </w:r>
      <w:r>
        <w:t xml:space="preserve">. These NPS </w:t>
      </w:r>
      <w:r>
        <w:rPr>
          <w:szCs w:val="24"/>
          <w:lang w:val="en-US"/>
        </w:rPr>
        <w:t>have</w:t>
      </w:r>
      <w:r>
        <w:rPr>
          <w:b/>
          <w:szCs w:val="24"/>
          <w:lang w:val="en-US"/>
        </w:rPr>
        <w:t xml:space="preserve"> </w:t>
      </w:r>
      <w:r w:rsidRPr="00536F56">
        <w:rPr>
          <w:szCs w:val="24"/>
          <w:lang w:val="en-US"/>
        </w:rPr>
        <w:t xml:space="preserve">similar effects to amphetamines, cocaine and </w:t>
      </w:r>
      <w:r>
        <w:rPr>
          <w:szCs w:val="24"/>
          <w:lang w:val="en-US"/>
        </w:rPr>
        <w:t>ecstasy</w:t>
      </w:r>
      <w:r w:rsidRPr="00536F56">
        <w:rPr>
          <w:szCs w:val="24"/>
          <w:lang w:val="en-US"/>
        </w:rPr>
        <w:t xml:space="preserve">. They </w:t>
      </w:r>
      <w:r>
        <w:rPr>
          <w:szCs w:val="24"/>
          <w:lang w:val="en-US"/>
        </w:rPr>
        <w:t xml:space="preserve">make up </w:t>
      </w:r>
      <w:r w:rsidRPr="00536F56">
        <w:rPr>
          <w:szCs w:val="24"/>
          <w:lang w:val="en-US"/>
        </w:rPr>
        <w:t>the second</w:t>
      </w:r>
      <w:r w:rsidR="00394D21">
        <w:rPr>
          <w:szCs w:val="24"/>
          <w:lang w:val="en-US"/>
        </w:rPr>
        <w:t>-</w:t>
      </w:r>
      <w:r w:rsidRPr="00536F56">
        <w:rPr>
          <w:szCs w:val="24"/>
          <w:lang w:val="en-US"/>
        </w:rPr>
        <w:t>largest group of NPS</w:t>
      </w:r>
      <w:r>
        <w:t xml:space="preserve"> </w:t>
      </w:r>
      <w:r>
        <w:rPr>
          <w:szCs w:val="24"/>
          <w:lang w:val="en-US"/>
        </w:rPr>
        <w:t>and a</w:t>
      </w:r>
      <w:r w:rsidRPr="00536F56">
        <w:rPr>
          <w:szCs w:val="24"/>
          <w:lang w:val="en-US"/>
        </w:rPr>
        <w:t xml:space="preserve">lthough overall </w:t>
      </w:r>
      <w:r>
        <w:rPr>
          <w:szCs w:val="24"/>
          <w:lang w:val="en-US"/>
        </w:rPr>
        <w:t xml:space="preserve">numbers of </w:t>
      </w:r>
      <w:r w:rsidRPr="00536F56">
        <w:rPr>
          <w:szCs w:val="24"/>
          <w:lang w:val="en-US"/>
        </w:rPr>
        <w:t>seizures</w:t>
      </w:r>
      <w:r>
        <w:rPr>
          <w:szCs w:val="24"/>
          <w:lang w:val="en-US"/>
        </w:rPr>
        <w:t xml:space="preserve"> of NPS</w:t>
      </w:r>
      <w:r w:rsidRPr="00536F56">
        <w:rPr>
          <w:szCs w:val="24"/>
          <w:lang w:val="en-US"/>
        </w:rPr>
        <w:t xml:space="preserve"> </w:t>
      </w:r>
      <w:r>
        <w:rPr>
          <w:szCs w:val="24"/>
          <w:lang w:val="en-US"/>
        </w:rPr>
        <w:t>have decreased in 2016 and 20017</w:t>
      </w:r>
      <w:r w:rsidRPr="00536F56">
        <w:rPr>
          <w:szCs w:val="24"/>
          <w:lang w:val="en-US"/>
        </w:rPr>
        <w:t xml:space="preserve">, </w:t>
      </w:r>
      <w:r>
        <w:rPr>
          <w:szCs w:val="24"/>
          <w:lang w:val="en-US"/>
        </w:rPr>
        <w:t xml:space="preserve">the </w:t>
      </w:r>
      <w:r w:rsidRPr="00536F56">
        <w:rPr>
          <w:szCs w:val="24"/>
          <w:lang w:val="en-US"/>
        </w:rPr>
        <w:t xml:space="preserve">quantities of </w:t>
      </w:r>
      <w:r>
        <w:rPr>
          <w:szCs w:val="24"/>
          <w:lang w:val="en-US"/>
        </w:rPr>
        <w:t>stimulants/ empathogens have increased during this time which suggests they may be growing in popularity</w:t>
      </w:r>
      <w:r>
        <w:t xml:space="preserve"> (EMCDDA, 2018). Usually sold as powders and pills, </w:t>
      </w:r>
      <w:r w:rsidRPr="007D7852">
        <w:rPr>
          <w:szCs w:val="24"/>
          <w:lang w:val="en-US"/>
        </w:rPr>
        <w:t xml:space="preserve">synthetic stimulants and empathogens </w:t>
      </w:r>
      <w:r w:rsidRPr="007D7852">
        <w:t xml:space="preserve">are typically used on nights out and associated with extended </w:t>
      </w:r>
      <w:r w:rsidRPr="00685917">
        <w:rPr>
          <w:color w:val="000000" w:themeColor="text1"/>
        </w:rPr>
        <w:t xml:space="preserve">periods of socialising and dancing (Butler </w:t>
      </w:r>
      <w:r w:rsidR="006E065C">
        <w:rPr>
          <w:color w:val="000000" w:themeColor="text1"/>
        </w:rPr>
        <w:t>&amp;</w:t>
      </w:r>
      <w:r w:rsidRPr="00685917">
        <w:rPr>
          <w:color w:val="000000" w:themeColor="text1"/>
        </w:rPr>
        <w:t xml:space="preserve"> Sheridan, 2009</w:t>
      </w:r>
      <w:r w:rsidR="00A61664" w:rsidRPr="00685917">
        <w:rPr>
          <w:color w:val="000000" w:themeColor="text1"/>
        </w:rPr>
        <w:t>; Drugscope, 2014</w:t>
      </w:r>
      <w:r w:rsidRPr="00685917">
        <w:rPr>
          <w:color w:val="000000" w:themeColor="text1"/>
        </w:rPr>
        <w:t>; Kelleher et al., 2011; Winstock et al., 2010). However,</w:t>
      </w:r>
      <w:r w:rsidRPr="00685917">
        <w:rPr>
          <w:color w:val="000000" w:themeColor="text1"/>
          <w:szCs w:val="24"/>
          <w:lang w:val="en-US"/>
        </w:rPr>
        <w:t xml:space="preserve"> they </w:t>
      </w:r>
      <w:r w:rsidRPr="007D7852">
        <w:rPr>
          <w:szCs w:val="24"/>
          <w:lang w:val="en-US"/>
        </w:rPr>
        <w:t>are increasingly being used by opioid and</w:t>
      </w:r>
      <w:r w:rsidRPr="00536F56">
        <w:rPr>
          <w:szCs w:val="24"/>
          <w:lang w:val="en-US"/>
        </w:rPr>
        <w:t xml:space="preserve"> stimulant injectors (EMCDDA, 2018).</w:t>
      </w:r>
      <w:r>
        <w:rPr>
          <w:szCs w:val="24"/>
          <w:lang w:val="en-US"/>
        </w:rPr>
        <w:t xml:space="preserve"> The most well-known synthetic cathinone is mephedrone, but as noted earlier, as a first</w:t>
      </w:r>
      <w:r w:rsidR="00394D21">
        <w:rPr>
          <w:szCs w:val="24"/>
          <w:lang w:val="en-US"/>
        </w:rPr>
        <w:t>-</w:t>
      </w:r>
      <w:r>
        <w:rPr>
          <w:szCs w:val="24"/>
          <w:lang w:val="en-US"/>
        </w:rPr>
        <w:t xml:space="preserve">generation NPS controlled since 2010, mephedrone is often, but not always, excluded from analyses of NPS. Similarly, another popular early stimulant, Benzylpiperazine (BZP), a substituted piperazine controlled in 2009 is inconsistently included as an NPS. Other notable synthetic stimulants include MPDV, NRG-1 and Benzo Fury. However, in many regions of the UK the sang term Bubble has been taken up as </w:t>
      </w:r>
      <w:r w:rsidR="00394D21">
        <w:rPr>
          <w:szCs w:val="24"/>
          <w:lang w:val="en-US"/>
        </w:rPr>
        <w:t xml:space="preserve">a </w:t>
      </w:r>
      <w:r>
        <w:rPr>
          <w:szCs w:val="24"/>
          <w:lang w:val="en-US"/>
        </w:rPr>
        <w:t>catch-all term for synthetic stimulants or any generic white powder (DrugScope, 2014).</w:t>
      </w:r>
    </w:p>
    <w:p w14:paraId="5405ED62" w14:textId="16DDECAA" w:rsidR="00A64E15" w:rsidRDefault="00A64E15" w:rsidP="000464DC">
      <w:pPr>
        <w:pStyle w:val="Heading3"/>
      </w:pPr>
      <w:bookmarkStart w:id="64" w:name="_Toc9182734"/>
      <w:bookmarkStart w:id="65" w:name="_Toc35892504"/>
      <w:r>
        <w:t>Synthetic dissociatives and NOS</w:t>
      </w:r>
      <w:bookmarkEnd w:id="64"/>
      <w:bookmarkEnd w:id="65"/>
      <w:r>
        <w:t xml:space="preserve"> </w:t>
      </w:r>
    </w:p>
    <w:p w14:paraId="0270B986" w14:textId="47105CBF" w:rsidR="00A64E15" w:rsidRPr="00800AA6" w:rsidRDefault="00A64E15" w:rsidP="00A64E15">
      <w:pPr>
        <w:spacing w:line="480" w:lineRule="auto"/>
        <w:rPr>
          <w:color w:val="000000" w:themeColor="text1"/>
          <w:szCs w:val="24"/>
          <w:lang w:val="en-US"/>
        </w:rPr>
      </w:pPr>
      <w:r>
        <w:t xml:space="preserve">Generally, synthetic dissociatives related to ketamine such as methoxetamine also </w:t>
      </w:r>
      <w:r w:rsidRPr="00330A4E">
        <w:rPr>
          <w:szCs w:val="24"/>
          <w:lang w:val="en-US"/>
        </w:rPr>
        <w:t xml:space="preserve">make up </w:t>
      </w:r>
      <w:r>
        <w:rPr>
          <w:szCs w:val="24"/>
          <w:lang w:val="en-US"/>
        </w:rPr>
        <w:t xml:space="preserve">only </w:t>
      </w:r>
      <w:r w:rsidRPr="00330A4E">
        <w:rPr>
          <w:szCs w:val="24"/>
          <w:lang w:val="en-US"/>
        </w:rPr>
        <w:t>a small proportion of NPS</w:t>
      </w:r>
      <w:r>
        <w:rPr>
          <w:szCs w:val="24"/>
          <w:lang w:val="en-US"/>
        </w:rPr>
        <w:t>. However, one quite different type of dissociative, nitrous oxide, is reported to have high prevalence rates, particularly with young people (CSEW, 2014). Despite being a volatile substance that has been in use as an an</w:t>
      </w:r>
      <w:r w:rsidR="00394D21">
        <w:rPr>
          <w:szCs w:val="24"/>
          <w:lang w:val="en-US"/>
        </w:rPr>
        <w:t>a</w:t>
      </w:r>
      <w:r>
        <w:rPr>
          <w:szCs w:val="24"/>
          <w:lang w:val="en-US"/>
        </w:rPr>
        <w:t>esthetic and aerosol for many years, nitrous oxide</w:t>
      </w:r>
      <w:r w:rsidRPr="003704CD">
        <w:rPr>
          <w:szCs w:val="24"/>
          <w:lang w:val="en-US"/>
        </w:rPr>
        <w:t xml:space="preserve"> </w:t>
      </w:r>
      <w:r>
        <w:rPr>
          <w:szCs w:val="24"/>
          <w:lang w:val="en-US"/>
        </w:rPr>
        <w:t>is frequently, but not always, included within the category of NPS as it is a recreational drug that can be legally obtained.</w:t>
      </w:r>
      <w:r w:rsidRPr="009E36DB">
        <w:rPr>
          <w:szCs w:val="24"/>
          <w:lang w:val="en-US"/>
        </w:rPr>
        <w:t xml:space="preserve"> </w:t>
      </w:r>
      <w:r>
        <w:rPr>
          <w:szCs w:val="24"/>
          <w:lang w:val="en-US"/>
        </w:rPr>
        <w:t xml:space="preserve">Although it is a controlled substance which is illegal to sell for recreational purposes, it is legal for catering companies to sell it due to its use as a propellant in the catering industry. Also known as NOS, nitrous oxide is a gas which when used recreationally is typically inhaled from balloons inflated from pressured canisters. Its effects are short-lived, and its harm potential is low compared with </w:t>
      </w:r>
      <w:r w:rsidRPr="00800AA6">
        <w:rPr>
          <w:color w:val="000000" w:themeColor="text1"/>
          <w:szCs w:val="24"/>
          <w:lang w:val="en-US"/>
        </w:rPr>
        <w:t xml:space="preserve">other drugs </w:t>
      </w:r>
      <w:r w:rsidRPr="00800AA6">
        <w:rPr>
          <w:rStyle w:val="NotesstructureChar"/>
          <w:color w:val="000000" w:themeColor="text1"/>
        </w:rPr>
        <w:t>(Winstock et. al., 2010).</w:t>
      </w:r>
      <w:r w:rsidRPr="00800AA6">
        <w:rPr>
          <w:color w:val="000000" w:themeColor="text1"/>
          <w:szCs w:val="24"/>
          <w:lang w:val="en-US"/>
        </w:rPr>
        <w:t xml:space="preserve"> </w:t>
      </w:r>
    </w:p>
    <w:p w14:paraId="3989F2E4" w14:textId="694945AD" w:rsidR="00A64E15" w:rsidRDefault="00A64E15" w:rsidP="000464DC">
      <w:pPr>
        <w:pStyle w:val="Heading3"/>
      </w:pPr>
      <w:bookmarkStart w:id="66" w:name="_Toc9182735"/>
      <w:bookmarkStart w:id="67" w:name="_Toc35892505"/>
      <w:r>
        <w:t>Synthetic psychedelics, opioids and depressants</w:t>
      </w:r>
      <w:bookmarkEnd w:id="66"/>
      <w:bookmarkEnd w:id="67"/>
      <w:r>
        <w:t xml:space="preserve"> </w:t>
      </w:r>
    </w:p>
    <w:p w14:paraId="7C37EAEB" w14:textId="77777777" w:rsidR="00A64E15" w:rsidRDefault="00A64E15" w:rsidP="00A64E15">
      <w:pPr>
        <w:spacing w:line="480" w:lineRule="auto"/>
        <w:rPr>
          <w:szCs w:val="24"/>
          <w:lang w:val="en-US"/>
        </w:rPr>
      </w:pPr>
      <w:r>
        <w:t>Other synthetic substances appear to make up a relatively small proportion of NPS and are less prominent in the literature. Synthetic p</w:t>
      </w:r>
      <w:r w:rsidRPr="00B5035A">
        <w:t>sychedelics</w:t>
      </w:r>
      <w:r w:rsidRPr="00AE6947">
        <w:t xml:space="preserve"> </w:t>
      </w:r>
      <w:r w:rsidRPr="0044674D">
        <w:t>emulate the effects of LSD</w:t>
      </w:r>
      <w:r>
        <w:t xml:space="preserve"> and</w:t>
      </w:r>
      <w:r w:rsidRPr="00B5035A">
        <w:t xml:space="preserve"> are known for promoting a sense of spiritual connection, heightened senses and visual and auditory hallucinations (Corazza, 2011). </w:t>
      </w:r>
      <w:r>
        <w:t>Although prevalence is low, there are concerns about the relatively high toxicity of some synthetic p</w:t>
      </w:r>
      <w:r w:rsidRPr="00B5035A">
        <w:t>sychedelics</w:t>
      </w:r>
      <w:r>
        <w:t xml:space="preserve"> such as 25i-NBOMe and Bromo-dragonfly </w:t>
      </w:r>
      <w:r w:rsidRPr="00CA4348">
        <w:rPr>
          <w:rStyle w:val="NotesstructureChar"/>
          <w:color w:val="auto"/>
        </w:rPr>
        <w:t xml:space="preserve">(Corazza, 2011). Similarly, </w:t>
      </w:r>
      <w:r w:rsidRPr="00CA4348">
        <w:rPr>
          <w:szCs w:val="24"/>
          <w:lang w:val="en-US"/>
        </w:rPr>
        <w:t xml:space="preserve">synthetic </w:t>
      </w:r>
      <w:r w:rsidRPr="00536F56">
        <w:rPr>
          <w:szCs w:val="24"/>
          <w:lang w:val="en-US"/>
        </w:rPr>
        <w:t>opioids show low rates of prevalence</w:t>
      </w:r>
      <w:r>
        <w:rPr>
          <w:szCs w:val="24"/>
          <w:lang w:val="en-US"/>
        </w:rPr>
        <w:t>, but the high harm potential of</w:t>
      </w:r>
      <w:r w:rsidRPr="00536F56">
        <w:rPr>
          <w:szCs w:val="24"/>
          <w:lang w:val="en-US"/>
        </w:rPr>
        <w:t xml:space="preserve"> </w:t>
      </w:r>
      <w:r>
        <w:rPr>
          <w:szCs w:val="24"/>
          <w:lang w:val="en-US"/>
        </w:rPr>
        <w:t>some</w:t>
      </w:r>
      <w:r w:rsidRPr="00536F56">
        <w:rPr>
          <w:szCs w:val="24"/>
          <w:lang w:val="en-US"/>
        </w:rPr>
        <w:t xml:space="preserve"> opioids</w:t>
      </w:r>
      <w:r>
        <w:rPr>
          <w:szCs w:val="24"/>
          <w:lang w:val="en-US"/>
        </w:rPr>
        <w:t xml:space="preserve"> and their increasing popularity</w:t>
      </w:r>
      <w:r w:rsidRPr="00536F56">
        <w:rPr>
          <w:szCs w:val="24"/>
          <w:lang w:val="en-US"/>
        </w:rPr>
        <w:t xml:space="preserve">, in particular fentanyls, </w:t>
      </w:r>
      <w:r>
        <w:rPr>
          <w:szCs w:val="24"/>
          <w:lang w:val="en-US"/>
        </w:rPr>
        <w:t>are a cause for concern (EMCDDA, 2018)</w:t>
      </w:r>
      <w:r w:rsidRPr="00536F56">
        <w:rPr>
          <w:szCs w:val="24"/>
          <w:lang w:val="en-US"/>
        </w:rPr>
        <w:t xml:space="preserve">. </w:t>
      </w:r>
      <w:r>
        <w:rPr>
          <w:szCs w:val="24"/>
          <w:lang w:val="en-US"/>
        </w:rPr>
        <w:t xml:space="preserve">Another group of drugs with low but rising prevalence </w:t>
      </w:r>
      <w:r w:rsidRPr="00541E59">
        <w:t xml:space="preserve">associated with high-risk drug use </w:t>
      </w:r>
      <w:r>
        <w:rPr>
          <w:szCs w:val="24"/>
          <w:lang w:val="en-US"/>
        </w:rPr>
        <w:t xml:space="preserve">are the synthetic depressants, </w:t>
      </w:r>
      <w:r w:rsidRPr="00541E59">
        <w:t>benzodiazepines</w:t>
      </w:r>
      <w:r>
        <w:rPr>
          <w:szCs w:val="24"/>
          <w:lang w:val="en-US"/>
        </w:rPr>
        <w:t xml:space="preserve"> </w:t>
      </w:r>
      <w:r w:rsidRPr="00541E59">
        <w:t>(EMCDDA, 2018).</w:t>
      </w:r>
      <w:r w:rsidRPr="00971B34">
        <w:rPr>
          <w:szCs w:val="24"/>
          <w:lang w:val="en-US"/>
        </w:rPr>
        <w:t xml:space="preserve"> </w:t>
      </w:r>
    </w:p>
    <w:p w14:paraId="083C4544" w14:textId="053353F8" w:rsidR="00A64E15" w:rsidRPr="00F34144" w:rsidRDefault="00A64E15" w:rsidP="000464DC">
      <w:pPr>
        <w:pStyle w:val="Heading3"/>
        <w:rPr>
          <w:lang w:val="en-US"/>
        </w:rPr>
      </w:pPr>
      <w:bookmarkStart w:id="68" w:name="_Toc9182736"/>
      <w:bookmarkStart w:id="69" w:name="_Toc35892506"/>
      <w:r>
        <w:rPr>
          <w:lang w:val="en-US"/>
        </w:rPr>
        <w:t>Implications of NPS diversity for interventions</w:t>
      </w:r>
      <w:bookmarkEnd w:id="68"/>
      <w:bookmarkEnd w:id="69"/>
    </w:p>
    <w:p w14:paraId="0B39F9FA" w14:textId="77777777" w:rsidR="00A64E15" w:rsidRPr="00126E49" w:rsidRDefault="00A64E15" w:rsidP="00A64E15">
      <w:pPr>
        <w:tabs>
          <w:tab w:val="left" w:pos="5224"/>
        </w:tabs>
        <w:spacing w:line="480" w:lineRule="auto"/>
        <w:rPr>
          <w:szCs w:val="24"/>
        </w:rPr>
      </w:pPr>
      <w:r>
        <w:rPr>
          <w:szCs w:val="24"/>
        </w:rPr>
        <w:t xml:space="preserve">Although they are often treated as a single category of drug, NPS are, in fact, a diverse group of psychoactive substances comprising analogues of each of the popular traditional illicit drugs. While it is widely recognised that users have a variety of different motivations for using the traditional illicit drug which NPS emulate, people’s motivations for using the different types of NPS are rarely considered. Understanding how young people’s attitudes and motivations interact with the different types of substances would be beneficial for intervention development. It is important that interventions take account of the heterogeneity of NPS as the diversity of the market has important implications for drugs education. The proliferation and diversity of psychoactive substances identified in seizures indicates that </w:t>
      </w:r>
      <w:r>
        <w:t xml:space="preserve">young people encountering psychoactive drugs are now increasingly likely to come across products containing unknown ingredients which they may not be able to identify correctly. Consequently, interventions using educational approaches based on connecting harms information with specific substances may become less relevant, while those focusing on strategies for dealing with unknown substances may increase in relevance.   </w:t>
      </w:r>
    </w:p>
    <w:p w14:paraId="4A37AF1B" w14:textId="2EEEF551" w:rsidR="00A64E15" w:rsidRPr="0087154D" w:rsidRDefault="00A64E15" w:rsidP="000464DC">
      <w:pPr>
        <w:pStyle w:val="Heading3"/>
        <w:rPr>
          <w:rStyle w:val="NotesstructureChar"/>
          <w:color w:val="auto"/>
          <w:szCs w:val="24"/>
        </w:rPr>
      </w:pPr>
      <w:bookmarkStart w:id="70" w:name="_Toc9182737"/>
      <w:bookmarkStart w:id="71" w:name="_Toc35892507"/>
      <w:r>
        <w:t>G</w:t>
      </w:r>
      <w:r w:rsidRPr="001D5280">
        <w:t>rowth of the legal highs market</w:t>
      </w:r>
      <w:bookmarkEnd w:id="70"/>
      <w:bookmarkEnd w:id="71"/>
    </w:p>
    <w:p w14:paraId="55457CFE" w14:textId="4285D506" w:rsidR="00A64E15" w:rsidRPr="001D5280" w:rsidRDefault="00A64E15" w:rsidP="00A64E15">
      <w:pPr>
        <w:spacing w:line="480" w:lineRule="auto"/>
        <w:rPr>
          <w:b/>
          <w:szCs w:val="24"/>
        </w:rPr>
      </w:pPr>
      <w:r>
        <w:t>The growth of the NPS market has much to do with the insufficiency of traditional forms of drug control to keep up with advances in the manufacturing and distribution of psychoactive substances. With drug laws developed in response to a slow</w:t>
      </w:r>
      <w:r w:rsidR="00394D21">
        <w:t>-</w:t>
      </w:r>
      <w:r>
        <w:t>moving and decades-long stable market for predominantly plant</w:t>
      </w:r>
      <w:r w:rsidR="00394D21">
        <w:t>-</w:t>
      </w:r>
      <w:r>
        <w:t>based drugs, legislative procedures have been ill</w:t>
      </w:r>
      <w:r w:rsidR="00394D21">
        <w:t>-</w:t>
      </w:r>
      <w:r>
        <w:t xml:space="preserve">equipped to handle the innovation and flexibility of modern lab-based production methods. </w:t>
      </w:r>
    </w:p>
    <w:p w14:paraId="65D90279" w14:textId="131C5043" w:rsidR="00A64E15" w:rsidRPr="001D5280" w:rsidRDefault="00A64E15" w:rsidP="00A64E15">
      <w:pPr>
        <w:spacing w:line="480" w:lineRule="auto"/>
        <w:rPr>
          <w:szCs w:val="28"/>
          <w:lang w:val="en-US"/>
        </w:rPr>
      </w:pPr>
      <w:r w:rsidRPr="001D5280">
        <w:rPr>
          <w:szCs w:val="24"/>
        </w:rPr>
        <w:t xml:space="preserve">The </w:t>
      </w:r>
      <w:r w:rsidRPr="001D5280">
        <w:rPr>
          <w:szCs w:val="24"/>
          <w:lang w:val="en-US"/>
        </w:rPr>
        <w:t xml:space="preserve">development of NPS was made possible </w:t>
      </w:r>
      <w:r>
        <w:rPr>
          <w:szCs w:val="24"/>
          <w:lang w:val="en-US"/>
        </w:rPr>
        <w:t>with</w:t>
      </w:r>
      <w:r w:rsidRPr="001D5280">
        <w:rPr>
          <w:szCs w:val="24"/>
          <w:lang w:val="en-US"/>
        </w:rPr>
        <w:t xml:space="preserve"> </w:t>
      </w:r>
      <w:r>
        <w:rPr>
          <w:szCs w:val="24"/>
          <w:lang w:val="en-US"/>
        </w:rPr>
        <w:t xml:space="preserve">the emergence of the </w:t>
      </w:r>
      <w:r w:rsidRPr="001D5280">
        <w:rPr>
          <w:szCs w:val="24"/>
          <w:lang w:val="en-US"/>
        </w:rPr>
        <w:t>internet combined with the advances in technology, equipment and education that accompanied the growth of the pharmaceutical industry. Resourceful entrepreneurs capitalised</w:t>
      </w:r>
      <w:r w:rsidRPr="001D5280">
        <w:rPr>
          <w:szCs w:val="28"/>
          <w:lang w:val="en-US"/>
        </w:rPr>
        <w:t xml:space="preserve"> on these advances, developing </w:t>
      </w:r>
      <w:r>
        <w:rPr>
          <w:szCs w:val="28"/>
          <w:lang w:val="en-US"/>
        </w:rPr>
        <w:t>drugs</w:t>
      </w:r>
      <w:r w:rsidRPr="001D5280">
        <w:rPr>
          <w:szCs w:val="28"/>
          <w:lang w:val="en-US"/>
        </w:rPr>
        <w:t xml:space="preserve"> that could be produced </w:t>
      </w:r>
      <w:r>
        <w:rPr>
          <w:szCs w:val="28"/>
          <w:lang w:val="en-US"/>
        </w:rPr>
        <w:t xml:space="preserve">in bulk cheaply and </w:t>
      </w:r>
      <w:r w:rsidRPr="001D5280">
        <w:rPr>
          <w:szCs w:val="28"/>
          <w:lang w:val="en-US"/>
        </w:rPr>
        <w:t>rapidly</w:t>
      </w:r>
      <w:r>
        <w:rPr>
          <w:szCs w:val="28"/>
          <w:lang w:val="en-US"/>
        </w:rPr>
        <w:t xml:space="preserve"> </w:t>
      </w:r>
      <w:r w:rsidRPr="001D5280">
        <w:rPr>
          <w:szCs w:val="28"/>
          <w:lang w:val="en-US"/>
        </w:rPr>
        <w:t xml:space="preserve">in </w:t>
      </w:r>
      <w:r>
        <w:rPr>
          <w:szCs w:val="28"/>
          <w:lang w:val="en-US"/>
        </w:rPr>
        <w:t xml:space="preserve">overseas </w:t>
      </w:r>
      <w:r w:rsidRPr="001D5280">
        <w:rPr>
          <w:szCs w:val="28"/>
          <w:lang w:val="en-US"/>
        </w:rPr>
        <w:t xml:space="preserve">laboratories </w:t>
      </w:r>
      <w:r>
        <w:rPr>
          <w:szCs w:val="28"/>
          <w:lang w:val="en-US"/>
        </w:rPr>
        <w:t>while</w:t>
      </w:r>
      <w:r w:rsidRPr="001D5280">
        <w:rPr>
          <w:color w:val="000000"/>
          <w:szCs w:val="28"/>
        </w:rPr>
        <w:t xml:space="preserve"> us</w:t>
      </w:r>
      <w:r>
        <w:rPr>
          <w:color w:val="000000"/>
          <w:szCs w:val="28"/>
        </w:rPr>
        <w:t>ing</w:t>
      </w:r>
      <w:r w:rsidRPr="001D5280">
        <w:rPr>
          <w:color w:val="000000"/>
          <w:szCs w:val="28"/>
        </w:rPr>
        <w:t xml:space="preserve"> websites to access a global pool of customers with relatively low financial or legal risk </w:t>
      </w:r>
      <w:r w:rsidRPr="001D5280">
        <w:rPr>
          <w:szCs w:val="28"/>
          <w:lang w:val="en-US"/>
        </w:rPr>
        <w:t>(</w:t>
      </w:r>
      <w:r w:rsidR="00A61664" w:rsidRPr="001D5280">
        <w:rPr>
          <w:color w:val="000000"/>
          <w:szCs w:val="28"/>
        </w:rPr>
        <w:t>Kelleher et al</w:t>
      </w:r>
      <w:r w:rsidR="00A61664">
        <w:rPr>
          <w:color w:val="000000"/>
          <w:szCs w:val="28"/>
        </w:rPr>
        <w:t>.</w:t>
      </w:r>
      <w:r w:rsidR="00A61664" w:rsidRPr="001D5280">
        <w:rPr>
          <w:color w:val="000000"/>
          <w:szCs w:val="28"/>
        </w:rPr>
        <w:t>, 2011</w:t>
      </w:r>
      <w:r w:rsidR="00A61664">
        <w:rPr>
          <w:color w:val="000000"/>
          <w:szCs w:val="28"/>
        </w:rPr>
        <w:t xml:space="preserve">; </w:t>
      </w:r>
      <w:r w:rsidRPr="001D5280">
        <w:rPr>
          <w:szCs w:val="28"/>
          <w:lang w:val="en-US"/>
        </w:rPr>
        <w:t>Psychonaut WebMapping Research Group, 2009</w:t>
      </w:r>
      <w:r w:rsidRPr="001D5280">
        <w:rPr>
          <w:color w:val="000000"/>
          <w:szCs w:val="28"/>
        </w:rPr>
        <w:t>).</w:t>
      </w:r>
    </w:p>
    <w:p w14:paraId="5140D2DE" w14:textId="51366E7D" w:rsidR="00A64E15" w:rsidRPr="001D5280" w:rsidRDefault="00A64E15" w:rsidP="00A64E15">
      <w:pPr>
        <w:spacing w:line="480" w:lineRule="auto"/>
        <w:rPr>
          <w:szCs w:val="28"/>
        </w:rPr>
      </w:pPr>
      <w:r w:rsidRPr="001D5280">
        <w:rPr>
          <w:szCs w:val="28"/>
        </w:rPr>
        <w:t xml:space="preserve">Although </w:t>
      </w:r>
      <w:r w:rsidR="00394D21">
        <w:rPr>
          <w:szCs w:val="28"/>
        </w:rPr>
        <w:t xml:space="preserve">the </w:t>
      </w:r>
      <w:r w:rsidRPr="001D5280">
        <w:rPr>
          <w:szCs w:val="28"/>
        </w:rPr>
        <w:t>emergence of first</w:t>
      </w:r>
      <w:r w:rsidR="00394D21">
        <w:rPr>
          <w:szCs w:val="28"/>
        </w:rPr>
        <w:t>-</w:t>
      </w:r>
      <w:r w:rsidRPr="001D5280">
        <w:rPr>
          <w:szCs w:val="28"/>
        </w:rPr>
        <w:t>generation NPS ha</w:t>
      </w:r>
      <w:r w:rsidR="00394D21">
        <w:rPr>
          <w:szCs w:val="28"/>
        </w:rPr>
        <w:t>s</w:t>
      </w:r>
      <w:r w:rsidRPr="001D5280">
        <w:rPr>
          <w:szCs w:val="28"/>
        </w:rPr>
        <w:t xml:space="preserve"> been traced back to the late 1990’s </w:t>
      </w:r>
      <w:r w:rsidRPr="001D5280">
        <w:rPr>
          <w:szCs w:val="28"/>
          <w:lang w:val="en-US"/>
        </w:rPr>
        <w:t xml:space="preserve">prevalence remained low and restricted to niche populations until sudden growth and diversification of the NPS market around ten years ago </w:t>
      </w:r>
      <w:r w:rsidRPr="001D5280">
        <w:rPr>
          <w:szCs w:val="28"/>
        </w:rPr>
        <w:t>(Dresen et al., 2010</w:t>
      </w:r>
      <w:r w:rsidRPr="001D5280">
        <w:rPr>
          <w:szCs w:val="28"/>
          <w:lang w:val="en-US"/>
        </w:rPr>
        <w:t xml:space="preserve">). </w:t>
      </w:r>
      <w:r w:rsidRPr="001D5280">
        <w:rPr>
          <w:szCs w:val="28"/>
        </w:rPr>
        <w:t xml:space="preserve">The rapid expansion of the NPS market </w:t>
      </w:r>
      <w:r>
        <w:rPr>
          <w:szCs w:val="28"/>
        </w:rPr>
        <w:t>is attributed to ‘the</w:t>
      </w:r>
      <w:r w:rsidRPr="001D5280">
        <w:rPr>
          <w:szCs w:val="28"/>
        </w:rPr>
        <w:t xml:space="preserve"> perfect storm</w:t>
      </w:r>
      <w:r>
        <w:rPr>
          <w:szCs w:val="28"/>
        </w:rPr>
        <w:t>’</w:t>
      </w:r>
      <w:r w:rsidRPr="001D5280">
        <w:rPr>
          <w:szCs w:val="28"/>
        </w:rPr>
        <w:t xml:space="preserve"> of factors coinciding around 2009 </w:t>
      </w:r>
      <w:r w:rsidR="00A61664" w:rsidRPr="001D5280">
        <w:rPr>
          <w:color w:val="000000"/>
          <w:szCs w:val="28"/>
          <w:lang w:val="en-US"/>
        </w:rPr>
        <w:t>(</w:t>
      </w:r>
      <w:r w:rsidR="00A61664" w:rsidRPr="001D5280">
        <w:rPr>
          <w:szCs w:val="28"/>
        </w:rPr>
        <w:t xml:space="preserve">Bowden Jones, Shaprio </w:t>
      </w:r>
      <w:r w:rsidR="006E065C">
        <w:rPr>
          <w:szCs w:val="28"/>
        </w:rPr>
        <w:t>&amp;</w:t>
      </w:r>
      <w:r w:rsidR="00A61664" w:rsidRPr="001D5280">
        <w:rPr>
          <w:szCs w:val="28"/>
        </w:rPr>
        <w:t xml:space="preserve"> Brown</w:t>
      </w:r>
      <w:r w:rsidR="00A61664" w:rsidRPr="001D5280">
        <w:rPr>
          <w:color w:val="000000"/>
          <w:szCs w:val="28"/>
          <w:lang w:val="en-US"/>
        </w:rPr>
        <w:t>, 2014</w:t>
      </w:r>
      <w:r w:rsidR="00A61664" w:rsidRPr="001D5280">
        <w:rPr>
          <w:szCs w:val="28"/>
        </w:rPr>
        <w:t>;</w:t>
      </w:r>
      <w:r w:rsidR="00A61664">
        <w:rPr>
          <w:szCs w:val="28"/>
        </w:rPr>
        <w:t xml:space="preserve"> </w:t>
      </w:r>
      <w:r w:rsidRPr="001D5280">
        <w:rPr>
          <w:color w:val="000000"/>
          <w:szCs w:val="28"/>
          <w:lang w:val="en-US"/>
        </w:rPr>
        <w:t xml:space="preserve">Measham et al., 2010; </w:t>
      </w:r>
      <w:r w:rsidRPr="001D5280">
        <w:rPr>
          <w:szCs w:val="28"/>
        </w:rPr>
        <w:t>Winstock et al</w:t>
      </w:r>
      <w:r w:rsidR="004C4795">
        <w:rPr>
          <w:szCs w:val="28"/>
        </w:rPr>
        <w:t>.</w:t>
      </w:r>
      <w:r w:rsidRPr="001D5280">
        <w:rPr>
          <w:szCs w:val="28"/>
        </w:rPr>
        <w:t>, 2010</w:t>
      </w:r>
      <w:r w:rsidRPr="001D5280">
        <w:rPr>
          <w:color w:val="000000"/>
          <w:szCs w:val="28"/>
          <w:lang w:val="en-US"/>
        </w:rPr>
        <w:t>). Introduction</w:t>
      </w:r>
      <w:r w:rsidRPr="001D5280">
        <w:rPr>
          <w:szCs w:val="28"/>
        </w:rPr>
        <w:t xml:space="preserve"> of stricter security at b</w:t>
      </w:r>
      <w:r>
        <w:rPr>
          <w:szCs w:val="28"/>
        </w:rPr>
        <w:t>ord</w:t>
      </w:r>
      <w:r w:rsidRPr="001D5280">
        <w:rPr>
          <w:szCs w:val="28"/>
        </w:rPr>
        <w:t xml:space="preserve">ers in response to terrorism and illegal immigration resulted in notable enforcement successes </w:t>
      </w:r>
      <w:r>
        <w:rPr>
          <w:szCs w:val="28"/>
        </w:rPr>
        <w:t>that</w:t>
      </w:r>
      <w:r w:rsidRPr="001D5280">
        <w:rPr>
          <w:szCs w:val="28"/>
        </w:rPr>
        <w:t xml:space="preserve"> precipitated a significant slump in the availability </w:t>
      </w:r>
      <w:r>
        <w:rPr>
          <w:szCs w:val="28"/>
        </w:rPr>
        <w:t xml:space="preserve">of </w:t>
      </w:r>
      <w:r w:rsidRPr="001D5280">
        <w:rPr>
          <w:szCs w:val="28"/>
        </w:rPr>
        <w:t>cocaine, ecstasy and heroin (</w:t>
      </w:r>
      <w:r w:rsidR="00CF653D" w:rsidRPr="001D5280">
        <w:rPr>
          <w:szCs w:val="28"/>
        </w:rPr>
        <w:t>BBC News, 2009;</w:t>
      </w:r>
      <w:r w:rsidR="00CF653D">
        <w:rPr>
          <w:szCs w:val="28"/>
        </w:rPr>
        <w:t xml:space="preserve"> </w:t>
      </w:r>
      <w:r w:rsidRPr="001D5280">
        <w:rPr>
          <w:szCs w:val="28"/>
        </w:rPr>
        <w:t xml:space="preserve">Ceyhan, 2008). In response </w:t>
      </w:r>
      <w:r>
        <w:rPr>
          <w:szCs w:val="28"/>
        </w:rPr>
        <w:t xml:space="preserve">to </w:t>
      </w:r>
      <w:r w:rsidRPr="001D5280">
        <w:rPr>
          <w:szCs w:val="28"/>
        </w:rPr>
        <w:t>reductions in availability, suppliers increasingly diluted their stock with cutting agents and prices rose, prompt</w:t>
      </w:r>
      <w:r>
        <w:rPr>
          <w:szCs w:val="28"/>
        </w:rPr>
        <w:t>ing</w:t>
      </w:r>
      <w:r w:rsidRPr="001D5280">
        <w:rPr>
          <w:szCs w:val="28"/>
        </w:rPr>
        <w:t xml:space="preserve"> displacement onto the cheaper and more readily available NPS. </w:t>
      </w:r>
    </w:p>
    <w:p w14:paraId="3EE6729A" w14:textId="299493F3" w:rsidR="00A64E15" w:rsidRPr="001D5280" w:rsidRDefault="00A64E15" w:rsidP="00A64E15">
      <w:pPr>
        <w:spacing w:line="480" w:lineRule="auto"/>
        <w:rPr>
          <w:szCs w:val="28"/>
          <w:lang w:val="en-US"/>
        </w:rPr>
      </w:pPr>
      <w:r w:rsidRPr="001D5280">
        <w:rPr>
          <w:szCs w:val="28"/>
        </w:rPr>
        <w:t>At this time</w:t>
      </w:r>
      <w:r>
        <w:rPr>
          <w:szCs w:val="28"/>
        </w:rPr>
        <w:t>,</w:t>
      </w:r>
      <w:r w:rsidRPr="001D5280">
        <w:rPr>
          <w:szCs w:val="28"/>
        </w:rPr>
        <w:t xml:space="preserve"> the NPS market involved a relatively small number of substances, mostly benzylpiperazine (BZP), mephedrone and first</w:t>
      </w:r>
      <w:r w:rsidR="00394D21">
        <w:rPr>
          <w:szCs w:val="28"/>
        </w:rPr>
        <w:t>-</w:t>
      </w:r>
      <w:r w:rsidRPr="001D5280">
        <w:rPr>
          <w:szCs w:val="28"/>
        </w:rPr>
        <w:t>generation synthetic cannabinoids (</w:t>
      </w:r>
      <w:r w:rsidR="00CF653D" w:rsidRPr="001D5280">
        <w:rPr>
          <w:szCs w:val="28"/>
        </w:rPr>
        <w:t>Corazza, 2011</w:t>
      </w:r>
      <w:r w:rsidR="00CF653D" w:rsidRPr="001D5280">
        <w:rPr>
          <w:szCs w:val="28"/>
          <w:lang w:val="en-US"/>
        </w:rPr>
        <w:t>;</w:t>
      </w:r>
      <w:r w:rsidR="00CF653D">
        <w:rPr>
          <w:szCs w:val="28"/>
          <w:lang w:val="en-US"/>
        </w:rPr>
        <w:t xml:space="preserve"> </w:t>
      </w:r>
      <w:r w:rsidR="00CF653D" w:rsidRPr="001D5280">
        <w:rPr>
          <w:szCs w:val="28"/>
        </w:rPr>
        <w:t xml:space="preserve">Dresen et al., 2010; </w:t>
      </w:r>
      <w:r w:rsidRPr="001D5280">
        <w:rPr>
          <w:szCs w:val="28"/>
          <w:lang w:val="en-US"/>
        </w:rPr>
        <w:t>Drugs-Forum, 2009; Zonged, 2009)</w:t>
      </w:r>
      <w:r w:rsidRPr="001D5280">
        <w:rPr>
          <w:szCs w:val="28"/>
        </w:rPr>
        <w:t>.</w:t>
      </w:r>
      <w:r w:rsidRPr="001D5280">
        <w:rPr>
          <w:color w:val="000000"/>
          <w:szCs w:val="28"/>
          <w:lang w:val="en-US"/>
        </w:rPr>
        <w:t xml:space="preserve"> Following</w:t>
      </w:r>
      <w:r w:rsidRPr="001D5280">
        <w:rPr>
          <w:szCs w:val="28"/>
        </w:rPr>
        <w:t xml:space="preserve"> press coverage of the death of Gabrielle Price </w:t>
      </w:r>
      <w:r>
        <w:rPr>
          <w:szCs w:val="28"/>
        </w:rPr>
        <w:t>misattributed to</w:t>
      </w:r>
      <w:r w:rsidRPr="001D5280">
        <w:rPr>
          <w:szCs w:val="28"/>
        </w:rPr>
        <w:t xml:space="preserve"> mephedrone </w:t>
      </w:r>
      <w:r>
        <w:rPr>
          <w:szCs w:val="28"/>
        </w:rPr>
        <w:t>in</w:t>
      </w:r>
      <w:r w:rsidRPr="001D5280">
        <w:rPr>
          <w:szCs w:val="28"/>
        </w:rPr>
        <w:t xml:space="preserve"> 2009, the popularity of mephedrone rose sharply as it gained a reputation as a cheap, legal alternative to ecstasy (</w:t>
      </w:r>
      <w:r w:rsidR="00CF653D" w:rsidRPr="001D5280">
        <w:rPr>
          <w:szCs w:val="28"/>
          <w:lang w:val="en-US"/>
        </w:rPr>
        <w:t xml:space="preserve">Carhart Harris &amp; Nutt 2011; </w:t>
      </w:r>
      <w:r w:rsidRPr="001D5280">
        <w:rPr>
          <w:szCs w:val="28"/>
        </w:rPr>
        <w:t>Measham et al</w:t>
      </w:r>
      <w:r w:rsidR="004C4795">
        <w:rPr>
          <w:szCs w:val="28"/>
        </w:rPr>
        <w:t>.</w:t>
      </w:r>
      <w:r w:rsidRPr="001D5280">
        <w:rPr>
          <w:szCs w:val="28"/>
        </w:rPr>
        <w:t>, 2010;</w:t>
      </w:r>
      <w:r w:rsidRPr="001D5280">
        <w:rPr>
          <w:szCs w:val="28"/>
          <w:lang w:val="en-US"/>
        </w:rPr>
        <w:t xml:space="preserve"> </w:t>
      </w:r>
      <w:r w:rsidRPr="001D5280">
        <w:rPr>
          <w:szCs w:val="28"/>
        </w:rPr>
        <w:t xml:space="preserve">Winstock et. al., 2010). Around this time Google web searches for NPS increased exponentially </w:t>
      </w:r>
      <w:r w:rsidRPr="001D5280">
        <w:rPr>
          <w:szCs w:val="28"/>
          <w:lang w:val="en-US"/>
        </w:rPr>
        <w:t>and commercial websites and shops selling legal highs flourished both in the UK and abroad (</w:t>
      </w:r>
      <w:r>
        <w:rPr>
          <w:szCs w:val="28"/>
          <w:lang w:val="en-US"/>
        </w:rPr>
        <w:t>ACMD, 2011</w:t>
      </w:r>
      <w:r w:rsidRPr="001D5280">
        <w:rPr>
          <w:szCs w:val="28"/>
          <w:lang w:val="en-US"/>
        </w:rPr>
        <w:t>).</w:t>
      </w:r>
    </w:p>
    <w:p w14:paraId="29C763A0" w14:textId="4F1DD0FE" w:rsidR="00A64E15" w:rsidRPr="00FE548F" w:rsidRDefault="00A64E15" w:rsidP="00A64E15">
      <w:pPr>
        <w:spacing w:line="480" w:lineRule="auto"/>
        <w:rPr>
          <w:szCs w:val="28"/>
        </w:rPr>
      </w:pPr>
      <w:r w:rsidRPr="001D5280">
        <w:rPr>
          <w:szCs w:val="28"/>
        </w:rPr>
        <w:t xml:space="preserve">As awareness of NPS increased, so too did pressure on the </w:t>
      </w:r>
      <w:r>
        <w:rPr>
          <w:szCs w:val="28"/>
        </w:rPr>
        <w:t xml:space="preserve">UK </w:t>
      </w:r>
      <w:r w:rsidRPr="001D5280">
        <w:rPr>
          <w:szCs w:val="28"/>
        </w:rPr>
        <w:t>Government to act. In 2009 first</w:t>
      </w:r>
      <w:r w:rsidR="00394D21">
        <w:rPr>
          <w:szCs w:val="28"/>
        </w:rPr>
        <w:t>-</w:t>
      </w:r>
      <w:r w:rsidRPr="001D5280">
        <w:rPr>
          <w:szCs w:val="28"/>
        </w:rPr>
        <w:t xml:space="preserve">generation synthetic cannabinoids </w:t>
      </w:r>
      <w:r w:rsidRPr="001D5280">
        <w:rPr>
          <w:color w:val="111111"/>
          <w:szCs w:val="28"/>
          <w:shd w:val="clear" w:color="auto" w:fill="FFFFFF"/>
        </w:rPr>
        <w:t>known as Spice</w:t>
      </w:r>
      <w:r>
        <w:rPr>
          <w:color w:val="111111"/>
          <w:szCs w:val="28"/>
          <w:shd w:val="clear" w:color="auto" w:fill="FFFFFF"/>
        </w:rPr>
        <w:t xml:space="preserve"> (</w:t>
      </w:r>
      <w:r w:rsidRPr="001D5280">
        <w:rPr>
          <w:color w:val="111111"/>
          <w:szCs w:val="28"/>
          <w:shd w:val="clear" w:color="auto" w:fill="FFFFFF"/>
        </w:rPr>
        <w:t>CP-47,</w:t>
      </w:r>
      <w:r>
        <w:rPr>
          <w:color w:val="111111"/>
          <w:szCs w:val="28"/>
          <w:shd w:val="clear" w:color="auto" w:fill="FFFFFF"/>
        </w:rPr>
        <w:t xml:space="preserve"> </w:t>
      </w:r>
      <w:r w:rsidRPr="001D5280">
        <w:rPr>
          <w:color w:val="111111"/>
          <w:szCs w:val="28"/>
          <w:shd w:val="clear" w:color="auto" w:fill="FFFFFF"/>
        </w:rPr>
        <w:t>497-C8 and JWH-018</w:t>
      </w:r>
      <w:r>
        <w:rPr>
          <w:color w:val="111111"/>
          <w:szCs w:val="28"/>
          <w:shd w:val="clear" w:color="auto" w:fill="FFFFFF"/>
        </w:rPr>
        <w:t>)</w:t>
      </w:r>
      <w:r w:rsidRPr="001D5280">
        <w:rPr>
          <w:color w:val="111111"/>
          <w:szCs w:val="28"/>
          <w:shd w:val="clear" w:color="auto" w:fill="FFFFFF"/>
        </w:rPr>
        <w:t xml:space="preserve">, </w:t>
      </w:r>
      <w:r w:rsidRPr="001D5280">
        <w:rPr>
          <w:szCs w:val="28"/>
        </w:rPr>
        <w:t>were brought under the</w:t>
      </w:r>
      <w:r>
        <w:rPr>
          <w:szCs w:val="28"/>
        </w:rPr>
        <w:t xml:space="preserve"> 1971</w:t>
      </w:r>
      <w:r w:rsidRPr="001D5280">
        <w:rPr>
          <w:szCs w:val="28"/>
        </w:rPr>
        <w:t xml:space="preserve"> Misuse of Drugs Act and classified as a Class B drug </w:t>
      </w:r>
      <w:r>
        <w:rPr>
          <w:szCs w:val="28"/>
        </w:rPr>
        <w:t xml:space="preserve">which </w:t>
      </w:r>
      <w:r w:rsidRPr="001D5280">
        <w:rPr>
          <w:szCs w:val="28"/>
        </w:rPr>
        <w:t>ma</w:t>
      </w:r>
      <w:r>
        <w:rPr>
          <w:szCs w:val="28"/>
        </w:rPr>
        <w:t>de</w:t>
      </w:r>
      <w:r w:rsidRPr="001D5280">
        <w:rPr>
          <w:szCs w:val="28"/>
        </w:rPr>
        <w:t xml:space="preserve"> them illegal to produce, sell or possess. This was followed a year later</w:t>
      </w:r>
      <w:r>
        <w:rPr>
          <w:szCs w:val="28"/>
        </w:rPr>
        <w:t xml:space="preserve"> in 2010</w:t>
      </w:r>
      <w:r w:rsidRPr="001D5280">
        <w:rPr>
          <w:szCs w:val="28"/>
        </w:rPr>
        <w:t xml:space="preserve"> by the classification of mephedrone as a Class B drug. </w:t>
      </w:r>
      <w:r w:rsidRPr="001D5280">
        <w:rPr>
          <w:szCs w:val="28"/>
          <w:lang w:val="en-US"/>
        </w:rPr>
        <w:t>However, the innovation and technical proficiency of NPS manufacture allowed producers to respond rapidly to the legislative changes and only four weeks</w:t>
      </w:r>
      <w:r w:rsidRPr="001D5280">
        <w:rPr>
          <w:szCs w:val="28"/>
        </w:rPr>
        <w:t xml:space="preserve"> after </w:t>
      </w:r>
      <w:r>
        <w:rPr>
          <w:color w:val="111111"/>
          <w:szCs w:val="28"/>
          <w:shd w:val="clear" w:color="auto" w:fill="FFFFFF"/>
        </w:rPr>
        <w:t>Spice</w:t>
      </w:r>
      <w:r w:rsidRPr="001D5280">
        <w:rPr>
          <w:color w:val="111111"/>
          <w:szCs w:val="28"/>
          <w:shd w:val="clear" w:color="auto" w:fill="FFFFFF"/>
        </w:rPr>
        <w:t xml:space="preserve"> </w:t>
      </w:r>
      <w:r w:rsidRPr="001D5280">
        <w:rPr>
          <w:szCs w:val="28"/>
        </w:rPr>
        <w:t>w</w:t>
      </w:r>
      <w:r>
        <w:rPr>
          <w:szCs w:val="28"/>
        </w:rPr>
        <w:t>as</w:t>
      </w:r>
      <w:r w:rsidRPr="001D5280">
        <w:rPr>
          <w:szCs w:val="28"/>
        </w:rPr>
        <w:t xml:space="preserve"> banned the alternative cannabinoid </w:t>
      </w:r>
      <w:r w:rsidRPr="001D5280">
        <w:rPr>
          <w:szCs w:val="28"/>
          <w:lang w:val="en-US"/>
        </w:rPr>
        <w:t xml:space="preserve">JWH-073 was substituted into Spice </w:t>
      </w:r>
      <w:r>
        <w:rPr>
          <w:szCs w:val="28"/>
          <w:lang w:val="en-US"/>
        </w:rPr>
        <w:t xml:space="preserve">branded </w:t>
      </w:r>
      <w:r w:rsidRPr="001D5280">
        <w:rPr>
          <w:szCs w:val="28"/>
          <w:lang w:val="en-US"/>
        </w:rPr>
        <w:t>products</w:t>
      </w:r>
      <w:r>
        <w:rPr>
          <w:szCs w:val="28"/>
          <w:lang w:val="en-US"/>
        </w:rPr>
        <w:t xml:space="preserve"> </w:t>
      </w:r>
      <w:r w:rsidRPr="00B5035A">
        <w:rPr>
          <w:lang w:val="en-US"/>
        </w:rPr>
        <w:t>(</w:t>
      </w:r>
      <w:r w:rsidR="00CF653D" w:rsidRPr="00B5035A">
        <w:rPr>
          <w:lang w:val="en-US"/>
        </w:rPr>
        <w:t>Every-Palmer, 2011;</w:t>
      </w:r>
      <w:r w:rsidR="00CF653D">
        <w:rPr>
          <w:lang w:val="en-US"/>
        </w:rPr>
        <w:t xml:space="preserve"> </w:t>
      </w:r>
      <w:r w:rsidRPr="00B5035A">
        <w:rPr>
          <w:lang w:val="en-US"/>
        </w:rPr>
        <w:t>Lindigkeit et al., 2009)</w:t>
      </w:r>
      <w:r w:rsidRPr="001D5280">
        <w:rPr>
          <w:szCs w:val="28"/>
          <w:lang w:val="en-US"/>
        </w:rPr>
        <w:t>. Similarly, when</w:t>
      </w:r>
      <w:r w:rsidRPr="001D5280">
        <w:rPr>
          <w:szCs w:val="28"/>
        </w:rPr>
        <w:t xml:space="preserve"> Mephedrone was banned, the alternative synthetic cathinone</w:t>
      </w:r>
      <w:r>
        <w:rPr>
          <w:szCs w:val="28"/>
        </w:rPr>
        <w:t xml:space="preserve"> </w:t>
      </w:r>
      <w:r w:rsidRPr="001D5280">
        <w:rPr>
          <w:szCs w:val="28"/>
        </w:rPr>
        <w:t>4-MEC w</w:t>
      </w:r>
      <w:r>
        <w:rPr>
          <w:szCs w:val="28"/>
        </w:rPr>
        <w:t>as</w:t>
      </w:r>
      <w:r w:rsidRPr="001D5280">
        <w:rPr>
          <w:szCs w:val="28"/>
        </w:rPr>
        <w:t xml:space="preserve"> openly marketed</w:t>
      </w:r>
      <w:r>
        <w:rPr>
          <w:szCs w:val="28"/>
        </w:rPr>
        <w:t xml:space="preserve"> as</w:t>
      </w:r>
      <w:r w:rsidRPr="001D5280">
        <w:rPr>
          <w:szCs w:val="28"/>
        </w:rPr>
        <w:t xml:space="preserve"> </w:t>
      </w:r>
      <w:r>
        <w:rPr>
          <w:szCs w:val="28"/>
        </w:rPr>
        <w:t xml:space="preserve">a </w:t>
      </w:r>
      <w:r w:rsidRPr="001D5280">
        <w:rPr>
          <w:szCs w:val="28"/>
        </w:rPr>
        <w:t xml:space="preserve">replacement. </w:t>
      </w:r>
      <w:r>
        <w:rPr>
          <w:szCs w:val="28"/>
        </w:rPr>
        <w:t>It is this</w:t>
      </w:r>
      <w:r>
        <w:t xml:space="preserve"> cat and mouse game between authorities and producers </w:t>
      </w:r>
      <w:r w:rsidRPr="001D5280">
        <w:rPr>
          <w:szCs w:val="28"/>
        </w:rPr>
        <w:t>that is</w:t>
      </w:r>
      <w:r>
        <w:rPr>
          <w:szCs w:val="28"/>
        </w:rPr>
        <w:t xml:space="preserve"> credited as</w:t>
      </w:r>
      <w:r w:rsidRPr="001D5280">
        <w:rPr>
          <w:szCs w:val="28"/>
        </w:rPr>
        <w:t xml:space="preserve"> the main driver of NPS production worldwide as </w:t>
      </w:r>
      <w:r>
        <w:rPr>
          <w:szCs w:val="28"/>
        </w:rPr>
        <w:t>more</w:t>
      </w:r>
      <w:r w:rsidRPr="001D5280">
        <w:rPr>
          <w:szCs w:val="28"/>
        </w:rPr>
        <w:t xml:space="preserve"> </w:t>
      </w:r>
      <w:r>
        <w:rPr>
          <w:szCs w:val="28"/>
        </w:rPr>
        <w:t xml:space="preserve">substances are chemically altered to </w:t>
      </w:r>
      <w:r w:rsidRPr="001D5280">
        <w:rPr>
          <w:szCs w:val="28"/>
        </w:rPr>
        <w:t>replace</w:t>
      </w:r>
      <w:r>
        <w:rPr>
          <w:szCs w:val="28"/>
        </w:rPr>
        <w:t xml:space="preserve"> </w:t>
      </w:r>
      <w:r w:rsidRPr="001D5280">
        <w:rPr>
          <w:szCs w:val="28"/>
        </w:rPr>
        <w:t xml:space="preserve">banned </w:t>
      </w:r>
      <w:r>
        <w:rPr>
          <w:szCs w:val="28"/>
        </w:rPr>
        <w:t>products</w:t>
      </w:r>
      <w:r w:rsidRPr="001D5280">
        <w:rPr>
          <w:szCs w:val="28"/>
        </w:rPr>
        <w:t xml:space="preserve"> </w:t>
      </w:r>
      <w:r>
        <w:rPr>
          <w:szCs w:val="28"/>
        </w:rPr>
        <w:t>in order to</w:t>
      </w:r>
      <w:r w:rsidRPr="001D5280">
        <w:rPr>
          <w:szCs w:val="28"/>
        </w:rPr>
        <w:t xml:space="preserve"> take advantage of the lucrative global market for legally available recreational drugs (</w:t>
      </w:r>
      <w:r w:rsidR="00CF653D" w:rsidRPr="001D5280">
        <w:rPr>
          <w:szCs w:val="28"/>
        </w:rPr>
        <w:t>ACMD; 2011;</w:t>
      </w:r>
      <w:r w:rsidR="00CF653D">
        <w:rPr>
          <w:szCs w:val="28"/>
        </w:rPr>
        <w:t xml:space="preserve"> </w:t>
      </w:r>
      <w:r w:rsidR="00CF653D" w:rsidRPr="001D5280">
        <w:rPr>
          <w:szCs w:val="28"/>
        </w:rPr>
        <w:t>HM Government 2016</w:t>
      </w:r>
      <w:r w:rsidR="00CF653D">
        <w:rPr>
          <w:szCs w:val="28"/>
        </w:rPr>
        <w:t xml:space="preserve">; </w:t>
      </w:r>
      <w:r w:rsidRPr="001D5280">
        <w:rPr>
          <w:szCs w:val="28"/>
        </w:rPr>
        <w:t>Measham et. al., 2010</w:t>
      </w:r>
      <w:r>
        <w:rPr>
          <w:szCs w:val="28"/>
        </w:rPr>
        <w:t xml:space="preserve">; </w:t>
      </w:r>
      <w:r w:rsidR="00CF653D">
        <w:rPr>
          <w:szCs w:val="28"/>
        </w:rPr>
        <w:t xml:space="preserve">NEPTUNE, 2015; </w:t>
      </w:r>
      <w:r w:rsidRPr="001D5280">
        <w:rPr>
          <w:szCs w:val="28"/>
        </w:rPr>
        <w:t>Van Hout, 2014).</w:t>
      </w:r>
    </w:p>
    <w:p w14:paraId="6145B742" w14:textId="04E0D877" w:rsidR="00A64E15" w:rsidRPr="000464DC" w:rsidRDefault="00A64E15" w:rsidP="000464DC">
      <w:pPr>
        <w:pStyle w:val="Heading2"/>
        <w:rPr>
          <w:rStyle w:val="NotesstructureChar"/>
          <w:color w:val="auto"/>
        </w:rPr>
      </w:pPr>
      <w:bookmarkStart w:id="72" w:name="_Toc9182738"/>
      <w:bookmarkStart w:id="73" w:name="_Toc35892508"/>
      <w:r w:rsidRPr="000464DC">
        <w:t>NPS and UK Law</w:t>
      </w:r>
      <w:bookmarkEnd w:id="72"/>
      <w:bookmarkEnd w:id="73"/>
    </w:p>
    <w:p w14:paraId="4A94396A" w14:textId="77777777" w:rsidR="00A64E15" w:rsidRPr="0013768D" w:rsidRDefault="00A64E15" w:rsidP="00A64E15">
      <w:pPr>
        <w:spacing w:line="480" w:lineRule="auto"/>
        <w:rPr>
          <w:color w:val="FF33CC"/>
          <w:szCs w:val="24"/>
        </w:rPr>
      </w:pPr>
      <w:r w:rsidRPr="003D7824">
        <w:rPr>
          <w:szCs w:val="24"/>
        </w:rPr>
        <w:t>Understanding the relationship between legal status and NPS is important</w:t>
      </w:r>
      <w:r>
        <w:rPr>
          <w:szCs w:val="24"/>
        </w:rPr>
        <w:t>;</w:t>
      </w:r>
      <w:r w:rsidRPr="003D7824">
        <w:rPr>
          <w:szCs w:val="24"/>
        </w:rPr>
        <w:t xml:space="preserve"> not only does legal status affect the availability of drugs but it is also expected to influence the way in which people </w:t>
      </w:r>
      <w:r w:rsidRPr="0013768D">
        <w:rPr>
          <w:szCs w:val="24"/>
        </w:rPr>
        <w:t xml:space="preserve">perceive them. Self-assessed personal risk is </w:t>
      </w:r>
      <w:r>
        <w:rPr>
          <w:szCs w:val="24"/>
        </w:rPr>
        <w:t>likely</w:t>
      </w:r>
      <w:r w:rsidRPr="0013768D">
        <w:rPr>
          <w:szCs w:val="24"/>
        </w:rPr>
        <w:t xml:space="preserve"> to alter if the legal consequences of possession and use change, and in so far as legality affects perceptions of safety, legally available substances may be perceived as less harmful.</w:t>
      </w:r>
    </w:p>
    <w:p w14:paraId="336B7A90" w14:textId="77777777" w:rsidR="00A64E15" w:rsidRDefault="00A64E15" w:rsidP="00A64E15">
      <w:pPr>
        <w:spacing w:line="480" w:lineRule="auto"/>
        <w:rPr>
          <w:color w:val="365F91"/>
        </w:rPr>
      </w:pPr>
      <w:r>
        <w:t xml:space="preserve">The problem with legal highs has occurred due to the legal availability of uncontrolled substances. </w:t>
      </w:r>
      <w:r w:rsidRPr="003D7824">
        <w:t>The concern is that potential users may not appreciate the difference between controlled and uncontrolled substances and assume that a legally available substance has been regulated and tested</w:t>
      </w:r>
      <w:r>
        <w:t xml:space="preserve"> and is therefore safe to use. However</w:t>
      </w:r>
      <w:r w:rsidRPr="003D7824">
        <w:t xml:space="preserve">, legal status and regulatory control are not equivalent. A controlled substance can be legal or illegal, and legally available substance can be controlled or uncontrolled. In addition, an individual psychoactive substance can be both legal and illegal, depending on how it is prepared, the quantity possessed and its intended use. </w:t>
      </w:r>
    </w:p>
    <w:p w14:paraId="3D49C519" w14:textId="77777777" w:rsidR="00A64E15" w:rsidRDefault="00A64E15" w:rsidP="00A64E15">
      <w:pPr>
        <w:spacing w:line="480" w:lineRule="auto"/>
      </w:pPr>
      <w:r w:rsidRPr="003D7824">
        <w:t xml:space="preserve">Much of the difficulty with controlling NPS stems from the fact that psychoactive substances are found in many legitimate commercial products including food and drinks as well as being used as medicines. For example, alcohol and tobacco are psychoactive substances which are licenced for legal use. </w:t>
      </w:r>
      <w:r>
        <w:t>Furthermore</w:t>
      </w:r>
      <w:r w:rsidRPr="003D7824">
        <w:t xml:space="preserve">, not all psychoactive substances are </w:t>
      </w:r>
      <w:r>
        <w:t>used</w:t>
      </w:r>
      <w:r w:rsidRPr="003D7824">
        <w:t xml:space="preserve"> for recreational purposes and substances differ greatly in their harm potential</w:t>
      </w:r>
      <w:r w:rsidRPr="003D7824">
        <w:rPr>
          <w:color w:val="365F91"/>
        </w:rPr>
        <w:t xml:space="preserve">. </w:t>
      </w:r>
      <w:r w:rsidRPr="003D7824">
        <w:t>As a result, the legal status and regulation of psychoactive substances is complex</w:t>
      </w:r>
      <w:r>
        <w:t xml:space="preserve">, </w:t>
      </w:r>
      <w:r w:rsidRPr="003D7824">
        <w:t>fall</w:t>
      </w:r>
      <w:r>
        <w:t>ing</w:t>
      </w:r>
      <w:r w:rsidRPr="003D7824">
        <w:t xml:space="preserve"> under the scope of several legislative domains.</w:t>
      </w:r>
      <w:r w:rsidRPr="003D7824">
        <w:rPr>
          <w:color w:val="365F91"/>
        </w:rPr>
        <w:t xml:space="preserve"> </w:t>
      </w:r>
      <w:r w:rsidRPr="003D7824">
        <w:t xml:space="preserve">In the context of this research, the legislation most relevant to NPS are those which cover medicines and drugs as they </w:t>
      </w:r>
      <w:r>
        <w:t xml:space="preserve">generally </w:t>
      </w:r>
      <w:r w:rsidRPr="003D7824">
        <w:t xml:space="preserve">determine the legal status of psychoactive substances and the various penalties for production, supply and possession of each type of drug. </w:t>
      </w:r>
    </w:p>
    <w:p w14:paraId="521B214E" w14:textId="59264316" w:rsidR="00A64E15" w:rsidRPr="00CA4348" w:rsidRDefault="00A64E15" w:rsidP="00A64E15">
      <w:pPr>
        <w:spacing w:line="480" w:lineRule="auto"/>
      </w:pPr>
      <w:r w:rsidRPr="00CA4348">
        <w:t>Prior to the introduction of the Psychoactive Substances Act in 2016</w:t>
      </w:r>
      <w:r w:rsidR="00394D21">
        <w:t>,</w:t>
      </w:r>
      <w:r w:rsidRPr="00CA4348">
        <w:t xml:space="preserve"> an NPS remained uncontrolled until it could be listed under the 1971 Misuse of Drugs Act (MDA). However, bringing a new substance under the MDA requires a lengthy and involved procedure of identification, research, risk assessment and scheduling, which can take several years. With the rapid proliferation of new psychoactive substances, the </w:t>
      </w:r>
      <w:r w:rsidR="00743444" w:rsidRPr="00CA4348">
        <w:t>time-consuming</w:t>
      </w:r>
      <w:r w:rsidRPr="00CA4348">
        <w:t xml:space="preserve"> procedures of the MDA were unable to keep up and the number of uncontrolled substances available for sale continued to increase. To shorten the length of time between </w:t>
      </w:r>
      <w:r w:rsidR="00394D21">
        <w:t xml:space="preserve">the </w:t>
      </w:r>
      <w:r w:rsidRPr="00CA4348">
        <w:t>discovery of a suspected harmful substance and introduction of controls, in 2011 the UK Government amended the MDA to enable Temporary Class Orders which allow certain controls to be placed over named substances for a period of one year while risk assessment</w:t>
      </w:r>
      <w:r w:rsidR="00394D21">
        <w:t>s</w:t>
      </w:r>
      <w:r w:rsidRPr="00CA4348">
        <w:t xml:space="preserve"> </w:t>
      </w:r>
      <w:r w:rsidR="00394D21">
        <w:t>are</w:t>
      </w:r>
      <w:r w:rsidRPr="00CA4348">
        <w:t xml:space="preserve"> carried out. In the meantime, however, reports of NPS related harms gained increasing press attention and in response to mounting pressure for action</w:t>
      </w:r>
      <w:r w:rsidR="00394D21">
        <w:t>,</w:t>
      </w:r>
      <w:r w:rsidRPr="00CA4348">
        <w:t xml:space="preserve"> the Government introduced the PS Act in 2016. Following </w:t>
      </w:r>
      <w:r w:rsidR="00394D21">
        <w:t xml:space="preserve">the </w:t>
      </w:r>
      <w:r w:rsidRPr="00CA4348">
        <w:t>implementation of the Act new substances are by default subject to controls until they can be brought under the MDA, at which point the penalties associated with the substance change according to its classification within the MDA.</w:t>
      </w:r>
    </w:p>
    <w:p w14:paraId="75D98347" w14:textId="16D2DEA7" w:rsidR="00A64E15" w:rsidRPr="000464DC" w:rsidRDefault="00A64E15" w:rsidP="000464DC">
      <w:pPr>
        <w:pStyle w:val="Heading3"/>
      </w:pPr>
      <w:bookmarkStart w:id="74" w:name="_Toc9182739"/>
      <w:bookmarkStart w:id="75" w:name="_Toc35892509"/>
      <w:r w:rsidRPr="000464DC">
        <w:t>The 1971 Misuse of Drugs Act</w:t>
      </w:r>
      <w:bookmarkEnd w:id="74"/>
      <w:bookmarkEnd w:id="75"/>
    </w:p>
    <w:p w14:paraId="6DDC2998" w14:textId="2922EAE6" w:rsidR="000334B1" w:rsidRDefault="00A64E15" w:rsidP="00A64E15">
      <w:pPr>
        <w:spacing w:line="480" w:lineRule="auto"/>
      </w:pPr>
      <w:r>
        <w:t>The Misuse of Drugs Act</w:t>
      </w:r>
      <w:r w:rsidRPr="00CA4348">
        <w:t xml:space="preserve"> makes it illegal for people to produce, supply, possess or import/export drugs brought under its control. Named substances are included in the act by Government decree following an evaluation of their harmfulness. Drugs are classified as one of three classes according to their relative harm potential. The three classes A, B and C determine the levels of penalty for possession and dealing (</w:t>
      </w:r>
      <w:r w:rsidR="00CF653D">
        <w:t>T</w:t>
      </w:r>
      <w:r>
        <w:t>able</w:t>
      </w:r>
      <w:r w:rsidRPr="00CA4348">
        <w:t xml:space="preserve"> </w:t>
      </w:r>
      <w:r w:rsidR="00FF1E65">
        <w:t>2-</w:t>
      </w:r>
      <w:r w:rsidRPr="00CA4348">
        <w:t>1).</w:t>
      </w:r>
    </w:p>
    <w:p w14:paraId="6F658F6A" w14:textId="77777777" w:rsidR="000464DC" w:rsidRDefault="000464DC">
      <w:pPr>
        <w:rPr>
          <w:b/>
        </w:rPr>
      </w:pPr>
      <w:r>
        <w:rPr>
          <w:b/>
        </w:rPr>
        <w:br w:type="page"/>
      </w:r>
    </w:p>
    <w:p w14:paraId="335BD42C" w14:textId="74B56EB8" w:rsidR="00130667" w:rsidRPr="00130667" w:rsidRDefault="00130667" w:rsidP="00130667">
      <w:pPr>
        <w:pStyle w:val="TableHeader"/>
        <w:rPr>
          <w:b/>
        </w:rPr>
      </w:pPr>
      <w:bookmarkStart w:id="76" w:name="_Toc9509028"/>
      <w:r w:rsidRPr="00130667">
        <w:rPr>
          <w:b/>
        </w:rPr>
        <w:t>Table 2-1. Drug classifications under the 1971 Misuse of Drugs Act</w:t>
      </w:r>
      <w:bookmarkEnd w:id="76"/>
      <w:r w:rsidRPr="00130667">
        <w:rPr>
          <w:b/>
        </w:rPr>
        <w:t xml:space="preserve"> </w:t>
      </w:r>
    </w:p>
    <w:tbl>
      <w:tblPr>
        <w:tblStyle w:val="TableGrid"/>
        <w:tblW w:w="0" w:type="auto"/>
        <w:tblLook w:val="04A0" w:firstRow="1" w:lastRow="0" w:firstColumn="1" w:lastColumn="0" w:noHBand="0" w:noVBand="1"/>
      </w:tblPr>
      <w:tblGrid>
        <w:gridCol w:w="1503"/>
        <w:gridCol w:w="3750"/>
        <w:gridCol w:w="3811"/>
      </w:tblGrid>
      <w:tr w:rsidR="00A64E15" w:rsidRPr="002B0F5B" w14:paraId="566C2F02" w14:textId="77777777" w:rsidTr="009B669E">
        <w:tc>
          <w:tcPr>
            <w:tcW w:w="1526" w:type="dxa"/>
            <w:tcBorders>
              <w:top w:val="single" w:sz="4" w:space="0" w:color="auto"/>
              <w:left w:val="nil"/>
              <w:bottom w:val="single" w:sz="4" w:space="0" w:color="auto"/>
              <w:right w:val="nil"/>
            </w:tcBorders>
          </w:tcPr>
          <w:p w14:paraId="4BB1660A" w14:textId="77777777" w:rsidR="00A64E15" w:rsidRPr="002B0F5B" w:rsidRDefault="00A64E15" w:rsidP="009B669E">
            <w:pPr>
              <w:pStyle w:val="NormalWeb"/>
              <w:spacing w:before="120" w:beforeAutospacing="0" w:after="120" w:afterAutospacing="0" w:line="240" w:lineRule="auto"/>
              <w:rPr>
                <w:b/>
              </w:rPr>
            </w:pPr>
            <w:r w:rsidRPr="002B0F5B">
              <w:rPr>
                <w:b/>
              </w:rPr>
              <w:t>Drug Class</w:t>
            </w:r>
          </w:p>
        </w:tc>
        <w:tc>
          <w:tcPr>
            <w:tcW w:w="3827" w:type="dxa"/>
            <w:tcBorders>
              <w:top w:val="single" w:sz="4" w:space="0" w:color="auto"/>
              <w:left w:val="nil"/>
              <w:bottom w:val="single" w:sz="4" w:space="0" w:color="auto"/>
              <w:right w:val="nil"/>
            </w:tcBorders>
          </w:tcPr>
          <w:p w14:paraId="6FA47CAD" w14:textId="77777777" w:rsidR="00A64E15" w:rsidRPr="002B0F5B" w:rsidRDefault="00A64E15" w:rsidP="009B669E">
            <w:pPr>
              <w:pStyle w:val="NormalWeb"/>
              <w:spacing w:before="120" w:beforeAutospacing="0" w:after="120" w:afterAutospacing="0" w:line="240" w:lineRule="auto"/>
              <w:rPr>
                <w:b/>
              </w:rPr>
            </w:pPr>
            <w:r w:rsidRPr="002B0F5B">
              <w:rPr>
                <w:b/>
              </w:rPr>
              <w:t>Penalties for possession</w:t>
            </w:r>
          </w:p>
        </w:tc>
        <w:tc>
          <w:tcPr>
            <w:tcW w:w="3889" w:type="dxa"/>
            <w:tcBorders>
              <w:top w:val="single" w:sz="4" w:space="0" w:color="auto"/>
              <w:left w:val="nil"/>
              <w:bottom w:val="single" w:sz="4" w:space="0" w:color="auto"/>
              <w:right w:val="nil"/>
            </w:tcBorders>
          </w:tcPr>
          <w:p w14:paraId="144FDA08" w14:textId="77777777" w:rsidR="00A64E15" w:rsidRPr="002B0F5B" w:rsidRDefault="00A64E15" w:rsidP="009B669E">
            <w:pPr>
              <w:pStyle w:val="NormalWeb"/>
              <w:spacing w:before="120" w:beforeAutospacing="0" w:after="120" w:afterAutospacing="0" w:line="240" w:lineRule="auto"/>
              <w:rPr>
                <w:b/>
              </w:rPr>
            </w:pPr>
            <w:r w:rsidRPr="002B0F5B">
              <w:rPr>
                <w:b/>
                <w:lang w:eastAsia="en-GB"/>
              </w:rPr>
              <w:t>Supply and production</w:t>
            </w:r>
          </w:p>
        </w:tc>
      </w:tr>
      <w:tr w:rsidR="00A64E15" w14:paraId="6B61B624" w14:textId="77777777" w:rsidTr="009B669E">
        <w:tc>
          <w:tcPr>
            <w:tcW w:w="1526" w:type="dxa"/>
            <w:tcBorders>
              <w:top w:val="single" w:sz="4" w:space="0" w:color="auto"/>
              <w:left w:val="nil"/>
              <w:bottom w:val="nil"/>
              <w:right w:val="nil"/>
            </w:tcBorders>
          </w:tcPr>
          <w:p w14:paraId="0F545238" w14:textId="77777777" w:rsidR="00A64E15" w:rsidRDefault="00A64E15" w:rsidP="009B669E">
            <w:pPr>
              <w:pStyle w:val="NormalWeb"/>
              <w:spacing w:before="120" w:beforeAutospacing="0" w:after="120" w:afterAutospacing="0" w:line="240" w:lineRule="auto"/>
            </w:pPr>
            <w:r>
              <w:t>Class A</w:t>
            </w:r>
          </w:p>
        </w:tc>
        <w:tc>
          <w:tcPr>
            <w:tcW w:w="3827" w:type="dxa"/>
            <w:tcBorders>
              <w:top w:val="single" w:sz="4" w:space="0" w:color="auto"/>
              <w:left w:val="nil"/>
              <w:bottom w:val="nil"/>
              <w:right w:val="nil"/>
            </w:tcBorders>
          </w:tcPr>
          <w:p w14:paraId="30E2F6CD" w14:textId="77777777" w:rsidR="00A64E15" w:rsidRDefault="00A64E15" w:rsidP="009B669E">
            <w:pPr>
              <w:pStyle w:val="NormalWeb"/>
              <w:spacing w:before="120" w:beforeAutospacing="0" w:after="120" w:afterAutospacing="0" w:line="240" w:lineRule="auto"/>
            </w:pPr>
            <w:r>
              <w:rPr>
                <w:lang w:eastAsia="en-GB"/>
              </w:rPr>
              <w:t xml:space="preserve">Up to </w:t>
            </w:r>
            <w:r w:rsidRPr="00D3282C">
              <w:rPr>
                <w:lang w:eastAsia="en-GB"/>
              </w:rPr>
              <w:t>7 years</w:t>
            </w:r>
            <w:r>
              <w:rPr>
                <w:lang w:eastAsia="en-GB"/>
              </w:rPr>
              <w:t xml:space="preserve"> in prison, an unlimited f</w:t>
            </w:r>
            <w:r w:rsidRPr="00D3282C">
              <w:rPr>
                <w:lang w:eastAsia="en-GB"/>
              </w:rPr>
              <w:t>ine</w:t>
            </w:r>
            <w:r>
              <w:rPr>
                <w:lang w:eastAsia="en-GB"/>
              </w:rPr>
              <w:t xml:space="preserve"> or both</w:t>
            </w:r>
          </w:p>
        </w:tc>
        <w:tc>
          <w:tcPr>
            <w:tcW w:w="3889" w:type="dxa"/>
            <w:tcBorders>
              <w:top w:val="single" w:sz="4" w:space="0" w:color="auto"/>
              <w:left w:val="nil"/>
              <w:bottom w:val="nil"/>
              <w:right w:val="nil"/>
            </w:tcBorders>
          </w:tcPr>
          <w:p w14:paraId="0E22E2C1" w14:textId="77777777" w:rsidR="00A64E15" w:rsidRDefault="00A64E15" w:rsidP="009B669E">
            <w:pPr>
              <w:pStyle w:val="NormalWeb"/>
              <w:spacing w:before="120" w:beforeAutospacing="0" w:after="120" w:afterAutospacing="0" w:line="240" w:lineRule="auto"/>
            </w:pPr>
            <w:r>
              <w:rPr>
                <w:lang w:eastAsia="en-GB"/>
              </w:rPr>
              <w:t>Up to life in prison, an unlimited f</w:t>
            </w:r>
            <w:r w:rsidRPr="00D3282C">
              <w:rPr>
                <w:lang w:eastAsia="en-GB"/>
              </w:rPr>
              <w:t>ine</w:t>
            </w:r>
            <w:r>
              <w:rPr>
                <w:lang w:eastAsia="en-GB"/>
              </w:rPr>
              <w:t xml:space="preserve"> or both</w:t>
            </w:r>
          </w:p>
        </w:tc>
      </w:tr>
      <w:tr w:rsidR="00A64E15" w14:paraId="1241E101" w14:textId="77777777" w:rsidTr="009B669E">
        <w:tc>
          <w:tcPr>
            <w:tcW w:w="1526" w:type="dxa"/>
            <w:tcBorders>
              <w:top w:val="nil"/>
              <w:left w:val="nil"/>
              <w:bottom w:val="nil"/>
              <w:right w:val="nil"/>
            </w:tcBorders>
          </w:tcPr>
          <w:p w14:paraId="1E956D7B" w14:textId="77777777" w:rsidR="00A64E15" w:rsidRDefault="00A64E15" w:rsidP="009B669E">
            <w:pPr>
              <w:pStyle w:val="NormalWeb"/>
              <w:spacing w:before="120" w:beforeAutospacing="0" w:after="120" w:afterAutospacing="0" w:line="240" w:lineRule="auto"/>
            </w:pPr>
            <w:r>
              <w:t>Class B</w:t>
            </w:r>
          </w:p>
        </w:tc>
        <w:tc>
          <w:tcPr>
            <w:tcW w:w="3827" w:type="dxa"/>
            <w:tcBorders>
              <w:top w:val="nil"/>
              <w:left w:val="nil"/>
              <w:bottom w:val="nil"/>
              <w:right w:val="nil"/>
            </w:tcBorders>
          </w:tcPr>
          <w:p w14:paraId="6595B876" w14:textId="77777777" w:rsidR="00A64E15" w:rsidRDefault="00A64E15" w:rsidP="009B669E">
            <w:pPr>
              <w:pStyle w:val="NormalWeb"/>
              <w:spacing w:before="120" w:beforeAutospacing="0" w:after="120" w:afterAutospacing="0" w:line="240" w:lineRule="auto"/>
            </w:pPr>
            <w:r>
              <w:rPr>
                <w:lang w:eastAsia="en-GB"/>
              </w:rPr>
              <w:t>Up to 5</w:t>
            </w:r>
            <w:r w:rsidRPr="00D3282C">
              <w:rPr>
                <w:lang w:eastAsia="en-GB"/>
              </w:rPr>
              <w:t xml:space="preserve"> years</w:t>
            </w:r>
            <w:r>
              <w:rPr>
                <w:lang w:eastAsia="en-GB"/>
              </w:rPr>
              <w:t xml:space="preserve"> in prison, an unlimited f</w:t>
            </w:r>
            <w:r w:rsidRPr="00D3282C">
              <w:rPr>
                <w:lang w:eastAsia="en-GB"/>
              </w:rPr>
              <w:t>ine</w:t>
            </w:r>
            <w:r>
              <w:rPr>
                <w:lang w:eastAsia="en-GB"/>
              </w:rPr>
              <w:t xml:space="preserve"> or both</w:t>
            </w:r>
          </w:p>
        </w:tc>
        <w:tc>
          <w:tcPr>
            <w:tcW w:w="3889" w:type="dxa"/>
            <w:tcBorders>
              <w:top w:val="nil"/>
              <w:left w:val="nil"/>
              <w:bottom w:val="nil"/>
              <w:right w:val="nil"/>
            </w:tcBorders>
          </w:tcPr>
          <w:p w14:paraId="3BD26A39" w14:textId="77777777" w:rsidR="00A64E15" w:rsidRDefault="00A64E15" w:rsidP="009B669E">
            <w:pPr>
              <w:pStyle w:val="NormalWeb"/>
              <w:spacing w:before="120" w:beforeAutospacing="0" w:after="120" w:afterAutospacing="0" w:line="240" w:lineRule="auto"/>
            </w:pPr>
            <w:r>
              <w:rPr>
                <w:lang w:eastAsia="en-GB"/>
              </w:rPr>
              <w:t>Up to 14 years in prison, an unlimited f</w:t>
            </w:r>
            <w:r w:rsidRPr="00D3282C">
              <w:rPr>
                <w:lang w:eastAsia="en-GB"/>
              </w:rPr>
              <w:t>ine</w:t>
            </w:r>
            <w:r>
              <w:rPr>
                <w:lang w:eastAsia="en-GB"/>
              </w:rPr>
              <w:t xml:space="preserve"> or both</w:t>
            </w:r>
          </w:p>
        </w:tc>
      </w:tr>
      <w:tr w:rsidR="00A64E15" w14:paraId="58E599B0" w14:textId="77777777" w:rsidTr="009B669E">
        <w:tc>
          <w:tcPr>
            <w:tcW w:w="1526" w:type="dxa"/>
            <w:tcBorders>
              <w:top w:val="nil"/>
              <w:left w:val="nil"/>
              <w:bottom w:val="nil"/>
              <w:right w:val="nil"/>
            </w:tcBorders>
          </w:tcPr>
          <w:p w14:paraId="0461A41B" w14:textId="77777777" w:rsidR="00A64E15" w:rsidRDefault="00A64E15" w:rsidP="009B669E">
            <w:pPr>
              <w:pStyle w:val="NormalWeb"/>
              <w:spacing w:before="120" w:beforeAutospacing="0" w:after="120" w:afterAutospacing="0" w:line="240" w:lineRule="auto"/>
            </w:pPr>
            <w:r>
              <w:t>Class C</w:t>
            </w:r>
          </w:p>
        </w:tc>
        <w:tc>
          <w:tcPr>
            <w:tcW w:w="3827" w:type="dxa"/>
            <w:tcBorders>
              <w:top w:val="nil"/>
              <w:left w:val="nil"/>
              <w:bottom w:val="nil"/>
              <w:right w:val="nil"/>
            </w:tcBorders>
          </w:tcPr>
          <w:p w14:paraId="30E150E3" w14:textId="77777777" w:rsidR="00A64E15" w:rsidRDefault="00A64E15" w:rsidP="009B669E">
            <w:pPr>
              <w:pStyle w:val="NormalWeb"/>
              <w:spacing w:before="120" w:beforeAutospacing="0" w:after="120" w:afterAutospacing="0" w:line="240" w:lineRule="auto"/>
            </w:pPr>
            <w:r>
              <w:rPr>
                <w:lang w:eastAsia="en-GB"/>
              </w:rPr>
              <w:t>Up to 2</w:t>
            </w:r>
            <w:r w:rsidRPr="00D3282C">
              <w:rPr>
                <w:lang w:eastAsia="en-GB"/>
              </w:rPr>
              <w:t xml:space="preserve"> years</w:t>
            </w:r>
            <w:r>
              <w:rPr>
                <w:lang w:eastAsia="en-GB"/>
              </w:rPr>
              <w:t xml:space="preserve"> in prison, an unlimited f</w:t>
            </w:r>
            <w:r w:rsidRPr="00D3282C">
              <w:rPr>
                <w:lang w:eastAsia="en-GB"/>
              </w:rPr>
              <w:t>ine</w:t>
            </w:r>
            <w:r>
              <w:rPr>
                <w:lang w:eastAsia="en-GB"/>
              </w:rPr>
              <w:t xml:space="preserve"> or both</w:t>
            </w:r>
          </w:p>
        </w:tc>
        <w:tc>
          <w:tcPr>
            <w:tcW w:w="3889" w:type="dxa"/>
            <w:tcBorders>
              <w:top w:val="nil"/>
              <w:left w:val="nil"/>
              <w:bottom w:val="nil"/>
              <w:right w:val="nil"/>
            </w:tcBorders>
          </w:tcPr>
          <w:p w14:paraId="4EE8ED54" w14:textId="77777777" w:rsidR="00A64E15" w:rsidRDefault="00A64E15" w:rsidP="009B669E">
            <w:pPr>
              <w:pStyle w:val="NormalWeb"/>
              <w:spacing w:before="120" w:beforeAutospacing="0" w:after="120" w:afterAutospacing="0" w:line="240" w:lineRule="auto"/>
            </w:pPr>
            <w:r>
              <w:rPr>
                <w:lang w:eastAsia="en-GB"/>
              </w:rPr>
              <w:t>Up to 14 years in prison, an unlimited f</w:t>
            </w:r>
            <w:r w:rsidRPr="00D3282C">
              <w:rPr>
                <w:lang w:eastAsia="en-GB"/>
              </w:rPr>
              <w:t>ine</w:t>
            </w:r>
            <w:r>
              <w:rPr>
                <w:lang w:eastAsia="en-GB"/>
              </w:rPr>
              <w:t xml:space="preserve"> or both</w:t>
            </w:r>
          </w:p>
        </w:tc>
      </w:tr>
      <w:tr w:rsidR="00A64E15" w14:paraId="13D7554E" w14:textId="77777777" w:rsidTr="009B669E">
        <w:tc>
          <w:tcPr>
            <w:tcW w:w="1526" w:type="dxa"/>
            <w:tcBorders>
              <w:top w:val="nil"/>
              <w:left w:val="nil"/>
              <w:bottom w:val="single" w:sz="4" w:space="0" w:color="auto"/>
              <w:right w:val="nil"/>
            </w:tcBorders>
          </w:tcPr>
          <w:p w14:paraId="7B45DD89" w14:textId="77777777" w:rsidR="00A64E15" w:rsidRDefault="00A64E15" w:rsidP="009B669E">
            <w:pPr>
              <w:pStyle w:val="NormalWeb"/>
              <w:spacing w:before="120" w:beforeAutospacing="0" w:after="120" w:afterAutospacing="0" w:line="240" w:lineRule="auto"/>
            </w:pPr>
            <w:r>
              <w:t>TCO</w:t>
            </w:r>
          </w:p>
        </w:tc>
        <w:tc>
          <w:tcPr>
            <w:tcW w:w="3827" w:type="dxa"/>
            <w:tcBorders>
              <w:top w:val="nil"/>
              <w:left w:val="nil"/>
              <w:bottom w:val="single" w:sz="4" w:space="0" w:color="auto"/>
              <w:right w:val="nil"/>
            </w:tcBorders>
          </w:tcPr>
          <w:p w14:paraId="4250C07D" w14:textId="77777777" w:rsidR="00A64E15" w:rsidRDefault="00A64E15" w:rsidP="009B669E">
            <w:pPr>
              <w:pStyle w:val="NormalWeb"/>
              <w:spacing w:before="120" w:beforeAutospacing="0" w:after="120" w:afterAutospacing="0" w:line="240" w:lineRule="auto"/>
              <w:rPr>
                <w:lang w:eastAsia="en-GB"/>
              </w:rPr>
            </w:pPr>
            <w:r>
              <w:rPr>
                <w:lang w:eastAsia="en-GB"/>
              </w:rPr>
              <w:t>No penalty but suspected controlled substances can be confiscated</w:t>
            </w:r>
          </w:p>
        </w:tc>
        <w:tc>
          <w:tcPr>
            <w:tcW w:w="3889" w:type="dxa"/>
            <w:tcBorders>
              <w:top w:val="nil"/>
              <w:left w:val="nil"/>
              <w:bottom w:val="single" w:sz="4" w:space="0" w:color="auto"/>
              <w:right w:val="nil"/>
            </w:tcBorders>
          </w:tcPr>
          <w:p w14:paraId="2EF54EA8" w14:textId="77777777" w:rsidR="00A64E15" w:rsidRDefault="00A64E15" w:rsidP="009B669E">
            <w:pPr>
              <w:pStyle w:val="NormalWeb"/>
              <w:spacing w:before="120" w:beforeAutospacing="0" w:after="120" w:afterAutospacing="0" w:line="240" w:lineRule="auto"/>
              <w:rPr>
                <w:lang w:eastAsia="en-GB"/>
              </w:rPr>
            </w:pPr>
            <w:r>
              <w:rPr>
                <w:lang w:eastAsia="en-GB"/>
              </w:rPr>
              <w:t>Up to 14 years in prison, an unlimited f</w:t>
            </w:r>
            <w:r w:rsidRPr="00D3282C">
              <w:rPr>
                <w:lang w:eastAsia="en-GB"/>
              </w:rPr>
              <w:t>ine</w:t>
            </w:r>
            <w:r>
              <w:rPr>
                <w:lang w:eastAsia="en-GB"/>
              </w:rPr>
              <w:t xml:space="preserve"> or both</w:t>
            </w:r>
          </w:p>
        </w:tc>
      </w:tr>
    </w:tbl>
    <w:p w14:paraId="46F055BF" w14:textId="77777777" w:rsidR="00A64E15" w:rsidRPr="00FF7024" w:rsidRDefault="00A64E15" w:rsidP="00A64E15">
      <w:pPr>
        <w:spacing w:line="480" w:lineRule="auto"/>
        <w:rPr>
          <w:szCs w:val="24"/>
          <w:lang w:eastAsia="en-GB"/>
        </w:rPr>
      </w:pPr>
      <w:r>
        <w:rPr>
          <w:szCs w:val="24"/>
          <w:lang w:eastAsia="en-GB"/>
        </w:rPr>
        <w:br/>
      </w:r>
      <w:r w:rsidRPr="00D3282C">
        <w:rPr>
          <w:szCs w:val="24"/>
          <w:lang w:eastAsia="en-GB"/>
        </w:rPr>
        <w:t xml:space="preserve">Maximum sentences differ according to the nature of the offence </w:t>
      </w:r>
      <w:r>
        <w:rPr>
          <w:szCs w:val="24"/>
          <w:lang w:eastAsia="en-GB"/>
        </w:rPr>
        <w:t>with</w:t>
      </w:r>
      <w:r w:rsidRPr="00D3282C">
        <w:rPr>
          <w:szCs w:val="24"/>
          <w:lang w:eastAsia="en-GB"/>
        </w:rPr>
        <w:t xml:space="preserve"> less for possession; more for </w:t>
      </w:r>
      <w:r>
        <w:rPr>
          <w:szCs w:val="24"/>
          <w:lang w:eastAsia="en-GB"/>
        </w:rPr>
        <w:t xml:space="preserve">production, </w:t>
      </w:r>
      <w:r w:rsidRPr="00D3282C">
        <w:rPr>
          <w:szCs w:val="24"/>
          <w:lang w:eastAsia="en-GB"/>
        </w:rPr>
        <w:t>trafficking, production</w:t>
      </w:r>
      <w:r>
        <w:rPr>
          <w:szCs w:val="24"/>
          <w:lang w:eastAsia="en-GB"/>
        </w:rPr>
        <w:t xml:space="preserve"> and dealing. A l</w:t>
      </w:r>
      <w:r w:rsidRPr="00D3282C">
        <w:rPr>
          <w:szCs w:val="24"/>
          <w:lang w:eastAsia="en-GB"/>
        </w:rPr>
        <w:t>ess serious offence</w:t>
      </w:r>
      <w:r>
        <w:rPr>
          <w:szCs w:val="24"/>
          <w:lang w:eastAsia="en-GB"/>
        </w:rPr>
        <w:t xml:space="preserve"> such as possession</w:t>
      </w:r>
      <w:r w:rsidRPr="00D3282C">
        <w:rPr>
          <w:szCs w:val="24"/>
          <w:lang w:eastAsia="en-GB"/>
        </w:rPr>
        <w:t xml:space="preserve"> </w:t>
      </w:r>
      <w:r>
        <w:rPr>
          <w:szCs w:val="24"/>
          <w:lang w:eastAsia="en-GB"/>
        </w:rPr>
        <w:t>for personal use is</w:t>
      </w:r>
      <w:r w:rsidRPr="00D3282C">
        <w:rPr>
          <w:szCs w:val="24"/>
          <w:lang w:eastAsia="en-GB"/>
        </w:rPr>
        <w:t xml:space="preserve"> </w:t>
      </w:r>
      <w:r>
        <w:rPr>
          <w:szCs w:val="24"/>
          <w:lang w:eastAsia="en-GB"/>
        </w:rPr>
        <w:t>typically</w:t>
      </w:r>
      <w:r w:rsidRPr="00D3282C">
        <w:rPr>
          <w:szCs w:val="24"/>
          <w:lang w:eastAsia="en-GB"/>
        </w:rPr>
        <w:t xml:space="preserve"> </w:t>
      </w:r>
      <w:r>
        <w:rPr>
          <w:szCs w:val="24"/>
          <w:lang w:eastAsia="en-GB"/>
        </w:rPr>
        <w:t>handled</w:t>
      </w:r>
      <w:r w:rsidRPr="00D3282C">
        <w:rPr>
          <w:szCs w:val="24"/>
          <w:lang w:eastAsia="en-GB"/>
        </w:rPr>
        <w:t xml:space="preserve"> by magistrates’ courts, where </w:t>
      </w:r>
      <w:r>
        <w:rPr>
          <w:szCs w:val="24"/>
          <w:lang w:eastAsia="en-GB"/>
        </w:rPr>
        <w:t xml:space="preserve">maximum </w:t>
      </w:r>
      <w:r w:rsidRPr="00D3282C">
        <w:rPr>
          <w:szCs w:val="24"/>
          <w:lang w:eastAsia="en-GB"/>
        </w:rPr>
        <w:t xml:space="preserve">sentences </w:t>
      </w:r>
      <w:r>
        <w:rPr>
          <w:szCs w:val="24"/>
          <w:lang w:eastAsia="en-GB"/>
        </w:rPr>
        <w:t xml:space="preserve">are limited to </w:t>
      </w:r>
      <w:r w:rsidRPr="00D3282C">
        <w:rPr>
          <w:szCs w:val="24"/>
          <w:lang w:eastAsia="en-GB"/>
        </w:rPr>
        <w:t>six months and/or a £5,000 fine</w:t>
      </w:r>
      <w:r>
        <w:rPr>
          <w:szCs w:val="24"/>
          <w:lang w:eastAsia="en-GB"/>
        </w:rPr>
        <w:t xml:space="preserve">. </w:t>
      </w:r>
    </w:p>
    <w:p w14:paraId="0D165403" w14:textId="49C97246" w:rsidR="00A64E15" w:rsidRPr="00A23F44" w:rsidRDefault="00A64E15" w:rsidP="000464DC">
      <w:pPr>
        <w:pStyle w:val="Heading3"/>
      </w:pPr>
      <w:bookmarkStart w:id="77" w:name="_Toc9182740"/>
      <w:bookmarkStart w:id="78" w:name="_Toc35892510"/>
      <w:r w:rsidRPr="00A23F44">
        <w:rPr>
          <w:lang w:eastAsia="en-GB"/>
        </w:rPr>
        <w:t xml:space="preserve">Other </w:t>
      </w:r>
      <w:r>
        <w:rPr>
          <w:lang w:eastAsia="en-GB"/>
        </w:rPr>
        <w:t xml:space="preserve">forms of </w:t>
      </w:r>
      <w:r w:rsidRPr="00A23F44">
        <w:rPr>
          <w:lang w:eastAsia="en-GB"/>
        </w:rPr>
        <w:t>legislation</w:t>
      </w:r>
      <w:bookmarkEnd w:id="77"/>
      <w:bookmarkEnd w:id="78"/>
    </w:p>
    <w:p w14:paraId="2CA19F7A" w14:textId="77777777" w:rsidR="00A64E15" w:rsidRPr="0033479F" w:rsidRDefault="00A64E15" w:rsidP="00A64E15">
      <w:pPr>
        <w:spacing w:line="480" w:lineRule="auto"/>
        <w:rPr>
          <w:lang w:eastAsia="en-GB"/>
        </w:rPr>
      </w:pPr>
      <w:r>
        <w:rPr>
          <w:lang w:eastAsia="en-GB"/>
        </w:rPr>
        <w:t xml:space="preserve">If an NPS is not controlled by the MDA but it falls under the scope of other legislation, then their penalties can be brought into force. Typically, this would be if it was scheduled under the 1968 Medicines Act, or mis-sold according to trading standards or food regulations. It is in order to avoid such regulations that branded legal high products are typically printed with the disclaimer that they are not for human consumption and no dosing information or instructions for use are provided.  </w:t>
      </w:r>
    </w:p>
    <w:p w14:paraId="4F6FE17D" w14:textId="77777777" w:rsidR="00A64E15" w:rsidRPr="00587232" w:rsidRDefault="00A64E15" w:rsidP="006425BA">
      <w:pPr>
        <w:pStyle w:val="Heading3"/>
        <w:rPr>
          <w:lang w:eastAsia="en-GB"/>
        </w:rPr>
      </w:pPr>
      <w:bookmarkStart w:id="79" w:name="_Toc9182741"/>
      <w:bookmarkStart w:id="80" w:name="_Toc35892511"/>
      <w:bookmarkStart w:id="81" w:name="_Hlk8368717"/>
      <w:r w:rsidRPr="00587232">
        <w:rPr>
          <w:lang w:eastAsia="en-GB"/>
        </w:rPr>
        <w:t>The 2016 Psychoactive Substances Act (PS Act)</w:t>
      </w:r>
      <w:bookmarkEnd w:id="79"/>
      <w:bookmarkEnd w:id="80"/>
    </w:p>
    <w:p w14:paraId="122A4DE8" w14:textId="5B5BA3CA" w:rsidR="00A64E15" w:rsidRPr="00E77594" w:rsidRDefault="00A64E15" w:rsidP="006425BA">
      <w:pPr>
        <w:shd w:val="clear" w:color="auto" w:fill="FFFFFF"/>
        <w:spacing w:before="100" w:beforeAutospacing="1" w:after="100" w:afterAutospacing="1" w:line="480" w:lineRule="auto"/>
        <w:rPr>
          <w:szCs w:val="24"/>
          <w:lang w:eastAsia="en-GB"/>
        </w:rPr>
      </w:pPr>
      <w:r w:rsidRPr="006425BA">
        <w:rPr>
          <w:szCs w:val="24"/>
          <w:lang w:eastAsia="en-GB"/>
        </w:rPr>
        <w:t xml:space="preserve">It was in attempting to bring an end to this arms race between producers and authorities and to protect young people from the threat posed by NPS that the UK Government introduced the PS Act in 2016 (HM Government, 2016). Whereas pre-existing legislation is based on </w:t>
      </w:r>
      <w:r w:rsidR="00394D21">
        <w:rPr>
          <w:szCs w:val="24"/>
          <w:lang w:eastAsia="en-GB"/>
        </w:rPr>
        <w:t xml:space="preserve">the </w:t>
      </w:r>
      <w:r w:rsidRPr="006425BA">
        <w:rPr>
          <w:szCs w:val="24"/>
          <w:lang w:eastAsia="en-GB"/>
        </w:rPr>
        <w:t xml:space="preserve">classification of named drugs based on evidence of harm, the PS Act reverses the situation, placing a blanket ban on all psychoactive substances in the UK apart from named exemptions. </w:t>
      </w:r>
      <w:r w:rsidRPr="003168A2">
        <w:rPr>
          <w:szCs w:val="24"/>
          <w:lang w:eastAsia="en-GB"/>
        </w:rPr>
        <w:t>In other words, prior to the PSA Act</w:t>
      </w:r>
      <w:r w:rsidR="00394D21">
        <w:rPr>
          <w:szCs w:val="24"/>
          <w:lang w:eastAsia="en-GB"/>
        </w:rPr>
        <w:t>,</w:t>
      </w:r>
      <w:r w:rsidRPr="003168A2">
        <w:rPr>
          <w:szCs w:val="24"/>
          <w:lang w:eastAsia="en-GB"/>
        </w:rPr>
        <w:t xml:space="preserve"> psychoactive substances were legal by default and illegal by exception, whereas now they are illegal by default and legal by exception. This mean</w:t>
      </w:r>
      <w:r w:rsidR="00394D21">
        <w:rPr>
          <w:szCs w:val="24"/>
          <w:lang w:eastAsia="en-GB"/>
        </w:rPr>
        <w:t>s</w:t>
      </w:r>
      <w:r w:rsidRPr="003168A2">
        <w:rPr>
          <w:szCs w:val="24"/>
          <w:lang w:eastAsia="en-GB"/>
        </w:rPr>
        <w:t xml:space="preserve"> that new chemical compounds emerging into the market are automatically controlled under the blanket ban. </w:t>
      </w:r>
      <w:r>
        <w:rPr>
          <w:szCs w:val="24"/>
          <w:lang w:eastAsia="en-GB"/>
        </w:rPr>
        <w:t xml:space="preserve">The Act was introduced with the intention of tackling NPS-related harms </w:t>
      </w:r>
      <w:r w:rsidR="00394D21">
        <w:rPr>
          <w:szCs w:val="24"/>
          <w:lang w:eastAsia="en-GB"/>
        </w:rPr>
        <w:t>by</w:t>
      </w:r>
      <w:r>
        <w:rPr>
          <w:szCs w:val="24"/>
          <w:lang w:eastAsia="en-GB"/>
        </w:rPr>
        <w:t xml:space="preserve"> reducing people’s use of legal highs (HM Government, 2016). </w:t>
      </w:r>
      <w:r w:rsidRPr="007C511F">
        <w:rPr>
          <w:szCs w:val="24"/>
          <w:lang w:eastAsia="en-GB"/>
        </w:rPr>
        <w:t xml:space="preserve">The primary purpose of the Act was to close high street retail outlets selling </w:t>
      </w:r>
      <w:r>
        <w:rPr>
          <w:szCs w:val="24"/>
          <w:lang w:eastAsia="en-GB"/>
        </w:rPr>
        <w:t>legal highs,</w:t>
      </w:r>
      <w:r w:rsidRPr="00B7294E">
        <w:rPr>
          <w:szCs w:val="24"/>
          <w:lang w:eastAsia="en-GB"/>
        </w:rPr>
        <w:t xml:space="preserve"> </w:t>
      </w:r>
      <w:r>
        <w:rPr>
          <w:szCs w:val="24"/>
          <w:lang w:eastAsia="en-GB"/>
        </w:rPr>
        <w:t xml:space="preserve">thereby decreasing people’s exposure to NPS. </w:t>
      </w:r>
      <w:r w:rsidRPr="007C511F">
        <w:rPr>
          <w:szCs w:val="24"/>
          <w:lang w:eastAsia="en-GB"/>
        </w:rPr>
        <w:t xml:space="preserve">Although </w:t>
      </w:r>
      <w:r>
        <w:rPr>
          <w:szCs w:val="24"/>
          <w:lang w:eastAsia="en-GB"/>
        </w:rPr>
        <w:t xml:space="preserve">the Act </w:t>
      </w:r>
      <w:r w:rsidRPr="007C511F">
        <w:rPr>
          <w:szCs w:val="24"/>
          <w:lang w:eastAsia="en-GB"/>
        </w:rPr>
        <w:t>does not criminalise users for possession</w:t>
      </w:r>
      <w:r>
        <w:rPr>
          <w:szCs w:val="24"/>
          <w:lang w:eastAsia="en-GB"/>
        </w:rPr>
        <w:t xml:space="preserve"> of NPS</w:t>
      </w:r>
      <w:r w:rsidRPr="007C511F">
        <w:rPr>
          <w:szCs w:val="24"/>
          <w:lang w:eastAsia="en-GB"/>
        </w:rPr>
        <w:t xml:space="preserve"> it </w:t>
      </w:r>
      <w:r>
        <w:rPr>
          <w:szCs w:val="24"/>
          <w:lang w:eastAsia="en-GB"/>
        </w:rPr>
        <w:t>is</w:t>
      </w:r>
      <w:r w:rsidRPr="007C511F">
        <w:rPr>
          <w:szCs w:val="24"/>
          <w:lang w:eastAsia="en-GB"/>
        </w:rPr>
        <w:t xml:space="preserve"> intended to send a</w:t>
      </w:r>
      <w:r>
        <w:rPr>
          <w:szCs w:val="24"/>
          <w:lang w:eastAsia="en-GB"/>
        </w:rPr>
        <w:t xml:space="preserve"> clear</w:t>
      </w:r>
      <w:r w:rsidRPr="007C511F">
        <w:rPr>
          <w:szCs w:val="24"/>
          <w:lang w:eastAsia="en-GB"/>
        </w:rPr>
        <w:t xml:space="preserve"> health message to potential users that </w:t>
      </w:r>
      <w:r>
        <w:rPr>
          <w:szCs w:val="24"/>
          <w:lang w:eastAsia="en-GB"/>
        </w:rPr>
        <w:t>so-called legal highs</w:t>
      </w:r>
      <w:r w:rsidRPr="007C511F">
        <w:rPr>
          <w:szCs w:val="24"/>
          <w:lang w:eastAsia="en-GB"/>
        </w:rPr>
        <w:t xml:space="preserve"> are not safe (HM Government, 2016). </w:t>
      </w:r>
    </w:p>
    <w:p w14:paraId="7BFB7A6B" w14:textId="65A75432" w:rsidR="00A64E15" w:rsidRPr="00D3282C" w:rsidRDefault="00A64E15" w:rsidP="00A64E15">
      <w:pPr>
        <w:shd w:val="clear" w:color="auto" w:fill="FFFFFF"/>
        <w:spacing w:before="100" w:beforeAutospacing="1" w:after="100" w:afterAutospacing="1" w:line="480" w:lineRule="auto"/>
        <w:rPr>
          <w:szCs w:val="24"/>
          <w:lang w:eastAsia="en-GB"/>
        </w:rPr>
      </w:pPr>
      <w:r>
        <w:rPr>
          <w:szCs w:val="24"/>
          <w:lang w:eastAsia="en-GB"/>
        </w:rPr>
        <w:t>Brought</w:t>
      </w:r>
      <w:r w:rsidRPr="007C511F">
        <w:rPr>
          <w:szCs w:val="24"/>
          <w:lang w:eastAsia="en-GB"/>
        </w:rPr>
        <w:t> into force on 26 May 2016</w:t>
      </w:r>
      <w:r>
        <w:rPr>
          <w:szCs w:val="24"/>
          <w:lang w:eastAsia="en-GB"/>
        </w:rPr>
        <w:t>,</w:t>
      </w:r>
      <w:r w:rsidRPr="007C511F">
        <w:rPr>
          <w:szCs w:val="24"/>
          <w:lang w:eastAsia="en-GB"/>
        </w:rPr>
        <w:t xml:space="preserve"> </w:t>
      </w:r>
      <w:r>
        <w:rPr>
          <w:szCs w:val="24"/>
          <w:lang w:eastAsia="en-GB"/>
        </w:rPr>
        <w:t xml:space="preserve">the Act makes it an offence to produce, supply or import/export any </w:t>
      </w:r>
      <w:r w:rsidRPr="00D3282C">
        <w:rPr>
          <w:szCs w:val="24"/>
          <w:lang w:eastAsia="en-GB"/>
        </w:rPr>
        <w:t>substance intended for human consumption capable of producing a psychoactive effect</w:t>
      </w:r>
      <w:r>
        <w:rPr>
          <w:szCs w:val="24"/>
          <w:lang w:eastAsia="en-GB"/>
        </w:rPr>
        <w:t xml:space="preserve"> unless specifically exempted</w:t>
      </w:r>
      <w:r w:rsidRPr="00D3282C">
        <w:rPr>
          <w:szCs w:val="24"/>
          <w:lang w:eastAsia="en-GB"/>
        </w:rPr>
        <w:t>.</w:t>
      </w:r>
      <w:r>
        <w:rPr>
          <w:szCs w:val="24"/>
          <w:lang w:eastAsia="en-GB"/>
        </w:rPr>
        <w:t xml:space="preserve"> Exempted substances include </w:t>
      </w:r>
      <w:r w:rsidRPr="00D3282C">
        <w:rPr>
          <w:szCs w:val="24"/>
          <w:lang w:eastAsia="en-GB"/>
        </w:rPr>
        <w:t>food, alcohol, tobacco, nicotine, caffeine</w:t>
      </w:r>
      <w:r>
        <w:rPr>
          <w:szCs w:val="24"/>
          <w:lang w:eastAsia="en-GB"/>
        </w:rPr>
        <w:t>,</w:t>
      </w:r>
      <w:r w:rsidRPr="00D3282C">
        <w:rPr>
          <w:szCs w:val="24"/>
          <w:lang w:eastAsia="en-GB"/>
        </w:rPr>
        <w:t xml:space="preserve"> medic</w:t>
      </w:r>
      <w:r>
        <w:rPr>
          <w:szCs w:val="24"/>
          <w:lang w:eastAsia="en-GB"/>
        </w:rPr>
        <w:t xml:space="preserve">ines and </w:t>
      </w:r>
      <w:r w:rsidRPr="00D3282C">
        <w:rPr>
          <w:szCs w:val="24"/>
          <w:lang w:eastAsia="en-GB"/>
        </w:rPr>
        <w:t>controlled drugs</w:t>
      </w:r>
      <w:r>
        <w:rPr>
          <w:szCs w:val="24"/>
          <w:lang w:eastAsia="en-GB"/>
        </w:rPr>
        <w:t>,</w:t>
      </w:r>
      <w:r w:rsidRPr="00D3282C">
        <w:rPr>
          <w:szCs w:val="24"/>
          <w:lang w:eastAsia="en-GB"/>
        </w:rPr>
        <w:t xml:space="preserve"> which continue to be regulated by the </w:t>
      </w:r>
      <w:r>
        <w:rPr>
          <w:szCs w:val="24"/>
          <w:lang w:eastAsia="en-GB"/>
        </w:rPr>
        <w:t>MDA and Medicines Act. Within the Act</w:t>
      </w:r>
      <w:r w:rsidR="00394D21">
        <w:rPr>
          <w:szCs w:val="24"/>
          <w:lang w:eastAsia="en-GB"/>
        </w:rPr>
        <w:t>,</w:t>
      </w:r>
      <w:r>
        <w:rPr>
          <w:szCs w:val="24"/>
          <w:lang w:eastAsia="en-GB"/>
        </w:rPr>
        <w:t xml:space="preserve"> a psychoactive substance is defined as a substance </w:t>
      </w:r>
      <w:r w:rsidRPr="002F1B12">
        <w:rPr>
          <w:szCs w:val="24"/>
          <w:lang w:eastAsia="en-GB"/>
        </w:rPr>
        <w:t>which ‘</w:t>
      </w:r>
      <w:r w:rsidRPr="002F1B12">
        <w:rPr>
          <w:color w:val="000000"/>
          <w:szCs w:val="24"/>
          <w:shd w:val="clear" w:color="auto" w:fill="FFFFFF"/>
        </w:rPr>
        <w:t>produces a psychoactive effect in a person if, by stimulating or depressing the person’s central nervous system, it affects the person’s mental functioning or emotional state’</w:t>
      </w:r>
      <w:r>
        <w:rPr>
          <w:color w:val="000000"/>
          <w:szCs w:val="24"/>
          <w:shd w:val="clear" w:color="auto" w:fill="FFFFFF"/>
        </w:rPr>
        <w:t xml:space="preserve"> (</w:t>
      </w:r>
      <w:r w:rsidR="00F05EC6">
        <w:rPr>
          <w:color w:val="000000"/>
          <w:szCs w:val="24"/>
          <w:shd w:val="clear" w:color="auto" w:fill="FFFFFF"/>
        </w:rPr>
        <w:t>p.2</w:t>
      </w:r>
      <w:r w:rsidR="00DF5C89">
        <w:rPr>
          <w:color w:val="000000"/>
          <w:szCs w:val="24"/>
          <w:shd w:val="clear" w:color="auto" w:fill="FFFFFF"/>
        </w:rPr>
        <w:t>,</w:t>
      </w:r>
      <w:r w:rsidR="00F05EC6">
        <w:rPr>
          <w:color w:val="000000"/>
          <w:szCs w:val="24"/>
          <w:shd w:val="clear" w:color="auto" w:fill="FFFFFF"/>
        </w:rPr>
        <w:t xml:space="preserve"> </w:t>
      </w:r>
      <w:r w:rsidR="00DF5C89">
        <w:rPr>
          <w:color w:val="000000"/>
          <w:szCs w:val="24"/>
          <w:shd w:val="clear" w:color="auto" w:fill="FFFFFF"/>
        </w:rPr>
        <w:t xml:space="preserve">PS Act; </w:t>
      </w:r>
      <w:r>
        <w:rPr>
          <w:color w:val="000000"/>
          <w:szCs w:val="24"/>
          <w:shd w:val="clear" w:color="auto" w:fill="FFFFFF"/>
        </w:rPr>
        <w:t>HM Government, 2016)</w:t>
      </w:r>
      <w:r w:rsidRPr="002F1B12">
        <w:rPr>
          <w:color w:val="000000"/>
          <w:szCs w:val="24"/>
          <w:shd w:val="clear" w:color="auto" w:fill="FFFFFF"/>
        </w:rPr>
        <w:t>.</w:t>
      </w:r>
      <w:r>
        <w:rPr>
          <w:szCs w:val="24"/>
          <w:lang w:eastAsia="en-GB"/>
        </w:rPr>
        <w:t xml:space="preserve"> </w:t>
      </w:r>
      <w:r w:rsidRPr="00D3282C">
        <w:rPr>
          <w:szCs w:val="24"/>
          <w:lang w:eastAsia="en-GB"/>
        </w:rPr>
        <w:t xml:space="preserve">The maximum sentence </w:t>
      </w:r>
      <w:r>
        <w:rPr>
          <w:szCs w:val="24"/>
          <w:lang w:eastAsia="en-GB"/>
        </w:rPr>
        <w:t>for production and supply is seven</w:t>
      </w:r>
      <w:r w:rsidRPr="00D3282C">
        <w:rPr>
          <w:szCs w:val="24"/>
          <w:lang w:eastAsia="en-GB"/>
        </w:rPr>
        <w:t xml:space="preserve"> years</w:t>
      </w:r>
      <w:r>
        <w:rPr>
          <w:szCs w:val="24"/>
          <w:lang w:eastAsia="en-GB"/>
        </w:rPr>
        <w:t xml:space="preserve"> in</w:t>
      </w:r>
      <w:r w:rsidRPr="00D3282C">
        <w:rPr>
          <w:szCs w:val="24"/>
          <w:lang w:eastAsia="en-GB"/>
        </w:rPr>
        <w:t xml:space="preserve"> </w:t>
      </w:r>
      <w:r>
        <w:rPr>
          <w:szCs w:val="24"/>
          <w:lang w:eastAsia="en-GB"/>
        </w:rPr>
        <w:t>p</w:t>
      </w:r>
      <w:r w:rsidRPr="00D3282C">
        <w:rPr>
          <w:szCs w:val="24"/>
          <w:lang w:eastAsia="en-GB"/>
        </w:rPr>
        <w:t>rison</w:t>
      </w:r>
      <w:r>
        <w:rPr>
          <w:szCs w:val="24"/>
          <w:lang w:eastAsia="en-GB"/>
        </w:rPr>
        <w:t xml:space="preserve"> and/or an unlimited fine. However, as with the MDA, less serious offences handled by the magistrate’s court are limited to a </w:t>
      </w:r>
      <w:r w:rsidR="00743444">
        <w:rPr>
          <w:szCs w:val="24"/>
          <w:lang w:eastAsia="en-GB"/>
        </w:rPr>
        <w:t>twelve-month</w:t>
      </w:r>
      <w:r>
        <w:rPr>
          <w:szCs w:val="24"/>
          <w:lang w:eastAsia="en-GB"/>
        </w:rPr>
        <w:t xml:space="preserve"> sentence. The PS Act also authorises prohibition notices and orders used as a warning to sellers to cease prohibited activities, the breach of which is a criminal offence </w:t>
      </w:r>
      <w:r w:rsidRPr="00D3282C">
        <w:rPr>
          <w:szCs w:val="24"/>
          <w:lang w:eastAsia="en-GB"/>
        </w:rPr>
        <w:t>punishable by a prison sentence of up to two years</w:t>
      </w:r>
      <w:r>
        <w:rPr>
          <w:szCs w:val="24"/>
          <w:lang w:eastAsia="en-GB"/>
        </w:rPr>
        <w:t xml:space="preserve"> </w:t>
      </w:r>
      <w:r w:rsidRPr="00D3282C">
        <w:rPr>
          <w:szCs w:val="24"/>
          <w:lang w:eastAsia="en-GB"/>
        </w:rPr>
        <w:t>an</w:t>
      </w:r>
      <w:r>
        <w:rPr>
          <w:szCs w:val="24"/>
          <w:lang w:eastAsia="en-GB"/>
        </w:rPr>
        <w:t>d an</w:t>
      </w:r>
      <w:r w:rsidRPr="00D3282C">
        <w:rPr>
          <w:szCs w:val="24"/>
          <w:lang w:eastAsia="en-GB"/>
        </w:rPr>
        <w:t xml:space="preserve"> unlimited fine.</w:t>
      </w:r>
    </w:p>
    <w:p w14:paraId="79946376" w14:textId="77777777" w:rsidR="00A64E15" w:rsidRPr="005C40C3" w:rsidRDefault="00A64E15" w:rsidP="000464DC">
      <w:pPr>
        <w:pStyle w:val="Heading3"/>
      </w:pPr>
      <w:bookmarkStart w:id="82" w:name="_Toc9182742"/>
      <w:bookmarkStart w:id="83" w:name="_Toc35892512"/>
      <w:r w:rsidRPr="005C40C3">
        <w:t>Critique of the Psychoactive Substances Act</w:t>
      </w:r>
      <w:bookmarkEnd w:id="82"/>
      <w:bookmarkEnd w:id="83"/>
    </w:p>
    <w:p w14:paraId="4CB8AB2A" w14:textId="00F92996" w:rsidR="00A64E15" w:rsidRDefault="00A64E15" w:rsidP="00743444">
      <w:pPr>
        <w:spacing w:line="480" w:lineRule="auto"/>
      </w:pPr>
      <w:r w:rsidRPr="003741CA">
        <w:t>The introduction of the PS Act was not without controversy. Numerous commentators from media, political and academic contexts criticised both the delivery and content of the</w:t>
      </w:r>
      <w:r>
        <w:t xml:space="preserve"> </w:t>
      </w:r>
      <w:r w:rsidRPr="00587232">
        <w:t>(</w:t>
      </w:r>
      <w:r w:rsidR="00BF1541">
        <w:t>e.g. Lione, 2016</w:t>
      </w:r>
      <w:r w:rsidRPr="00587232">
        <w:t>).</w:t>
      </w:r>
      <w:r w:rsidRPr="003741CA">
        <w:t xml:space="preserve">  Critics expressed concerns that </w:t>
      </w:r>
      <w:r w:rsidR="00394D21">
        <w:t xml:space="preserve">the </w:t>
      </w:r>
      <w:r w:rsidRPr="003741CA">
        <w:t>introduction of the Act was rushed, and insufficient time had been given for the evidence around NPS to be reviewed and considered. In terms of the content, several critics pointed in particular to the very broad definition of psychoactive substances used. By encompassing such a wide range of substances and making no reference to their harm potential</w:t>
      </w:r>
      <w:r>
        <w:t>,</w:t>
      </w:r>
      <w:r w:rsidRPr="003741CA">
        <w:t xml:space="preserve"> critics claimed that enforcement of the act would be unfeasible. Others criticised the act more generally, concerned that</w:t>
      </w:r>
      <w:r>
        <w:t>,</w:t>
      </w:r>
      <w:r w:rsidRPr="003741CA">
        <w:t xml:space="preserve"> as part of a prohibitive approach to drug control</w:t>
      </w:r>
      <w:r>
        <w:t>,</w:t>
      </w:r>
      <w:r w:rsidRPr="003741CA">
        <w:t xml:space="preserve"> the likely outcome would be to drive sales of NPS onto the black market alongside traditional illicit drugs. With production shifting onto unscrupulous </w:t>
      </w:r>
      <w:r w:rsidR="00743444" w:rsidRPr="003741CA">
        <w:t>black-market</w:t>
      </w:r>
      <w:r w:rsidRPr="003741CA">
        <w:t xml:space="preserve"> traders, critics </w:t>
      </w:r>
      <w:r>
        <w:t>expressed</w:t>
      </w:r>
      <w:r w:rsidRPr="003741CA">
        <w:t xml:space="preserve"> concern</w:t>
      </w:r>
      <w:r>
        <w:t xml:space="preserve"> </w:t>
      </w:r>
      <w:r w:rsidRPr="003741CA">
        <w:t xml:space="preserve">that NPS will become more dangerous as any measure of protection that had been afforded by legitimate traders’ concern for their customer base would be lost. With less concern for people’s wellbeing, black market traders are </w:t>
      </w:r>
      <w:r>
        <w:t>then</w:t>
      </w:r>
      <w:r w:rsidRPr="003741CA">
        <w:t xml:space="preserve"> expected to create products that are not only more dangerous but also more directly targeted at vulnerable users. Furthermore, by framing NPS as a criminal rather than a health issue, there are concerns that users will become stigmatised, with vulnerable and marginalised users disproportionally affected by increasing risks of use and stigmatisation.</w:t>
      </w:r>
    </w:p>
    <w:p w14:paraId="638B497D" w14:textId="77777777" w:rsidR="00A64E15" w:rsidRDefault="00A64E15" w:rsidP="000464DC">
      <w:pPr>
        <w:pStyle w:val="Heading3"/>
      </w:pPr>
      <w:bookmarkStart w:id="84" w:name="_Toc9182743"/>
      <w:bookmarkStart w:id="85" w:name="_Toc35892513"/>
      <w:r>
        <w:t>Young people and the law around NPS</w:t>
      </w:r>
      <w:bookmarkEnd w:id="84"/>
      <w:bookmarkEnd w:id="85"/>
    </w:p>
    <w:p w14:paraId="718F3B71" w14:textId="77777777" w:rsidR="00A64E15" w:rsidRPr="003741CA" w:rsidRDefault="00A64E15" w:rsidP="00A64E15">
      <w:pPr>
        <w:spacing w:line="480" w:lineRule="auto"/>
      </w:pPr>
      <w:r>
        <w:t xml:space="preserve">The law around NPS is complex, with individual substances subject to various penalties for possession ranging from no penalty to a maximum of 7 years imprisonment depending on whether it falls under the PS Act, MDA or other legislation. </w:t>
      </w:r>
      <w:r>
        <w:rPr>
          <w:szCs w:val="24"/>
          <w:lang w:eastAsia="en-GB"/>
        </w:rPr>
        <w:t>The wide variation in penalties associated with different drugs has implications for the way in which potential users can be expected to relate to each substance</w:t>
      </w:r>
      <w:r>
        <w:t xml:space="preserve">. However, with such large numbers of NPS potentially available and differences in legal status being dependent on ad-hoc processes of scheduling it seems unlikely that young people will be aware of the differing legal statuses between many substances. Currently, no research has looked at young people’s awareness of the legal status of NPS or the way in which the changing legal status of these substances affects their attitudes and perceptions. </w:t>
      </w:r>
    </w:p>
    <w:p w14:paraId="1EE841A2" w14:textId="77777777" w:rsidR="00A64E15" w:rsidRPr="006874B2" w:rsidRDefault="00A64E15" w:rsidP="006874B2">
      <w:pPr>
        <w:pStyle w:val="Heading2"/>
        <w:rPr>
          <w:rStyle w:val="Heading2Char"/>
          <w:b/>
          <w:bCs/>
        </w:rPr>
      </w:pPr>
      <w:bookmarkStart w:id="86" w:name="_Toc9182744"/>
      <w:bookmarkStart w:id="87" w:name="_Toc35892514"/>
      <w:bookmarkStart w:id="88" w:name="_Hlk530438163"/>
      <w:bookmarkEnd w:id="81"/>
      <w:r w:rsidRPr="006874B2">
        <w:rPr>
          <w:rStyle w:val="Heading2Char"/>
          <w:b/>
          <w:bCs/>
        </w:rPr>
        <w:t>Sales and marketing</w:t>
      </w:r>
      <w:bookmarkEnd w:id="86"/>
      <w:bookmarkEnd w:id="87"/>
      <w:r w:rsidRPr="006874B2">
        <w:rPr>
          <w:rStyle w:val="Heading2Char"/>
          <w:b/>
          <w:bCs/>
        </w:rPr>
        <w:t xml:space="preserve"> </w:t>
      </w:r>
    </w:p>
    <w:p w14:paraId="4F2AA6C3" w14:textId="77777777" w:rsidR="00A64E15" w:rsidRPr="00463171" w:rsidRDefault="00A64E15" w:rsidP="00A64E15">
      <w:pPr>
        <w:spacing w:line="480" w:lineRule="auto"/>
      </w:pPr>
      <w:r>
        <w:t xml:space="preserve">Findings from drug seizures usefully provide an indication of the scale of the NPS market and the types of substances involved. However, drug seizure data offers little insight into where young people obtain NPS and the nature of the products they encounter. The way in which NPS are marketed and accessed has important implications for how young people interact with these substances and the parameters within which their decisions around NPS are made.  </w:t>
      </w:r>
    </w:p>
    <w:p w14:paraId="324C688C" w14:textId="5015B812" w:rsidR="00A64E15" w:rsidRPr="00BA6B91" w:rsidRDefault="00A64E15" w:rsidP="00743444">
      <w:pPr>
        <w:pStyle w:val="FigureHeading"/>
      </w:pPr>
      <w:r w:rsidRPr="00BA6B91">
        <w:t xml:space="preserve"> </w:t>
      </w:r>
      <w:bookmarkStart w:id="89" w:name="_Toc9509100"/>
      <w:bookmarkStart w:id="90" w:name="_Toc9186664"/>
      <w:r w:rsidRPr="00BA6B91">
        <w:t xml:space="preserve">Figure </w:t>
      </w:r>
      <w:r w:rsidR="00195751">
        <w:t>2-</w:t>
      </w:r>
      <w:r w:rsidR="00FF2A65">
        <w:t>5</w:t>
      </w:r>
      <w:r w:rsidRPr="00BA6B91">
        <w:t>: Typical high street Headshops selling NPS</w:t>
      </w:r>
      <w:bookmarkEnd w:id="89"/>
      <w:r w:rsidRPr="00BA6B91">
        <w:t xml:space="preserve"> </w:t>
      </w:r>
      <w:bookmarkEnd w:id="90"/>
    </w:p>
    <w:p w14:paraId="3853974E" w14:textId="77777777" w:rsidR="00A64E15" w:rsidRPr="00B5035A" w:rsidRDefault="00A64E15" w:rsidP="00A64E15">
      <w:pPr>
        <w:spacing w:line="240" w:lineRule="auto"/>
        <w:rPr>
          <w:lang w:val="en-US"/>
        </w:rPr>
      </w:pPr>
      <w:r w:rsidRPr="00B5035A">
        <w:rPr>
          <w:noProof/>
          <w:lang w:val="en-US" w:eastAsia="en-US"/>
        </w:rPr>
        <mc:AlternateContent>
          <mc:Choice Requires="wpg">
            <w:drawing>
              <wp:anchor distT="0" distB="0" distL="114300" distR="114300" simplePos="0" relativeHeight="250505216" behindDoc="0" locked="0" layoutInCell="1" allowOverlap="1" wp14:anchorId="26D6C490" wp14:editId="183F84B5">
                <wp:simplePos x="0" y="0"/>
                <wp:positionH relativeFrom="column">
                  <wp:posOffset>1117296</wp:posOffset>
                </wp:positionH>
                <wp:positionV relativeFrom="paragraph">
                  <wp:posOffset>967210</wp:posOffset>
                </wp:positionV>
                <wp:extent cx="4677205" cy="389538"/>
                <wp:effectExtent l="0" t="457200" r="0" b="467995"/>
                <wp:wrapNone/>
                <wp:docPr id="19" name="Group 19"/>
                <wp:cNvGraphicFramePr/>
                <a:graphic xmlns:a="http://schemas.openxmlformats.org/drawingml/2006/main">
                  <a:graphicData uri="http://schemas.microsoft.com/office/word/2010/wordprocessingGroup">
                    <wpg:wgp>
                      <wpg:cNvGrpSpPr/>
                      <wpg:grpSpPr>
                        <a:xfrm>
                          <a:off x="0" y="0"/>
                          <a:ext cx="4677205" cy="389538"/>
                          <a:chOff x="0" y="0"/>
                          <a:chExt cx="4677205" cy="389538"/>
                        </a:xfrm>
                      </wpg:grpSpPr>
                      <wps:wsp>
                        <wps:cNvPr id="217" name="Text Box 2"/>
                        <wps:cNvSpPr txBox="1">
                          <a:spLocks noChangeArrowheads="1"/>
                        </wps:cNvSpPr>
                        <wps:spPr bwMode="auto">
                          <a:xfrm>
                            <a:off x="0" y="0"/>
                            <a:ext cx="309245" cy="359310"/>
                          </a:xfrm>
                          <a:prstGeom prst="rect">
                            <a:avLst/>
                          </a:prstGeom>
                          <a:noFill/>
                          <a:ln w="9525">
                            <a:noFill/>
                            <a:miter lim="800000"/>
                            <a:headEnd/>
                            <a:tailEnd/>
                          </a:ln>
                        </wps:spPr>
                        <wps:txbx>
                          <w:txbxContent>
                            <w:p w14:paraId="2FC8EAD4" w14:textId="77777777" w:rsidR="00777EE0" w:rsidRPr="009C2D95" w:rsidRDefault="00777EE0" w:rsidP="00A64E15">
                              <w:pPr>
                                <w:rPr>
                                  <w:rFonts w:asciiTheme="majorHAnsi" w:hAnsiTheme="majorHAnsi" w:cstheme="majorHAnsi"/>
                                  <w:b/>
                                  <w:color w:val="FFFFFF" w:themeColor="background1"/>
                                  <w:sz w:val="28"/>
                                </w:rPr>
                              </w:pPr>
                              <w:r w:rsidRPr="009C2D95">
                                <w:rPr>
                                  <w:rFonts w:asciiTheme="majorHAnsi" w:hAnsiTheme="majorHAnsi" w:cstheme="majorHAnsi"/>
                                  <w:b/>
                                  <w:color w:val="FFFFFF" w:themeColor="background1"/>
                                  <w:sz w:val="28"/>
                                </w:rPr>
                                <w:t>1</w:t>
                              </w:r>
                            </w:p>
                          </w:txbxContent>
                        </wps:txbx>
                        <wps:bodyPr rot="0" vert="horz" wrap="square" lIns="91440" tIns="45720" rIns="91440" bIns="45720" anchor="t" anchorCtr="0">
                          <a:noAutofit/>
                        </wps:bodyPr>
                      </wps:wsp>
                      <wps:wsp>
                        <wps:cNvPr id="14" name="Text Box 2"/>
                        <wps:cNvSpPr txBox="1">
                          <a:spLocks noChangeArrowheads="1"/>
                        </wps:cNvSpPr>
                        <wps:spPr bwMode="auto">
                          <a:xfrm>
                            <a:off x="1881699" y="7557"/>
                            <a:ext cx="309245" cy="359310"/>
                          </a:xfrm>
                          <a:prstGeom prst="rect">
                            <a:avLst/>
                          </a:prstGeom>
                          <a:noFill/>
                          <a:ln w="9525">
                            <a:noFill/>
                            <a:miter lim="800000"/>
                            <a:headEnd/>
                            <a:tailEnd/>
                          </a:ln>
                        </wps:spPr>
                        <wps:txbx>
                          <w:txbxContent>
                            <w:p w14:paraId="49E58EA6"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2</w:t>
                              </w:r>
                            </w:p>
                          </w:txbxContent>
                        </wps:txbx>
                        <wps:bodyPr rot="0" vert="horz" wrap="square" lIns="91440" tIns="45720" rIns="91440" bIns="45720" anchor="t" anchorCtr="0">
                          <a:noAutofit/>
                        </wps:bodyPr>
                      </wps:wsp>
                      <wps:wsp>
                        <wps:cNvPr id="15" name="Text Box 2"/>
                        <wps:cNvSpPr txBox="1">
                          <a:spLocks noChangeArrowheads="1"/>
                        </wps:cNvSpPr>
                        <wps:spPr bwMode="auto">
                          <a:xfrm>
                            <a:off x="3204178" y="15114"/>
                            <a:ext cx="309245" cy="359310"/>
                          </a:xfrm>
                          <a:prstGeom prst="rect">
                            <a:avLst/>
                          </a:prstGeom>
                          <a:noFill/>
                          <a:ln w="9525">
                            <a:noFill/>
                            <a:miter lim="800000"/>
                            <a:headEnd/>
                            <a:tailEnd/>
                          </a:ln>
                        </wps:spPr>
                        <wps:txbx>
                          <w:txbxContent>
                            <w:p w14:paraId="069E42A9"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3</w:t>
                              </w:r>
                            </w:p>
                          </w:txbxContent>
                        </wps:txbx>
                        <wps:bodyPr rot="0" vert="horz" wrap="square" lIns="91440" tIns="45720" rIns="91440" bIns="45720" anchor="t" anchorCtr="0">
                          <a:noAutofit/>
                        </wps:bodyPr>
                      </wps:wsp>
                      <wps:wsp>
                        <wps:cNvPr id="16" name="Text Box 2"/>
                        <wps:cNvSpPr txBox="1">
                          <a:spLocks noChangeArrowheads="1"/>
                        </wps:cNvSpPr>
                        <wps:spPr bwMode="auto">
                          <a:xfrm>
                            <a:off x="4367960" y="30228"/>
                            <a:ext cx="309245" cy="359310"/>
                          </a:xfrm>
                          <a:prstGeom prst="rect">
                            <a:avLst/>
                          </a:prstGeom>
                          <a:noFill/>
                          <a:ln w="9525">
                            <a:noFill/>
                            <a:miter lim="800000"/>
                            <a:headEnd/>
                            <a:tailEnd/>
                          </a:ln>
                        </wps:spPr>
                        <wps:txbx>
                          <w:txbxContent>
                            <w:p w14:paraId="00700465"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D6C490" id="Group 19" o:spid="_x0000_s1043" style="position:absolute;margin-left:88pt;margin-top:76.15pt;width:368.3pt;height:30.65pt;z-index:250505216;mso-height-relative:margin" coordsize="46772,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631gIAAIYMAAAOAAAAZHJzL2Uyb0RvYy54bWzkV8lu2zAQvRfoPxC8N1os2ZYQOUizoUCX&#10;AEk/gKaoBZVIlqQjpV/fISkvSICiSFE0TXyguQ5n3rwZjo5Pxr5Dd0zpVvACR0chRoxTUba8LvDX&#10;28t3S4y0IbwkneCswPdM45PV2zfHg8xZLBrRlUwhEMJ1PsgCN8bIPAg0bVhP9JGQjMNiJVRPDAxV&#10;HZSKDCC974I4DOfBIFQplaBMa5g994t45eRXFaPmS1VpZlBXYNDNuFa5dm3bYHVM8loR2bR0UoM8&#10;QYuetBwu3Yk6J4agjWofiepbqoQWlTmiog9EVbWUORvAmih8YM2VEhvpbKnzoZY7mADaBzg9WSz9&#10;fHetUFuC7zKMOOnBR+5aBGMAZ5B1DnuulLyR12qaqP3I2jtWqrf/YAkaHaz3O1jZaBCFyWS+WMRh&#10;ihGFtdkyS2dLjzttwDmPjtHm4tcHg+21gdVup8wggUJ6j5L+M5RuGiKZA19bBCaU4mixhenW2vde&#10;jCj2QLltFiVkRpgGRB0jtPwo6DeNuDhrCK/ZqVJiaBgpQb/IngQrdkct4DrXVsh6+CRK8AbZGOEE&#10;/Q7UszCLky3SaTaLHMN3gJFcKm2umOiR7RRYQYA44eTuozZWmf0W61YuLtuug3mSdxwNBc7SOHUH&#10;Dlb61kAMd21f4GVof9671sYLXrrDhrSd78MFHZ+MtnZ6i824Hj0LF1sw16K8BxiU8DELOQY6jVA/&#10;MBogXgusv2+IYhh1HzhAmUVJYgPcDZIUCIeROlxZH64QTkFUgQ1GvntmXFLwNp8C5FXr4LDu8JpM&#10;OgPDvMp/nWpR8kyYFi2X0TyD9ADhu0hT5yGSb6P7/6ecy0Z7R79mykHq8G/AP05uszhMogXUDkC5&#10;KI0gFFwaeTmcmx7XbXJ5zZybPxPOJbP5IpvDs2GrlDCOpyLlxXAOXkQIouee51xNB8WuK0WmwtxW&#10;04dj9xTvPx9WPwEAAP//AwBQSwMEFAAGAAgAAAAhAOyjdnPhAAAACwEAAA8AAABkcnMvZG93bnJl&#10;di54bWxMj0FLw0AQhe+C/2EZwZvdbEKjxmxKKeqpCG0F8bZNpklodjZkt0n67x1PepvHPN77Xr6a&#10;bSdGHHzrSINaRCCQSle1VGv4PLw9PIHwwVBlOkeo4YoeVsXtTW6yyk20w3EfasEh5DOjoQmhz6T0&#10;ZYPW+IXrkfh3coM1geVQy2owE4fbTsZRlEprWuKGxvS4abA87y9Ww/tkpnWiXsft+bS5fh+WH19b&#10;hVrf383rFxAB5/Bnhl98RoeCmY7uQpUXHevHlLcEPpZxAoIdzypOQRw1xCpJQRa5/L+h+AEAAP//&#10;AwBQSwECLQAUAAYACAAAACEAtoM4kv4AAADhAQAAEwAAAAAAAAAAAAAAAAAAAAAAW0NvbnRlbnRf&#10;VHlwZXNdLnhtbFBLAQItABQABgAIAAAAIQA4/SH/1gAAAJQBAAALAAAAAAAAAAAAAAAAAC8BAABf&#10;cmVscy8ucmVsc1BLAQItABQABgAIAAAAIQDtTq631gIAAIYMAAAOAAAAAAAAAAAAAAAAAC4CAABk&#10;cnMvZTJvRG9jLnhtbFBLAQItABQABgAIAAAAIQDso3Zz4QAAAAsBAAAPAAAAAAAAAAAAAAAAADAF&#10;AABkcnMvZG93bnJldi54bWxQSwUGAAAAAAQABADzAAAAPgYAAAAA&#10;">
                <v:shape id="_x0000_s1044" type="#_x0000_t202" style="position:absolute;width:309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FC8EAD4" w14:textId="77777777" w:rsidR="00777EE0" w:rsidRPr="009C2D95" w:rsidRDefault="00777EE0" w:rsidP="00A64E15">
                        <w:pPr>
                          <w:rPr>
                            <w:rFonts w:asciiTheme="majorHAnsi" w:hAnsiTheme="majorHAnsi" w:cstheme="majorHAnsi"/>
                            <w:b/>
                            <w:color w:val="FFFFFF" w:themeColor="background1"/>
                            <w:sz w:val="28"/>
                          </w:rPr>
                        </w:pPr>
                        <w:r w:rsidRPr="009C2D95">
                          <w:rPr>
                            <w:rFonts w:asciiTheme="majorHAnsi" w:hAnsiTheme="majorHAnsi" w:cstheme="majorHAnsi"/>
                            <w:b/>
                            <w:color w:val="FFFFFF" w:themeColor="background1"/>
                            <w:sz w:val="28"/>
                          </w:rPr>
                          <w:t>1</w:t>
                        </w:r>
                      </w:p>
                    </w:txbxContent>
                  </v:textbox>
                </v:shape>
                <v:shape id="_x0000_s1045" type="#_x0000_t202" style="position:absolute;left:18816;top:75;width:3093;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9E58EA6"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2</w:t>
                        </w:r>
                      </w:p>
                    </w:txbxContent>
                  </v:textbox>
                </v:shape>
                <v:shape id="_x0000_s1046" type="#_x0000_t202" style="position:absolute;left:32041;top:151;width:3093;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69E42A9"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3</w:t>
                        </w:r>
                      </w:p>
                    </w:txbxContent>
                  </v:textbox>
                </v:shape>
                <v:shape id="_x0000_s1047" type="#_x0000_t202" style="position:absolute;left:43679;top:302;width:3093;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0700465" w14:textId="77777777" w:rsidR="00777EE0" w:rsidRPr="009C2D95" w:rsidRDefault="00777EE0" w:rsidP="00A64E15">
                        <w:pPr>
                          <w:rPr>
                            <w:rFonts w:asciiTheme="majorHAnsi" w:hAnsiTheme="majorHAnsi" w:cstheme="majorHAnsi"/>
                            <w:b/>
                            <w:color w:val="FFFFFF" w:themeColor="background1"/>
                            <w:sz w:val="28"/>
                          </w:rPr>
                        </w:pPr>
                        <w:r>
                          <w:rPr>
                            <w:rFonts w:asciiTheme="majorHAnsi" w:hAnsiTheme="majorHAnsi" w:cstheme="majorHAnsi"/>
                            <w:b/>
                            <w:color w:val="FFFFFF" w:themeColor="background1"/>
                            <w:sz w:val="28"/>
                          </w:rPr>
                          <w:t>4</w:t>
                        </w:r>
                      </w:p>
                    </w:txbxContent>
                  </v:textbox>
                </v:shape>
              </v:group>
            </w:pict>
          </mc:Fallback>
        </mc:AlternateContent>
      </w:r>
      <w:r w:rsidRPr="00B5035A">
        <w:rPr>
          <w:noProof/>
          <w:lang w:val="en-US" w:eastAsia="en-US"/>
        </w:rPr>
        <w:drawing>
          <wp:anchor distT="0" distB="0" distL="114300" distR="114300" simplePos="0" relativeHeight="250386432" behindDoc="0" locked="0" layoutInCell="1" allowOverlap="1" wp14:anchorId="57D2D6AA" wp14:editId="4E821977">
            <wp:simplePos x="0" y="0"/>
            <wp:positionH relativeFrom="column">
              <wp:posOffset>5546379</wp:posOffset>
            </wp:positionH>
            <wp:positionV relativeFrom="paragraph">
              <wp:posOffset>1073648</wp:posOffset>
            </wp:positionV>
            <wp:extent cx="163195" cy="188595"/>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jpeg"/>
                    <pic:cNvPicPr/>
                  </pic:nvPicPr>
                  <pic:blipFill>
                    <a:blip r:embed="rId23"/>
                    <a:stretch>
                      <a:fillRect/>
                    </a:stretch>
                  </pic:blipFill>
                  <pic:spPr>
                    <a:xfrm>
                      <a:off x="0" y="0"/>
                      <a:ext cx="163195" cy="188595"/>
                    </a:xfrm>
                    <a:prstGeom prst="rect">
                      <a:avLst/>
                    </a:prstGeom>
                  </pic:spPr>
                </pic:pic>
              </a:graphicData>
            </a:graphic>
          </wp:anchor>
        </w:drawing>
      </w:r>
      <w:r w:rsidRPr="00B5035A">
        <w:rPr>
          <w:noProof/>
          <w:lang w:val="en-US" w:eastAsia="en-US"/>
        </w:rPr>
        <w:drawing>
          <wp:anchor distT="0" distB="0" distL="114300" distR="114300" simplePos="0" relativeHeight="250445824" behindDoc="0" locked="0" layoutInCell="1" allowOverlap="1" wp14:anchorId="7017BEAC" wp14:editId="59FAC185">
            <wp:simplePos x="0" y="0"/>
            <wp:positionH relativeFrom="column">
              <wp:posOffset>4388874</wp:posOffset>
            </wp:positionH>
            <wp:positionV relativeFrom="paragraph">
              <wp:posOffset>1065446</wp:posOffset>
            </wp:positionV>
            <wp:extent cx="163195" cy="188595"/>
            <wp:effectExtent l="0" t="0" r="825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jpeg"/>
                    <pic:cNvPicPr/>
                  </pic:nvPicPr>
                  <pic:blipFill>
                    <a:blip r:embed="rId23"/>
                    <a:stretch>
                      <a:fillRect/>
                    </a:stretch>
                  </pic:blipFill>
                  <pic:spPr>
                    <a:xfrm>
                      <a:off x="0" y="0"/>
                      <a:ext cx="163195" cy="188595"/>
                    </a:xfrm>
                    <a:prstGeom prst="rect">
                      <a:avLst/>
                    </a:prstGeom>
                  </pic:spPr>
                </pic:pic>
              </a:graphicData>
            </a:graphic>
          </wp:anchor>
        </w:drawing>
      </w:r>
      <w:r w:rsidRPr="00B5035A">
        <w:rPr>
          <w:noProof/>
          <w:lang w:val="en-US" w:eastAsia="en-US"/>
        </w:rPr>
        <w:drawing>
          <wp:anchor distT="0" distB="0" distL="114300" distR="114300" simplePos="0" relativeHeight="250068992" behindDoc="0" locked="0" layoutInCell="1" allowOverlap="1" wp14:anchorId="03DF0108" wp14:editId="1D375119">
            <wp:simplePos x="0" y="0"/>
            <wp:positionH relativeFrom="column">
              <wp:posOffset>1177290</wp:posOffset>
            </wp:positionH>
            <wp:positionV relativeFrom="paragraph">
              <wp:posOffset>1048448</wp:posOffset>
            </wp:positionV>
            <wp:extent cx="163195" cy="188595"/>
            <wp:effectExtent l="0" t="0" r="825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jpeg"/>
                    <pic:cNvPicPr/>
                  </pic:nvPicPr>
                  <pic:blipFill>
                    <a:blip r:embed="rId23"/>
                    <a:stretch>
                      <a:fillRect/>
                    </a:stretch>
                  </pic:blipFill>
                  <pic:spPr>
                    <a:xfrm>
                      <a:off x="0" y="0"/>
                      <a:ext cx="163195" cy="188595"/>
                    </a:xfrm>
                    <a:prstGeom prst="rect">
                      <a:avLst/>
                    </a:prstGeom>
                  </pic:spPr>
                </pic:pic>
              </a:graphicData>
            </a:graphic>
          </wp:anchor>
        </w:drawing>
      </w:r>
      <w:r w:rsidRPr="00B5035A">
        <w:rPr>
          <w:noProof/>
          <w:lang w:val="en-US" w:eastAsia="en-US"/>
        </w:rPr>
        <w:drawing>
          <wp:anchor distT="0" distB="0" distL="114300" distR="114300" simplePos="0" relativeHeight="250258432" behindDoc="0" locked="0" layoutInCell="1" allowOverlap="1" wp14:anchorId="6E2EE09B" wp14:editId="176B80D0">
            <wp:simplePos x="0" y="0"/>
            <wp:positionH relativeFrom="column">
              <wp:posOffset>3066850</wp:posOffset>
            </wp:positionH>
            <wp:positionV relativeFrom="paragraph">
              <wp:posOffset>1057558</wp:posOffset>
            </wp:positionV>
            <wp:extent cx="163195" cy="188595"/>
            <wp:effectExtent l="0" t="0" r="8255" b="190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jpeg"/>
                    <pic:cNvPicPr/>
                  </pic:nvPicPr>
                  <pic:blipFill>
                    <a:blip r:embed="rId23"/>
                    <a:stretch>
                      <a:fillRect/>
                    </a:stretch>
                  </pic:blipFill>
                  <pic:spPr>
                    <a:xfrm>
                      <a:off x="0" y="0"/>
                      <a:ext cx="163195" cy="188595"/>
                    </a:xfrm>
                    <a:prstGeom prst="rect">
                      <a:avLst/>
                    </a:prstGeom>
                  </pic:spPr>
                </pic:pic>
              </a:graphicData>
            </a:graphic>
          </wp:anchor>
        </w:drawing>
      </w:r>
      <w:r w:rsidRPr="00B5035A">
        <w:rPr>
          <w:noProof/>
          <w:lang w:val="en-US" w:eastAsia="en-US"/>
        </w:rPr>
        <w:drawing>
          <wp:inline distT="0" distB="0" distL="0" distR="0" wp14:anchorId="123971A0" wp14:editId="40C8B43B">
            <wp:extent cx="5755640" cy="13087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shops.JPG"/>
                    <pic:cNvPicPr/>
                  </pic:nvPicPr>
                  <pic:blipFill>
                    <a:blip r:embed="rId24"/>
                    <a:stretch>
                      <a:fillRect/>
                    </a:stretch>
                  </pic:blipFill>
                  <pic:spPr>
                    <a:xfrm>
                      <a:off x="0" y="0"/>
                      <a:ext cx="5755640" cy="1308735"/>
                    </a:xfrm>
                    <a:prstGeom prst="rect">
                      <a:avLst/>
                    </a:prstGeom>
                  </pic:spPr>
                </pic:pic>
              </a:graphicData>
            </a:graphic>
          </wp:inline>
        </w:drawing>
      </w:r>
    </w:p>
    <w:p w14:paraId="79E05A02" w14:textId="77777777" w:rsidR="00A64E15" w:rsidRPr="00B5035A" w:rsidRDefault="00A64E15" w:rsidP="00A64E15">
      <w:pPr>
        <w:spacing w:line="240" w:lineRule="auto"/>
        <w:ind w:firstLine="720"/>
        <w:rPr>
          <w:lang w:val="en-US"/>
        </w:rPr>
      </w:pPr>
    </w:p>
    <w:p w14:paraId="2EE9F44A" w14:textId="4D8DA0D7" w:rsidR="00A64E15" w:rsidRDefault="00A64E15" w:rsidP="00A64E15">
      <w:pPr>
        <w:spacing w:line="480" w:lineRule="auto"/>
      </w:pPr>
      <w:r>
        <w:t>Prior to the introduction of the PS Act on 26</w:t>
      </w:r>
      <w:r w:rsidRPr="00BA6B91">
        <w:rPr>
          <w:vertAlign w:val="superscript"/>
        </w:rPr>
        <w:t>th</w:t>
      </w:r>
      <w:r>
        <w:t xml:space="preserve"> May 2016,</w:t>
      </w:r>
      <w:r>
        <w:rPr>
          <w:lang w:val="en-US"/>
        </w:rPr>
        <w:t xml:space="preserve"> </w:t>
      </w:r>
      <w:r w:rsidRPr="00B5035A">
        <w:rPr>
          <w:lang w:val="en-US"/>
        </w:rPr>
        <w:t xml:space="preserve">NPS </w:t>
      </w:r>
      <w:r>
        <w:rPr>
          <w:lang w:val="en-US"/>
        </w:rPr>
        <w:t>could be purchased</w:t>
      </w:r>
      <w:r w:rsidRPr="00B5035A">
        <w:rPr>
          <w:lang w:val="en-US"/>
        </w:rPr>
        <w:t xml:space="preserve"> through specialist mail-order websites</w:t>
      </w:r>
      <w:r>
        <w:rPr>
          <w:lang w:val="en-US"/>
        </w:rPr>
        <w:t xml:space="preserve"> and </w:t>
      </w:r>
      <w:r w:rsidRPr="00B5035A">
        <w:rPr>
          <w:lang w:val="en-US"/>
        </w:rPr>
        <w:t>over the counter in high street shops. The majority of high street sales are thought to have been made via drug paraphernalia shops known as ‘Headshop</w:t>
      </w:r>
      <w:r w:rsidRPr="00BA6B91">
        <w:rPr>
          <w:color w:val="000000" w:themeColor="text1"/>
          <w:lang w:val="en-US"/>
        </w:rPr>
        <w:t xml:space="preserve">s’ </w:t>
      </w:r>
      <w:r>
        <w:rPr>
          <w:color w:val="000000" w:themeColor="text1"/>
          <w:lang w:val="en-US"/>
        </w:rPr>
        <w:t xml:space="preserve">(see Figure </w:t>
      </w:r>
      <w:r w:rsidR="00907FF2">
        <w:rPr>
          <w:color w:val="000000" w:themeColor="text1"/>
          <w:lang w:val="en-US"/>
        </w:rPr>
        <w:t>2-5</w:t>
      </w:r>
      <w:r>
        <w:rPr>
          <w:color w:val="000000" w:themeColor="text1"/>
          <w:lang w:val="en-US"/>
        </w:rPr>
        <w:t xml:space="preserve">) and young people </w:t>
      </w:r>
      <w:r>
        <w:t>were thought to be especially likely</w:t>
      </w:r>
      <w:r w:rsidR="00DF5C89">
        <w:t xml:space="preserve"> to use them</w:t>
      </w:r>
      <w:r>
        <w:t xml:space="preserve"> (</w:t>
      </w:r>
      <w:r w:rsidRPr="00BA6B91">
        <w:rPr>
          <w:color w:val="000000" w:themeColor="text1"/>
          <w:lang w:val="en-US"/>
        </w:rPr>
        <w:t>ACMD 2011</w:t>
      </w:r>
      <w:r>
        <w:rPr>
          <w:color w:val="000000" w:themeColor="text1"/>
          <w:lang w:val="en-US"/>
        </w:rPr>
        <w:t xml:space="preserve">; </w:t>
      </w:r>
      <w:r>
        <w:t>DrugScope, 2014</w:t>
      </w:r>
      <w:r w:rsidR="00CF653D" w:rsidRPr="00BA6B91">
        <w:rPr>
          <w:color w:val="000000" w:themeColor="text1"/>
          <w:lang w:val="en-US"/>
        </w:rPr>
        <w:t xml:space="preserve">; </w:t>
      </w:r>
      <w:r w:rsidR="00CF653D" w:rsidRPr="00CF653D">
        <w:rPr>
          <w:color w:val="000000" w:themeColor="text1"/>
          <w:lang w:val="en-US"/>
        </w:rPr>
        <w:t xml:space="preserve"> </w:t>
      </w:r>
      <w:r w:rsidR="00CF653D" w:rsidRPr="00BA6B91">
        <w:rPr>
          <w:color w:val="000000" w:themeColor="text1"/>
          <w:lang w:val="en-US"/>
        </w:rPr>
        <w:t>EMCDDA, 2009</w:t>
      </w:r>
      <w:r>
        <w:t>).</w:t>
      </w:r>
      <w:r w:rsidRPr="00BA6B91">
        <w:rPr>
          <w:color w:val="000000" w:themeColor="text1"/>
          <w:lang w:val="en-US"/>
        </w:rPr>
        <w:t xml:space="preserve"> </w:t>
      </w:r>
      <w:r>
        <w:rPr>
          <w:lang w:val="en-US"/>
        </w:rPr>
        <w:t xml:space="preserve">In the year </w:t>
      </w:r>
      <w:r w:rsidR="00394D21">
        <w:rPr>
          <w:lang w:val="en-US"/>
        </w:rPr>
        <w:t>before</w:t>
      </w:r>
      <w:r>
        <w:rPr>
          <w:lang w:val="en-US"/>
        </w:rPr>
        <w:t xml:space="preserve"> </w:t>
      </w:r>
      <w:r w:rsidR="00394D21">
        <w:rPr>
          <w:lang w:val="en-US"/>
        </w:rPr>
        <w:t xml:space="preserve">the </w:t>
      </w:r>
      <w:r>
        <w:rPr>
          <w:lang w:val="en-US"/>
        </w:rPr>
        <w:t xml:space="preserve">introduction of the ban, </w:t>
      </w:r>
      <w:r w:rsidRPr="00B5035A">
        <w:t xml:space="preserve">Government estimates put the number of high street Headshops supplying NPS at around 335, with an additional 210 small scale sellers such as </w:t>
      </w:r>
      <w:r w:rsidRPr="00B5035A">
        <w:rPr>
          <w:lang w:val="en-US"/>
        </w:rPr>
        <w:t>newsagents, convenience stores and petrol stations</w:t>
      </w:r>
      <w:r w:rsidRPr="00B5035A">
        <w:t xml:space="preserve"> (Home </w:t>
      </w:r>
      <w:r>
        <w:t>O</w:t>
      </w:r>
      <w:r w:rsidRPr="00B5035A">
        <w:t>ffice, 2015).</w:t>
      </w:r>
      <w:r>
        <w:t xml:space="preserve"> </w:t>
      </w:r>
    </w:p>
    <w:p w14:paraId="604D9492" w14:textId="26A827E5" w:rsidR="00A64E15" w:rsidRPr="00733C73" w:rsidRDefault="00A64E15" w:rsidP="00A64E15">
      <w:pPr>
        <w:spacing w:line="480" w:lineRule="auto"/>
        <w:rPr>
          <w:lang w:val="en-US"/>
        </w:rPr>
      </w:pPr>
      <w:r>
        <w:rPr>
          <w:lang w:val="en-US"/>
        </w:rPr>
        <w:t>W</w:t>
      </w:r>
      <w:r w:rsidRPr="00B5035A">
        <w:rPr>
          <w:lang w:val="en-US"/>
        </w:rPr>
        <w:t>ebsites specializing in NPS products c</w:t>
      </w:r>
      <w:r>
        <w:rPr>
          <w:lang w:val="en-US"/>
        </w:rPr>
        <w:t>ould</w:t>
      </w:r>
      <w:r w:rsidRPr="00B5035A">
        <w:rPr>
          <w:lang w:val="en-US"/>
        </w:rPr>
        <w:t xml:space="preserve"> be found on both the surface web and the dark web</w:t>
      </w:r>
      <w:r>
        <w:rPr>
          <w:lang w:val="en-US"/>
        </w:rPr>
        <w:t xml:space="preserve"> (see </w:t>
      </w:r>
      <w:r w:rsidR="00D96745">
        <w:rPr>
          <w:lang w:val="en-US"/>
        </w:rPr>
        <w:t>F</w:t>
      </w:r>
      <w:r>
        <w:rPr>
          <w:lang w:val="en-US"/>
        </w:rPr>
        <w:t xml:space="preserve">igure </w:t>
      </w:r>
      <w:r w:rsidR="00907FF2">
        <w:rPr>
          <w:lang w:val="en-US"/>
        </w:rPr>
        <w:t>2-6</w:t>
      </w:r>
      <w:r>
        <w:rPr>
          <w:lang w:val="en-US"/>
        </w:rPr>
        <w:t xml:space="preserve">). Surface websites are accessible using mainstream search engines such as Google, while darknet sites allow users to </w:t>
      </w:r>
      <w:r w:rsidRPr="00B5035A">
        <w:rPr>
          <w:lang w:val="en-US"/>
        </w:rPr>
        <w:t xml:space="preserve">remain hidden with the use of encrypted browsers and anonymous cryptocurrencies such as bitcoin. </w:t>
      </w:r>
      <w:r>
        <w:rPr>
          <w:lang w:val="en-US"/>
        </w:rPr>
        <w:t>Prior to the ban, surface sites were</w:t>
      </w:r>
      <w:r w:rsidRPr="00B5035A">
        <w:rPr>
          <w:lang w:val="en-US"/>
        </w:rPr>
        <w:t xml:space="preserve"> hosted in the UK and abroad, </w:t>
      </w:r>
      <w:r>
        <w:rPr>
          <w:lang w:val="en-US"/>
        </w:rPr>
        <w:t>mostly within Europe.</w:t>
      </w:r>
      <w:r w:rsidRPr="00F21C27">
        <w:rPr>
          <w:lang w:val="en-US"/>
        </w:rPr>
        <w:t xml:space="preserve"> </w:t>
      </w:r>
      <w:r>
        <w:rPr>
          <w:lang w:val="en-US"/>
        </w:rPr>
        <w:t xml:space="preserve">They offered </w:t>
      </w:r>
      <w:r w:rsidRPr="00B5035A">
        <w:rPr>
          <w:lang w:val="en-US"/>
        </w:rPr>
        <w:t>national and international delivery to residential addresses</w:t>
      </w:r>
      <w:r>
        <w:rPr>
          <w:lang w:val="en-US"/>
        </w:rPr>
        <w:t>, often within 24 hours,</w:t>
      </w:r>
      <w:r w:rsidRPr="00B5035A">
        <w:rPr>
          <w:lang w:val="en-US"/>
        </w:rPr>
        <w:t xml:space="preserve"> using standard postal services and couriers</w:t>
      </w:r>
      <w:r>
        <w:rPr>
          <w:lang w:val="en-US"/>
        </w:rPr>
        <w:t xml:space="preserve"> (EMCDDA, 2018)</w:t>
      </w:r>
      <w:r w:rsidRPr="00B5035A">
        <w:rPr>
          <w:lang w:val="en-US"/>
        </w:rPr>
        <w:t>.</w:t>
      </w:r>
    </w:p>
    <w:p w14:paraId="1B498F24" w14:textId="6C437469" w:rsidR="00A64E15" w:rsidRPr="00F272B5" w:rsidRDefault="00A64E15" w:rsidP="00DF5C89">
      <w:pPr>
        <w:pStyle w:val="FigureHeading"/>
      </w:pPr>
      <w:bookmarkStart w:id="91" w:name="_Toc9186665"/>
      <w:bookmarkStart w:id="92" w:name="_Toc9509101"/>
      <w:r w:rsidRPr="00F272B5">
        <w:t xml:space="preserve">Figure </w:t>
      </w:r>
      <w:r w:rsidR="00195751">
        <w:t>2-</w:t>
      </w:r>
      <w:r w:rsidR="00FF2A65">
        <w:t>6</w:t>
      </w:r>
      <w:r w:rsidRPr="00F272B5">
        <w:t>: Websites advertising sales of NPS</w:t>
      </w:r>
      <w:bookmarkEnd w:id="91"/>
      <w:bookmarkEnd w:id="92"/>
    </w:p>
    <w:p w14:paraId="70051358" w14:textId="77777777" w:rsidR="00A64E15" w:rsidRDefault="00A64E15" w:rsidP="00A64E15">
      <w:pPr>
        <w:spacing w:line="240" w:lineRule="auto"/>
        <w:rPr>
          <w:lang w:val="en-US"/>
        </w:rPr>
      </w:pPr>
      <w:r w:rsidRPr="00B5035A">
        <w:rPr>
          <w:noProof/>
          <w:lang w:val="en-US" w:eastAsia="en-US"/>
        </w:rPr>
        <w:drawing>
          <wp:inline distT="0" distB="0" distL="0" distR="0" wp14:anchorId="6EB7229B" wp14:editId="02B79916">
            <wp:extent cx="5755640" cy="1665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s Small.jpg"/>
                    <pic:cNvPicPr/>
                  </pic:nvPicPr>
                  <pic:blipFill>
                    <a:blip r:embed="rId25"/>
                    <a:stretch>
                      <a:fillRect/>
                    </a:stretch>
                  </pic:blipFill>
                  <pic:spPr>
                    <a:xfrm>
                      <a:off x="0" y="0"/>
                      <a:ext cx="5755640" cy="1665605"/>
                    </a:xfrm>
                    <a:prstGeom prst="rect">
                      <a:avLst/>
                    </a:prstGeom>
                  </pic:spPr>
                </pic:pic>
              </a:graphicData>
            </a:graphic>
          </wp:inline>
        </w:drawing>
      </w:r>
    </w:p>
    <w:p w14:paraId="0DC40AD0" w14:textId="463B82D9" w:rsidR="00A64E15" w:rsidRPr="00B5035A" w:rsidRDefault="00A64E15" w:rsidP="00A64E15">
      <w:pPr>
        <w:spacing w:line="480" w:lineRule="auto"/>
        <w:rPr>
          <w:lang w:val="en-US"/>
        </w:rPr>
      </w:pPr>
      <w:r>
        <w:rPr>
          <w:lang w:val="en-US"/>
        </w:rPr>
        <w:t>I</w:t>
      </w:r>
      <w:r>
        <w:rPr>
          <w:color w:val="000000"/>
        </w:rPr>
        <w:t xml:space="preserve">n the year </w:t>
      </w:r>
      <w:r w:rsidR="00394D21">
        <w:rPr>
          <w:color w:val="000000"/>
        </w:rPr>
        <w:t>before</w:t>
      </w:r>
      <w:r>
        <w:rPr>
          <w:color w:val="000000"/>
        </w:rPr>
        <w:t xml:space="preserve"> implementation of the PS Act</w:t>
      </w:r>
      <w:r w:rsidR="00394D21">
        <w:rPr>
          <w:color w:val="000000"/>
        </w:rPr>
        <w:t>,</w:t>
      </w:r>
      <w:r>
        <w:rPr>
          <w:lang w:val="en-US"/>
        </w:rPr>
        <w:t xml:space="preserve"> t</w:t>
      </w:r>
      <w:r w:rsidRPr="00B5035A">
        <w:rPr>
          <w:color w:val="000000"/>
        </w:rPr>
        <w:t xml:space="preserve">here </w:t>
      </w:r>
      <w:r>
        <w:rPr>
          <w:color w:val="000000"/>
        </w:rPr>
        <w:t>we</w:t>
      </w:r>
      <w:r w:rsidRPr="00B5035A">
        <w:rPr>
          <w:color w:val="000000"/>
        </w:rPr>
        <w:t>re estimated to be over 80 websites and online forums dedicated to the use and supply of NPS drugs in the UK and over 650 operating within the EU (EMCDDA, 2015</w:t>
      </w:r>
      <w:r>
        <w:rPr>
          <w:color w:val="000000"/>
        </w:rPr>
        <w:t xml:space="preserve">; </w:t>
      </w:r>
      <w:r w:rsidRPr="00B5035A">
        <w:rPr>
          <w:color w:val="000000"/>
        </w:rPr>
        <w:t>NCA, 2015).</w:t>
      </w:r>
      <w:r w:rsidRPr="00B5035A">
        <w:t xml:space="preserve"> These figures only account for easily accessible surface web sites as it is not possible to establish the numbers of encrypted sites on the dark web where illegal drugs and banned NPS are sold covertly.</w:t>
      </w:r>
    </w:p>
    <w:p w14:paraId="34DF7A25" w14:textId="77777777" w:rsidR="00A64E15" w:rsidRPr="00F272B5" w:rsidRDefault="00A64E15" w:rsidP="00A64E15">
      <w:pPr>
        <w:spacing w:line="480" w:lineRule="auto"/>
        <w:rPr>
          <w:lang w:val="en-US"/>
        </w:rPr>
      </w:pPr>
      <w:r>
        <w:rPr>
          <w:lang w:val="en-US"/>
        </w:rPr>
        <w:t>Despite the easy availability of NPS through legitimate retailers, qualitative studies and surveys indicate that t</w:t>
      </w:r>
      <w:r w:rsidRPr="00B5035A">
        <w:rPr>
          <w:lang w:val="en-US"/>
        </w:rPr>
        <w:t xml:space="preserve">hey </w:t>
      </w:r>
      <w:r>
        <w:rPr>
          <w:lang w:val="en-US"/>
        </w:rPr>
        <w:t>were</w:t>
      </w:r>
      <w:r w:rsidRPr="00B5035A">
        <w:rPr>
          <w:lang w:val="en-US"/>
        </w:rPr>
        <w:t xml:space="preserve"> also </w:t>
      </w:r>
      <w:r>
        <w:rPr>
          <w:lang w:val="en-US"/>
        </w:rPr>
        <w:t xml:space="preserve">available </w:t>
      </w:r>
      <w:r w:rsidRPr="00B5035A">
        <w:rPr>
          <w:lang w:val="en-US"/>
        </w:rPr>
        <w:t>through the same routes as traditional illegal drugs</w:t>
      </w:r>
      <w:r>
        <w:rPr>
          <w:lang w:val="en-US"/>
        </w:rPr>
        <w:t xml:space="preserve"> even before the PS Act</w:t>
      </w:r>
      <w:r w:rsidRPr="00B5035A">
        <w:rPr>
          <w:lang w:val="en-US"/>
        </w:rPr>
        <w:t xml:space="preserve">, with many users accessing NPS </w:t>
      </w:r>
      <w:r>
        <w:rPr>
          <w:lang w:val="en-US"/>
        </w:rPr>
        <w:t>via</w:t>
      </w:r>
      <w:r w:rsidRPr="00B5035A">
        <w:rPr>
          <w:lang w:val="en-US"/>
        </w:rPr>
        <w:t xml:space="preserve"> friends or </w:t>
      </w:r>
      <w:r w:rsidRPr="002F5772">
        <w:rPr>
          <w:lang w:val="en-US"/>
        </w:rPr>
        <w:t>street dealers (Besli et. al., 2015</w:t>
      </w:r>
      <w:r>
        <w:rPr>
          <w:lang w:val="en-US"/>
        </w:rPr>
        <w:t>; CSEW, 2015; 2016</w:t>
      </w:r>
      <w:r w:rsidRPr="002F5772">
        <w:rPr>
          <w:lang w:val="en-US"/>
        </w:rPr>
        <w:t xml:space="preserve">). </w:t>
      </w:r>
    </w:p>
    <w:p w14:paraId="7C5DBA33" w14:textId="77777777" w:rsidR="00A64E15" w:rsidRPr="000464DC" w:rsidRDefault="00A64E15" w:rsidP="000464DC">
      <w:pPr>
        <w:pStyle w:val="Heading3"/>
        <w:rPr>
          <w:rStyle w:val="Heading2Char"/>
          <w:b/>
          <w:bCs/>
          <w:sz w:val="22"/>
          <w:szCs w:val="22"/>
        </w:rPr>
      </w:pPr>
      <w:bookmarkStart w:id="93" w:name="_Toc9182745"/>
      <w:bookmarkStart w:id="94" w:name="_Toc35892515"/>
      <w:r w:rsidRPr="000464DC">
        <w:rPr>
          <w:rStyle w:val="Heading2Char"/>
          <w:b/>
          <w:bCs/>
          <w:sz w:val="22"/>
          <w:szCs w:val="22"/>
        </w:rPr>
        <w:t>NPS products</w:t>
      </w:r>
      <w:bookmarkEnd w:id="93"/>
      <w:bookmarkEnd w:id="94"/>
    </w:p>
    <w:p w14:paraId="32BD31C9" w14:textId="47B356E2" w:rsidR="00A64E15" w:rsidRDefault="00A64E15" w:rsidP="00A64E15">
      <w:pPr>
        <w:spacing w:line="480" w:lineRule="auto"/>
        <w:rPr>
          <w:lang w:val="en-US"/>
        </w:rPr>
      </w:pPr>
      <w:r>
        <w:rPr>
          <w:lang w:val="en-US"/>
        </w:rPr>
        <w:t xml:space="preserve">Legal high products are generally </w:t>
      </w:r>
      <w:r w:rsidRPr="00B5035A">
        <w:rPr>
          <w:lang w:val="en-US"/>
        </w:rPr>
        <w:t xml:space="preserve">sold pre-packaged under brand names with styling deliberately designed to be reminiscent of </w:t>
      </w:r>
      <w:r>
        <w:rPr>
          <w:lang w:val="en-US"/>
        </w:rPr>
        <w:t>traditional</w:t>
      </w:r>
      <w:r w:rsidRPr="00B5035A">
        <w:rPr>
          <w:lang w:val="en-US"/>
        </w:rPr>
        <w:t xml:space="preserve"> drugs or their effects</w:t>
      </w:r>
      <w:r>
        <w:rPr>
          <w:lang w:val="en-US"/>
        </w:rPr>
        <w:t xml:space="preserve"> (see </w:t>
      </w:r>
      <w:r w:rsidR="00D96745">
        <w:rPr>
          <w:lang w:val="en-US"/>
        </w:rPr>
        <w:t>F</w:t>
      </w:r>
      <w:r>
        <w:rPr>
          <w:lang w:val="en-US"/>
        </w:rPr>
        <w:t xml:space="preserve">igures </w:t>
      </w:r>
      <w:r w:rsidR="00907FF2">
        <w:rPr>
          <w:lang w:val="en-US"/>
        </w:rPr>
        <w:t>2-</w:t>
      </w:r>
      <w:r>
        <w:rPr>
          <w:lang w:val="en-US"/>
        </w:rPr>
        <w:t xml:space="preserve">7 and </w:t>
      </w:r>
      <w:r w:rsidR="00907FF2">
        <w:rPr>
          <w:lang w:val="en-US"/>
        </w:rPr>
        <w:t>2-</w:t>
      </w:r>
      <w:r>
        <w:rPr>
          <w:lang w:val="en-US"/>
        </w:rPr>
        <w:t>8)</w:t>
      </w:r>
      <w:r w:rsidRPr="00B5035A">
        <w:rPr>
          <w:lang w:val="en-US"/>
        </w:rPr>
        <w:t xml:space="preserve">. For example, while the brand name </w:t>
      </w:r>
      <w:r w:rsidRPr="00B5035A">
        <w:rPr>
          <w:i/>
          <w:lang w:val="en-US"/>
        </w:rPr>
        <w:t>NRG</w:t>
      </w:r>
      <w:r w:rsidRPr="00B5035A">
        <w:rPr>
          <w:lang w:val="en-US"/>
        </w:rPr>
        <w:t xml:space="preserve"> alludes to the stimulant properties of amphetamines, </w:t>
      </w:r>
      <w:r w:rsidRPr="00B5035A">
        <w:rPr>
          <w:i/>
          <w:lang w:val="en-US"/>
        </w:rPr>
        <w:t>Empathy</w:t>
      </w:r>
      <w:r w:rsidRPr="00B5035A">
        <w:rPr>
          <w:lang w:val="en-US"/>
        </w:rPr>
        <w:t xml:space="preserve"> is evocative of the empathic effects of ecstasy, </w:t>
      </w:r>
      <w:r w:rsidRPr="00B5035A">
        <w:rPr>
          <w:i/>
          <w:lang w:val="en-US"/>
        </w:rPr>
        <w:t>Blow</w:t>
      </w:r>
      <w:r w:rsidRPr="00B5035A">
        <w:rPr>
          <w:lang w:val="en-US"/>
        </w:rPr>
        <w:t xml:space="preserve"> utilises a slang word for cocaine, and </w:t>
      </w:r>
      <w:r w:rsidRPr="00B5035A">
        <w:rPr>
          <w:i/>
          <w:lang w:val="en-US"/>
        </w:rPr>
        <w:t xml:space="preserve">Red eye </w:t>
      </w:r>
      <w:r w:rsidRPr="00B5035A">
        <w:rPr>
          <w:lang w:val="en-US"/>
        </w:rPr>
        <w:t>is a reference to bloodshot eyes, a common side effect of cannabis use</w:t>
      </w:r>
      <w:r>
        <w:rPr>
          <w:lang w:val="en-US"/>
        </w:rPr>
        <w:t>. Typically, NPS products contain more than one psychoactive ingredient and mixtures are common (ACMD, 2011).</w:t>
      </w:r>
      <w:r w:rsidRPr="00F25E84">
        <w:rPr>
          <w:lang w:val="en-US"/>
        </w:rPr>
        <w:t xml:space="preserve"> </w:t>
      </w:r>
      <w:r w:rsidRPr="00B5035A">
        <w:rPr>
          <w:lang w:val="en-US"/>
        </w:rPr>
        <w:t xml:space="preserve">NPS </w:t>
      </w:r>
      <w:r>
        <w:rPr>
          <w:lang w:val="en-US"/>
        </w:rPr>
        <w:t xml:space="preserve">products </w:t>
      </w:r>
      <w:r w:rsidRPr="00B5035A">
        <w:rPr>
          <w:lang w:val="en-US"/>
        </w:rPr>
        <w:t>are available in many different forms (e.g., pills, herbal mixtures, pre-rolled joints, powders and liquids) which can be consumed in a variety of ways as with traditional illicit drugs (e.g.</w:t>
      </w:r>
      <w:r>
        <w:rPr>
          <w:lang w:val="en-US"/>
        </w:rPr>
        <w:t>,</w:t>
      </w:r>
      <w:r w:rsidRPr="00B5035A">
        <w:rPr>
          <w:lang w:val="en-US"/>
        </w:rPr>
        <w:t xml:space="preserve"> swallowed as drinks, pills</w:t>
      </w:r>
      <w:r>
        <w:rPr>
          <w:lang w:val="en-US"/>
        </w:rPr>
        <w:t xml:space="preserve"> or </w:t>
      </w:r>
      <w:r w:rsidRPr="00B5035A">
        <w:rPr>
          <w:lang w:val="en-US"/>
        </w:rPr>
        <w:t>capsules</w:t>
      </w:r>
      <w:r>
        <w:rPr>
          <w:lang w:val="en-US"/>
        </w:rPr>
        <w:t xml:space="preserve">; </w:t>
      </w:r>
      <w:r w:rsidRPr="00B5035A">
        <w:rPr>
          <w:lang w:val="en-US"/>
        </w:rPr>
        <w:t xml:space="preserve">rubbed </w:t>
      </w:r>
      <w:r>
        <w:rPr>
          <w:lang w:val="en-US"/>
        </w:rPr>
        <w:t xml:space="preserve">on </w:t>
      </w:r>
      <w:r w:rsidRPr="00B5035A">
        <w:rPr>
          <w:lang w:val="en-US"/>
        </w:rPr>
        <w:t xml:space="preserve">gums; smoked; inhaled; snorted; rectally administered; or injected). </w:t>
      </w:r>
      <w:r>
        <w:rPr>
          <w:lang w:val="en-US"/>
        </w:rPr>
        <w:t>According to a qualitative survey of the UK and Manchester drugs scenes</w:t>
      </w:r>
      <w:r w:rsidR="00394D21">
        <w:rPr>
          <w:lang w:val="en-US"/>
        </w:rPr>
        <w:t>,</w:t>
      </w:r>
      <w:r>
        <w:rPr>
          <w:lang w:val="en-US"/>
        </w:rPr>
        <w:t xml:space="preserve"> the dominant NPS products sold by headshops were synthetic cannabinoids (DrugWise, 2017; Ralphs, Gray </w:t>
      </w:r>
      <w:r w:rsidR="006E065C">
        <w:rPr>
          <w:lang w:val="en-US"/>
        </w:rPr>
        <w:t>&amp;</w:t>
      </w:r>
      <w:r>
        <w:rPr>
          <w:lang w:val="en-US"/>
        </w:rPr>
        <w:t xml:space="preserve"> Norton, 2017).</w:t>
      </w:r>
    </w:p>
    <w:p w14:paraId="1F2BBE38" w14:textId="4618E5C2" w:rsidR="00A64E15" w:rsidRDefault="00A64E15" w:rsidP="00A64E15">
      <w:pPr>
        <w:spacing w:line="480" w:lineRule="auto"/>
        <w:rPr>
          <w:lang w:val="en-US"/>
        </w:rPr>
      </w:pPr>
      <w:r w:rsidRPr="00B5035A">
        <w:rPr>
          <w:lang w:val="en-US"/>
        </w:rPr>
        <w:t>By selling products under brand names ingredients can be altered</w:t>
      </w:r>
      <w:r>
        <w:rPr>
          <w:lang w:val="en-US"/>
        </w:rPr>
        <w:t xml:space="preserve"> based on </w:t>
      </w:r>
      <w:r w:rsidR="00394D21">
        <w:rPr>
          <w:lang w:val="en-US"/>
        </w:rPr>
        <w:t xml:space="preserve">the </w:t>
      </w:r>
      <w:r>
        <w:rPr>
          <w:lang w:val="en-US"/>
        </w:rPr>
        <w:t>availability of substances or</w:t>
      </w:r>
      <w:r w:rsidRPr="00B5035A">
        <w:rPr>
          <w:lang w:val="en-US"/>
        </w:rPr>
        <w:t xml:space="preserve"> to suit producers</w:t>
      </w:r>
      <w:r>
        <w:rPr>
          <w:lang w:val="en-US"/>
        </w:rPr>
        <w:t>’</w:t>
      </w:r>
      <w:r w:rsidRPr="00B5035A">
        <w:rPr>
          <w:lang w:val="en-US"/>
        </w:rPr>
        <w:t xml:space="preserve"> aims, as with the substitution of MDPV for Mephedrone in ‘Wildcat’ following the control of Mephedrone in 2010 (Kelleher et al</w:t>
      </w:r>
      <w:r w:rsidR="004C4795">
        <w:rPr>
          <w:lang w:val="en-US"/>
        </w:rPr>
        <w:t>.</w:t>
      </w:r>
      <w:r w:rsidRPr="00B5035A">
        <w:rPr>
          <w:lang w:val="en-US"/>
        </w:rPr>
        <w:t>, 2011). However, substitution</w:t>
      </w:r>
      <w:r>
        <w:rPr>
          <w:lang w:val="en-US"/>
        </w:rPr>
        <w:t xml:space="preserve"> of ingredients after implementation of controls was</w:t>
      </w:r>
      <w:r w:rsidRPr="00B5035A">
        <w:rPr>
          <w:lang w:val="en-US"/>
        </w:rPr>
        <w:t xml:space="preserve"> not always immediate, and controlled substances </w:t>
      </w:r>
      <w:r>
        <w:rPr>
          <w:lang w:val="en-US"/>
        </w:rPr>
        <w:t>were</w:t>
      </w:r>
      <w:r w:rsidRPr="00B5035A">
        <w:rPr>
          <w:lang w:val="en-US"/>
        </w:rPr>
        <w:t xml:space="preserve"> commonly detected in products sold as legal highs (</w:t>
      </w:r>
      <w:r>
        <w:rPr>
          <w:lang w:val="en-US"/>
        </w:rPr>
        <w:t xml:space="preserve">Dargan et al., 2011; </w:t>
      </w:r>
      <w:r w:rsidRPr="00B5035A">
        <w:rPr>
          <w:lang w:val="en-US"/>
        </w:rPr>
        <w:t>Kellerher et al</w:t>
      </w:r>
      <w:r w:rsidR="004C4795">
        <w:rPr>
          <w:lang w:val="en-US"/>
        </w:rPr>
        <w:t>.</w:t>
      </w:r>
      <w:r w:rsidRPr="00B5035A">
        <w:rPr>
          <w:lang w:val="en-US"/>
        </w:rPr>
        <w:t>, 2011</w:t>
      </w:r>
      <w:r w:rsidR="00CF653D">
        <w:rPr>
          <w:lang w:val="en-US"/>
        </w:rPr>
        <w:t xml:space="preserve">; </w:t>
      </w:r>
      <w:r w:rsidR="00CF653D" w:rsidRPr="00CF653D">
        <w:rPr>
          <w:lang w:val="en-US"/>
        </w:rPr>
        <w:t xml:space="preserve"> </w:t>
      </w:r>
      <w:r w:rsidR="00CF653D">
        <w:rPr>
          <w:lang w:val="en-US"/>
        </w:rPr>
        <w:t>Ramsey et. al. 2010</w:t>
      </w:r>
      <w:r w:rsidRPr="00B5035A">
        <w:rPr>
          <w:lang w:val="en-US"/>
        </w:rPr>
        <w:t>).</w:t>
      </w:r>
      <w:r>
        <w:rPr>
          <w:lang w:val="en-US"/>
        </w:rPr>
        <w:t xml:space="preserve"> </w:t>
      </w:r>
    </w:p>
    <w:p w14:paraId="33DAAEC9" w14:textId="77777777" w:rsidR="000464DC" w:rsidRDefault="000464DC">
      <w:pPr>
        <w:rPr>
          <w:b/>
          <w:noProof/>
          <w:lang w:val="en-US" w:eastAsia="en-US"/>
        </w:rPr>
      </w:pPr>
      <w:bookmarkStart w:id="95" w:name="_Toc9186666"/>
      <w:r>
        <w:br w:type="page"/>
      </w:r>
    </w:p>
    <w:p w14:paraId="6C2D27C8" w14:textId="4E692C70" w:rsidR="00A64E15" w:rsidRPr="005E4173" w:rsidRDefault="00A64E15" w:rsidP="00DF5C89">
      <w:pPr>
        <w:pStyle w:val="FigureHeading"/>
      </w:pPr>
      <w:bookmarkStart w:id="96" w:name="_Toc9509102"/>
      <w:r w:rsidRPr="005E4173">
        <w:t xml:space="preserve">Figure </w:t>
      </w:r>
      <w:r w:rsidR="00195751">
        <w:t>2-</w:t>
      </w:r>
      <w:r w:rsidR="00FF2A65">
        <w:t>7</w:t>
      </w:r>
      <w:r w:rsidRPr="005E4173">
        <w:t xml:space="preserve">: Legal high products </w:t>
      </w:r>
      <w:r>
        <w:t>sold</w:t>
      </w:r>
      <w:r w:rsidRPr="005E4173">
        <w:t xml:space="preserve"> in headshops and online</w:t>
      </w:r>
      <w:bookmarkEnd w:id="95"/>
      <w:bookmarkEnd w:id="96"/>
    </w:p>
    <w:p w14:paraId="1B5C21C3" w14:textId="77777777" w:rsidR="00A64E15" w:rsidRDefault="00A64E15" w:rsidP="00A64E15">
      <w:pPr>
        <w:spacing w:line="480" w:lineRule="auto"/>
        <w:rPr>
          <w:lang w:val="en-US"/>
        </w:rPr>
      </w:pPr>
      <w:r w:rsidRPr="00B5035A">
        <w:rPr>
          <w:noProof/>
          <w:lang w:val="en-US" w:eastAsia="en-US"/>
        </w:rPr>
        <w:drawing>
          <wp:inline distT="0" distB="0" distL="0" distR="0" wp14:anchorId="58788F5F" wp14:editId="24211A10">
            <wp:extent cx="5755640" cy="2827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PSs Small.jpg"/>
                    <pic:cNvPicPr/>
                  </pic:nvPicPr>
                  <pic:blipFill>
                    <a:blip r:embed="rId26"/>
                    <a:stretch>
                      <a:fillRect/>
                    </a:stretch>
                  </pic:blipFill>
                  <pic:spPr>
                    <a:xfrm>
                      <a:off x="0" y="0"/>
                      <a:ext cx="5755640" cy="2827655"/>
                    </a:xfrm>
                    <a:prstGeom prst="rect">
                      <a:avLst/>
                    </a:prstGeom>
                  </pic:spPr>
                </pic:pic>
              </a:graphicData>
            </a:graphic>
          </wp:inline>
        </w:drawing>
      </w:r>
    </w:p>
    <w:p w14:paraId="3888044A" w14:textId="75663BB6" w:rsidR="00A64E15" w:rsidRDefault="00A64E15" w:rsidP="00A64E15">
      <w:pPr>
        <w:spacing w:line="480" w:lineRule="auto"/>
        <w:rPr>
          <w:lang w:val="en-US"/>
        </w:rPr>
      </w:pPr>
      <w:r w:rsidRPr="00B5035A">
        <w:rPr>
          <w:lang w:val="en-US"/>
        </w:rPr>
        <w:t xml:space="preserve">To circumvent drug laws and regulation, </w:t>
      </w:r>
      <w:r>
        <w:rPr>
          <w:lang w:val="en-US"/>
        </w:rPr>
        <w:t xml:space="preserve">prior to the ban </w:t>
      </w:r>
      <w:r w:rsidRPr="00B5035A">
        <w:rPr>
          <w:lang w:val="en-US"/>
        </w:rPr>
        <w:t xml:space="preserve">packages </w:t>
      </w:r>
      <w:r>
        <w:rPr>
          <w:lang w:val="en-US"/>
        </w:rPr>
        <w:t>were</w:t>
      </w:r>
      <w:r w:rsidRPr="00B5035A">
        <w:rPr>
          <w:lang w:val="en-US"/>
        </w:rPr>
        <w:t xml:space="preserve"> often labeled as </w:t>
      </w:r>
      <w:r w:rsidRPr="00B5035A">
        <w:rPr>
          <w:i/>
          <w:lang w:val="en-US"/>
        </w:rPr>
        <w:t>plant food</w:t>
      </w:r>
      <w:r w:rsidRPr="00B5035A">
        <w:rPr>
          <w:lang w:val="en-US"/>
        </w:rPr>
        <w:t xml:space="preserve">, </w:t>
      </w:r>
      <w:r w:rsidRPr="00B5035A">
        <w:rPr>
          <w:i/>
          <w:lang w:val="en-US"/>
        </w:rPr>
        <w:t>bath salts</w:t>
      </w:r>
      <w:r w:rsidRPr="00B5035A">
        <w:rPr>
          <w:lang w:val="en-US"/>
        </w:rPr>
        <w:t xml:space="preserve">, </w:t>
      </w:r>
      <w:r w:rsidRPr="00B5035A">
        <w:rPr>
          <w:i/>
          <w:lang w:val="en-US"/>
        </w:rPr>
        <w:t>incense</w:t>
      </w:r>
      <w:r w:rsidRPr="00B5035A">
        <w:rPr>
          <w:lang w:val="en-US"/>
        </w:rPr>
        <w:t xml:space="preserve"> or </w:t>
      </w:r>
      <w:r w:rsidRPr="00B5035A">
        <w:rPr>
          <w:i/>
          <w:lang w:val="en-US"/>
        </w:rPr>
        <w:t>room odoris</w:t>
      </w:r>
      <w:r w:rsidR="00743444">
        <w:rPr>
          <w:i/>
          <w:lang w:val="en-US"/>
        </w:rPr>
        <w:t>o</w:t>
      </w:r>
      <w:r w:rsidRPr="00B5035A">
        <w:rPr>
          <w:i/>
          <w:lang w:val="en-US"/>
        </w:rPr>
        <w:t>r</w:t>
      </w:r>
      <w:r w:rsidRPr="00B5035A">
        <w:rPr>
          <w:lang w:val="en-US"/>
        </w:rPr>
        <w:t xml:space="preserve"> and marked </w:t>
      </w:r>
      <w:r w:rsidRPr="00B5035A">
        <w:rPr>
          <w:i/>
          <w:lang w:val="en-US"/>
        </w:rPr>
        <w:t>not for human consumption</w:t>
      </w:r>
      <w:r w:rsidRPr="00B5035A">
        <w:rPr>
          <w:lang w:val="en-US"/>
        </w:rPr>
        <w:t xml:space="preserve"> (</w:t>
      </w:r>
      <w:r w:rsidR="00CF653D" w:rsidRPr="00B5035A">
        <w:rPr>
          <w:lang w:val="en-US"/>
        </w:rPr>
        <w:t>Vandrey et al</w:t>
      </w:r>
      <w:r w:rsidR="00CF653D">
        <w:rPr>
          <w:lang w:val="en-US"/>
        </w:rPr>
        <w:t>.,</w:t>
      </w:r>
      <w:r w:rsidR="00CF653D" w:rsidRPr="00B5035A">
        <w:rPr>
          <w:lang w:val="en-US"/>
        </w:rPr>
        <w:t xml:space="preserve"> 2012;</w:t>
      </w:r>
      <w:r w:rsidR="00CF653D">
        <w:rPr>
          <w:lang w:val="en-US"/>
        </w:rPr>
        <w:t xml:space="preserve"> </w:t>
      </w:r>
      <w:r w:rsidRPr="00B5035A">
        <w:rPr>
          <w:lang w:val="en-US"/>
        </w:rPr>
        <w:t>Vardakou et al., 2010).</w:t>
      </w:r>
      <w:r>
        <w:rPr>
          <w:lang w:val="en-US"/>
        </w:rPr>
        <w:t xml:space="preserve"> </w:t>
      </w:r>
      <w:r w:rsidRPr="00B5035A">
        <w:rPr>
          <w:lang w:val="en-US"/>
        </w:rPr>
        <w:t xml:space="preserve">As </w:t>
      </w:r>
      <w:r>
        <w:rPr>
          <w:lang w:val="en-US"/>
        </w:rPr>
        <w:t>NPS</w:t>
      </w:r>
      <w:r w:rsidRPr="00B5035A">
        <w:rPr>
          <w:lang w:val="en-US"/>
        </w:rPr>
        <w:t xml:space="preserve"> </w:t>
      </w:r>
      <w:r>
        <w:rPr>
          <w:lang w:val="en-US"/>
        </w:rPr>
        <w:t>are</w:t>
      </w:r>
      <w:r w:rsidRPr="00B5035A">
        <w:rPr>
          <w:lang w:val="en-US"/>
        </w:rPr>
        <w:t xml:space="preserve"> not regulated, ingredients, </w:t>
      </w:r>
      <w:r w:rsidRPr="00B5035A">
        <w:rPr>
          <w:color w:val="1F1E21"/>
          <w:lang w:val="en-US"/>
        </w:rPr>
        <w:t>health</w:t>
      </w:r>
      <w:r>
        <w:rPr>
          <w:color w:val="1F1E21"/>
          <w:lang w:val="en-US"/>
        </w:rPr>
        <w:t xml:space="preserve"> </w:t>
      </w:r>
      <w:r w:rsidRPr="00B5035A">
        <w:rPr>
          <w:color w:val="1F1E21"/>
          <w:lang w:val="en-US"/>
        </w:rPr>
        <w:t>warnings, dosage information, expiry dates, and</w:t>
      </w:r>
      <w:r w:rsidRPr="00F272B5">
        <w:rPr>
          <w:color w:val="1F1E21"/>
          <w:lang w:val="en-US"/>
        </w:rPr>
        <w:t xml:space="preserve"> </w:t>
      </w:r>
      <w:r w:rsidRPr="00B5035A">
        <w:rPr>
          <w:color w:val="1F1E21"/>
          <w:lang w:val="en-US"/>
        </w:rPr>
        <w:t>manufacturers details</w:t>
      </w:r>
      <w:r w:rsidRPr="00B5035A">
        <w:rPr>
          <w:lang w:val="en-US"/>
        </w:rPr>
        <w:t xml:space="preserve"> </w:t>
      </w:r>
      <w:r>
        <w:rPr>
          <w:lang w:val="en-US"/>
        </w:rPr>
        <w:t>were</w:t>
      </w:r>
      <w:r w:rsidRPr="00B5035A">
        <w:rPr>
          <w:lang w:val="en-US"/>
        </w:rPr>
        <w:t xml:space="preserve"> rarely listed</w:t>
      </w:r>
      <w:r>
        <w:rPr>
          <w:lang w:val="en-US"/>
        </w:rPr>
        <w:t>.</w:t>
      </w:r>
      <w:r w:rsidRPr="00B5035A">
        <w:rPr>
          <w:lang w:val="en-US"/>
        </w:rPr>
        <w:t xml:space="preserve"> </w:t>
      </w:r>
      <w:r>
        <w:rPr>
          <w:lang w:val="en-US"/>
        </w:rPr>
        <w:br/>
      </w:r>
      <w:r w:rsidRPr="00B5035A">
        <w:rPr>
          <w:lang w:val="en-US"/>
        </w:rPr>
        <w:t xml:space="preserve">When ingredients </w:t>
      </w:r>
      <w:r>
        <w:rPr>
          <w:lang w:val="en-US"/>
        </w:rPr>
        <w:t>were</w:t>
      </w:r>
      <w:r w:rsidRPr="00B5035A">
        <w:rPr>
          <w:lang w:val="en-US"/>
        </w:rPr>
        <w:t xml:space="preserve"> presented, key psychoactive elements </w:t>
      </w:r>
      <w:r>
        <w:rPr>
          <w:lang w:val="en-US"/>
        </w:rPr>
        <w:t>were</w:t>
      </w:r>
      <w:r w:rsidRPr="00B5035A">
        <w:rPr>
          <w:lang w:val="en-US"/>
        </w:rPr>
        <w:t xml:space="preserve"> usually omitted, or the product differ</w:t>
      </w:r>
      <w:r>
        <w:rPr>
          <w:lang w:val="en-US"/>
        </w:rPr>
        <w:t xml:space="preserve">ed </w:t>
      </w:r>
      <w:r w:rsidRPr="00B5035A">
        <w:rPr>
          <w:lang w:val="en-US"/>
        </w:rPr>
        <w:t>to the claimed contents (Kelleher, et al</w:t>
      </w:r>
      <w:r w:rsidR="004C4795">
        <w:rPr>
          <w:lang w:val="en-US"/>
        </w:rPr>
        <w:t>.,</w:t>
      </w:r>
      <w:r w:rsidRPr="00B5035A">
        <w:rPr>
          <w:lang w:val="en-US"/>
        </w:rPr>
        <w:t xml:space="preserve"> 2011). The notable exception </w:t>
      </w:r>
      <w:r>
        <w:rPr>
          <w:lang w:val="en-US"/>
        </w:rPr>
        <w:t>was</w:t>
      </w:r>
      <w:r w:rsidRPr="00B5035A">
        <w:rPr>
          <w:lang w:val="en-US"/>
        </w:rPr>
        <w:t xml:space="preserve"> the packaging of </w:t>
      </w:r>
      <w:r w:rsidRPr="00B5035A">
        <w:rPr>
          <w:i/>
          <w:lang w:val="en-US"/>
        </w:rPr>
        <w:t>research chemicals</w:t>
      </w:r>
      <w:r w:rsidRPr="00B5035A">
        <w:rPr>
          <w:lang w:val="en-US"/>
        </w:rPr>
        <w:t xml:space="preserve"> sold via mail order websites. These </w:t>
      </w:r>
      <w:r>
        <w:rPr>
          <w:lang w:val="en-US"/>
        </w:rPr>
        <w:t>were</w:t>
      </w:r>
      <w:r w:rsidRPr="00B5035A">
        <w:rPr>
          <w:lang w:val="en-US"/>
        </w:rPr>
        <w:t xml:space="preserve"> typically powders supplied in small transparent plastic bags labe</w:t>
      </w:r>
      <w:r w:rsidR="00394D21">
        <w:rPr>
          <w:lang w:val="en-US"/>
        </w:rPr>
        <w:t>l</w:t>
      </w:r>
      <w:r w:rsidRPr="00B5035A">
        <w:rPr>
          <w:lang w:val="en-US"/>
        </w:rPr>
        <w:t>led with not only ingredients but often diagrams of the chemical constituent as well</w:t>
      </w:r>
      <w:r>
        <w:rPr>
          <w:lang w:val="en-US"/>
        </w:rPr>
        <w:t xml:space="preserve"> (ACMD, 2011)</w:t>
      </w:r>
      <w:r w:rsidRPr="00B5035A">
        <w:rPr>
          <w:lang w:val="en-US"/>
        </w:rPr>
        <w:t xml:space="preserve">. Despite being labelled </w:t>
      </w:r>
      <w:r w:rsidRPr="00B5035A">
        <w:rPr>
          <w:i/>
          <w:lang w:val="en-US"/>
        </w:rPr>
        <w:t>not for human consumption</w:t>
      </w:r>
      <w:r w:rsidRPr="00B5035A">
        <w:rPr>
          <w:lang w:val="en-US"/>
        </w:rPr>
        <w:t xml:space="preserve"> the intentional mimicry of traditional controlled drugs </w:t>
      </w:r>
      <w:r>
        <w:rPr>
          <w:lang w:val="en-US"/>
        </w:rPr>
        <w:t>was</w:t>
      </w:r>
      <w:r w:rsidRPr="00B5035A">
        <w:rPr>
          <w:lang w:val="en-US"/>
        </w:rPr>
        <w:t xml:space="preserve"> often explicit, (</w:t>
      </w:r>
      <w:r w:rsidRPr="00B5035A">
        <w:t>The Psychonaut Research Group, 2006</w:t>
      </w:r>
      <w:r w:rsidRPr="00B5035A">
        <w:rPr>
          <w:lang w:val="en-US"/>
        </w:rPr>
        <w:t xml:space="preserve">), as illustrated in </w:t>
      </w:r>
      <w:r w:rsidR="00D96745">
        <w:rPr>
          <w:lang w:val="en-US"/>
        </w:rPr>
        <w:t>F</w:t>
      </w:r>
      <w:r>
        <w:rPr>
          <w:lang w:val="en-US"/>
        </w:rPr>
        <w:t xml:space="preserve">igure </w:t>
      </w:r>
      <w:r w:rsidR="00D96745">
        <w:rPr>
          <w:lang w:val="en-US"/>
        </w:rPr>
        <w:t>2-8</w:t>
      </w:r>
      <w:r w:rsidRPr="00B5035A">
        <w:rPr>
          <w:lang w:val="en-US"/>
        </w:rPr>
        <w:t xml:space="preserve">, the screenshot of an online sales listing for an NPS branded </w:t>
      </w:r>
      <w:r w:rsidRPr="00B5035A">
        <w:rPr>
          <w:i/>
          <w:lang w:val="en-US"/>
        </w:rPr>
        <w:t xml:space="preserve">Blow </w:t>
      </w:r>
      <w:r w:rsidRPr="00B5035A">
        <w:rPr>
          <w:lang w:val="en-US"/>
        </w:rPr>
        <w:t>which is described as ‘so similar to cocaine it will blow you away’.</w:t>
      </w:r>
    </w:p>
    <w:p w14:paraId="55196B8A" w14:textId="77777777" w:rsidR="00A64E15" w:rsidRDefault="00A64E15" w:rsidP="00A64E15">
      <w:pPr>
        <w:spacing w:line="240" w:lineRule="auto"/>
        <w:rPr>
          <w:lang w:val="en-US"/>
        </w:rPr>
      </w:pPr>
    </w:p>
    <w:p w14:paraId="56ED7225" w14:textId="77777777" w:rsidR="000464DC" w:rsidRDefault="000464DC">
      <w:pPr>
        <w:rPr>
          <w:b/>
          <w:noProof/>
          <w:lang w:val="en-US" w:eastAsia="en-US"/>
        </w:rPr>
      </w:pPr>
      <w:bookmarkStart w:id="97" w:name="_Toc9186667"/>
      <w:r>
        <w:br w:type="page"/>
      </w:r>
    </w:p>
    <w:p w14:paraId="4B3F731C" w14:textId="677036A6" w:rsidR="00A64E15" w:rsidRPr="008F4F82" w:rsidRDefault="00A64E15" w:rsidP="00DF5C89">
      <w:pPr>
        <w:pStyle w:val="FigureHeading"/>
      </w:pPr>
      <w:bookmarkStart w:id="98" w:name="_Toc9509103"/>
      <w:r w:rsidRPr="005E4173">
        <w:t xml:space="preserve">Figure </w:t>
      </w:r>
      <w:r w:rsidR="00195751">
        <w:t>2-</w:t>
      </w:r>
      <w:r w:rsidR="00FF2A65">
        <w:t>8</w:t>
      </w:r>
      <w:r w:rsidRPr="005E4173">
        <w:t xml:space="preserve">: Screenshot from website </w:t>
      </w:r>
      <w:r>
        <w:t>pre-ban legal highs</w:t>
      </w:r>
      <w:bookmarkEnd w:id="97"/>
      <w:bookmarkEnd w:id="98"/>
      <w:r w:rsidRPr="005E4173">
        <w:t xml:space="preserve"> </w:t>
      </w:r>
    </w:p>
    <w:p w14:paraId="5C2FDB2D" w14:textId="77777777" w:rsidR="00A64E15" w:rsidRDefault="00A64E15" w:rsidP="00A64E15">
      <w:pPr>
        <w:spacing w:line="240" w:lineRule="auto"/>
        <w:rPr>
          <w:lang w:val="en-US"/>
        </w:rPr>
      </w:pPr>
      <w:r w:rsidRPr="00B5035A">
        <w:rPr>
          <w:noProof/>
          <w:lang w:val="en-US" w:eastAsia="en-US"/>
        </w:rPr>
        <w:drawing>
          <wp:inline distT="0" distB="0" distL="0" distR="0" wp14:anchorId="24F1AD88" wp14:editId="669B0C73">
            <wp:extent cx="5755640" cy="2138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hblow.jpg"/>
                    <pic:cNvPicPr/>
                  </pic:nvPicPr>
                  <pic:blipFill>
                    <a:blip r:embed="rId27"/>
                    <a:stretch>
                      <a:fillRect/>
                    </a:stretch>
                  </pic:blipFill>
                  <pic:spPr>
                    <a:xfrm>
                      <a:off x="0" y="0"/>
                      <a:ext cx="5755640" cy="2138045"/>
                    </a:xfrm>
                    <a:prstGeom prst="rect">
                      <a:avLst/>
                    </a:prstGeom>
                  </pic:spPr>
                </pic:pic>
              </a:graphicData>
            </a:graphic>
          </wp:inline>
        </w:drawing>
      </w:r>
      <w:r>
        <w:rPr>
          <w:lang w:val="en-US"/>
        </w:rPr>
        <w:br/>
      </w:r>
    </w:p>
    <w:p w14:paraId="32F83DAB" w14:textId="199A225A" w:rsidR="00A64E15" w:rsidRDefault="00A64E15" w:rsidP="00A64E15">
      <w:pPr>
        <w:spacing w:line="480" w:lineRule="auto"/>
      </w:pPr>
      <w:r w:rsidRPr="00B5035A">
        <w:rPr>
          <w:lang w:val="en-US"/>
        </w:rPr>
        <w:t>Although not all NPS introduced to the market enjoy</w:t>
      </w:r>
      <w:r>
        <w:rPr>
          <w:lang w:val="en-US"/>
        </w:rPr>
        <w:t>ed</w:t>
      </w:r>
      <w:r w:rsidRPr="00B5035A">
        <w:rPr>
          <w:lang w:val="en-US"/>
        </w:rPr>
        <w:t xml:space="preserve"> commercial success, </w:t>
      </w:r>
      <w:r w:rsidRPr="00B5035A">
        <w:t xml:space="preserve">surveys such as that carried out on behalf of Buckinghamshire County Council reported active use of 335 distinct products </w:t>
      </w:r>
      <w:r>
        <w:t xml:space="preserve">in 2013 </w:t>
      </w:r>
      <w:r w:rsidRPr="00B5035A">
        <w:t xml:space="preserve">(Barnard, Russell </w:t>
      </w:r>
      <w:r w:rsidR="006E065C">
        <w:t>&amp;</w:t>
      </w:r>
      <w:r w:rsidRPr="00B5035A">
        <w:t xml:space="preserve"> McKeganey, 2014)</w:t>
      </w:r>
      <w:r>
        <w:t>.</w:t>
      </w:r>
    </w:p>
    <w:p w14:paraId="7862874F" w14:textId="2CB22B89" w:rsidR="00A64E15" w:rsidRPr="000464DC" w:rsidRDefault="00A64E15" w:rsidP="000464DC">
      <w:pPr>
        <w:pStyle w:val="Heading3"/>
      </w:pPr>
      <w:bookmarkStart w:id="99" w:name="_Toc9182746"/>
      <w:bookmarkStart w:id="100" w:name="_Toc35892516"/>
      <w:r w:rsidRPr="000464DC">
        <w:t>Price</w:t>
      </w:r>
      <w:bookmarkEnd w:id="99"/>
      <w:bookmarkEnd w:id="100"/>
    </w:p>
    <w:p w14:paraId="76EDD8C2" w14:textId="5B9A2D66" w:rsidR="00A64E15" w:rsidRPr="00F7012A" w:rsidRDefault="00A64E15" w:rsidP="00A64E15">
      <w:pPr>
        <w:spacing w:line="480" w:lineRule="auto"/>
      </w:pPr>
      <w:r w:rsidRPr="00E93434">
        <w:rPr>
          <w:szCs w:val="24"/>
        </w:rPr>
        <w:t xml:space="preserve">Many of the constituent chemicals involved in the manufacture of NPS are relatively cheap. Combined with the of ability for producers to outsource manufacturing of NPS to factories overseas where labour costs are low and regulations less stringent means NPS can be produced cheaply and in bulk. As a result, NPS are sold at significantly lower prices than their illicit counterparts (ACMD, 2011). Most information on prices </w:t>
      </w:r>
      <w:r w:rsidR="00394D21">
        <w:rPr>
          <w:szCs w:val="24"/>
        </w:rPr>
        <w:t>is</w:t>
      </w:r>
      <w:r w:rsidRPr="00E93434">
        <w:rPr>
          <w:szCs w:val="24"/>
        </w:rPr>
        <w:t xml:space="preserve"> based on anecdotal reports in which legal high</w:t>
      </w:r>
      <w:r>
        <w:rPr>
          <w:szCs w:val="24"/>
        </w:rPr>
        <w:t>s</w:t>
      </w:r>
      <w:r w:rsidRPr="00E93434">
        <w:rPr>
          <w:szCs w:val="24"/>
        </w:rPr>
        <w:t xml:space="preserve"> are commonly described as very affordable (DrugScope, 2014) </w:t>
      </w:r>
      <w:r>
        <w:rPr>
          <w:szCs w:val="24"/>
        </w:rPr>
        <w:t xml:space="preserve">Most of the available information about price relates to </w:t>
      </w:r>
      <w:r w:rsidRPr="00E93434">
        <w:rPr>
          <w:szCs w:val="24"/>
        </w:rPr>
        <w:t>Mephed</w:t>
      </w:r>
      <w:r>
        <w:rPr>
          <w:szCs w:val="24"/>
        </w:rPr>
        <w:t xml:space="preserve">rone having been well-established on the UK drug scene for a longer period, including studies which report a doubling of price after its control in 2010 (Bowden-jones, Shapiro </w:t>
      </w:r>
      <w:r w:rsidR="006E065C">
        <w:rPr>
          <w:szCs w:val="24"/>
        </w:rPr>
        <w:t>&amp;</w:t>
      </w:r>
      <w:r>
        <w:rPr>
          <w:szCs w:val="24"/>
        </w:rPr>
        <w:t xml:space="preserve"> Brown, 2014). The early indications are that street prices of synthetic cannabinoids are seeing similar levels of increase following the introduction of the ban (DrugWise, 2017).</w:t>
      </w:r>
    </w:p>
    <w:p w14:paraId="1DA17C72" w14:textId="44CC9B4A" w:rsidR="00A64E15" w:rsidRPr="000464DC" w:rsidRDefault="00A64E15" w:rsidP="000464DC">
      <w:pPr>
        <w:pStyle w:val="Heading3"/>
      </w:pPr>
      <w:bookmarkStart w:id="101" w:name="_Toc9182747"/>
      <w:bookmarkStart w:id="102" w:name="_Toc35892517"/>
      <w:r w:rsidRPr="000464DC">
        <w:t xml:space="preserve">Changes in availability following </w:t>
      </w:r>
      <w:r w:rsidR="00394D21">
        <w:t xml:space="preserve">the </w:t>
      </w:r>
      <w:r w:rsidRPr="000464DC">
        <w:t>introduction of the PS Act</w:t>
      </w:r>
      <w:bookmarkEnd w:id="101"/>
      <w:bookmarkEnd w:id="102"/>
    </w:p>
    <w:p w14:paraId="572FDF87" w14:textId="77777777" w:rsidR="00A64E15" w:rsidRDefault="00A64E15" w:rsidP="00A64E15">
      <w:pPr>
        <w:spacing w:line="480" w:lineRule="auto"/>
        <w:rPr>
          <w:lang w:val="en-US"/>
        </w:rPr>
      </w:pPr>
      <w:r>
        <w:rPr>
          <w:lang w:val="en-US"/>
        </w:rPr>
        <w:t>A review of the outcomes</w:t>
      </w:r>
      <w:r w:rsidRPr="00BD4847">
        <w:rPr>
          <w:lang w:val="en-US"/>
        </w:rPr>
        <w:t xml:space="preserve"> </w:t>
      </w:r>
      <w:r>
        <w:rPr>
          <w:lang w:val="en-US"/>
        </w:rPr>
        <w:t xml:space="preserve">of the PS Act published by the UK Government presented evidence from law enforcement agencies reporting that 332 NPS high street retailers had stopped selling NPS since the Act was introduced and 31 headshops had ceased trading (HM Government, 2018). The review concluded that the primary aim of the act had been achieved as the open sales of NPS were largely eliminated. </w:t>
      </w:r>
    </w:p>
    <w:p w14:paraId="629F2E22" w14:textId="786E3BAC" w:rsidR="00A64E15" w:rsidRDefault="00A64E15" w:rsidP="00A64E15">
      <w:pPr>
        <w:spacing w:line="480" w:lineRule="auto"/>
        <w:rPr>
          <w:lang w:val="en-US"/>
        </w:rPr>
      </w:pPr>
      <w:r>
        <w:rPr>
          <w:lang w:val="en-US"/>
        </w:rPr>
        <w:t>Data from the Crime Survey for England and Wales (CSEW)</w:t>
      </w:r>
      <w:r w:rsidRPr="009D4B7E">
        <w:rPr>
          <w:lang w:val="en-US"/>
        </w:rPr>
        <w:t xml:space="preserve"> </w:t>
      </w:r>
      <w:r>
        <w:rPr>
          <w:lang w:val="en-US"/>
        </w:rPr>
        <w:t xml:space="preserve">confirms that the proportion of people buying </w:t>
      </w:r>
      <w:r w:rsidRPr="002F5772">
        <w:rPr>
          <w:rStyle w:val="Heading2Char"/>
          <w:b w:val="0"/>
        </w:rPr>
        <w:t>NPS</w:t>
      </w:r>
      <w:r w:rsidR="001E5882">
        <w:rPr>
          <w:rStyle w:val="Heading2Char"/>
          <w:b w:val="0"/>
        </w:rPr>
        <w:t xml:space="preserve"> (</w:t>
      </w:r>
      <w:r w:rsidR="001E5882">
        <w:t>The survey asked respondents about their use of ‘legal highs’ but excluded mephedrone and Nitrous Oxide.</w:t>
      </w:r>
      <w:r w:rsidR="001E5882">
        <w:rPr>
          <w:rStyle w:val="Heading2Char"/>
          <w:b w:val="0"/>
        </w:rPr>
        <w:t>)</w:t>
      </w:r>
      <w:r w:rsidRPr="002F5772">
        <w:rPr>
          <w:rStyle w:val="Heading2Char"/>
          <w:b w:val="0"/>
        </w:rPr>
        <w:t xml:space="preserve"> </w:t>
      </w:r>
      <w:r>
        <w:rPr>
          <w:lang w:val="en-US"/>
        </w:rPr>
        <w:t>from shops appears to have reduced significantly since the Act was introduced (</w:t>
      </w:r>
      <w:r w:rsidR="00D96745">
        <w:rPr>
          <w:lang w:val="en-US"/>
        </w:rPr>
        <w:t>F</w:t>
      </w:r>
      <w:r>
        <w:rPr>
          <w:lang w:val="en-US"/>
        </w:rPr>
        <w:t xml:space="preserve">igure </w:t>
      </w:r>
      <w:r w:rsidR="00907FF2">
        <w:rPr>
          <w:lang w:val="en-US"/>
        </w:rPr>
        <w:t>2-9</w:t>
      </w:r>
      <w:r>
        <w:rPr>
          <w:lang w:val="en-US"/>
        </w:rPr>
        <w:t>). During the period 2014/15 to 2017/18</w:t>
      </w:r>
      <w:r w:rsidR="00394D21">
        <w:rPr>
          <w:lang w:val="en-US"/>
        </w:rPr>
        <w:t>,</w:t>
      </w:r>
      <w:r>
        <w:rPr>
          <w:lang w:val="en-US"/>
        </w:rPr>
        <w:t xml:space="preserve"> the CSEW included questions on the sources by which last-year users of NPS had obtained them on their last occasion of use. Data from the survey series shows that the number of users sampled who had obtained NPS from shops was six times greater prior to the introduction of the ban in 2014/15 than after the ban in 2017/18.</w:t>
      </w:r>
    </w:p>
    <w:p w14:paraId="47615048" w14:textId="37F434DD" w:rsidR="005C40C3" w:rsidRDefault="00A64E15" w:rsidP="00A64E15">
      <w:pPr>
        <w:spacing w:line="240" w:lineRule="auto"/>
        <w:rPr>
          <w:rStyle w:val="FigureHeadingChar"/>
        </w:rPr>
      </w:pPr>
      <w:bookmarkStart w:id="103" w:name="_Toc9186668"/>
      <w:bookmarkStart w:id="104" w:name="_Toc9509104"/>
      <w:r w:rsidRPr="00DF5C89">
        <w:rPr>
          <w:rStyle w:val="FigureHeadingChar"/>
        </w:rPr>
        <w:t xml:space="preserve">Figure </w:t>
      </w:r>
      <w:r w:rsidR="00195751">
        <w:rPr>
          <w:rStyle w:val="FigureHeadingChar"/>
        </w:rPr>
        <w:t>2-</w:t>
      </w:r>
      <w:r w:rsidR="00FF2A65">
        <w:rPr>
          <w:rStyle w:val="FigureHeadingChar"/>
        </w:rPr>
        <w:t>9</w:t>
      </w:r>
      <w:r w:rsidRPr="00DF5C89">
        <w:rPr>
          <w:rStyle w:val="FigureHeadingChar"/>
        </w:rPr>
        <w:t xml:space="preserve">. Source of NPS on </w:t>
      </w:r>
      <w:r w:rsidR="00394D21">
        <w:rPr>
          <w:rStyle w:val="FigureHeadingChar"/>
        </w:rPr>
        <w:t xml:space="preserve">the </w:t>
      </w:r>
      <w:r w:rsidRPr="00DF5C89">
        <w:rPr>
          <w:rStyle w:val="FigureHeadingChar"/>
        </w:rPr>
        <w:t>last occasion used</w:t>
      </w:r>
      <w:bookmarkEnd w:id="103"/>
      <w:bookmarkEnd w:id="104"/>
      <w:r w:rsidRPr="00DF5C89">
        <w:rPr>
          <w:rStyle w:val="FigureHeadingChar"/>
        </w:rPr>
        <w:t xml:space="preserve"> </w:t>
      </w:r>
    </w:p>
    <w:p w14:paraId="4C34CF93" w14:textId="3E8BA93B" w:rsidR="00900DDD" w:rsidRDefault="000427F1" w:rsidP="00900DDD">
      <w:pPr>
        <w:spacing w:line="240" w:lineRule="auto"/>
        <w:rPr>
          <w:lang w:val="en-US"/>
        </w:rPr>
      </w:pPr>
      <w:r w:rsidRPr="00DF5C89">
        <w:rPr>
          <w:rStyle w:val="FigureHeadingChar"/>
        </w:rPr>
        <mc:AlternateContent>
          <mc:Choice Requires="wps">
            <w:drawing>
              <wp:anchor distT="45720" distB="45720" distL="114300" distR="114300" simplePos="0" relativeHeight="251013120" behindDoc="0" locked="0" layoutInCell="1" allowOverlap="1" wp14:anchorId="65399402" wp14:editId="1E5D4315">
                <wp:simplePos x="0" y="0"/>
                <wp:positionH relativeFrom="column">
                  <wp:posOffset>4530725</wp:posOffset>
                </wp:positionH>
                <wp:positionV relativeFrom="paragraph">
                  <wp:posOffset>2423528</wp:posOffset>
                </wp:positionV>
                <wp:extent cx="1228298" cy="234306"/>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6465569A"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1EB84FD4"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99402" id="_x0000_s1048" type="#_x0000_t202" style="position:absolute;margin-left:356.75pt;margin-top:190.85pt;width:96.7pt;height:18.45pt;z-index:25101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sJDgIAAPwDAAAOAAAAZHJzL2Uyb0RvYy54bWysU11v2yAUfZ+0/4B4X+y4SZZYIVXXrtOk&#10;7kNq9wMIxjEacBmQ2Nmv7wWnabS9TfMDAl/uufece1hfD0aTg/RBgWV0OikpkVZAo+yO0R9P9++W&#10;lITIbcM1WMnoUQZ6vXn7Zt27WlbQgW6kJwhiQ907RrsYXV0UQXTS8DABJy0GW/CGRzz6XdF43iO6&#10;0UVVlouiB984D0KGgH/vxiDdZPy2lSJ+a9sgI9GMYm8xrz6v27QWmzWvd567TolTG/wfujBcWSx6&#10;hrrjkZO9V39BGSU8BGjjRIApoG2VkJkDspmWf7B57LiTmQuKE9xZpvD/YMXXw3dPVMNoNV9QYrnB&#10;IT3JIZIPMJAq6dO7UOO1R4cX44C/cc6Za3APIH4GYuG243Ynb7yHvpO8wf6mKbO4SB1xQgLZ9l+g&#10;wTJ8HyEDDa03STyUgyA6zul4nk1qRaSSVbWsVugmgbHqanZVLnIJXr9kOx/iJwmGpA2jHmef0fnh&#10;IcTUDa9frqRiFu6V1nn+2pKe0dW8mueEi4hREe2plWF0WaZvNEwi+dE2OTlypcc9FtD2xDoRHSnH&#10;YTuMAmdNkiRbaI6og4fRjvh8cNOB/01Jj1ZkNPzacy8p0Z8tarmazmbJu/kwm7+v8OAvI9vLCLcC&#10;oRiNlIzb25j9PnK+Qc1bleV47eTUM1osq3R6DsnDl+d86/XRbp4BAAD//wMAUEsDBBQABgAIAAAA&#10;IQBgCZ2X4AAAAAsBAAAPAAAAZHJzL2Rvd25yZXYueG1sTI/LTsMwEEX3SPyDNUjsqB3apknIpEIg&#10;tqCWh8TOjadJRDyOYrcJf49ZwXJ0j+49U25n24szjb5zjJAsFAji2pmOG4S316ebDIQPmo3uHRPC&#10;N3nYVpcXpS6Mm3hH531oRCxhX2iENoShkNLXLVntF24gjtnRjVaHeI6NNKOeYrnt5a1SqbS647jQ&#10;6oEeWqq/9ieL8P58/PxYqZfm0a6Hyc1Kss0l4vXVfH8HItAc/mD41Y/qUEWngzux8aJH2CTLdUQR&#10;llmyARGJXKU5iAPCKslSkFUp//9Q/QAAAP//AwBQSwECLQAUAAYACAAAACEAtoM4kv4AAADhAQAA&#10;EwAAAAAAAAAAAAAAAAAAAAAAW0NvbnRlbnRfVHlwZXNdLnhtbFBLAQItABQABgAIAAAAIQA4/SH/&#10;1gAAAJQBAAALAAAAAAAAAAAAAAAAAC8BAABfcmVscy8ucmVsc1BLAQItABQABgAIAAAAIQBb7KsJ&#10;DgIAAPwDAAAOAAAAAAAAAAAAAAAAAC4CAABkcnMvZTJvRG9jLnhtbFBLAQItABQABgAIAAAAIQBg&#10;CZ2X4AAAAAsBAAAPAAAAAAAAAAAAAAAAAGgEAABkcnMvZG93bnJldi54bWxQSwUGAAAAAAQABADz&#10;AAAAdQUAAAAA&#10;" filled="f" stroked="f">
                <v:textbox>
                  <w:txbxContent>
                    <w:p w14:paraId="6465569A"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1EB84FD4" w14:textId="77777777" w:rsidR="00777EE0" w:rsidRPr="00B96922" w:rsidRDefault="00777EE0" w:rsidP="00A64E15">
                      <w:pPr>
                        <w:rPr>
                          <w:b/>
                          <w:sz w:val="20"/>
                          <w:szCs w:val="20"/>
                        </w:rPr>
                      </w:pPr>
                    </w:p>
                  </w:txbxContent>
                </v:textbox>
              </v:shape>
            </w:pict>
          </mc:Fallback>
        </mc:AlternateContent>
      </w:r>
      <w:r w:rsidR="00A64E15" w:rsidRPr="006401D9">
        <w:rPr>
          <w:noProof/>
          <w:sz w:val="28"/>
          <w:lang w:val="en-US" w:eastAsia="en-US"/>
        </w:rPr>
        <w:drawing>
          <wp:inline distT="0" distB="0" distL="0" distR="0" wp14:anchorId="4BF243BE" wp14:editId="281DB0C2">
            <wp:extent cx="5731510" cy="2702257"/>
            <wp:effectExtent l="0" t="0" r="0" b="0"/>
            <wp:docPr id="12" name="Chart 12">
              <a:extLst xmlns:a="http://schemas.openxmlformats.org/drawingml/2006/main">
                <a:ext uri="{FF2B5EF4-FFF2-40B4-BE49-F238E27FC236}">
                  <a16:creationId xmlns:a16="http://schemas.microsoft.com/office/drawing/2014/main" id="{A3A11245-4D65-42E3-A328-DFBCF18B7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05" w:name="_Toc9182748"/>
      <w:bookmarkStart w:id="106" w:name="_Toc9183261"/>
    </w:p>
    <w:p w14:paraId="0FBA087C" w14:textId="77777777" w:rsidR="001E5882" w:rsidRDefault="001E5882" w:rsidP="00900DDD">
      <w:pPr>
        <w:spacing w:line="240" w:lineRule="auto"/>
        <w:rPr>
          <w:lang w:val="en-US"/>
        </w:rPr>
      </w:pPr>
    </w:p>
    <w:bookmarkEnd w:id="105"/>
    <w:bookmarkEnd w:id="106"/>
    <w:p w14:paraId="06E421D0" w14:textId="69274EA6" w:rsidR="00D6747C" w:rsidRDefault="00D6747C" w:rsidP="00D6747C">
      <w:pPr>
        <w:spacing w:line="480" w:lineRule="auto"/>
      </w:pPr>
      <w:r w:rsidRPr="009A2152">
        <w:t>Other changes in patterns of sourcing NPS over the 2014/15 – 2017/18 period show that while the proportion of users obtaining NPS via the internet appeared to remain fairly consistent over the four years sampled, fewer people seemed to be accessing NPS via friends in the post-ban period. As for dealers, while the proportion of dealers known to the persons diminished as a source post-ban, sourcing NPS from unknown dealers appeared to become more commonplace. Additional questions included in the 2017/18 CSEW explored source information further by asking whether users knew the original source of NPS obtained via people known to them (</w:t>
      </w:r>
      <w:r w:rsidR="00D96745">
        <w:t>F</w:t>
      </w:r>
      <w:r w:rsidRPr="009A2152">
        <w:t xml:space="preserve">igure </w:t>
      </w:r>
      <w:r w:rsidR="00907FF2">
        <w:t>2-10</w:t>
      </w:r>
      <w:r w:rsidRPr="009A2152">
        <w:t xml:space="preserve">). Comparative data examining the original source of illicit drugs shows that the greatest difference in source relates to the internet. A significantly greater proportion of people believed the original source of </w:t>
      </w:r>
      <w:r w:rsidR="00743444" w:rsidRPr="009A2152">
        <w:t>NPS was</w:t>
      </w:r>
      <w:r w:rsidRPr="009A2152">
        <w:t xml:space="preserve"> from the internet (37%) compared with the sourcing of illicit drugs where only 1% were thought to be obtained from online sellers.</w:t>
      </w:r>
    </w:p>
    <w:p w14:paraId="28C04F3D" w14:textId="28A12825" w:rsidR="00A64E15" w:rsidRDefault="00A64E15" w:rsidP="00DF5C89">
      <w:pPr>
        <w:pStyle w:val="FigureHeading"/>
        <w:rPr>
          <w:rStyle w:val="Heading2Char"/>
        </w:rPr>
      </w:pPr>
      <w:bookmarkStart w:id="107" w:name="_Toc9186669"/>
      <w:bookmarkStart w:id="108" w:name="_Toc9509105"/>
      <w:r w:rsidRPr="00057C6C">
        <w:t xml:space="preserve">Figure </w:t>
      </w:r>
      <w:r w:rsidR="00195751">
        <w:t>2-</w:t>
      </w:r>
      <w:r w:rsidR="00FF2A65">
        <w:t>10</w:t>
      </w:r>
      <w:r w:rsidRPr="00057C6C">
        <w:t>. Source of NPS on last occasion used</w:t>
      </w:r>
      <w:bookmarkEnd w:id="107"/>
      <w:bookmarkEnd w:id="108"/>
      <w:r w:rsidRPr="00057C6C">
        <w:t xml:space="preserve"> </w:t>
      </w:r>
    </w:p>
    <w:p w14:paraId="74AC98CB" w14:textId="77777777" w:rsidR="00A64E15" w:rsidRPr="00DF5C89" w:rsidRDefault="00A64E15" w:rsidP="00A64E15">
      <w:pPr>
        <w:spacing w:line="240" w:lineRule="auto"/>
        <w:rPr>
          <w:bCs/>
          <w:sz w:val="20"/>
          <w:szCs w:val="26"/>
        </w:rPr>
      </w:pPr>
      <w:r w:rsidRPr="00DF5C89">
        <w:rPr>
          <w:noProof/>
          <w:sz w:val="20"/>
          <w:lang w:val="en-US" w:eastAsia="en-US"/>
        </w:rPr>
        <w:drawing>
          <wp:inline distT="0" distB="0" distL="0" distR="0" wp14:anchorId="1612C910" wp14:editId="69B82255">
            <wp:extent cx="5868670" cy="2292824"/>
            <wp:effectExtent l="0" t="0" r="0" b="0"/>
            <wp:docPr id="17" name="Chart 17">
              <a:extLst xmlns:a="http://schemas.openxmlformats.org/drawingml/2006/main">
                <a:ext uri="{FF2B5EF4-FFF2-40B4-BE49-F238E27FC236}">
                  <a16:creationId xmlns:a16="http://schemas.microsoft.com/office/drawing/2014/main" id="{653F293E-7CDE-4EE7-8F58-E5CA42999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6EA872" w14:textId="68D704BB" w:rsidR="00A64E15" w:rsidRPr="00DF5C89" w:rsidRDefault="00A64E15" w:rsidP="00DF5C89">
      <w:pPr>
        <w:spacing w:line="480" w:lineRule="auto"/>
        <w:rPr>
          <w:lang w:val="en-US"/>
        </w:rPr>
      </w:pPr>
      <w:r w:rsidRPr="00DF5C89">
        <w:rPr>
          <w:lang w:val="en-US"/>
        </w:rPr>
        <w:t>Despite the reduction in availability of NPS through high</w:t>
      </w:r>
      <w:r w:rsidR="006E065C">
        <w:rPr>
          <w:lang w:val="en-US"/>
        </w:rPr>
        <w:t xml:space="preserve"> </w:t>
      </w:r>
      <w:r w:rsidRPr="00DF5C89">
        <w:rPr>
          <w:lang w:val="en-US"/>
        </w:rPr>
        <w:t xml:space="preserve">street shops, a sizable proportion of total young people sampled in the CSEW in 2017/18 believed it would be easy or fairly easy to obtain NPS within 24 hours (33%), a similar proportion to the response regarding illicit drugs (35%). These changes support the view that following the introduction of the ban, sales of NPS have moved onto the black market where street-dealers have taken advantage of the opportunities provided by the ban. Qualitative studies undertaken by drug charities confirm that NPS trade has moved to street dealers (DrugWise, 2017; Ralphs, Gray </w:t>
      </w:r>
      <w:r w:rsidR="006E065C">
        <w:rPr>
          <w:lang w:val="en-US"/>
        </w:rPr>
        <w:t>&amp;</w:t>
      </w:r>
      <w:r w:rsidRPr="00DF5C89">
        <w:rPr>
          <w:lang w:val="en-US"/>
        </w:rPr>
        <w:t xml:space="preserve"> Norton, 2017). However, with shop</w:t>
      </w:r>
      <w:r w:rsidR="00394D21">
        <w:rPr>
          <w:lang w:val="en-US"/>
        </w:rPr>
        <w:t>-</w:t>
      </w:r>
      <w:r w:rsidRPr="00DF5C89">
        <w:rPr>
          <w:lang w:val="en-US"/>
        </w:rPr>
        <w:t xml:space="preserve">bought stocks running out, there are reports of dealers selling NPS, mainly Spice, from clear bags with no branding. Nevertheless, branded legal high products continue to be sold both on the surface web and via the darknet. Branded products available on surface web sites hosted in the UK and Europe appear to contain only legitimately saleable psychoactive substances, usually caffeine or taurine (see </w:t>
      </w:r>
      <w:r w:rsidR="00D96745">
        <w:rPr>
          <w:lang w:val="en-US"/>
        </w:rPr>
        <w:t>F</w:t>
      </w:r>
      <w:r w:rsidRPr="00DF5C89">
        <w:rPr>
          <w:lang w:val="en-US"/>
        </w:rPr>
        <w:t xml:space="preserve">igure </w:t>
      </w:r>
      <w:r w:rsidR="00907FF2">
        <w:rPr>
          <w:lang w:val="en-US"/>
        </w:rPr>
        <w:t>2-11</w:t>
      </w:r>
      <w:r w:rsidRPr="00DF5C89">
        <w:rPr>
          <w:lang w:val="en-US"/>
        </w:rPr>
        <w:t>). In contrast, products available through black market sources continue to contain illicit NPS possibly imported from small-scale producers in Europe (EMCDDA, 2018). According to the EMCDDA and Europol</w:t>
      </w:r>
      <w:r w:rsidR="00394D21">
        <w:rPr>
          <w:lang w:val="en-US"/>
        </w:rPr>
        <w:t>,</w:t>
      </w:r>
      <w:r w:rsidRPr="00DF5C89">
        <w:rPr>
          <w:lang w:val="en-US"/>
        </w:rPr>
        <w:t xml:space="preserve"> while online sales are currently small in relation to the overall market for illicit drugs, the darknet continues to play a key role, particularly </w:t>
      </w:r>
      <w:r w:rsidR="00394D21">
        <w:rPr>
          <w:lang w:val="en-US"/>
        </w:rPr>
        <w:t>concerning</w:t>
      </w:r>
      <w:r w:rsidRPr="00DF5C89">
        <w:rPr>
          <w:lang w:val="en-US"/>
        </w:rPr>
        <w:t xml:space="preserve"> NPS, and online sales appear to be growing. In an analysis of darknet marketplaces</w:t>
      </w:r>
      <w:r w:rsidR="00394D21">
        <w:rPr>
          <w:lang w:val="en-US"/>
        </w:rPr>
        <w:t>,</w:t>
      </w:r>
      <w:r w:rsidRPr="00DF5C89">
        <w:rPr>
          <w:lang w:val="en-US"/>
        </w:rPr>
        <w:t xml:space="preserve"> the EMCDDA and Europol identified over 100 global darknet sites, estimating that two-thirds of all purchases taking place on the sites were drug-related. European dark-net sales were found to be mainly low-volume direct to customer sales, predominantly involving stimulant drugs (EMCDDA, 2018).</w:t>
      </w:r>
    </w:p>
    <w:p w14:paraId="5C40EB43" w14:textId="7A2989A4" w:rsidR="00A64E15" w:rsidRDefault="00A64E15" w:rsidP="0013458C">
      <w:pPr>
        <w:pStyle w:val="FigureHeading"/>
      </w:pPr>
      <w:bookmarkStart w:id="109" w:name="_Toc9186670"/>
      <w:bookmarkStart w:id="110" w:name="_Toc9509106"/>
      <w:r w:rsidRPr="005E4173">
        <w:t xml:space="preserve">Figure </w:t>
      </w:r>
      <w:r w:rsidR="00195751">
        <w:t>2-</w:t>
      </w:r>
      <w:r w:rsidR="00FF2A65">
        <w:t>11</w:t>
      </w:r>
      <w:r w:rsidRPr="005E4173">
        <w:t xml:space="preserve">: Screenshot from website selling </w:t>
      </w:r>
      <w:r>
        <w:t>post-ban legal highs</w:t>
      </w:r>
      <w:bookmarkEnd w:id="109"/>
      <w:bookmarkEnd w:id="110"/>
      <w:r w:rsidRPr="005E4173">
        <w:t xml:space="preserve"> </w:t>
      </w:r>
    </w:p>
    <w:p w14:paraId="418E5EFA" w14:textId="77777777" w:rsidR="00A64E15" w:rsidRDefault="00A64E15" w:rsidP="00A64E15">
      <w:pPr>
        <w:spacing w:line="240" w:lineRule="auto"/>
        <w:rPr>
          <w:lang w:val="en-US"/>
        </w:rPr>
      </w:pPr>
      <w:r>
        <w:rPr>
          <w:noProof/>
          <w:lang w:val="en-US" w:eastAsia="en-US"/>
        </w:rPr>
        <w:drawing>
          <wp:anchor distT="0" distB="0" distL="114300" distR="114300" simplePos="0" relativeHeight="250632192" behindDoc="1" locked="0" layoutInCell="1" allowOverlap="1" wp14:anchorId="580A0792" wp14:editId="13D14D13">
            <wp:simplePos x="0" y="0"/>
            <wp:positionH relativeFrom="column">
              <wp:posOffset>-2540</wp:posOffset>
            </wp:positionH>
            <wp:positionV relativeFrom="paragraph">
              <wp:posOffset>4445</wp:posOffset>
            </wp:positionV>
            <wp:extent cx="4215130" cy="2679065"/>
            <wp:effectExtent l="0" t="0" r="0" b="6985"/>
            <wp:wrapTopAndBottom/>
            <wp:docPr id="203" name="Picture 2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ost-ban.JPG"/>
                    <pic:cNvPicPr/>
                  </pic:nvPicPr>
                  <pic:blipFill>
                    <a:blip r:embed="rId30"/>
                    <a:stretch>
                      <a:fillRect/>
                    </a:stretch>
                  </pic:blipFill>
                  <pic:spPr>
                    <a:xfrm>
                      <a:off x="0" y="0"/>
                      <a:ext cx="4215130" cy="2679065"/>
                    </a:xfrm>
                    <a:prstGeom prst="rect">
                      <a:avLst/>
                    </a:prstGeom>
                  </pic:spPr>
                </pic:pic>
              </a:graphicData>
            </a:graphic>
          </wp:anchor>
        </w:drawing>
      </w:r>
    </w:p>
    <w:p w14:paraId="0DDE7D68" w14:textId="200E8CF5" w:rsidR="00A64E15" w:rsidRDefault="00394D21" w:rsidP="00A64E15">
      <w:pPr>
        <w:spacing w:line="480" w:lineRule="auto"/>
        <w:rPr>
          <w:lang w:val="en-US"/>
        </w:rPr>
      </w:pPr>
      <w:r>
        <w:rPr>
          <w:lang w:val="en-US"/>
        </w:rPr>
        <w:t>Before</w:t>
      </w:r>
      <w:r w:rsidR="00A64E15" w:rsidRPr="00E732EA">
        <w:rPr>
          <w:lang w:val="en-US"/>
        </w:rPr>
        <w:t xml:space="preserve"> the ban products were labelled not for human consumption and ingredients were rarely listed, in contrast</w:t>
      </w:r>
      <w:r>
        <w:rPr>
          <w:lang w:val="en-US"/>
        </w:rPr>
        <w:t>,</w:t>
      </w:r>
      <w:r w:rsidR="00A64E15" w:rsidRPr="00E732EA">
        <w:rPr>
          <w:lang w:val="en-US"/>
        </w:rPr>
        <w:t xml:space="preserve"> legal high products sold on the surface web advertise ingredients, which are limited to legally available substances, in this case</w:t>
      </w:r>
      <w:r>
        <w:rPr>
          <w:lang w:val="en-US"/>
        </w:rPr>
        <w:t>,</w:t>
      </w:r>
      <w:r w:rsidR="00A64E15" w:rsidRPr="00E732EA">
        <w:rPr>
          <w:lang w:val="en-US"/>
        </w:rPr>
        <w:t xml:space="preserve"> caffeine and taurine. </w:t>
      </w:r>
    </w:p>
    <w:p w14:paraId="2B7DB76E" w14:textId="03D05D34" w:rsidR="00A64E15" w:rsidRPr="000464DC" w:rsidRDefault="00A64E15" w:rsidP="00C92BD2">
      <w:pPr>
        <w:pStyle w:val="Heading3"/>
        <w:numPr>
          <w:ilvl w:val="2"/>
          <w:numId w:val="3"/>
        </w:numPr>
      </w:pPr>
      <w:bookmarkStart w:id="111" w:name="_Toc9182749"/>
      <w:bookmarkStart w:id="112" w:name="_Toc35892518"/>
      <w:bookmarkEnd w:id="88"/>
      <w:r w:rsidRPr="000464DC">
        <w:t>Types of NPS used</w:t>
      </w:r>
      <w:bookmarkEnd w:id="111"/>
      <w:bookmarkEnd w:id="112"/>
    </w:p>
    <w:p w14:paraId="10F2B6BA" w14:textId="1224DE90" w:rsidR="00A64E15" w:rsidRPr="00083423" w:rsidRDefault="00A64E15" w:rsidP="00A64E15">
      <w:pPr>
        <w:spacing w:line="480" w:lineRule="auto"/>
      </w:pPr>
      <w:r w:rsidRPr="00083423">
        <w:t xml:space="preserve">In 2014/15 and 2017/18 </w:t>
      </w:r>
      <w:r>
        <w:t>questions asking about the types of NPS consumed were also included in the Crime Survey for England and Wales. Since users cannot be expected to know the chemical constituents of the products used, they were asked about whether the last NPS they used in the last year was a powder, crystal or pill, a herbal smoking mixture, a liquid or another type of substance (</w:t>
      </w:r>
      <w:r w:rsidR="00D96745">
        <w:t>F</w:t>
      </w:r>
      <w:r>
        <w:t xml:space="preserve">igure </w:t>
      </w:r>
      <w:r w:rsidR="00907FF2">
        <w:t>2-12</w:t>
      </w:r>
      <w:r>
        <w:t xml:space="preserve">). Although it is not possible to equate individual substances with their appearance, generally, herbal smoking mixtures are likely to relate to synthetic cannabinoids and powers, pills and tablets relate to stimulants (DrugScope, 2014). Comparing the type of substances used by young people (aged 16-24) </w:t>
      </w:r>
      <w:r w:rsidR="00394D21">
        <w:t>before</w:t>
      </w:r>
      <w:r>
        <w:t xml:space="preserve"> and after the ban in 2014/15 and 2017/18, it appears that of use of synthetic cannabinoids has dropped by three quarters. </w:t>
      </w:r>
    </w:p>
    <w:p w14:paraId="4A58C726" w14:textId="4E265AAB" w:rsidR="00A64E15" w:rsidRPr="00EE786A" w:rsidRDefault="00A64E15" w:rsidP="00DF5C89">
      <w:pPr>
        <w:pStyle w:val="FigureHeading"/>
        <w:rPr>
          <w:rStyle w:val="Heading2Char"/>
          <w:bCs w:val="0"/>
          <w:szCs w:val="22"/>
        </w:rPr>
      </w:pPr>
      <w:bookmarkStart w:id="113" w:name="_Toc9186671"/>
      <w:bookmarkStart w:id="114" w:name="_Toc9509107"/>
      <w:r w:rsidRPr="0050019E">
        <w:t xml:space="preserve">Figure </w:t>
      </w:r>
      <w:r w:rsidR="00195751">
        <w:t>2-</w:t>
      </w:r>
      <w:r w:rsidR="00FF2A65">
        <w:t>12</w:t>
      </w:r>
      <w:r w:rsidRPr="0050019E">
        <w:t xml:space="preserve">. </w:t>
      </w:r>
      <w:r>
        <w:t>Type of NPS used on the last occasion by young people who used an NPS in the last year</w:t>
      </w:r>
      <w:bookmarkEnd w:id="113"/>
      <w:bookmarkEnd w:id="114"/>
      <w:r w:rsidRPr="0050019E">
        <w:t xml:space="preserve"> </w:t>
      </w:r>
    </w:p>
    <w:p w14:paraId="4ADCE4E1" w14:textId="77777777" w:rsidR="00A64E15" w:rsidRPr="00E42C6F" w:rsidRDefault="00A64E15" w:rsidP="00A64E15">
      <w:pPr>
        <w:rPr>
          <w:rStyle w:val="Heading1Char"/>
          <w:b w:val="0"/>
          <w:bCs w:val="0"/>
          <w:sz w:val="24"/>
          <w:szCs w:val="22"/>
        </w:rPr>
      </w:pPr>
      <w:r w:rsidRPr="00D84AE4">
        <w:rPr>
          <w:noProof/>
          <w:lang w:val="en-US" w:eastAsia="en-US"/>
        </w:rPr>
        <mc:AlternateContent>
          <mc:Choice Requires="wps">
            <w:drawing>
              <wp:anchor distT="45720" distB="45720" distL="114300" distR="114300" simplePos="0" relativeHeight="251072512" behindDoc="0" locked="0" layoutInCell="1" allowOverlap="1" wp14:anchorId="5F868DFE" wp14:editId="48023D0A">
                <wp:simplePos x="0" y="0"/>
                <wp:positionH relativeFrom="column">
                  <wp:posOffset>3575714</wp:posOffset>
                </wp:positionH>
                <wp:positionV relativeFrom="paragraph">
                  <wp:posOffset>2037658</wp:posOffset>
                </wp:positionV>
                <wp:extent cx="1228298" cy="234306"/>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1FDB3CF4"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8BE1450"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8DFE" id="_x0000_s1049" type="#_x0000_t202" style="position:absolute;margin-left:281.55pt;margin-top:160.45pt;width:96.7pt;height:18.45pt;z-index:25107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mCDgIAAPwDAAAOAAAAZHJzL2Uyb0RvYy54bWysU9uO2yAQfa/Uf0C8N3a8yTaxQlbb3W5V&#10;aXuRdvsBGOMYFRgKJHb69R1wNo3at6p+QOBhzsw5c9jcjEaTg/RBgWV0PispkVZAq+yO0W/PD29W&#10;lITIbcs1WMnoUQZ6s339ajO4WlbQg26lJwhiQz04RvsYXV0UQfTS8DADJy0GO/CGRzz6XdF6PiC6&#10;0UVVltfFAL51HoQMAf/eT0G6zfhdJ0X80nVBRqIZxd5iXn1em7QW2w2vd567XolTG/wfujBcWSx6&#10;hrrnkZO9V39BGSU8BOjiTIApoOuUkJkDspmXf7B56rmTmQuKE9xZpvD/YMXnw1dPVMtoVS4psdzg&#10;kJ7lGMk7GEmV9BlcqPHak8OLccTfOOfMNbhHEN8DsXDXc7uTt97D0EveYn/zlFlcpE44IYE0wydo&#10;sQzfR8hAY+dNEg/lIIiOczqeZ5NaEalkVa2qNbpJYKy6WlyV17kEr1+ynQ/xgwRD0oZRj7PP6Pzw&#10;GGLqhtcvV1IxCw9K6zx/bcnA6HpZLXPCRcSoiPbUyjC6KtM3GSaRfG/bnBy50tMeC2h7Yp2ITpTj&#10;2IyTwGc1G2iPqIOHyY74fHDTg/9JyYBWZDT82HMvKdEfLWq5ni8Wybv5sFi+rfDgLyPNZYRbgVCM&#10;Rkqm7V3Mfp8436LmncpypOFMnZx6RotllU7PIXn48pxv/X60218AAAD//wMAUEsDBBQABgAIAAAA&#10;IQANyg2v4AAAAAsBAAAPAAAAZHJzL2Rvd25yZXYueG1sTI9NT8MwDIbvSPyHyEjcWLKNdFtpOiEQ&#10;V9DGh8Qta7y2onGqJlvLv8ec4Gj70evnLbaT78QZh9gGMjCfKRBIVXAt1QbeXp9u1iBisuRsFwgN&#10;fGOEbXl5UdjchZF2eN6nWnAIxdwaaFLqcylj1aC3cRZ6JL4dw+Bt4nGopRvsyOG+kwulMultS/yh&#10;sT0+NFh97U/ewPvz8fPjVr3Uj173Y5iUJL+RxlxfTfd3IBJO6Q+GX31Wh5KdDuFELorOgM6Wc0YN&#10;LBdqA4KJlc40iANv9GoNsizk/w7lDwAAAP//AwBQSwECLQAUAAYACAAAACEAtoM4kv4AAADhAQAA&#10;EwAAAAAAAAAAAAAAAAAAAAAAW0NvbnRlbnRfVHlwZXNdLnhtbFBLAQItABQABgAIAAAAIQA4/SH/&#10;1gAAAJQBAAALAAAAAAAAAAAAAAAAAC8BAABfcmVscy8ucmVsc1BLAQItABQABgAIAAAAIQB5drmC&#10;DgIAAPwDAAAOAAAAAAAAAAAAAAAAAC4CAABkcnMvZTJvRG9jLnhtbFBLAQItABQABgAIAAAAIQAN&#10;yg2v4AAAAAsBAAAPAAAAAAAAAAAAAAAAAGgEAABkcnMvZG93bnJldi54bWxQSwUGAAAAAAQABADz&#10;AAAAdQUAAAAA&#10;" filled="f" stroked="f">
                <v:textbox>
                  <w:txbxContent>
                    <w:p w14:paraId="1FDB3CF4"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8BE1450" w14:textId="77777777" w:rsidR="00777EE0" w:rsidRPr="00B96922" w:rsidRDefault="00777EE0" w:rsidP="00A64E15">
                      <w:pPr>
                        <w:rPr>
                          <w:b/>
                          <w:sz w:val="20"/>
                          <w:szCs w:val="20"/>
                        </w:rPr>
                      </w:pPr>
                    </w:p>
                  </w:txbxContent>
                </v:textbox>
              </v:shape>
            </w:pict>
          </mc:Fallback>
        </mc:AlternateContent>
      </w:r>
      <w:r>
        <w:rPr>
          <w:noProof/>
          <w:lang w:val="en-US" w:eastAsia="en-US"/>
        </w:rPr>
        <w:drawing>
          <wp:inline distT="0" distB="0" distL="0" distR="0" wp14:anchorId="18EC7477" wp14:editId="423CA5D0">
            <wp:extent cx="5295332" cy="2893326"/>
            <wp:effectExtent l="0" t="0" r="635" b="2540"/>
            <wp:docPr id="227" name="Chart 227">
              <a:extLst xmlns:a="http://schemas.openxmlformats.org/drawingml/2006/main">
                <a:ext uri="{FF2B5EF4-FFF2-40B4-BE49-F238E27FC236}">
                  <a16:creationId xmlns:a16="http://schemas.microsoft.com/office/drawing/2014/main" id="{43EE7AFB-B6F3-4971-B4A8-27E819EF2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5710B" w14:textId="4872BD27" w:rsidR="00A64E15" w:rsidRPr="000464DC" w:rsidRDefault="00A64E15" w:rsidP="000464DC">
      <w:pPr>
        <w:pStyle w:val="Heading2"/>
        <w:rPr>
          <w:rStyle w:val="Heading1Char"/>
          <w:b/>
          <w:bCs/>
          <w:sz w:val="24"/>
          <w:szCs w:val="26"/>
        </w:rPr>
      </w:pPr>
      <w:bookmarkStart w:id="115" w:name="_Toc9182750"/>
      <w:bookmarkStart w:id="116" w:name="_Toc35892519"/>
      <w:r w:rsidRPr="000464DC">
        <w:rPr>
          <w:rStyle w:val="Heading1Char"/>
          <w:b/>
          <w:bCs/>
          <w:sz w:val="24"/>
          <w:szCs w:val="26"/>
        </w:rPr>
        <w:t>Prevalence of NPS use</w:t>
      </w:r>
      <w:bookmarkEnd w:id="115"/>
      <w:bookmarkEnd w:id="116"/>
    </w:p>
    <w:p w14:paraId="5E0E7CA6" w14:textId="03F79DEA" w:rsidR="00A64E15" w:rsidRPr="003F4665" w:rsidRDefault="00A64E15" w:rsidP="00A64E15">
      <w:pPr>
        <w:spacing w:line="480" w:lineRule="auto"/>
      </w:pPr>
      <w:r>
        <w:t xml:space="preserve">Prevalence estimates are important for understanding the extent of NPS use and to help identify important subpopulations and at-risk groups so that interventions can be appropriately designed and targeted. </w:t>
      </w:r>
      <w:r w:rsidRPr="001558F7">
        <w:rPr>
          <w:color w:val="000000" w:themeColor="text1"/>
        </w:rPr>
        <w:t xml:space="preserve">The exponential growth of the NPS market </w:t>
      </w:r>
      <w:r>
        <w:rPr>
          <w:color w:val="000000" w:themeColor="text1"/>
        </w:rPr>
        <w:t>over</w:t>
      </w:r>
      <w:r w:rsidRPr="001558F7">
        <w:rPr>
          <w:color w:val="000000" w:themeColor="text1"/>
        </w:rPr>
        <w:t xml:space="preserve"> a relatively short space of time has left authorities and research organisations playing catch up in a complex and rapidly evolving field. Consequently, formal collection of data on NPS use is scarce, with reliable estimates for the general population limited to three survey series, of which </w:t>
      </w:r>
      <w:r w:rsidR="00394D21">
        <w:rPr>
          <w:color w:val="000000" w:themeColor="text1"/>
        </w:rPr>
        <w:t xml:space="preserve">the </w:t>
      </w:r>
      <w:r w:rsidRPr="001558F7">
        <w:rPr>
          <w:color w:val="000000" w:themeColor="text1"/>
        </w:rPr>
        <w:t xml:space="preserve">only one spans the ban period and </w:t>
      </w:r>
      <w:r w:rsidR="00394D21">
        <w:rPr>
          <w:color w:val="000000" w:themeColor="text1"/>
        </w:rPr>
        <w:t>can</w:t>
      </w:r>
      <w:r w:rsidRPr="001558F7">
        <w:rPr>
          <w:color w:val="000000" w:themeColor="text1"/>
        </w:rPr>
        <w:t xml:space="preserve"> offer </w:t>
      </w:r>
      <w:r>
        <w:rPr>
          <w:color w:val="000000" w:themeColor="text1"/>
        </w:rPr>
        <w:t>insights into the emerging</w:t>
      </w:r>
      <w:r w:rsidRPr="001558F7">
        <w:rPr>
          <w:color w:val="000000" w:themeColor="text1"/>
        </w:rPr>
        <w:t xml:space="preserve"> post-ban situation. Prior to 2014, data estimates for the use of </w:t>
      </w:r>
      <w:r>
        <w:rPr>
          <w:color w:val="000000" w:themeColor="text1"/>
        </w:rPr>
        <w:t>NPS</w:t>
      </w:r>
      <w:r w:rsidRPr="001558F7">
        <w:rPr>
          <w:color w:val="000000" w:themeColor="text1"/>
        </w:rPr>
        <w:t xml:space="preserve"> largely relied on information about the use of individual named substances, predominantly mephedrone. Although mephedrone was the most popular substance emerging from the first wave of NPS, as a controlled substance since 2010 it is generally excluded from </w:t>
      </w:r>
      <w:r>
        <w:rPr>
          <w:color w:val="000000" w:themeColor="text1"/>
        </w:rPr>
        <w:t>most</w:t>
      </w:r>
      <w:r w:rsidRPr="001558F7">
        <w:rPr>
          <w:color w:val="000000" w:themeColor="text1"/>
        </w:rPr>
        <w:t xml:space="preserve"> analys</w:t>
      </w:r>
      <w:r>
        <w:rPr>
          <w:color w:val="000000" w:themeColor="text1"/>
        </w:rPr>
        <w:t>e</w:t>
      </w:r>
      <w:r w:rsidRPr="001558F7">
        <w:rPr>
          <w:color w:val="000000" w:themeColor="text1"/>
        </w:rPr>
        <w:t xml:space="preserve">s of </w:t>
      </w:r>
      <w:r>
        <w:rPr>
          <w:color w:val="000000" w:themeColor="text1"/>
        </w:rPr>
        <w:t xml:space="preserve">legal highs or </w:t>
      </w:r>
      <w:r w:rsidRPr="001558F7">
        <w:rPr>
          <w:color w:val="000000" w:themeColor="text1"/>
        </w:rPr>
        <w:t xml:space="preserve">NPS. Whether or not users considered mephedrone to be a legal high, and if so, for how long, is unknown. </w:t>
      </w:r>
      <w:r w:rsidRPr="00B04508">
        <w:t xml:space="preserve">Estimates for the prevalence of </w:t>
      </w:r>
      <w:r>
        <w:t>NPS</w:t>
      </w:r>
      <w:r w:rsidRPr="00B04508">
        <w:t xml:space="preserve"> use </w:t>
      </w:r>
      <w:r>
        <w:t>are</w:t>
      </w:r>
      <w:r w:rsidRPr="00B04508">
        <w:t xml:space="preserve"> therefore derived from a heterogen</w:t>
      </w:r>
      <w:r>
        <w:t>e</w:t>
      </w:r>
      <w:r w:rsidRPr="00B04508">
        <w:t xml:space="preserve">ous patchwork of stand-alone studies examining specific populations and substances, and a small number of household and </w:t>
      </w:r>
      <w:r w:rsidRPr="00CC48DA">
        <w:rPr>
          <w:color w:val="000000" w:themeColor="text1"/>
        </w:rPr>
        <w:t>school-based surveys reporting data on use of legal highs. Th</w:t>
      </w:r>
      <w:r w:rsidR="00DF5C89">
        <w:rPr>
          <w:color w:val="000000" w:themeColor="text1"/>
        </w:rPr>
        <w:t>is</w:t>
      </w:r>
      <w:r w:rsidRPr="00CC48DA">
        <w:rPr>
          <w:color w:val="000000" w:themeColor="text1"/>
        </w:rPr>
        <w:t xml:space="preserve"> section starts out taking a broad view of NPS use in the UK, looking at the influence of demographic factors as well as short-term impacts of the ban within the general population </w:t>
      </w:r>
      <w:r>
        <w:rPr>
          <w:color w:val="000000" w:themeColor="text1"/>
        </w:rPr>
        <w:t xml:space="preserve">and young people </w:t>
      </w:r>
      <w:r w:rsidRPr="00CC48DA">
        <w:rPr>
          <w:color w:val="000000" w:themeColor="text1"/>
        </w:rPr>
        <w:t>before going on to examine the evidence for different subpopulations of NPS users.</w:t>
      </w:r>
    </w:p>
    <w:p w14:paraId="6CD0DB59" w14:textId="788978F8" w:rsidR="00A64E15" w:rsidRPr="000464DC" w:rsidRDefault="00A64E15" w:rsidP="000464DC">
      <w:pPr>
        <w:pStyle w:val="Heading3"/>
      </w:pPr>
      <w:bookmarkStart w:id="117" w:name="_Toc9182751"/>
      <w:bookmarkStart w:id="118" w:name="_Toc35892520"/>
      <w:r w:rsidRPr="000464DC">
        <w:t>Use of NPS in the general population</w:t>
      </w:r>
      <w:bookmarkEnd w:id="117"/>
      <w:bookmarkEnd w:id="118"/>
      <w:r w:rsidRPr="000464DC">
        <w:t xml:space="preserve"> </w:t>
      </w:r>
    </w:p>
    <w:p w14:paraId="237BC684" w14:textId="77777777" w:rsidR="00A64E15" w:rsidRDefault="00A64E15" w:rsidP="00DF5C89">
      <w:pPr>
        <w:spacing w:line="480" w:lineRule="auto"/>
      </w:pPr>
      <w:r>
        <w:t>G</w:t>
      </w:r>
      <w:r w:rsidRPr="001332CB">
        <w:t>eneral population estimates for NPS</w:t>
      </w:r>
      <w:r>
        <w:t xml:space="preserve"> use</w:t>
      </w:r>
      <w:r w:rsidRPr="001332CB">
        <w:t xml:space="preserve"> are drawn from </w:t>
      </w:r>
      <w:r>
        <w:t xml:space="preserve">three </w:t>
      </w:r>
      <w:r w:rsidRPr="001332CB">
        <w:t>survey series</w:t>
      </w:r>
      <w:r>
        <w:t xml:space="preserve"> conducted</w:t>
      </w:r>
      <w:r w:rsidRPr="001332CB">
        <w:t xml:space="preserve"> at the </w:t>
      </w:r>
      <w:r w:rsidRPr="00532706">
        <w:t>population level, a survey carried out in Northern Ireland by the National Advisory Committee on Drugs and Alcohol (NACDA</w:t>
      </w:r>
      <w:r w:rsidRPr="00E33192">
        <w:rPr>
          <w:szCs w:val="24"/>
        </w:rPr>
        <w:t>, n</w:t>
      </w:r>
      <w:r w:rsidRPr="00E33192">
        <w:rPr>
          <w:rFonts w:eastAsia="MS Gothic"/>
          <w:szCs w:val="24"/>
        </w:rPr>
        <w:t>≈7,000</w:t>
      </w:r>
      <w:r w:rsidRPr="00E33192">
        <w:rPr>
          <w:szCs w:val="24"/>
        </w:rPr>
        <w:t>),</w:t>
      </w:r>
      <w:r w:rsidRPr="00532706">
        <w:t xml:space="preserve"> the Crime Survey for England and Wales (CSEW, n</w:t>
      </w:r>
      <w:r w:rsidRPr="00532706">
        <w:rPr>
          <w:rFonts w:eastAsia="MS Gothic"/>
          <w:sz w:val="20"/>
        </w:rPr>
        <w:t>≈</w:t>
      </w:r>
      <w:r w:rsidRPr="00DF5C89">
        <w:rPr>
          <w:szCs w:val="24"/>
        </w:rPr>
        <w:t>20,000</w:t>
      </w:r>
      <w:r w:rsidRPr="00532706">
        <w:t>) and the Flash Eurobarometer (FAB, n</w:t>
      </w:r>
      <w:r w:rsidRPr="00532706">
        <w:rPr>
          <w:rFonts w:eastAsia="MS Gothic"/>
          <w:sz w:val="20"/>
        </w:rPr>
        <w:t>≈</w:t>
      </w:r>
      <w:r w:rsidRPr="00DF5C89">
        <w:rPr>
          <w:rFonts w:eastAsia="MS Gothic"/>
          <w:szCs w:val="24"/>
        </w:rPr>
        <w:t>500</w:t>
      </w:r>
      <w:r w:rsidRPr="00532706">
        <w:t xml:space="preserve">). Estimates are reported as either lifetime use, based on whether participants have ever taken an NPS, or last year use, based on consumption of NPS during the previous year. While lifetime rates offer some measure of the extent of NPS use in the population, last year rates to tap into recent use to provide some insight into fluctuations in use over time.    </w:t>
      </w:r>
    </w:p>
    <w:p w14:paraId="1CE0F287" w14:textId="085FD9D4" w:rsidR="009C6633" w:rsidRDefault="00A64E15" w:rsidP="00777EE0">
      <w:pPr>
        <w:spacing w:line="480" w:lineRule="auto"/>
      </w:pPr>
      <w:r w:rsidRPr="001332CB">
        <w:t>Data on the use of NPS in the adult population was provided by the NACDA for the years 2010/11 and 2014/15</w:t>
      </w:r>
      <w:r>
        <w:t>,</w:t>
      </w:r>
      <w:r w:rsidRPr="001332CB">
        <w:t xml:space="preserve"> in addition to the CSEW </w:t>
      </w:r>
      <w:r>
        <w:t>for which annual data about the use of NPS is available between</w:t>
      </w:r>
      <w:r w:rsidRPr="001332CB">
        <w:t xml:space="preserve"> 2014/15 </w:t>
      </w:r>
      <w:r>
        <w:t>and</w:t>
      </w:r>
      <w:r w:rsidRPr="001332CB">
        <w:t xml:space="preserve"> 2017/18. </w:t>
      </w:r>
      <w:r>
        <w:t xml:space="preserve">The percentage of respondents reporting lifetime use of NPS and a breakdown of use by gender for the two surveys are shown in </w:t>
      </w:r>
      <w:r w:rsidR="00D96745">
        <w:t>F</w:t>
      </w:r>
      <w:r>
        <w:t xml:space="preserve">igures </w:t>
      </w:r>
      <w:r w:rsidR="00907FF2">
        <w:t>2-</w:t>
      </w:r>
      <w:r>
        <w:t xml:space="preserve">13 and </w:t>
      </w:r>
      <w:r w:rsidR="00907FF2">
        <w:t>2-</w:t>
      </w:r>
      <w:r>
        <w:t>14</w:t>
      </w:r>
      <w:r w:rsidRPr="001332CB">
        <w:t xml:space="preserve">. </w:t>
      </w:r>
      <w:r>
        <w:t>D</w:t>
      </w:r>
      <w:r w:rsidRPr="001332CB">
        <w:t xml:space="preserve">ifferences in sampling methods </w:t>
      </w:r>
      <w:r>
        <w:t xml:space="preserve">used, time periods </w:t>
      </w:r>
      <w:r w:rsidRPr="001332CB">
        <w:t xml:space="preserve">and </w:t>
      </w:r>
      <w:r>
        <w:t>regional variations mean comparisons between the two surveys should be made with care</w:t>
      </w:r>
      <w:r w:rsidRPr="001332CB">
        <w:t>, nevertheless</w:t>
      </w:r>
      <w:r>
        <w:t xml:space="preserve">, </w:t>
      </w:r>
      <w:r w:rsidRPr="001332CB">
        <w:t>rates of use within and between the CSEW and NACDA show a consistent order of magnitude</w:t>
      </w:r>
      <w:r>
        <w:t xml:space="preserve"> with the</w:t>
      </w:r>
      <w:r w:rsidRPr="001332CB">
        <w:t xml:space="preserve"> proportion of adults</w:t>
      </w:r>
      <w:r>
        <w:t xml:space="preserve"> reporting</w:t>
      </w:r>
      <w:r w:rsidRPr="001332CB">
        <w:t xml:space="preserve"> </w:t>
      </w:r>
      <w:r>
        <w:t xml:space="preserve">lifetime </w:t>
      </w:r>
      <w:r w:rsidRPr="001332CB">
        <w:t>us</w:t>
      </w:r>
      <w:r>
        <w:t>e of NPS in each of the samples</w:t>
      </w:r>
      <w:r w:rsidRPr="001332CB">
        <w:t xml:space="preserve"> </w:t>
      </w:r>
      <w:r>
        <w:t>i</w:t>
      </w:r>
      <w:r w:rsidRPr="001332CB">
        <w:t>n the region of 2-3 %</w:t>
      </w:r>
      <w:r>
        <w:t xml:space="preserve">.  </w:t>
      </w:r>
    </w:p>
    <w:p w14:paraId="507C5472" w14:textId="77777777" w:rsidR="001E5882" w:rsidRDefault="001E5882" w:rsidP="009C6633">
      <w:pPr>
        <w:sectPr w:rsidR="001E5882" w:rsidSect="00874B78">
          <w:type w:val="continuous"/>
          <w:pgSz w:w="11900" w:h="16840"/>
          <w:pgMar w:top="1418" w:right="1418" w:bottom="1418" w:left="1418" w:header="709" w:footer="709" w:gutter="0"/>
          <w:cols w:space="708"/>
          <w:docGrid w:linePitch="360"/>
        </w:sectPr>
      </w:pPr>
    </w:p>
    <w:p w14:paraId="6BACD10D" w14:textId="5FDCCACB" w:rsidR="009C6633" w:rsidRDefault="001E5882" w:rsidP="00CF182B">
      <w:pPr>
        <w:pStyle w:val="FigureHeading"/>
      </w:pPr>
      <w:bookmarkStart w:id="119" w:name="_Toc9509108"/>
      <w:r w:rsidRPr="00D84AE4">
        <w:t>Figure</w:t>
      </w:r>
      <w:r>
        <w:t xml:space="preserve"> 2-13</w:t>
      </w:r>
      <w:r w:rsidRPr="001E5882">
        <w:t xml:space="preserve"> </w:t>
      </w:r>
      <w:r>
        <w:t>Adults’ lifetime prevalence of NPS use by gender (NACDA)</w:t>
      </w:r>
      <w:bookmarkEnd w:id="119"/>
    </w:p>
    <w:p w14:paraId="02AB37AD" w14:textId="6C82F750" w:rsidR="001E5882" w:rsidRDefault="009C6633" w:rsidP="001E5882">
      <w:pPr>
        <w:spacing w:line="480" w:lineRule="auto"/>
        <w:jc w:val="center"/>
        <w:rPr>
          <w:b/>
        </w:rPr>
      </w:pPr>
      <w:r w:rsidRPr="007B731C">
        <w:rPr>
          <w:noProof/>
          <w:lang w:val="en-US" w:eastAsia="en-US"/>
        </w:rPr>
        <w:drawing>
          <wp:inline distT="0" distB="0" distL="0" distR="0" wp14:anchorId="77569712" wp14:editId="4FEE8ABE">
            <wp:extent cx="1952625" cy="2790825"/>
            <wp:effectExtent l="0" t="0" r="0" b="0"/>
            <wp:docPr id="226" name="Chart 226">
              <a:extLst xmlns:a="http://schemas.openxmlformats.org/drawingml/2006/main">
                <a:ext uri="{FF2B5EF4-FFF2-40B4-BE49-F238E27FC236}">
                  <a16:creationId xmlns:a16="http://schemas.microsoft.com/office/drawing/2014/main" id="{17EA7638-53DE-4D7B-AF02-A409D8891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F43A5" w:rsidRPr="007B731C">
        <w:rPr>
          <w:noProof/>
          <w:lang w:val="en-US" w:eastAsia="en-US"/>
        </w:rPr>
        <mc:AlternateContent>
          <mc:Choice Requires="wps">
            <w:drawing>
              <wp:anchor distT="45720" distB="45720" distL="114300" distR="114300" simplePos="0" relativeHeight="253687808" behindDoc="0" locked="0" layoutInCell="1" allowOverlap="1" wp14:anchorId="02F4F4D9" wp14:editId="0062A996">
                <wp:simplePos x="0" y="0"/>
                <wp:positionH relativeFrom="page">
                  <wp:posOffset>93028</wp:posOffset>
                </wp:positionH>
                <wp:positionV relativeFrom="paragraph">
                  <wp:posOffset>956662</wp:posOffset>
                </wp:positionV>
                <wp:extent cx="2219325" cy="3949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325" cy="394970"/>
                        </a:xfrm>
                        <a:prstGeom prst="rect">
                          <a:avLst/>
                        </a:prstGeom>
                        <a:noFill/>
                        <a:ln w="9525">
                          <a:noFill/>
                          <a:miter lim="800000"/>
                          <a:headEnd/>
                          <a:tailEnd/>
                        </a:ln>
                      </wps:spPr>
                      <wps:txbx>
                        <w:txbxContent>
                          <w:p w14:paraId="1D847A4B" w14:textId="77777777" w:rsidR="00777EE0" w:rsidRPr="007B731C" w:rsidRDefault="00777EE0" w:rsidP="001E5882">
                            <w:pPr>
                              <w:rPr>
                                <w:sz w:val="20"/>
                              </w:rPr>
                            </w:pPr>
                            <w:r w:rsidRPr="007B731C">
                              <w:rPr>
                                <w:sz w:val="20"/>
                              </w:rPr>
                              <w:t>Percentage of sample using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F4F4D9" id="_x0000_s1050" type="#_x0000_t202" style="position:absolute;left:0;text-align:left;margin-left:7.35pt;margin-top:75.35pt;width:174.75pt;height:31.1pt;rotation:-90;z-index:25368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MFFgIAAAoEAAAOAAAAZHJzL2Uyb0RvYy54bWysU9tuGyEQfa/Uf0C81+td20m8Mo7SpK4q&#10;pRcp6QdglvWiAkMBe9f9+g6s61jpW1UeEDDD4cw5w+p2MJocpA8KLKPlZEqJtAIaZXeMfn/evLuh&#10;JERuG67BSkaPMtDb9ds3q97VsoIOdCM9QRAb6t4x2sXo6qIIopOGhwk4aTHYgjc84tbvisbzHtGN&#10;Lqrp9KrowTfOg5Ah4OnDGKTrjN+2UsSvbRtkJJpR5Bbz7PO8TXOxXvF657nrlDjR4P/AwnBl8dEz&#10;1AOPnOy9+gvKKOEhQBsnAkwBbauEzDVgNeX0VTVPHXcy14LiBHeWKfw/WPHl8M0T1TBaLSix3KBH&#10;z3KI5D0MpEry9C7UmPXkMC8OeIw251KDewTxIxAL9x23O3nnPfSd5A3SK9PN4uLqiBMSyLb/DA0+&#10;w/cRMtDQekM8oDflFXqKIx+jOAQfQ9eOZ6cSM4GHVVUuZ4mxwNhsOV9eZysLXiewZITzIX6UYEha&#10;MOqxEzIqPzyGmMi9pKR0Cxulde4GbUnP6HKB8K8iRkVsVq0Mozcjz3wh1fzBNnkdudLjGh/Q9iRC&#10;qntUIA7bYZR79kfcLTRHlCULgMXiZ0K+HfhflPTYmIyGn3vuJSX6k0Vpl+V8njo5b+aL6wo3/jKy&#10;vYxwKxCK0UjJuLyPuftTZcHdoQUbleVIXo1MTpyx4bJKp8+ROvpyn7NevvD6NwAAAP//AwBQSwME&#10;FAAGAAgAAAAhABDN2MDeAAAACQEAAA8AAABkcnMvZG93bnJldi54bWxMj0FPg0AUhO8m/ofNM/Fi&#10;7FIq2CBL0zTx4sXY0vvCvgKRfUvYLaX+ep8ne5zMZOabfDPbXkw4+s6RguUiAoFUO9NRo6A8vD+v&#10;QfigyejeESq4oodNcX+X68y4C33htA+N4BLymVbQhjBkUvq6Rav9wg1I7J3caHVgOTbSjPrC5baX&#10;cRSl0uqOeKHVA+5arL/3Z6vg6bQrr8cP9/mTWiyTajLdqgxKPT7M2zcQAefwH4Y/fEaHgpkqdybj&#10;Rc86Wb9wVMErX2I/jqMURKVglaQJyCKXtw+KXwAAAP//AwBQSwECLQAUAAYACAAAACEAtoM4kv4A&#10;AADhAQAAEwAAAAAAAAAAAAAAAAAAAAAAW0NvbnRlbnRfVHlwZXNdLnhtbFBLAQItABQABgAIAAAA&#10;IQA4/SH/1gAAAJQBAAALAAAAAAAAAAAAAAAAAC8BAABfcmVscy8ucmVsc1BLAQItABQABgAIAAAA&#10;IQCUQOMFFgIAAAoEAAAOAAAAAAAAAAAAAAAAAC4CAABkcnMvZTJvRG9jLnhtbFBLAQItABQABgAI&#10;AAAAIQAQzdjA3gAAAAkBAAAPAAAAAAAAAAAAAAAAAHAEAABkcnMvZG93bnJldi54bWxQSwUGAAAA&#10;AAQABADzAAAAewUAAAAA&#10;" filled="f" stroked="f">
                <v:textbox style="mso-fit-shape-to-text:t">
                  <w:txbxContent>
                    <w:p w14:paraId="1D847A4B" w14:textId="77777777" w:rsidR="00777EE0" w:rsidRPr="007B731C" w:rsidRDefault="00777EE0" w:rsidP="001E5882">
                      <w:pPr>
                        <w:rPr>
                          <w:sz w:val="20"/>
                        </w:rPr>
                      </w:pPr>
                      <w:r w:rsidRPr="007B731C">
                        <w:rPr>
                          <w:sz w:val="20"/>
                        </w:rPr>
                        <w:t>Percentage of sample using NPS</w:t>
                      </w:r>
                    </w:p>
                  </w:txbxContent>
                </v:textbox>
                <w10:wrap anchorx="page"/>
              </v:shape>
            </w:pict>
          </mc:Fallback>
        </mc:AlternateContent>
      </w:r>
      <w:r w:rsidR="001E5882" w:rsidRPr="007B731C">
        <w:rPr>
          <w:noProof/>
          <w:lang w:val="en-US" w:eastAsia="en-US"/>
        </w:rPr>
        <mc:AlternateContent>
          <mc:Choice Requires="wps">
            <w:drawing>
              <wp:anchor distT="45720" distB="45720" distL="114300" distR="114300" simplePos="0" relativeHeight="250327040" behindDoc="0" locked="0" layoutInCell="1" allowOverlap="1" wp14:anchorId="2E0C307B" wp14:editId="74D9138B">
                <wp:simplePos x="0" y="0"/>
                <wp:positionH relativeFrom="page">
                  <wp:posOffset>2821556</wp:posOffset>
                </wp:positionH>
                <wp:positionV relativeFrom="paragraph">
                  <wp:posOffset>977417</wp:posOffset>
                </wp:positionV>
                <wp:extent cx="2219325" cy="39497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19325" cy="394970"/>
                        </a:xfrm>
                        <a:prstGeom prst="rect">
                          <a:avLst/>
                        </a:prstGeom>
                        <a:noFill/>
                        <a:ln w="9525">
                          <a:noFill/>
                          <a:miter lim="800000"/>
                          <a:headEnd/>
                          <a:tailEnd/>
                        </a:ln>
                      </wps:spPr>
                      <wps:txbx>
                        <w:txbxContent>
                          <w:p w14:paraId="57E6879D" w14:textId="77777777" w:rsidR="00777EE0" w:rsidRPr="007B731C" w:rsidRDefault="00777EE0" w:rsidP="00A64E15">
                            <w:pPr>
                              <w:rPr>
                                <w:sz w:val="20"/>
                              </w:rPr>
                            </w:pPr>
                            <w:r w:rsidRPr="007B731C">
                              <w:rPr>
                                <w:sz w:val="20"/>
                              </w:rPr>
                              <w:t>Percentage of sample using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C307B" id="_x0000_s1051" type="#_x0000_t202" style="position:absolute;left:0;text-align:left;margin-left:222.15pt;margin-top:76.95pt;width:174.75pt;height:31.1pt;rotation:-90;z-index:250327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S4FwIAAAsEAAAOAAAAZHJzL2Uyb0RvYy54bWysU11v2yAUfZ+0/4B4Xxy7SVtbIVXXLtOk&#10;7kNq9wMIxjEacBmQ2N2v3wVnadS9TeMBAfdyOPecy+pmNJocpA8KLKPlbE6JtAJaZXeMfn/avLum&#10;JERuW67BSkafZaA367dvVoNrZAU96FZ6giA2NINjtI/RNUURRC8NDzNw0mKwA294xK3fFa3nA6Ib&#10;XVTz+WUxgG+dByFDwNP7KUjXGb/rpIhfuy7ISDSjyC3m2ed5m+ZiveLNznPXK3Gkwf+BheHK4qMn&#10;qHseOdl79ReUUcJDgC7OBJgCuk4JmWvAasr5q2oee+5krgXFCe4kU/h/sOLL4ZsnqmW0qmpKLDdo&#10;0pMcI3kPI6mSPoMLDaY9OkyMIx6jz7nW4B5A/AjEwl3P7U7eeg9DL3mL/Mp0szi7OuGEBLIdPkOL&#10;z/B9hAw0dt4QD2hOeYmm4sjHqA7Bx9C255NViZnAw6oq64tqSYnA2EW9qK+ylwVvElhywvkQP0ow&#10;JC0Y9dgKGZUfHkJM5F5SUrqFjdI6t4O2ZGC0XiL8q4hREbtVK8Po9cQzX0g1f7BtXkeu9LTGB7Q9&#10;ipDqnhSI43ac9F78EXcL7TPKkgXAYvE3Id8e/C9KBuxMRsPPPfeSEv3JorR1uVikVs6bxfKqwo0/&#10;j2zPI9wKhGI0UjIt72Ju/1RZcLdowUZlOZJXE5MjZ+y4rNLxd6SWPt/nrJc/vP4NAAD//wMAUEsD&#10;BBQABgAIAAAAIQBM0Yuj3wAAAAoBAAAPAAAAZHJzL2Rvd25yZXYueG1sTI9BT4NAEIXvJv0Pm2ni&#10;xdilbUBElqZp4sWLseJ9YadAZGcJu6XUX+/0pLd5eS9vvpfvZtuLCUffOVKwXkUgkGpnOmoUlJ+v&#10;jykIHzQZ3TtCBVf0sCsWd7nOjLvQB07H0AguIZ9pBW0IQyalr1u02q/cgMTeyY1WB5ZjI82oL1xu&#10;e7mJokRa3RF/aPWAhxbr7+PZKng4Hcrr15t7/0kslnE1mW5bBqXul/P+BUTAOfyF4YbP6FAwU+XO&#10;ZLzoFcRpylsCG9EGBAeS+HZUCrbx8xPIIpf/JxS/AAAA//8DAFBLAQItABQABgAIAAAAIQC2gziS&#10;/gAAAOEBAAATAAAAAAAAAAAAAAAAAAAAAABbQ29udGVudF9UeXBlc10ueG1sUEsBAi0AFAAGAAgA&#10;AAAhADj9If/WAAAAlAEAAAsAAAAAAAAAAAAAAAAALwEAAF9yZWxzLy5yZWxzUEsBAi0AFAAGAAgA&#10;AAAhAJ5QBLgXAgAACwQAAA4AAAAAAAAAAAAAAAAALgIAAGRycy9lMm9Eb2MueG1sUEsBAi0AFAAG&#10;AAgAAAAhAEzRi6PfAAAACgEAAA8AAAAAAAAAAAAAAAAAcQQAAGRycy9kb3ducmV2LnhtbFBLBQYA&#10;AAAABAAEAPMAAAB9BQAAAAA=&#10;" filled="f" stroked="f">
                <v:textbox style="mso-fit-shape-to-text:t">
                  <w:txbxContent>
                    <w:p w14:paraId="57E6879D" w14:textId="77777777" w:rsidR="00777EE0" w:rsidRPr="007B731C" w:rsidRDefault="00777EE0" w:rsidP="00A64E15">
                      <w:pPr>
                        <w:rPr>
                          <w:sz w:val="20"/>
                        </w:rPr>
                      </w:pPr>
                      <w:r w:rsidRPr="007B731C">
                        <w:rPr>
                          <w:sz w:val="20"/>
                        </w:rPr>
                        <w:t>Percentage of sample using NPS</w:t>
                      </w:r>
                    </w:p>
                  </w:txbxContent>
                </v:textbox>
                <w10:wrap anchorx="page"/>
              </v:shape>
            </w:pict>
          </mc:Fallback>
        </mc:AlternateContent>
      </w:r>
    </w:p>
    <w:p w14:paraId="7ABDFD9D" w14:textId="000FE9CF" w:rsidR="001E5882" w:rsidRDefault="001E5882" w:rsidP="00CF182B">
      <w:pPr>
        <w:pStyle w:val="FigureHeading"/>
      </w:pPr>
      <w:bookmarkStart w:id="120" w:name="_Toc9509109"/>
      <w:r w:rsidRPr="00D84AE4">
        <w:t>Figure</w:t>
      </w:r>
      <w:r>
        <w:t xml:space="preserve"> 2-14</w:t>
      </w:r>
      <w:r w:rsidRPr="001E5882">
        <w:t xml:space="preserve"> </w:t>
      </w:r>
      <w:r>
        <w:t>Adults’ lifetime prevalence of NPS use by gender (CSEW)</w:t>
      </w:r>
      <w:bookmarkEnd w:id="120"/>
    </w:p>
    <w:p w14:paraId="62CE2D25" w14:textId="11945125" w:rsidR="001E5882" w:rsidRPr="006207E0" w:rsidRDefault="001E5882" w:rsidP="006207E0">
      <w:pPr>
        <w:spacing w:line="480" w:lineRule="auto"/>
        <w:jc w:val="center"/>
        <w:rPr>
          <w:b/>
        </w:rPr>
      </w:pPr>
      <w:r w:rsidRPr="007B731C">
        <w:rPr>
          <w:noProof/>
          <w:lang w:val="en-US" w:eastAsia="en-US"/>
        </w:rPr>
        <w:drawing>
          <wp:inline distT="0" distB="0" distL="0" distR="0" wp14:anchorId="1D29ECE3" wp14:editId="63283DD3">
            <wp:extent cx="3137836" cy="2790825"/>
            <wp:effectExtent l="0" t="0" r="5715" b="0"/>
            <wp:docPr id="30" name="Chart 30">
              <a:extLst xmlns:a="http://schemas.openxmlformats.org/drawingml/2006/main">
                <a:ext uri="{FF2B5EF4-FFF2-40B4-BE49-F238E27FC236}">
                  <a16:creationId xmlns:a16="http://schemas.microsoft.com/office/drawing/2014/main" id="{011CCA7F-D6FE-4E34-B03F-CD1716963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90ADBF" w14:textId="77777777" w:rsidR="001E5882" w:rsidRDefault="001E5882" w:rsidP="001E5882">
      <w:pPr>
        <w:spacing w:line="480" w:lineRule="auto"/>
        <w:sectPr w:rsidR="001E5882" w:rsidSect="009C6633">
          <w:type w:val="continuous"/>
          <w:pgSz w:w="11900" w:h="16840"/>
          <w:pgMar w:top="1418" w:right="1418" w:bottom="1418" w:left="1418" w:header="709" w:footer="709" w:gutter="0"/>
          <w:cols w:num="2" w:space="708"/>
          <w:docGrid w:linePitch="360"/>
        </w:sectPr>
      </w:pPr>
    </w:p>
    <w:p w14:paraId="6DAE753C" w14:textId="24810D33" w:rsidR="006F43A5" w:rsidRDefault="006F43A5" w:rsidP="001E5882">
      <w:pPr>
        <w:spacing w:line="480" w:lineRule="auto"/>
        <w:sectPr w:rsidR="006F43A5" w:rsidSect="00874B78">
          <w:type w:val="continuous"/>
          <w:pgSz w:w="11900" w:h="16840"/>
          <w:pgMar w:top="1418" w:right="1418" w:bottom="1418" w:left="1418" w:header="709" w:footer="709" w:gutter="0"/>
          <w:cols w:space="708"/>
          <w:docGrid w:linePitch="360"/>
        </w:sectPr>
      </w:pPr>
    </w:p>
    <w:p w14:paraId="0AA4D7FD" w14:textId="2A3092EB" w:rsidR="00A64E15" w:rsidRDefault="00A64E15" w:rsidP="00C92BD2">
      <w:pPr>
        <w:pStyle w:val="Heading3"/>
        <w:numPr>
          <w:ilvl w:val="2"/>
          <w:numId w:val="3"/>
        </w:numPr>
      </w:pPr>
      <w:bookmarkStart w:id="121" w:name="_Toc9182752"/>
      <w:bookmarkStart w:id="122" w:name="_Toc35892521"/>
      <w:r>
        <w:t>Gender and age</w:t>
      </w:r>
      <w:bookmarkEnd w:id="121"/>
      <w:bookmarkEnd w:id="122"/>
    </w:p>
    <w:p w14:paraId="70FEB4F0" w14:textId="7C3308DA" w:rsidR="00A64E15" w:rsidRDefault="00A64E15">
      <w:pPr>
        <w:spacing w:line="480" w:lineRule="auto"/>
      </w:pPr>
      <w:r w:rsidRPr="001332CB">
        <w:t xml:space="preserve">Both the CSEW and NACDA </w:t>
      </w:r>
      <w:r>
        <w:t xml:space="preserve">survey results </w:t>
      </w:r>
      <w:r w:rsidRPr="001332CB">
        <w:t xml:space="preserve">demonstrate a clear pattern of higher use by men than women, a finding supported by other </w:t>
      </w:r>
      <w:r w:rsidRPr="00501DE7">
        <w:t>studies of NPS use (</w:t>
      </w:r>
      <w:r w:rsidR="00CF653D" w:rsidRPr="00501DE7">
        <w:t xml:space="preserve">Barnard et al., 2014; Barratt et al., 2013; Bonar, 2014; </w:t>
      </w:r>
      <w:r w:rsidRPr="00501DE7">
        <w:t xml:space="preserve">Carhart-Harris et al., 2011; </w:t>
      </w:r>
      <w:r w:rsidR="00CF653D" w:rsidRPr="00501DE7">
        <w:t xml:space="preserve">Corazza et al., 2014; </w:t>
      </w:r>
      <w:r w:rsidRPr="00501DE7">
        <w:t xml:space="preserve">Freeman et al., 2012; </w:t>
      </w:r>
      <w:r w:rsidR="00CF653D" w:rsidRPr="00501DE7">
        <w:t>NAW, 2015</w:t>
      </w:r>
      <w:r w:rsidR="00CF653D">
        <w:t xml:space="preserve">; </w:t>
      </w:r>
      <w:r w:rsidR="00CF653D" w:rsidRPr="00501DE7">
        <w:t xml:space="preserve">SALSUS, 2013; </w:t>
      </w:r>
      <w:r w:rsidRPr="00501DE7">
        <w:t xml:space="preserve">Schifano et al., 2012; Vandrey et al., 2012; Van Hout, 2014). According </w:t>
      </w:r>
      <w:r w:rsidRPr="001332CB">
        <w:t xml:space="preserve">to the </w:t>
      </w:r>
      <w:r>
        <w:t>evidence</w:t>
      </w:r>
      <w:r w:rsidR="00394D21">
        <w:t>,</w:t>
      </w:r>
      <w:r w:rsidRPr="001332CB">
        <w:t xml:space="preserve"> men are around twice as likely to use NPS in their lifetime than women (</w:t>
      </w:r>
      <w:r w:rsidR="00D96745">
        <w:t>F</w:t>
      </w:r>
      <w:r w:rsidRPr="001332CB">
        <w:t>igure</w:t>
      </w:r>
      <w:r>
        <w:t xml:space="preserve">s </w:t>
      </w:r>
      <w:r w:rsidR="00907FF2">
        <w:t>2-15</w:t>
      </w:r>
      <w:r>
        <w:t xml:space="preserve"> and </w:t>
      </w:r>
      <w:r w:rsidR="00907FF2">
        <w:t>2-16</w:t>
      </w:r>
      <w:r w:rsidRPr="001332CB">
        <w:t>)</w:t>
      </w:r>
      <w:r>
        <w:t xml:space="preserve">. </w:t>
      </w:r>
    </w:p>
    <w:p w14:paraId="403F2B35" w14:textId="77777777" w:rsidR="006F43A5" w:rsidRDefault="006F43A5" w:rsidP="006F43A5">
      <w:pPr>
        <w:spacing w:line="480" w:lineRule="auto"/>
        <w:sectPr w:rsidR="006F43A5" w:rsidSect="00874B78">
          <w:type w:val="continuous"/>
          <w:pgSz w:w="11900" w:h="16840"/>
          <w:pgMar w:top="1418" w:right="1418" w:bottom="1418" w:left="1418" w:header="709" w:footer="709" w:gutter="0"/>
          <w:cols w:space="708"/>
          <w:docGrid w:linePitch="360"/>
        </w:sectPr>
      </w:pPr>
    </w:p>
    <w:bookmarkStart w:id="123" w:name="_Toc9509110"/>
    <w:p w14:paraId="17699107" w14:textId="4DE48FCB" w:rsidR="006F43A5" w:rsidRPr="006F43A5" w:rsidRDefault="00DE1191" w:rsidP="006F43A5">
      <w:pPr>
        <w:pStyle w:val="FigureHeading"/>
      </w:pPr>
      <w:r w:rsidRPr="00D84AE4">
        <mc:AlternateContent>
          <mc:Choice Requires="wps">
            <w:drawing>
              <wp:anchor distT="45720" distB="45720" distL="114300" distR="114300" simplePos="0" relativeHeight="251287552" behindDoc="0" locked="0" layoutInCell="1" allowOverlap="1" wp14:anchorId="309DBF53" wp14:editId="7E59F610">
                <wp:simplePos x="0" y="0"/>
                <wp:positionH relativeFrom="column">
                  <wp:posOffset>4475714</wp:posOffset>
                </wp:positionH>
                <wp:positionV relativeFrom="paragraph">
                  <wp:posOffset>1646555</wp:posOffset>
                </wp:positionV>
                <wp:extent cx="1228090" cy="23368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3680"/>
                        </a:xfrm>
                        <a:prstGeom prst="rect">
                          <a:avLst/>
                        </a:prstGeom>
                        <a:noFill/>
                        <a:ln w="9525">
                          <a:noFill/>
                          <a:miter lim="800000"/>
                          <a:headEnd/>
                          <a:tailEnd/>
                        </a:ln>
                      </wps:spPr>
                      <wps:txbx>
                        <w:txbxContent>
                          <w:p w14:paraId="5AF3963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4DD7C115"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DBF53" id="_x0000_s1052" type="#_x0000_t202" style="position:absolute;margin-left:352.4pt;margin-top:129.65pt;width:96.7pt;height:18.4pt;z-index:2512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lfDgIAAPwDAAAOAAAAZHJzL2Uyb0RvYy54bWysU11v2yAUfZ+0/4B4X+y4SZdYIVXXrtOk&#10;7kNq9wMIxjEacBmQ2Nmv3wUnWdS+TfMDAl/uufecc1ndDEaTvfRBgWV0OikpkVZAo+yW0R/PD+8W&#10;lITIbcM1WMnoQQZ6s377ZtW7WlbQgW6kJwhiQ907RrsYXV0UQXTS8DABJy0GW/CGRzz6bdF43iO6&#10;0UVVltdFD75xHoQMAf/ej0G6zvhtK0X81rZBRqIZxd5iXn1eN2kt1itebz13nRLHNvg/dGG4slj0&#10;DHXPIyc7r15BGSU8BGjjRIApoG2VkJkDspmWL9g8ddzJzAXFCe4sU/h/sOLr/rsnqmG0KtEqyw2a&#10;9CyHSD7AQKqkT+9CjdeeHF6MA/5GnzPX4B5B/AzEwl3H7Vbeeg99J3mD/U1TZnGROuKEBLLpv0CD&#10;ZfguQgYaWm+SeCgHQXT06XD2JrUiUsmqWpRLDAmMVVdX14tsXsHrU7bzIX6SYEjaMOrR+4zO948h&#10;pm54fbqSill4UFpn/7UlPaPLeTXPCRcRoyKOp1aG0UWZvnFgEsmPtsnJkSs97rGAtkfWiehIOQ6b&#10;YRR4flJzA80BdfAwjiM+H9x04H9T0uMoMhp+7biXlOjPFrVcTmezNLv5MJu/r/DgLyObywi3AqEY&#10;jZSM27uY533kfIuatyrLkcwZOzn2jCOWVTo+hzTDl+d86++jXf8BAAD//wMAUEsDBBQABgAIAAAA&#10;IQAdxouC4AAAAAsBAAAPAAAAZHJzL2Rvd25yZXYueG1sTI/NTsMwEITvSH0Haytxo3ZDW5I0ToVA&#10;XEGUH4mbG2+TqPE6it0mvD3LCY47O5r5pthNrhMXHELrScNyoUAgVd62VGt4f3u6SUGEaMiazhNq&#10;+MYAu3J2VZjc+pFe8bKPteAQCrnR0MTY51KGqkFnwsL3SPw7+sGZyOdQSzuYkcNdJxOlNtKZlrih&#10;MT0+NFid9men4eP5+PW5Ui/1o1v3o5+UJJdJra/n0/0WRMQp/pnhF5/RoWSmgz+TDaLTcKdWjB41&#10;JOvsFgQ70ixNQBxYyTZLkGUh/28ofwAAAP//AwBQSwECLQAUAAYACAAAACEAtoM4kv4AAADhAQAA&#10;EwAAAAAAAAAAAAAAAAAAAAAAW0NvbnRlbnRfVHlwZXNdLnhtbFBLAQItABQABgAIAAAAIQA4/SH/&#10;1gAAAJQBAAALAAAAAAAAAAAAAAAAAC8BAABfcmVscy8ucmVsc1BLAQItABQABgAIAAAAIQC8iSlf&#10;DgIAAPwDAAAOAAAAAAAAAAAAAAAAAC4CAABkcnMvZTJvRG9jLnhtbFBLAQItABQABgAIAAAAIQAd&#10;xouC4AAAAAsBAAAPAAAAAAAAAAAAAAAAAGgEAABkcnMvZG93bnJldi54bWxQSwUGAAAAAAQABADz&#10;AAAAdQUAAAAA&#10;" filled="f" stroked="f">
                <v:textbox>
                  <w:txbxContent>
                    <w:p w14:paraId="5AF3963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4DD7C115" w14:textId="77777777" w:rsidR="00777EE0" w:rsidRPr="00B96922" w:rsidRDefault="00777EE0" w:rsidP="00A64E15">
                      <w:pPr>
                        <w:rPr>
                          <w:b/>
                          <w:sz w:val="20"/>
                          <w:szCs w:val="20"/>
                        </w:rPr>
                      </w:pPr>
                    </w:p>
                  </w:txbxContent>
                </v:textbox>
              </v:shape>
            </w:pict>
          </mc:Fallback>
        </mc:AlternateContent>
      </w:r>
      <w:r w:rsidR="006F43A5">
        <w:drawing>
          <wp:anchor distT="0" distB="0" distL="114300" distR="114300" simplePos="0" relativeHeight="252472320" behindDoc="0" locked="0" layoutInCell="1" allowOverlap="1" wp14:anchorId="6D3C5144" wp14:editId="3A66CEF2">
            <wp:simplePos x="0" y="0"/>
            <wp:positionH relativeFrom="column">
              <wp:posOffset>3810</wp:posOffset>
            </wp:positionH>
            <wp:positionV relativeFrom="paragraph">
              <wp:posOffset>488950</wp:posOffset>
            </wp:positionV>
            <wp:extent cx="4032885" cy="3176270"/>
            <wp:effectExtent l="0" t="0" r="5715" b="5080"/>
            <wp:wrapTopAndBottom/>
            <wp:docPr id="22" name="Chart 22">
              <a:extLst xmlns:a="http://schemas.openxmlformats.org/drawingml/2006/main">
                <a:ext uri="{FF2B5EF4-FFF2-40B4-BE49-F238E27FC236}">
                  <a16:creationId xmlns:a16="http://schemas.microsoft.com/office/drawing/2014/main" id="{F43D2DAB-FA9B-4F5A-AF11-3011A5101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6F43A5" w:rsidRPr="006F43A5">
        <w:t>Figure 2-15. Lifetime and last year prevalence of NPS use by adults and young people in England and Wales</w:t>
      </w:r>
      <w:bookmarkEnd w:id="123"/>
    </w:p>
    <w:p w14:paraId="693A490D" w14:textId="6EE112BF" w:rsidR="006F43A5" w:rsidRDefault="006F43A5" w:rsidP="006F43A5">
      <w:pPr>
        <w:spacing w:line="480" w:lineRule="auto"/>
        <w:jc w:val="center"/>
      </w:pPr>
    </w:p>
    <w:p w14:paraId="0052EDB8" w14:textId="0B7B9E4B" w:rsidR="006F43A5" w:rsidRPr="006F43A5" w:rsidRDefault="006F43A5" w:rsidP="006F43A5">
      <w:pPr>
        <w:pStyle w:val="FigureHeading"/>
      </w:pPr>
      <w:bookmarkStart w:id="124" w:name="_Toc9509111"/>
      <w:r w:rsidRPr="006F43A5">
        <w:t>Figure 2-16. Lifetime prevalence of selected psychoactive substances by young people in England and Wales</w:t>
      </w:r>
      <w:bookmarkEnd w:id="124"/>
    </w:p>
    <w:p w14:paraId="6AC5C0D9" w14:textId="28522899" w:rsidR="00A64E15" w:rsidRDefault="006F43A5" w:rsidP="00DF5C89">
      <w:pPr>
        <w:spacing w:line="480" w:lineRule="auto"/>
      </w:pPr>
      <w:r>
        <w:rPr>
          <w:noProof/>
          <w:lang w:val="en-US" w:eastAsia="en-US"/>
        </w:rPr>
        <w:drawing>
          <wp:anchor distT="0" distB="0" distL="114300" distR="114300" simplePos="0" relativeHeight="252404736" behindDoc="0" locked="0" layoutInCell="1" allowOverlap="1" wp14:anchorId="1DCAEBB4" wp14:editId="53F997CE">
            <wp:simplePos x="0" y="0"/>
            <wp:positionH relativeFrom="column">
              <wp:posOffset>81346</wp:posOffset>
            </wp:positionH>
            <wp:positionV relativeFrom="paragraph">
              <wp:posOffset>99127</wp:posOffset>
            </wp:positionV>
            <wp:extent cx="4446871" cy="3676650"/>
            <wp:effectExtent l="0" t="0" r="0" b="0"/>
            <wp:wrapNone/>
            <wp:docPr id="231" name="Chart 231">
              <a:extLst xmlns:a="http://schemas.openxmlformats.org/drawingml/2006/main">
                <a:ext uri="{FF2B5EF4-FFF2-40B4-BE49-F238E27FC236}">
                  <a16:creationId xmlns:a16="http://schemas.microsoft.com/office/drawing/2014/main" id="{FE2BE419-2779-4A53-973E-FAAC39300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F844303" w14:textId="68EBBD37" w:rsidR="00A64E15" w:rsidRDefault="00A64E15" w:rsidP="00DF5C89">
      <w:pPr>
        <w:spacing w:line="480" w:lineRule="auto"/>
      </w:pPr>
    </w:p>
    <w:p w14:paraId="500B9F6F" w14:textId="64E0C196" w:rsidR="00A64E15" w:rsidRDefault="00DE1191" w:rsidP="00DF5C89">
      <w:pPr>
        <w:spacing w:line="480" w:lineRule="auto"/>
      </w:pPr>
      <w:r w:rsidRPr="00D84AE4">
        <w:rPr>
          <w:noProof/>
          <w:lang w:val="en-US" w:eastAsia="en-US"/>
        </w:rPr>
        <mc:AlternateContent>
          <mc:Choice Requires="wps">
            <w:drawing>
              <wp:anchor distT="45720" distB="45720" distL="114300" distR="114300" simplePos="0" relativeHeight="253556736" behindDoc="0" locked="0" layoutInCell="1" allowOverlap="1" wp14:anchorId="68F34726" wp14:editId="5B1BB05B">
                <wp:simplePos x="0" y="0"/>
                <wp:positionH relativeFrom="column">
                  <wp:posOffset>4531594</wp:posOffset>
                </wp:positionH>
                <wp:positionV relativeFrom="paragraph">
                  <wp:posOffset>216769</wp:posOffset>
                </wp:positionV>
                <wp:extent cx="1228298" cy="234306"/>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492DBDEB"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7ADBBD21"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34726" id="_x0000_s1053" type="#_x0000_t202" style="position:absolute;margin-left:356.8pt;margin-top:17.05pt;width:96.7pt;height:18.45pt;z-index:2535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guDgIAAPwDAAAOAAAAZHJzL2Uyb0RvYy54bWysU11v2yAUfZ+0/4B4X+y4SZtYIVXXrtOk&#10;7kNq9wMIxjEacBmQ2Nmv3wWnabS+VfMDAl/uufece1hdD0aTvfRBgWV0OikpkVZAo+yW0Z9P9x8W&#10;lITIbcM1WMnoQQZ6vX7/btW7WlbQgW6kJwhiQ907RrsYXV0UQXTS8DABJy0GW/CGRzz6bdF43iO6&#10;0UVVlpdFD75xHoQMAf/ejUG6zvhtK0X83rZBRqIZxd5iXn1eN2kt1itebz13nRLHNvgbujBcWSx6&#10;grrjkZOdV6+gjBIeArRxIsAU0LZKyMwB2UzLf9g8dtzJzAXFCe4kU/h/sOLb/ocnqmG0Kq8osdzg&#10;kJ7kEMlHGEiV9OldqPHao8OLccDfOOfMNbgHEL8CsXDbcbuVN95D30neYH/TlFmcpY44IYFs+q/Q&#10;YBm+i5CBhtabJB7KQRAd53Q4zSa1IlLJqlpUS3STwFh1MbsoL3MJXj9nOx/iZwmGpA2jHmef0fn+&#10;IcTUDa+fr6RiFu6V1nn+2pKe0eW8mueEs4hREe2plWF0UaZvNEwi+ck2OTlypcc9FtD2yDoRHSnH&#10;YTOMAueGkyQbaA6og4fRjvh8cNOB/0NJj1ZkNPzecS8p0V8sarmczmbJu/kwm19VePDnkc15hFuB&#10;UIxGSsbtbcx+HznfoOatynK8dHLsGS2WVTo+h+Th83O+9fJo138BAAD//wMAUEsDBBQABgAIAAAA&#10;IQBgQQkL3QAAAAkBAAAPAAAAZHJzL2Rvd25yZXYueG1sTI/LTsMwEEX3SPyDNUjsqB1aWhriVAjE&#10;FkR5SOym8TSJiMdR7Dbh75muYDm6R3fOLTaT79SRhtgGtpDNDCjiKriWawvvb09Xt6BiQnbYBSYL&#10;PxRhU56fFZi7MPIrHbepVlLCMUcLTUp9rnWsGvIYZ6EnlmwfBo9JzqHWbsBRyn2nr41Zao8ty4cG&#10;e3poqPreHryFj+f91+fCvNSP/qYfw2Q0+7W29vJiur8DlWhKfzCc9EUdSnHahQO7qDoLq2y+FNTC&#10;fJGBEmBtVjJud0oM6LLQ/xeUvwAAAP//AwBQSwECLQAUAAYACAAAACEAtoM4kv4AAADhAQAAEwAA&#10;AAAAAAAAAAAAAAAAAAAAW0NvbnRlbnRfVHlwZXNdLnhtbFBLAQItABQABgAIAAAAIQA4/SH/1gAA&#10;AJQBAAALAAAAAAAAAAAAAAAAAC8BAABfcmVscy8ucmVsc1BLAQItABQABgAIAAAAIQBPTnguDgIA&#10;APwDAAAOAAAAAAAAAAAAAAAAAC4CAABkcnMvZTJvRG9jLnhtbFBLAQItABQABgAIAAAAIQBgQQkL&#10;3QAAAAkBAAAPAAAAAAAAAAAAAAAAAGgEAABkcnMvZG93bnJldi54bWxQSwUGAAAAAAQABADzAAAA&#10;cgUAAAAA&#10;" filled="f" stroked="f">
                <v:textbox>
                  <w:txbxContent>
                    <w:p w14:paraId="492DBDEB"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7ADBBD21" w14:textId="77777777" w:rsidR="00777EE0" w:rsidRPr="00B96922" w:rsidRDefault="00777EE0" w:rsidP="00A64E15">
                      <w:pPr>
                        <w:rPr>
                          <w:b/>
                          <w:sz w:val="20"/>
                          <w:szCs w:val="20"/>
                        </w:rPr>
                      </w:pPr>
                    </w:p>
                  </w:txbxContent>
                </v:textbox>
              </v:shape>
            </w:pict>
          </mc:Fallback>
        </mc:AlternateContent>
      </w:r>
    </w:p>
    <w:p w14:paraId="68F03AE4" w14:textId="5B34D369" w:rsidR="00A64E15" w:rsidRDefault="00A64E15" w:rsidP="00DF5C89">
      <w:pPr>
        <w:spacing w:line="480" w:lineRule="auto"/>
      </w:pPr>
    </w:p>
    <w:p w14:paraId="6310274D" w14:textId="4B9627A3" w:rsidR="00A64E15" w:rsidRDefault="00A64E15" w:rsidP="00DF5C89">
      <w:pPr>
        <w:spacing w:line="480" w:lineRule="auto"/>
      </w:pPr>
    </w:p>
    <w:p w14:paraId="65AAE723" w14:textId="53610832" w:rsidR="006F43A5" w:rsidRDefault="006F43A5" w:rsidP="006F43A5">
      <w:pPr>
        <w:spacing w:line="480" w:lineRule="auto"/>
      </w:pPr>
    </w:p>
    <w:p w14:paraId="53DF449D" w14:textId="77777777" w:rsidR="00DE1191" w:rsidRDefault="00DE1191" w:rsidP="006F43A5">
      <w:pPr>
        <w:spacing w:line="480" w:lineRule="auto"/>
      </w:pPr>
    </w:p>
    <w:p w14:paraId="343A44C2" w14:textId="7EE68C82" w:rsidR="006F43A5" w:rsidRDefault="006F43A5" w:rsidP="00DE1191">
      <w:pPr>
        <w:spacing w:line="480" w:lineRule="auto"/>
      </w:pPr>
    </w:p>
    <w:p w14:paraId="6DA94538" w14:textId="11D16810" w:rsidR="00DE1191" w:rsidRDefault="00DE1191" w:rsidP="00DE1191">
      <w:pPr>
        <w:spacing w:line="480" w:lineRule="auto"/>
      </w:pPr>
    </w:p>
    <w:p w14:paraId="7DC09314" w14:textId="6A1FEC75" w:rsidR="00A64E15" w:rsidRDefault="00A64E15" w:rsidP="006F43A5">
      <w:pPr>
        <w:spacing w:line="480" w:lineRule="auto"/>
      </w:pPr>
      <w:r w:rsidRPr="001332CB">
        <w:t xml:space="preserve">Both the CSEW and NACDA surveys found use of NPS to be higher </w:t>
      </w:r>
      <w:r>
        <w:t>among</w:t>
      </w:r>
      <w:r w:rsidRPr="001332CB">
        <w:t xml:space="preserve"> young people than the adult population</w:t>
      </w:r>
      <w:r>
        <w:t xml:space="preserve">, a finding consistent with several other studies of NPS </w:t>
      </w:r>
      <w:r w:rsidRPr="008041B8">
        <w:t xml:space="preserve">(Carhart-Harris et al., 2011; </w:t>
      </w:r>
      <w:r w:rsidR="00CF653D" w:rsidRPr="008041B8">
        <w:t xml:space="preserve">Freeman et al., 2012; </w:t>
      </w:r>
      <w:r w:rsidRPr="008041B8">
        <w:t xml:space="preserve">McElrath, 2011; </w:t>
      </w:r>
      <w:r w:rsidR="00CF653D" w:rsidRPr="008041B8">
        <w:t>NAW, 2015;</w:t>
      </w:r>
      <w:r w:rsidR="00CF653D">
        <w:t xml:space="preserve"> </w:t>
      </w:r>
      <w:r w:rsidRPr="008041B8">
        <w:t xml:space="preserve">Schifano et al., 2012; Van Hout, 2014). </w:t>
      </w:r>
      <w:r>
        <w:t>Y</w:t>
      </w:r>
      <w:r w:rsidRPr="001332CB">
        <w:t>oung people are about twice as likely to use an NPS in their lifetime than adults</w:t>
      </w:r>
      <w:r>
        <w:t xml:space="preserve"> (</w:t>
      </w:r>
      <w:r w:rsidR="00D96745">
        <w:t>F</w:t>
      </w:r>
      <w:r>
        <w:t xml:space="preserve">igure </w:t>
      </w:r>
      <w:r w:rsidR="00907FF2">
        <w:t>2-</w:t>
      </w:r>
      <w:r>
        <w:t>15)</w:t>
      </w:r>
      <w:r w:rsidRPr="001332CB">
        <w:t xml:space="preserve">. </w:t>
      </w:r>
      <w:r>
        <w:t>According to</w:t>
      </w:r>
      <w:r w:rsidRPr="001332CB">
        <w:t xml:space="preserve"> </w:t>
      </w:r>
      <w:r>
        <w:t>the population surveys</w:t>
      </w:r>
      <w:r w:rsidR="00394D21">
        <w:t>,</w:t>
      </w:r>
      <w:r>
        <w:t xml:space="preserve"> the</w:t>
      </w:r>
      <w:r w:rsidRPr="001332CB">
        <w:t xml:space="preserve"> proportion of adults using NPS in their lifetime is in the region of 2-3 %,</w:t>
      </w:r>
      <w:r>
        <w:t xml:space="preserve"> while</w:t>
      </w:r>
      <w:r w:rsidRPr="001332CB">
        <w:t xml:space="preserve"> for young people the proportion appears to be in the region of 4-6 </w:t>
      </w:r>
      <w:r>
        <w:t>%</w:t>
      </w:r>
      <w:r w:rsidRPr="001332CB">
        <w:t xml:space="preserve">. </w:t>
      </w:r>
      <w:r>
        <w:t>In the wider context of drug use in 2017/18</w:t>
      </w:r>
      <w:r w:rsidR="00394D21">
        <w:t>,</w:t>
      </w:r>
      <w:r>
        <w:t xml:space="preserve"> this places NPS prevalence lower than most traditional illicit drugs with the exception of heroin (</w:t>
      </w:r>
      <w:r w:rsidR="00D96745">
        <w:t>F</w:t>
      </w:r>
      <w:r>
        <w:t xml:space="preserve">igure </w:t>
      </w:r>
      <w:r w:rsidR="00907FF2">
        <w:t>2-16</w:t>
      </w:r>
      <w:r>
        <w:t xml:space="preserve">). </w:t>
      </w:r>
    </w:p>
    <w:p w14:paraId="5FD76BDC" w14:textId="752ECBC3" w:rsidR="00A64E15" w:rsidRDefault="00A64E15" w:rsidP="00DF5C89">
      <w:pPr>
        <w:spacing w:line="480" w:lineRule="auto"/>
      </w:pPr>
      <w:r w:rsidRPr="001332CB">
        <w:t xml:space="preserve">Figures for </w:t>
      </w:r>
      <w:r>
        <w:t>last year</w:t>
      </w:r>
      <w:r w:rsidRPr="001332CB">
        <w:t xml:space="preserve"> use also </w:t>
      </w:r>
      <w:r>
        <w:t xml:space="preserve">indicate </w:t>
      </w:r>
      <w:r w:rsidRPr="001332CB">
        <w:t xml:space="preserve">NPS </w:t>
      </w:r>
      <w:r>
        <w:t xml:space="preserve">use </w:t>
      </w:r>
      <w:r w:rsidRPr="001332CB">
        <w:t xml:space="preserve">is concentrated in young </w:t>
      </w:r>
      <w:r>
        <w:t>populations</w:t>
      </w:r>
      <w:r w:rsidRPr="001332CB">
        <w:t xml:space="preserve">, with </w:t>
      </w:r>
      <w:r>
        <w:t>the likelihood of young people using NPS in the last year more than double that</w:t>
      </w:r>
      <w:r w:rsidRPr="001332CB">
        <w:t xml:space="preserve"> of</w:t>
      </w:r>
      <w:r>
        <w:t xml:space="preserve"> </w:t>
      </w:r>
      <w:r w:rsidRPr="001332CB">
        <w:t>adult</w:t>
      </w:r>
      <w:r>
        <w:t>s</w:t>
      </w:r>
      <w:r w:rsidRPr="001332CB">
        <w:t>.</w:t>
      </w:r>
      <w:r>
        <w:t xml:space="preserve"> This patterning of prevalence where lifetime use by young people significantly exceeds that of adults reflects the relatively new status of NPS. Although young people are typically more active drug users, lifetime rates between adults and young people for well-established drugs such as cannabis tend to be more equivalent as reports of use by adults continue to reflect the drug</w:t>
      </w:r>
      <w:r w:rsidR="00394D21">
        <w:t>-</w:t>
      </w:r>
      <w:r>
        <w:t xml:space="preserve">taking of their youth (lifetime prevalence for cannabis age 16-24 = 31% and 16-59 = 30%). </w:t>
      </w:r>
    </w:p>
    <w:p w14:paraId="6651D207" w14:textId="0F61EFD7" w:rsidR="00A64E15" w:rsidRDefault="00394D21" w:rsidP="00DF5C89">
      <w:pPr>
        <w:spacing w:line="480" w:lineRule="auto"/>
      </w:pPr>
      <w:r>
        <w:t>The effect of age on NPS use is probably</w:t>
      </w:r>
      <w:r w:rsidR="00A64E15" w:rsidRPr="001332CB">
        <w:t xml:space="preserve"> greater than that </w:t>
      </w:r>
      <w:r w:rsidR="00A64E15">
        <w:t>indic</w:t>
      </w:r>
      <w:r>
        <w:t>a</w:t>
      </w:r>
      <w:r w:rsidR="00A64E15">
        <w:t>ted</w:t>
      </w:r>
      <w:r w:rsidR="00A64E15" w:rsidRPr="001332CB">
        <w:t xml:space="preserve"> by the CSEW. The CSEW data for adults includes that of young people, so </w:t>
      </w:r>
      <w:r w:rsidR="00A64E15">
        <w:t>reliable</w:t>
      </w:r>
      <w:r w:rsidR="00A64E15" w:rsidRPr="001332CB">
        <w:t xml:space="preserve"> comparisons by age cannot be made using data from this survey. However, the 2014/15 survey by the NACDA does provide a more detailed breakdown of use </w:t>
      </w:r>
      <w:r w:rsidR="00A64E15">
        <w:t>associated with</w:t>
      </w:r>
      <w:r w:rsidR="00A64E15" w:rsidRPr="001332CB">
        <w:t xml:space="preserve"> age group</w:t>
      </w:r>
      <w:r w:rsidR="00A64E15">
        <w:t>s</w:t>
      </w:r>
      <w:r w:rsidR="00A64E15" w:rsidRPr="001332CB">
        <w:t xml:space="preserve">. This shows that lifetime use </w:t>
      </w:r>
      <w:r w:rsidR="00A64E15">
        <w:t xml:space="preserve">of NPS </w:t>
      </w:r>
      <w:r w:rsidR="00A64E15" w:rsidRPr="001332CB">
        <w:t>by young people aged 15-24 is notably higher than adults aged 45 and over</w:t>
      </w:r>
      <w:r w:rsidR="00A64E15">
        <w:t>,</w:t>
      </w:r>
      <w:r w:rsidR="00A64E15" w:rsidRPr="001332CB">
        <w:t xml:space="preserve"> </w:t>
      </w:r>
      <w:r w:rsidR="00A64E15">
        <w:t>although use actually</w:t>
      </w:r>
      <w:r w:rsidR="00A64E15" w:rsidRPr="001332CB">
        <w:t xml:space="preserve"> peak</w:t>
      </w:r>
      <w:r w:rsidR="00A64E15">
        <w:t>s</w:t>
      </w:r>
      <w:r w:rsidR="00A64E15" w:rsidRPr="001332CB">
        <w:t xml:space="preserve"> in the 25-34 age range with relatively high rates also apparent for 35-44</w:t>
      </w:r>
      <w:r>
        <w:t xml:space="preserve"> year-</w:t>
      </w:r>
      <w:r w:rsidR="00A64E15" w:rsidRPr="001332CB">
        <w:t xml:space="preserve">olds. This pattern of use by age group, </w:t>
      </w:r>
      <w:r w:rsidR="00A64E15">
        <w:t xml:space="preserve">with </w:t>
      </w:r>
      <w:r w:rsidR="00A64E15" w:rsidRPr="001332CB">
        <w:t xml:space="preserve">lifetime use </w:t>
      </w:r>
      <w:r w:rsidR="00A64E15">
        <w:t>greater</w:t>
      </w:r>
      <w:r w:rsidR="00A64E15" w:rsidRPr="001332CB">
        <w:t xml:space="preserve"> </w:t>
      </w:r>
      <w:r w:rsidR="00A64E15">
        <w:t xml:space="preserve">for those born in the 1970s and </w:t>
      </w:r>
      <w:r>
        <w:t>’80</w:t>
      </w:r>
      <w:r w:rsidR="00A64E15">
        <w:t>s</w:t>
      </w:r>
      <w:r w:rsidR="00A64E15" w:rsidRPr="001332CB">
        <w:t xml:space="preserve"> is consistent with many popular recreational drugs including cannabis, ecstasy, amphetamines and </w:t>
      </w:r>
      <w:r w:rsidR="00A64E15">
        <w:t>hallucinogens</w:t>
      </w:r>
      <w:r w:rsidR="00A64E15" w:rsidRPr="001332CB">
        <w:t xml:space="preserve"> (NACDA, 2016).  </w:t>
      </w:r>
    </w:p>
    <w:p w14:paraId="6BF34117" w14:textId="3B3AB8E3" w:rsidR="00A64E15" w:rsidRDefault="00A64E15" w:rsidP="00DF5C89">
      <w:pPr>
        <w:spacing w:line="480" w:lineRule="auto"/>
      </w:pPr>
      <w:r w:rsidRPr="001332CB">
        <w:t xml:space="preserve">Further evidence for </w:t>
      </w:r>
      <w:r w:rsidR="00394D21">
        <w:t xml:space="preserve">the </w:t>
      </w:r>
      <w:r w:rsidRPr="001332CB">
        <w:t>prevalence of use by young people is also available from the Flash Eurobarometer (FEB: European Commission, 2011; 2014), a youth attitudes survey that regularly gathers data from EU member states. Until 201</w:t>
      </w:r>
      <w:r>
        <w:t>5</w:t>
      </w:r>
      <w:r w:rsidRPr="001332CB">
        <w:t xml:space="preserve"> the FEB was the primary source of prevalence data on </w:t>
      </w:r>
      <w:r>
        <w:t>l</w:t>
      </w:r>
      <w:r w:rsidRPr="001332CB">
        <w:t xml:space="preserve">egal </w:t>
      </w:r>
      <w:r>
        <w:t>h</w:t>
      </w:r>
      <w:r w:rsidRPr="001332CB">
        <w:t>ighs and is extensively relied upon in Government reports and fact sheets. The FEB found that 10% of young people from the</w:t>
      </w:r>
      <w:r>
        <w:t xml:space="preserve">ir </w:t>
      </w:r>
      <w:r w:rsidRPr="001332CB">
        <w:t xml:space="preserve">UK </w:t>
      </w:r>
      <w:r>
        <w:t xml:space="preserve">sample </w:t>
      </w:r>
      <w:r w:rsidRPr="001332CB">
        <w:t>reported lifetime use of legal highs</w:t>
      </w:r>
      <w:r>
        <w:t xml:space="preserve">, </w:t>
      </w:r>
      <w:r w:rsidRPr="001332CB">
        <w:t xml:space="preserve">the highest proportion found in the 28 European countries </w:t>
      </w:r>
      <w:r>
        <w:t>surveyed</w:t>
      </w:r>
      <w:r w:rsidRPr="001332CB">
        <w:rPr>
          <w:lang w:val="en-US"/>
        </w:rPr>
        <w:t>.</w:t>
      </w:r>
      <w:r w:rsidRPr="001332CB">
        <w:t xml:space="preserve"> </w:t>
      </w:r>
      <w:r>
        <w:t>While</w:t>
      </w:r>
      <w:r w:rsidRPr="001332CB">
        <w:t xml:space="preserve"> lifetime use of </w:t>
      </w:r>
      <w:r>
        <w:t>legal highs</w:t>
      </w:r>
      <w:r w:rsidRPr="001332CB">
        <w:t xml:space="preserve"> in the UK remained stable for the 3 years between the two FEB surveys, overall, prevalence within Europe was seen to rise from 5% to 8%. </w:t>
      </w:r>
    </w:p>
    <w:p w14:paraId="6E14F46E" w14:textId="77777777" w:rsidR="00A64E15" w:rsidRDefault="00A64E15" w:rsidP="00DF5C89">
      <w:pPr>
        <w:spacing w:line="480" w:lineRule="auto"/>
      </w:pPr>
      <w:r>
        <w:t>At 10%, p</w:t>
      </w:r>
      <w:r w:rsidRPr="001332CB">
        <w:t>revalence of lifetime use reported in FEB is</w:t>
      </w:r>
      <w:r>
        <w:t xml:space="preserve"> considerably</w:t>
      </w:r>
      <w:r w:rsidRPr="001332CB">
        <w:t xml:space="preserve"> higher than the 3 </w:t>
      </w:r>
      <w:r>
        <w:t>-</w:t>
      </w:r>
      <w:r w:rsidRPr="001332CB">
        <w:t xml:space="preserve"> 6% range reported by the CSEW and NACDA</w:t>
      </w:r>
      <w:r>
        <w:t xml:space="preserve">. This may reflect differences in sampling methods and inclusion criteria for what was included as a legal high. While the CSEW is a face-to-face survey, the Flash Eurobarometer is a telephone survey. As the UK figures in the FEB are based on a smaller sample than the CSEW, the British crime survey figures are generally considered the more reliable of the two surveys (HM Government, 2018). </w:t>
      </w:r>
    </w:p>
    <w:p w14:paraId="34F22183" w14:textId="6AE4D523" w:rsidR="00A64E15" w:rsidRPr="00665134" w:rsidRDefault="00A64E15" w:rsidP="00DF5C89">
      <w:pPr>
        <w:pStyle w:val="FigureHeading"/>
      </w:pPr>
      <w:bookmarkStart w:id="125" w:name="_Toc9186672"/>
      <w:bookmarkStart w:id="126" w:name="_Toc9509112"/>
      <w:r w:rsidRPr="00665134">
        <w:t xml:space="preserve">Figure </w:t>
      </w:r>
      <w:r w:rsidR="00195751">
        <w:t>2-</w:t>
      </w:r>
      <w:r w:rsidR="00D00FC5">
        <w:t>1</w:t>
      </w:r>
      <w:r w:rsidR="00195751">
        <w:t>7</w:t>
      </w:r>
      <w:r w:rsidRPr="00665134">
        <w:t>. Lifetime use and last year use of NPS for young people aged 16-24 in England and Wales in 2017/18</w:t>
      </w:r>
      <w:bookmarkEnd w:id="125"/>
      <w:bookmarkEnd w:id="126"/>
      <w:r w:rsidRPr="00665134">
        <w:t xml:space="preserve"> </w:t>
      </w:r>
    </w:p>
    <w:p w14:paraId="47FC7AAD" w14:textId="77777777" w:rsidR="00A64E15" w:rsidRDefault="00A64E15" w:rsidP="00DF5C89">
      <w:r w:rsidRPr="00D84AE4">
        <w:rPr>
          <w:noProof/>
          <w:lang w:val="en-US" w:eastAsia="en-US"/>
        </w:rPr>
        <mc:AlternateContent>
          <mc:Choice Requires="wps">
            <w:drawing>
              <wp:anchor distT="45720" distB="45720" distL="114300" distR="114300" simplePos="0" relativeHeight="253206528" behindDoc="0" locked="0" layoutInCell="1" allowOverlap="1" wp14:anchorId="564A4720" wp14:editId="7A978810">
                <wp:simplePos x="0" y="0"/>
                <wp:positionH relativeFrom="column">
                  <wp:posOffset>4523806</wp:posOffset>
                </wp:positionH>
                <wp:positionV relativeFrom="paragraph">
                  <wp:posOffset>3124910</wp:posOffset>
                </wp:positionV>
                <wp:extent cx="1228298" cy="234306"/>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6917266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82A4811"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A4720" id="_x0000_s1054" type="#_x0000_t202" style="position:absolute;margin-left:356.2pt;margin-top:246.05pt;width:96.7pt;height:18.45pt;z-index:2532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wwDwIAAPwDAAAOAAAAZHJzL2Uyb0RvYy54bWysU11v2yAUfZ+0/4B4X+w4SZtYIVXXrtOk&#10;7kNq9wMIxjEacBmQ2N2v7wUnWbS9TfMDAl/uufece1jfDEaTg/RBgWV0OikpkVZAo+yO0e/PD++W&#10;lITIbcM1WMnoiwz0ZvP2zbp3taygA91ITxDEhrp3jHYxurooguik4WECTloMtuANj3j0u6LxvEd0&#10;o4uqLK+KHnzjPAgZAv69H4N0k/HbVor4tW2DjEQzir3FvPq8btNabNa83nnuOiWObfB/6MJwZbHo&#10;GeqeR072Xv0FZZTwEKCNEwGmgLZVQmYOyGZa/sHmqeNOZi4oTnBnmcL/gxVfDt88UQ2jVTWjxHKD&#10;Q3qWQyTvYSBV0qd3ocZrTw4vxgF/45wz1+AeQfwIxMJdx+1O3noPfSd5g/1NU2ZxkTrihASy7T9D&#10;g2X4PkIGGlpvkngoB0F0nNPLeTapFZFKVtWyWqGbBMaq2XxWXuUSvD5lOx/iRwmGpA2jHmef0fnh&#10;McTUDa9PV1IxCw9K6zx/bUnP6GpRLXLCRcSoiPbUyjC6LNM3GiaR/GCbnBy50uMeC2h7ZJ2IjpTj&#10;sB1Gga9Pam6heUEdPIx2xOeDmw78L0p6tCKj4eeee0mJ/mRRy9V0Pk/ezYf54rrCg7+MbC8j3AqE&#10;YjRSMm7vYvb7yPkWNW9VliMNZ+zk2DNaLKt0fA7Jw5fnfOv3o928AgAA//8DAFBLAwQUAAYACAAA&#10;ACEAyF+D/N8AAAALAQAADwAAAGRycy9kb3ducmV2LnhtbEyPwU7DMBBE70j8g7VI3KidKIEmZFMh&#10;EFcQBSpxc+NtEhGvo9htwt9jTvS42qeZN9VmsYM40eR7xwjJSoEgbpzpuUX4eH++WYPwQbPRg2NC&#10;+CEPm/ryotKlcTO/0WkbWhFD2JcaoQthLKX0TUdW+5UbiePv4CarQzynVppJzzHcDjJV6lZa3XNs&#10;6PRIjx0139ujRfh8OXztMvXaPtl8nN2iJNtCIl5fLQ/3IAIt4R+GP/2oDnV02rsjGy8GhLskzSKK&#10;kBVpAiIShcrjmD1CnhYKZF3J8w31LwAAAP//AwBQSwECLQAUAAYACAAAACEAtoM4kv4AAADhAQAA&#10;EwAAAAAAAAAAAAAAAAAAAAAAW0NvbnRlbnRfVHlwZXNdLnhtbFBLAQItABQABgAIAAAAIQA4/SH/&#10;1gAAAJQBAAALAAAAAAAAAAAAAAAAAC8BAABfcmVscy8ucmVsc1BLAQItABQABgAIAAAAIQD4D5ww&#10;DwIAAPwDAAAOAAAAAAAAAAAAAAAAAC4CAABkcnMvZTJvRG9jLnhtbFBLAQItABQABgAIAAAAIQDI&#10;X4P83wAAAAsBAAAPAAAAAAAAAAAAAAAAAGkEAABkcnMvZG93bnJldi54bWxQSwUGAAAAAAQABADz&#10;AAAAdQUAAAAA&#10;" filled="f" stroked="f">
                <v:textbox>
                  <w:txbxContent>
                    <w:p w14:paraId="6917266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82A4811" w14:textId="77777777" w:rsidR="00777EE0" w:rsidRPr="00B96922" w:rsidRDefault="00777EE0" w:rsidP="00A64E15">
                      <w:pPr>
                        <w:rPr>
                          <w:b/>
                          <w:sz w:val="20"/>
                          <w:szCs w:val="20"/>
                        </w:rPr>
                      </w:pPr>
                    </w:p>
                  </w:txbxContent>
                </v:textbox>
              </v:shape>
            </w:pict>
          </mc:Fallback>
        </mc:AlternateContent>
      </w:r>
      <w:r>
        <w:rPr>
          <w:noProof/>
          <w:lang w:val="en-US" w:eastAsia="en-US"/>
        </w:rPr>
        <w:drawing>
          <wp:inline distT="0" distB="0" distL="0" distR="0" wp14:anchorId="224BCE2B" wp14:editId="513100F1">
            <wp:extent cx="5755640" cy="2910205"/>
            <wp:effectExtent l="0" t="0" r="0" b="4445"/>
            <wp:docPr id="230" name="Chart 230">
              <a:extLst xmlns:a="http://schemas.openxmlformats.org/drawingml/2006/main">
                <a:ext uri="{FF2B5EF4-FFF2-40B4-BE49-F238E27FC236}">
                  <a16:creationId xmlns:a16="http://schemas.microsoft.com/office/drawing/2014/main" id="{9FE6DAB8-CA9E-484D-A2B5-A8693FD09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332FB4" w14:textId="77777777" w:rsidR="00907FF2" w:rsidRDefault="00907FF2" w:rsidP="00907FF2">
      <w:pPr>
        <w:spacing w:line="480" w:lineRule="auto"/>
      </w:pPr>
    </w:p>
    <w:p w14:paraId="3BFB21C1" w14:textId="671B97E7" w:rsidR="00A64E15" w:rsidRPr="00F33086" w:rsidRDefault="00A64E15" w:rsidP="00DF5C89">
      <w:pPr>
        <w:spacing w:line="480" w:lineRule="auto"/>
      </w:pPr>
      <w:r>
        <w:t xml:space="preserve">Lifetime use and last year use of NPS by young people aged 16-24 in the four years surveyed by the CSEW are shown in </w:t>
      </w:r>
      <w:r w:rsidR="00D96745">
        <w:t>F</w:t>
      </w:r>
      <w:r>
        <w:t xml:space="preserve">igure </w:t>
      </w:r>
      <w:r w:rsidR="00907FF2">
        <w:t>2-17</w:t>
      </w:r>
      <w:r>
        <w:t xml:space="preserve">. For both genders, in all years, lifetime use was reported to be higher than last year use, a pattern typical for use of psychoactive substances due to the cumulative nature of lifetime measures. Lifetime use is significantly higher in young men than young women, and as with the older age group, young men are about twice as likely to use NPS in their lifetime than women. </w:t>
      </w:r>
      <w:r w:rsidRPr="001332CB">
        <w:t xml:space="preserve">The concentration of NPS use amongst young men is consistent with consumption patterns for </w:t>
      </w:r>
      <w:r>
        <w:t xml:space="preserve">recreational drugs in general </w:t>
      </w:r>
      <w:r w:rsidRPr="001332CB">
        <w:t>(</w:t>
      </w:r>
      <w:r>
        <w:t xml:space="preserve">e.g. </w:t>
      </w:r>
      <w:r w:rsidR="00CF653D">
        <w:t xml:space="preserve">CSEW, 2017; </w:t>
      </w:r>
      <w:r>
        <w:t>EMCDDA, 2018; NACDA, 2014</w:t>
      </w:r>
      <w:r w:rsidRPr="001332CB">
        <w:t xml:space="preserve">). </w:t>
      </w:r>
      <w:r>
        <w:t xml:space="preserve"> Last year use of NPS also shows similar gender differences, although they become less pronounced over time.</w:t>
      </w:r>
    </w:p>
    <w:p w14:paraId="2C4AB9F6" w14:textId="2CC20B44" w:rsidR="00A64E15" w:rsidRPr="00665134" w:rsidRDefault="00A64E15" w:rsidP="00DF5C89">
      <w:pPr>
        <w:pStyle w:val="FigureHeading"/>
      </w:pPr>
      <w:bookmarkStart w:id="127" w:name="_Toc9186673"/>
      <w:bookmarkStart w:id="128" w:name="_Toc9509113"/>
      <w:r w:rsidRPr="00DF5C89">
        <w:rPr>
          <w:rStyle w:val="FigureHeadingChar"/>
        </w:rPr>
        <w:t xml:space="preserve">Figure </w:t>
      </w:r>
      <w:r w:rsidR="00195751">
        <w:rPr>
          <w:rStyle w:val="FigureHeadingChar"/>
          <w:b/>
        </w:rPr>
        <w:t>2-18</w:t>
      </w:r>
      <w:r w:rsidRPr="00DF5C89">
        <w:rPr>
          <w:rStyle w:val="FigureHeadingChar"/>
        </w:rPr>
        <w:t>. Percentage of young people in England and Wales reporting last year use of</w:t>
      </w:r>
      <w:r w:rsidRPr="00665134">
        <w:t xml:space="preserve"> NPS</w:t>
      </w:r>
      <w:bookmarkEnd w:id="127"/>
      <w:bookmarkEnd w:id="128"/>
    </w:p>
    <w:p w14:paraId="49CCEBD5" w14:textId="317A95F2" w:rsidR="00A64E15" w:rsidRDefault="00A64E15" w:rsidP="00A64E15">
      <w:r>
        <w:rPr>
          <w:noProof/>
          <w:lang w:val="en-US" w:eastAsia="en-US"/>
        </w:rPr>
        <w:drawing>
          <wp:inline distT="0" distB="0" distL="0" distR="0" wp14:anchorId="5FFDF5AA" wp14:editId="24DE9FC3">
            <wp:extent cx="6162040" cy="2838616"/>
            <wp:effectExtent l="0" t="0" r="0" b="0"/>
            <wp:docPr id="239" name="Chart 239">
              <a:extLst xmlns:a="http://schemas.openxmlformats.org/drawingml/2006/main">
                <a:ext uri="{FF2B5EF4-FFF2-40B4-BE49-F238E27FC236}">
                  <a16:creationId xmlns:a16="http://schemas.microsoft.com/office/drawing/2014/main" id="{3030D184-B94B-4A53-9866-D9C009C57C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801F92" w14:textId="30A25121" w:rsidR="00A64E15" w:rsidRPr="000464DC" w:rsidRDefault="00A64E15" w:rsidP="000464DC">
      <w:pPr>
        <w:pStyle w:val="Heading3"/>
      </w:pPr>
      <w:bookmarkStart w:id="129" w:name="_Toc9182753"/>
      <w:bookmarkStart w:id="130" w:name="_Toc35892522"/>
      <w:r w:rsidRPr="000464DC">
        <w:t>Trends in use over time</w:t>
      </w:r>
      <w:bookmarkEnd w:id="129"/>
      <w:bookmarkEnd w:id="130"/>
    </w:p>
    <w:p w14:paraId="2F481209" w14:textId="534F6FB3" w:rsidR="00A64E15" w:rsidRDefault="00A64E15" w:rsidP="00DF5C89">
      <w:pPr>
        <w:spacing w:line="480" w:lineRule="auto"/>
      </w:pPr>
      <w:r w:rsidRPr="00501DE7">
        <w:t xml:space="preserve">The reports of last year use in the four years available from the CSEW </w:t>
      </w:r>
      <w:r>
        <w:t xml:space="preserve">potentially </w:t>
      </w:r>
      <w:r w:rsidRPr="00501DE7">
        <w:t>offer the best insight into changes in</w:t>
      </w:r>
      <w:r w:rsidR="00394D21">
        <w:t xml:space="preserve"> the</w:t>
      </w:r>
      <w:r w:rsidRPr="00501DE7">
        <w:t xml:space="preserve"> use of legal highs over time. Based on th</w:t>
      </w:r>
      <w:r>
        <w:t>is</w:t>
      </w:r>
      <w:r w:rsidRPr="00501DE7">
        <w:t xml:space="preserve"> evidence</w:t>
      </w:r>
      <w:r>
        <w:t>,</w:t>
      </w:r>
      <w:r w:rsidRPr="00501DE7">
        <w:t xml:space="preserve"> the prevalence of legal highs use among young people in England and Wales has more than halved </w:t>
      </w:r>
      <w:r>
        <w:t xml:space="preserve">over the four years </w:t>
      </w:r>
      <w:r w:rsidRPr="00501DE7">
        <w:t>survey</w:t>
      </w:r>
      <w:r>
        <w:t xml:space="preserve">ed (54%: see </w:t>
      </w:r>
      <w:r w:rsidR="00D96745">
        <w:t>F</w:t>
      </w:r>
      <w:r>
        <w:t xml:space="preserve">igure </w:t>
      </w:r>
      <w:r w:rsidR="00907FF2">
        <w:t>2-18</w:t>
      </w:r>
      <w:r>
        <w:t>)</w:t>
      </w:r>
      <w:r w:rsidRPr="00501DE7">
        <w:t xml:space="preserve">. This reduction is </w:t>
      </w:r>
      <w:r>
        <w:t>explained</w:t>
      </w:r>
      <w:r w:rsidRPr="00501DE7">
        <w:t xml:space="preserve"> </w:t>
      </w:r>
      <w:r>
        <w:t>by</w:t>
      </w:r>
      <w:r w:rsidRPr="00501DE7">
        <w:t xml:space="preserve"> a significant drop in use by young people between 2015/16 and 2016/17 during which time the PS Act was introduced. In </w:t>
      </w:r>
      <w:r>
        <w:t xml:space="preserve">the year </w:t>
      </w:r>
      <w:r w:rsidR="00394D21">
        <w:t>before</w:t>
      </w:r>
      <w:r>
        <w:t xml:space="preserve"> </w:t>
      </w:r>
      <w:r w:rsidR="00394D21">
        <w:t xml:space="preserve">the </w:t>
      </w:r>
      <w:r>
        <w:t>introduction of the PS Act</w:t>
      </w:r>
      <w:r w:rsidR="00394D21">
        <w:t>,</w:t>
      </w:r>
      <w:r w:rsidRPr="00501DE7">
        <w:t xml:space="preserve"> 2.6% of young people in the sample reported using legal highs, which reduced to 1.2% in </w:t>
      </w:r>
      <w:r>
        <w:t>the year after the ban</w:t>
      </w:r>
      <w:r w:rsidRPr="00501DE7">
        <w:t xml:space="preserve">. This equates to a drop from around 162,000 young people using NPS in England and Wales in 2015/16 to around 77,000 in 2016/17. This reduction was mainly driven by young men, </w:t>
      </w:r>
      <w:r>
        <w:t xml:space="preserve">whose reported use of NPS dropped by nearly three quarters between 2014/15 and 2017/18 </w:t>
      </w:r>
      <w:r w:rsidRPr="00501DE7">
        <w:t>(CSEW, 201</w:t>
      </w:r>
      <w:r>
        <w:t>8</w:t>
      </w:r>
      <w:r w:rsidRPr="00501DE7">
        <w:t xml:space="preserve">). </w:t>
      </w:r>
    </w:p>
    <w:p w14:paraId="7AE8AF9E" w14:textId="3B42BB64" w:rsidR="00A64E15" w:rsidRDefault="00A64E15" w:rsidP="00DF5C89">
      <w:pPr>
        <w:spacing w:line="480" w:lineRule="auto"/>
      </w:pPr>
      <w:r>
        <w:t>In the Government review of the PS Act</w:t>
      </w:r>
      <w:r w:rsidR="00394D21">
        <w:t>,</w:t>
      </w:r>
      <w:r>
        <w:t xml:space="preserve"> this apparent decline in use of NPS is attributed to the implementation of the PS Act and used as evidence that the aims of the PS Act have been achieved (HM Government, 2018). The primary aim of the Act was to prevent the open sales of NPS, which does appear to have been largely achieved by eliminating over the counter sales. The Government also claims there is an overall reduction in NPS use, based on the CSEW survey data and attributes it to the reduction in </w:t>
      </w:r>
      <w:r w:rsidR="00394D21">
        <w:t xml:space="preserve">the </w:t>
      </w:r>
      <w:r>
        <w:t>availability of NPS on the high</w:t>
      </w:r>
      <w:r w:rsidR="00D96745">
        <w:t xml:space="preserve"> </w:t>
      </w:r>
      <w:r>
        <w:t>street and the deterrent effect of the change in legal status brought about by the implementation of the Act.</w:t>
      </w:r>
    </w:p>
    <w:p w14:paraId="4BA6441F" w14:textId="527BAF06" w:rsidR="00A64E15" w:rsidRDefault="00A64E15" w:rsidP="00DF5C89">
      <w:pPr>
        <w:spacing w:line="480" w:lineRule="auto"/>
      </w:pPr>
      <w:r>
        <w:t>However, there is good reason to question whether the apparent drop in NPS use shown by the CSEW is an accurate reflection of actual changes in use, or the result of other factors. For example, looking at young men’s responses to the question on lifetime use of NPS there is a one</w:t>
      </w:r>
      <w:r w:rsidR="00394D21">
        <w:t>-</w:t>
      </w:r>
      <w:r>
        <w:t>third drop in the proportion of respondents who report using NPS at any point in their lifetime between the surveys in 2015/1</w:t>
      </w:r>
      <w:r w:rsidR="00E166AC">
        <w:t xml:space="preserve">6 </w:t>
      </w:r>
      <w:r>
        <w:t xml:space="preserve">and 2016/17 when the ban came into force (see </w:t>
      </w:r>
      <w:r w:rsidR="00D96745">
        <w:t>F</w:t>
      </w:r>
      <w:r>
        <w:t xml:space="preserve">igure </w:t>
      </w:r>
      <w:r w:rsidR="00E166AC">
        <w:t>2-18</w:t>
      </w:r>
      <w:r>
        <w:t>). With an age spread of 16-24 (8 age cohorts), assuming a reliably representative sample from year to year, 87.5% of the population should be notionally the same from one year to the next. It is noted that lifetime use can only remain the same or increase for each age cohort. Even if use of NPS is skewed toward the older ages within the range, it seems improbable that changing 12.5% of the population sample as a result of age range cut</w:t>
      </w:r>
      <w:r w:rsidR="00394D21">
        <w:t>-</w:t>
      </w:r>
      <w:r>
        <w:t xml:space="preserve">offs between years could cause the overall lifetime average of the whole sample to drop by as much as 33% in a single year. </w:t>
      </w:r>
    </w:p>
    <w:p w14:paraId="44903FB0" w14:textId="4DEAA247" w:rsidR="00A64E15" w:rsidRDefault="00A64E15" w:rsidP="00DF5C89">
      <w:pPr>
        <w:spacing w:line="480" w:lineRule="auto"/>
      </w:pPr>
      <w:r>
        <w:t xml:space="preserve">This anomaly suggests the influence of other factors, of which three possibilities can be identified. The first is that the change in legal status conferred by the Act may have reduced respondents’ willingness to reveal </w:t>
      </w:r>
      <w:r w:rsidR="00394D21">
        <w:t xml:space="preserve">the </w:t>
      </w:r>
      <w:r>
        <w:t>use of what have now become illicit substances. Secondly, young people’s interpretation of the survey questions, which continued to use the term ‘legal highs’ even in the 2016/17 and 2017/18 surveys (when the majority of NPS were illegal to supply but legal to use) may have led to confusion about which substances were being addressed by the question. The third, explanation is related to changes in the nature of the questions asked between the surveys used in 2015/16 and 2016/17. In the two years prior to the ban, 2014/15 and 2015/16, the surveys did not ask specifically about NOS and NOS may</w:t>
      </w:r>
      <w:r w:rsidR="00394D21">
        <w:t>, therefore,</w:t>
      </w:r>
      <w:r>
        <w:t xml:space="preserve"> have been assumed by respondents to be within the scope of the question about legal highs, whereas in 2016/17 and 2017/18 use of NOS was specifically requested in a separate question, giving the impression that legal highs did not include NOS. </w:t>
      </w:r>
    </w:p>
    <w:p w14:paraId="6CE82863" w14:textId="77777777" w:rsidR="00A64E15" w:rsidRDefault="00A64E15" w:rsidP="00DF5C89">
      <w:pPr>
        <w:spacing w:line="480" w:lineRule="auto"/>
      </w:pPr>
      <w:r>
        <w:t>Given that prevalence of NOS use is considerably higher than that reported for NPS (last year use of NOS by young men was reported to be 11% in 2016/17 whereas NPS was reported as 1.6%). Therefore, any confusion about whether NOS is included in the category of legal highs could confound survey results for NPS. The risk is that the scale of the reported reduction in NPS use post-ban may be overstated.</w:t>
      </w:r>
      <w:r>
        <w:tab/>
      </w:r>
    </w:p>
    <w:p w14:paraId="21625BEC" w14:textId="2F3B9D47" w:rsidR="00A64E15" w:rsidRPr="000464DC" w:rsidRDefault="00A64E15" w:rsidP="00C92BD2">
      <w:pPr>
        <w:pStyle w:val="Heading3"/>
        <w:numPr>
          <w:ilvl w:val="2"/>
          <w:numId w:val="3"/>
        </w:numPr>
      </w:pPr>
      <w:bookmarkStart w:id="131" w:name="_Toc9182754"/>
      <w:bookmarkStart w:id="132" w:name="_Toc35892523"/>
      <w:r w:rsidRPr="000464DC">
        <w:t>NPS use with the context of illicit drug use</w:t>
      </w:r>
      <w:bookmarkEnd w:id="131"/>
      <w:bookmarkEnd w:id="132"/>
    </w:p>
    <w:p w14:paraId="556D2D3F" w14:textId="7E7F1CEB" w:rsidR="00A64E15" w:rsidRDefault="00A64E15" w:rsidP="00DF5C89">
      <w:pPr>
        <w:spacing w:line="480" w:lineRule="auto"/>
      </w:pPr>
      <w:r>
        <w:t>Use of NPS is set against a backdrop of long-term declines in drug use by young people in the general population. Since the CSEW first included questions on drug use in 1996 lifetime prevalence of drug use by young people has reduced from 48% to 35% (CSEW, 2018). This is in contrast with significant rises for adults aged 16-59, where prevalence in lifetime use of any drug has increased from 30% to 35%. The differing trajectories of older and younger adults reflect an ag</w:t>
      </w:r>
      <w:r w:rsidR="00394D21">
        <w:t>e</w:t>
      </w:r>
      <w:r>
        <w:t xml:space="preserve">ing cohort of people born in the 1970s and </w:t>
      </w:r>
      <w:r w:rsidR="00394D21">
        <w:t>’80</w:t>
      </w:r>
      <w:r>
        <w:t xml:space="preserve">s in which lifetime prevalence of drug use peaks. More recently, during the </w:t>
      </w:r>
      <w:r w:rsidR="00743444">
        <w:t>four</w:t>
      </w:r>
      <w:r w:rsidR="00394D21">
        <w:t xml:space="preserve"> years</w:t>
      </w:r>
      <w:r>
        <w:t xml:space="preserve"> from 2014/15 to 2017/18 prevalence of drug use by those aged 16-59 shows stable prevalence for use of cannabis, but a significant increase in the use of Class A drugs (cocaine, hallucinogens, ecstasy and some amphetamines). For young people aged 16-24, reported use of any drug has appeared to remain stable over the last four years of available data.</w:t>
      </w:r>
    </w:p>
    <w:p w14:paraId="586DB2C9" w14:textId="58CBF68C" w:rsidR="00A64E15" w:rsidRPr="00195751" w:rsidRDefault="00A64E15" w:rsidP="00DF5C89">
      <w:pPr>
        <w:pStyle w:val="FigureHeading"/>
      </w:pPr>
      <w:bookmarkStart w:id="133" w:name="_Toc9186674"/>
      <w:bookmarkStart w:id="134" w:name="_Toc9509114"/>
      <w:r w:rsidRPr="00195751">
        <w:t xml:space="preserve">Figure </w:t>
      </w:r>
      <w:r w:rsidR="00195751">
        <w:t>2-19</w:t>
      </w:r>
      <w:r w:rsidRPr="00195751">
        <w:t>. Last year use of selected psychoactive substances for young people in England and Wales in 2017/18</w:t>
      </w:r>
      <w:bookmarkEnd w:id="133"/>
      <w:bookmarkEnd w:id="134"/>
      <w:r w:rsidRPr="00195751">
        <w:t xml:space="preserve"> </w:t>
      </w:r>
    </w:p>
    <w:p w14:paraId="14D98FF0" w14:textId="0ABC2BD1" w:rsidR="00A64E15" w:rsidRDefault="00A64E15" w:rsidP="00743444">
      <w:pPr>
        <w:spacing w:line="480" w:lineRule="auto"/>
      </w:pPr>
      <w:r w:rsidRPr="00D84AE4">
        <w:rPr>
          <w:noProof/>
          <w:lang w:val="en-US" w:eastAsia="en-US"/>
        </w:rPr>
        <mc:AlternateContent>
          <mc:Choice Requires="wps">
            <w:drawing>
              <wp:anchor distT="45720" distB="45720" distL="114300" distR="114300" simplePos="0" relativeHeight="252151808" behindDoc="0" locked="0" layoutInCell="1" allowOverlap="1" wp14:anchorId="53291AE7" wp14:editId="6AF9FBE3">
                <wp:simplePos x="0" y="0"/>
                <wp:positionH relativeFrom="column">
                  <wp:posOffset>4687364</wp:posOffset>
                </wp:positionH>
                <wp:positionV relativeFrom="paragraph">
                  <wp:posOffset>2756799</wp:posOffset>
                </wp:positionV>
                <wp:extent cx="1228298" cy="234306"/>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491B828D"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F6C34EA"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91AE7" id="_x0000_s1055" type="#_x0000_t202" style="position:absolute;margin-left:369.1pt;margin-top:217.05pt;width:96.7pt;height:18.45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HJDgIAAPwDAAAOAAAAZHJzL2Uyb0RvYy54bWysU9tuGyEQfa/Uf0C817ve2Km9Mo7SpKkq&#10;pRcp6QdglvWiAkMBe9f9+g6s7VrJW1UeEDAzZ+acGVY3g9FkL31QYBmdTkpKpBXQKLtl9Mfzw7sF&#10;JSFy23ANVjJ6kIHerN++WfWulhV0oBvpCYLYUPeO0S5GVxdFEJ00PEzASYvGFrzhEa9+WzSe94hu&#10;dFGV5XXRg2+cByFDwNf70UjXGb9tpYjf2jbISDSjWFvMu8/7Ju3FesXrreeuU+JYBv+HKgxXFpOe&#10;oe555GTn1Ssoo4SHAG2cCDAFtK0SMnNANtPyBZunjjuZuaA4wZ1lCv8PVnzdf/dENYxW5TUllhts&#10;0rMcIvkAA6mSPr0LNbo9OXSMAz5jnzPX4B5B/AzEwl3H7Vbeeg99J3mD9U1TZHEROuKEBLLpv0CD&#10;afguQgYaWm+SeCgHQXTs0+Hcm1SKSCmralEtcZoE2qqr2RWWm1Lw+hTtfIifJBiSDox67H1G5/vH&#10;EEfXk0tKZuFBaY3vvNaW9Iwu59U8B1xYjIo4nloZRhdlWuPAJJIfbZODI1d6PGMt2h5ZJ6Ij5Ths&#10;hlHgxUnNDTQH1MHDOI74ffDQgf9NSY+jyGj4teNeUqI/W9RyOZ3N0uzmy2z+vsKLv7RsLi3cCoRi&#10;NFIyHu9inveR8y1q3qosR2rOWMmxZhyxLOjxO6QZvrxnr7+fdv0HAAD//wMAUEsDBBQABgAIAAAA&#10;IQAUTOlw4AAAAAsBAAAPAAAAZHJzL2Rvd25yZXYueG1sTI9NT8MwDIbvSPyHyEjcWNK17KM0nRCI&#10;K2gDJu2WNV5b0ThVk63l32NOcLT96PXzFpvJdeKCQ2g9aUhmCgRS5W1LtYaP95e7FYgQDVnTeUIN&#10;3xhgU15fFSa3fqQtXnaxFhxCITcamhj7XMpQNehMmPkeiW8nPzgTeRxqaQczcrjr5FyphXSmJf7Q&#10;mB6fGqy+dmen4fP1dNhn6q1+dvf96Cclya2l1rc30+MDiIhT/IPhV5/VoWSnoz+TDaLTsExXc0Y1&#10;ZGmWgGBinSYLEEfeLBMFsizk/w7lDwAAAP//AwBQSwECLQAUAAYACAAAACEAtoM4kv4AAADhAQAA&#10;EwAAAAAAAAAAAAAAAAAAAAAAW0NvbnRlbnRfVHlwZXNdLnhtbFBLAQItABQABgAIAAAAIQA4/SH/&#10;1gAAAJQBAAALAAAAAAAAAAAAAAAAAC8BAABfcmVscy8ucmVsc1BLAQItABQABgAIAAAAIQAKpvHJ&#10;DgIAAPwDAAAOAAAAAAAAAAAAAAAAAC4CAABkcnMvZTJvRG9jLnhtbFBLAQItABQABgAIAAAAIQAU&#10;TOlw4AAAAAsBAAAPAAAAAAAAAAAAAAAAAGgEAABkcnMvZG93bnJldi54bWxQSwUGAAAAAAQABADz&#10;AAAAdQUAAAAA&#10;" filled="f" stroked="f">
                <v:textbox>
                  <w:txbxContent>
                    <w:p w14:paraId="491B828D"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3F6C34EA" w14:textId="77777777" w:rsidR="00777EE0" w:rsidRPr="00B96922" w:rsidRDefault="00777EE0" w:rsidP="00A64E15">
                      <w:pPr>
                        <w:rPr>
                          <w:b/>
                          <w:sz w:val="20"/>
                          <w:szCs w:val="20"/>
                        </w:rPr>
                      </w:pPr>
                    </w:p>
                  </w:txbxContent>
                </v:textbox>
              </v:shape>
            </w:pict>
          </mc:Fallback>
        </mc:AlternateContent>
      </w:r>
      <w:r>
        <w:rPr>
          <w:noProof/>
          <w:lang w:val="en-US" w:eastAsia="en-US"/>
        </w:rPr>
        <w:drawing>
          <wp:inline distT="0" distB="0" distL="0" distR="0" wp14:anchorId="134129DB" wp14:editId="45EF69BC">
            <wp:extent cx="5755640" cy="3507489"/>
            <wp:effectExtent l="0" t="0" r="0" b="0"/>
            <wp:docPr id="235" name="Chart 235">
              <a:extLst xmlns:a="http://schemas.openxmlformats.org/drawingml/2006/main">
                <a:ext uri="{FF2B5EF4-FFF2-40B4-BE49-F238E27FC236}">
                  <a16:creationId xmlns:a16="http://schemas.microsoft.com/office/drawing/2014/main" id="{35947D29-3E5F-4FC5-A539-8C050ED41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Viewing the change in use of NPS alongside trends in use for other recreational psychoactive substances indicates that use of NPS may have been displaced onto other substances (</w:t>
      </w:r>
      <w:r w:rsidR="00E166AC">
        <w:t>F</w:t>
      </w:r>
      <w:r>
        <w:t xml:space="preserve">igure </w:t>
      </w:r>
      <w:r w:rsidR="00907FF2">
        <w:t>2-19</w:t>
      </w:r>
      <w:r>
        <w:t xml:space="preserve">). Following </w:t>
      </w:r>
      <w:r w:rsidR="00394D21">
        <w:t xml:space="preserve">the </w:t>
      </w:r>
      <w:r>
        <w:t>introduction of the PS Act, last year prevalences of cannabis, psychedelics, cocaine, ketamine, and amphetamines have increased. For some, increases are modest (cannabis 6% and psychedelics 7%) while others are more substantial (Ecstasy 13%, Ketamine 23%, amphetamines 36% and cocaine 36%). Although the CSEW is unable to capture individual</w:t>
      </w:r>
      <w:r w:rsidR="00394D21">
        <w:t>-</w:t>
      </w:r>
      <w:r>
        <w:t>level displacement between substances and therefore changes between substances cannot be causally linked, qualitative studies point towards displacement from NPS onto other drugs (</w:t>
      </w:r>
      <w:r w:rsidR="00CF653D">
        <w:t xml:space="preserve">Addaction, 2017; </w:t>
      </w:r>
      <w:r>
        <w:t xml:space="preserve">DrugWise, 2017; Ralphs, Gray </w:t>
      </w:r>
      <w:r w:rsidR="006E065C">
        <w:t>&amp;</w:t>
      </w:r>
      <w:r>
        <w:t xml:space="preserve"> Norton, 2017). According to drug workers and users reported in the DrugWise review of the UK drugs scene, many users of NPS have reverted to the same substances they were using before NPS, however, they also note that some young users of NPS without experience of traditional illicit drugs are now initiating use of traditional stimulants and opioids (DrugWise, 2017).    </w:t>
      </w:r>
    </w:p>
    <w:p w14:paraId="7973B6FC" w14:textId="7ADA14E2" w:rsidR="00A64E15" w:rsidRPr="000464DC" w:rsidRDefault="00A64E15" w:rsidP="000464DC">
      <w:pPr>
        <w:pStyle w:val="Heading3"/>
      </w:pPr>
      <w:bookmarkStart w:id="135" w:name="_Toc9182755"/>
      <w:bookmarkStart w:id="136" w:name="_Toc35892524"/>
      <w:r w:rsidRPr="000464DC">
        <w:t>Use of NPS in subgroups</w:t>
      </w:r>
      <w:bookmarkEnd w:id="135"/>
      <w:bookmarkEnd w:id="136"/>
    </w:p>
    <w:p w14:paraId="673FE8B7" w14:textId="6FE99E41" w:rsidR="00A64E15" w:rsidRPr="003D598D" w:rsidRDefault="00A64E15" w:rsidP="00DF5C89">
      <w:pPr>
        <w:spacing w:line="480" w:lineRule="auto"/>
      </w:pPr>
      <w:r w:rsidRPr="003D598D">
        <w:t xml:space="preserve">Evidence indicates that use of NPS may be relatively high in specific subgroups, including hard to reach groups systematically underrepresented in household surveys. While young people are often presented as an at-risk group alongside other subgroups thought to be at-risk, these groupings are not mutually exclusive as the </w:t>
      </w:r>
      <w:r>
        <w:t xml:space="preserve">other </w:t>
      </w:r>
      <w:r w:rsidRPr="003D598D">
        <w:t>at-risk groups include a proportion of young peopl</w:t>
      </w:r>
      <w:r>
        <w:t xml:space="preserve">e. </w:t>
      </w:r>
      <w:r w:rsidRPr="003D598D">
        <w:t xml:space="preserve">Drawing on the conclusions of other authors and evidence from studies, several different types of NPS user </w:t>
      </w:r>
      <w:r>
        <w:t>emerge within the literature</w:t>
      </w:r>
      <w:r w:rsidRPr="00DA351C">
        <w:t xml:space="preserve"> </w:t>
      </w:r>
      <w:r w:rsidRPr="003D598D">
        <w:t xml:space="preserve">in addition to non-users contemplating </w:t>
      </w:r>
      <w:r w:rsidR="00394D21">
        <w:t xml:space="preserve">the </w:t>
      </w:r>
      <w:r w:rsidRPr="003D598D">
        <w:t xml:space="preserve">use of NPS, and suspected hidden populations about which little data exists. </w:t>
      </w:r>
      <w:r>
        <w:t xml:space="preserve">The use of NPS fits broadly into three categories: naïve use, recreational use and </w:t>
      </w:r>
      <w:r w:rsidR="00743444">
        <w:t>dependent</w:t>
      </w:r>
      <w:r>
        <w:t xml:space="preserve"> use. Users associated with e</w:t>
      </w:r>
      <w:r w:rsidRPr="003D598D">
        <w:t xml:space="preserve">ach of these </w:t>
      </w:r>
      <w:r>
        <w:t>types of use</w:t>
      </w:r>
      <w:r w:rsidRPr="003D598D">
        <w:t xml:space="preserve"> can be expected to</w:t>
      </w:r>
      <w:r>
        <w:t xml:space="preserve"> interact differently with NPS</w:t>
      </w:r>
      <w:r w:rsidRPr="003D598D">
        <w:t xml:space="preserve"> and </w:t>
      </w:r>
      <w:r>
        <w:t>potentially have different motives and reasons</w:t>
      </w:r>
      <w:r w:rsidRPr="003D598D">
        <w:t xml:space="preserve"> for use. If we are to inform effective interventions it is vital to understand how reasons for use may converge or differ, and, most importantly, whether approaches that target one group are likely to inadvertently have a negative impact on another group. For example, politicians and researchers often express concern that exposing young people with limited experience of drugs to harm-reduction information aimed at experienced drug users may inadvertently encourage drug use</w:t>
      </w:r>
      <w:r>
        <w:t xml:space="preserve"> (NICE, 2007)</w:t>
      </w:r>
      <w:r w:rsidRPr="003D598D">
        <w:t xml:space="preserve">. </w:t>
      </w:r>
    </w:p>
    <w:p w14:paraId="19CFA866" w14:textId="531F7BDE" w:rsidR="00A64E15" w:rsidRPr="000464DC" w:rsidRDefault="00A64E15" w:rsidP="00C92BD2">
      <w:pPr>
        <w:pStyle w:val="Heading3"/>
        <w:numPr>
          <w:ilvl w:val="2"/>
          <w:numId w:val="3"/>
        </w:numPr>
      </w:pPr>
      <w:bookmarkStart w:id="137" w:name="_Toc9182756"/>
      <w:bookmarkStart w:id="138" w:name="_Toc35892525"/>
      <w:r w:rsidRPr="000464DC">
        <w:t>Naïve use</w:t>
      </w:r>
      <w:bookmarkEnd w:id="137"/>
      <w:bookmarkEnd w:id="138"/>
    </w:p>
    <w:p w14:paraId="4E7C0474" w14:textId="3915800C" w:rsidR="00A64E15" w:rsidRPr="00EB4D4D" w:rsidRDefault="00A64E15" w:rsidP="00DF5C89">
      <w:pPr>
        <w:spacing w:line="480" w:lineRule="auto"/>
      </w:pPr>
      <w:r w:rsidRPr="00EB4D4D">
        <w:t xml:space="preserve">Naïve use characterises NPS users without a history of illicit drug use. </w:t>
      </w:r>
      <w:r w:rsidRPr="002666BC">
        <w:t>Even if the numbers of drug-naïve NPS users are relatively small, such users are likely to be particularly vulnerable to acute drug harms</w:t>
      </w:r>
      <w:r w:rsidRPr="00AE18A3">
        <w:t xml:space="preserve"> (NAW, 2015).</w:t>
      </w:r>
      <w:r w:rsidRPr="00EB4D4D">
        <w:t xml:space="preserve"> Evidence is unclear as </w:t>
      </w:r>
      <w:r w:rsidRPr="002666BC">
        <w:t>to whether the NPS market has attracted new drug-naïve populations</w:t>
      </w:r>
      <w:r>
        <w:t>’</w:t>
      </w:r>
      <w:r w:rsidRPr="002666BC">
        <w:t>,</w:t>
      </w:r>
      <w:r>
        <w:t xml:space="preserve"> </w:t>
      </w:r>
      <w:r w:rsidRPr="002666BC">
        <w:t>but several sources indicate that NPS may be a particular problem with very young users</w:t>
      </w:r>
      <w:r>
        <w:t xml:space="preserve"> (</w:t>
      </w:r>
      <w:r w:rsidR="00CF653D" w:rsidRPr="002666BC">
        <w:rPr>
          <w:rStyle w:val="Heading3Char"/>
          <w:b w:val="0"/>
          <w:color w:val="auto"/>
        </w:rPr>
        <w:t>Barnard et al., YPBAS, 2010;</w:t>
      </w:r>
      <w:r w:rsidR="005F70CB">
        <w:rPr>
          <w:rStyle w:val="Heading3Char"/>
          <w:b w:val="0"/>
          <w:color w:val="auto"/>
        </w:rPr>
        <w:t xml:space="preserve"> </w:t>
      </w:r>
      <w:r w:rsidR="00CF653D" w:rsidRPr="00A754DA">
        <w:t>Dargan, et. al., 2010</w:t>
      </w:r>
      <w:r w:rsidR="00CF653D">
        <w:t xml:space="preserve">; </w:t>
      </w:r>
      <w:r w:rsidR="005F70CB" w:rsidRPr="002666BC">
        <w:rPr>
          <w:rStyle w:val="Heading3Char"/>
          <w:b w:val="0"/>
          <w:color w:val="auto"/>
        </w:rPr>
        <w:t>HSCIC, 2014</w:t>
      </w:r>
      <w:r w:rsidR="005F70CB">
        <w:rPr>
          <w:rStyle w:val="Heading3Char"/>
          <w:b w:val="0"/>
          <w:color w:val="auto"/>
        </w:rPr>
        <w:t xml:space="preserve">; </w:t>
      </w:r>
      <w:r>
        <w:t>Winstock et. al., 2010</w:t>
      </w:r>
      <w:r w:rsidRPr="00A754DA">
        <w:t>)</w:t>
      </w:r>
      <w:r>
        <w:t xml:space="preserve"> and people not typically associated with drug use (NAW, 2015).</w:t>
      </w:r>
      <w:r w:rsidRPr="00EB4D4D">
        <w:t xml:space="preserve"> </w:t>
      </w:r>
      <w:r w:rsidRPr="00B10CC6">
        <w:t xml:space="preserve">According to the young people taking part in the National Assembly of Wales’ focus group ‘members of their peer group who they would not normally associate with drug-taking were being drawn to NPS’ and they consistently emphasised how little is known about the profile of those using NPS while many witnesses alluded to </w:t>
      </w:r>
      <w:r w:rsidR="006425BA">
        <w:t>‘</w:t>
      </w:r>
      <w:r w:rsidRPr="00B10CC6">
        <w:t>hidden populations</w:t>
      </w:r>
      <w:r w:rsidR="006425BA">
        <w:t>’</w:t>
      </w:r>
      <w:r w:rsidRPr="00B10CC6">
        <w:t xml:space="preserve"> of users throughout the course of the inquiry (National Assembly of Wales, 2015). The difficulty of identifying and accessing hidden populations of NPS users is acknowledged in a number of studies (</w:t>
      </w:r>
      <w:r w:rsidR="005F70CB" w:rsidRPr="00B10CC6">
        <w:t>CSEW, 2011</w:t>
      </w:r>
      <w:r w:rsidR="005F70CB">
        <w:t xml:space="preserve">; </w:t>
      </w:r>
      <w:r w:rsidRPr="00B10CC6">
        <w:t>Kellerher et al</w:t>
      </w:r>
      <w:r w:rsidR="004C4795">
        <w:t>.,</w:t>
      </w:r>
      <w:r w:rsidRPr="00B10CC6">
        <w:t xml:space="preserve"> 2011; NAW, 2015), but until a substance increases in popularity and emerges into established drug use networks research may have little to go on. </w:t>
      </w:r>
    </w:p>
    <w:p w14:paraId="06C3C736" w14:textId="2B0E44D3" w:rsidR="00A64E15" w:rsidRDefault="00A64E15" w:rsidP="00DF5C89">
      <w:pPr>
        <w:spacing w:line="480" w:lineRule="auto"/>
        <w:rPr>
          <w:rStyle w:val="Heading3Char"/>
          <w:b w:val="0"/>
          <w:color w:val="auto"/>
        </w:rPr>
      </w:pPr>
      <w:r>
        <w:t>Stu</w:t>
      </w:r>
      <w:r w:rsidRPr="00A754DA">
        <w:rPr>
          <w:rStyle w:val="Heading3Char"/>
          <w:b w:val="0"/>
          <w:color w:val="auto"/>
        </w:rPr>
        <w:t xml:space="preserve">dies </w:t>
      </w:r>
      <w:r w:rsidRPr="002666BC">
        <w:rPr>
          <w:rStyle w:val="Heading3Char"/>
          <w:b w:val="0"/>
          <w:color w:val="auto"/>
        </w:rPr>
        <w:t>have reported users as young as 10 and 11 years old</w:t>
      </w:r>
      <w:r>
        <w:rPr>
          <w:rStyle w:val="Heading3Char"/>
          <w:b w:val="0"/>
          <w:color w:val="auto"/>
        </w:rPr>
        <w:t xml:space="preserve"> but noted that </w:t>
      </w:r>
      <w:r w:rsidRPr="002666BC">
        <w:rPr>
          <w:rStyle w:val="Heading3Char"/>
          <w:b w:val="0"/>
          <w:color w:val="auto"/>
        </w:rPr>
        <w:t>use at these ages does not appear to be common</w:t>
      </w:r>
      <w:r>
        <w:rPr>
          <w:rStyle w:val="Heading3Char"/>
          <w:b w:val="0"/>
          <w:color w:val="auto"/>
        </w:rPr>
        <w:t xml:space="preserve"> </w:t>
      </w:r>
      <w:r w:rsidRPr="002666BC">
        <w:rPr>
          <w:rStyle w:val="Heading3Char"/>
          <w:b w:val="0"/>
          <w:color w:val="auto"/>
        </w:rPr>
        <w:t>(e.g.</w:t>
      </w:r>
      <w:r>
        <w:rPr>
          <w:rStyle w:val="Heading3Char"/>
          <w:b w:val="0"/>
          <w:color w:val="auto"/>
        </w:rPr>
        <w:t>,</w:t>
      </w:r>
      <w:r w:rsidRPr="002666BC">
        <w:rPr>
          <w:rStyle w:val="Heading3Char"/>
          <w:b w:val="0"/>
          <w:color w:val="auto"/>
        </w:rPr>
        <w:t xml:space="preserve"> Barnard et al.,</w:t>
      </w:r>
      <w:r w:rsidR="00DF5C89">
        <w:rPr>
          <w:rStyle w:val="Heading3Char"/>
          <w:b w:val="0"/>
          <w:color w:val="auto"/>
        </w:rPr>
        <w:t xml:space="preserve"> 2014;</w:t>
      </w:r>
      <w:r w:rsidRPr="002666BC">
        <w:rPr>
          <w:rStyle w:val="Heading3Char"/>
          <w:b w:val="0"/>
          <w:color w:val="auto"/>
        </w:rPr>
        <w:t xml:space="preserve"> YPBAS, 2010; HSCIC, 2014)</w:t>
      </w:r>
      <w:r>
        <w:rPr>
          <w:rStyle w:val="Heading3Char"/>
          <w:b w:val="0"/>
          <w:color w:val="auto"/>
        </w:rPr>
        <w:t xml:space="preserve">. </w:t>
      </w:r>
      <w:r w:rsidRPr="002666BC">
        <w:rPr>
          <w:rStyle w:val="Heading3Char"/>
          <w:b w:val="0"/>
          <w:color w:val="auto"/>
        </w:rPr>
        <w:t>Some authors have suggested there may be a link between Headshops and young users (</w:t>
      </w:r>
      <w:r w:rsidR="005F70CB" w:rsidRPr="002666BC">
        <w:rPr>
          <w:rStyle w:val="Heading3Char"/>
          <w:b w:val="0"/>
          <w:color w:val="auto"/>
        </w:rPr>
        <w:t>Measham, 2010</w:t>
      </w:r>
      <w:r w:rsidR="005F70CB">
        <w:rPr>
          <w:rStyle w:val="Heading3Char"/>
          <w:b w:val="0"/>
          <w:color w:val="auto"/>
        </w:rPr>
        <w:t xml:space="preserve">; </w:t>
      </w:r>
      <w:r w:rsidRPr="002666BC">
        <w:rPr>
          <w:rStyle w:val="Heading3Char"/>
          <w:b w:val="0"/>
          <w:color w:val="auto"/>
        </w:rPr>
        <w:t>NAW, 2015;)</w:t>
      </w:r>
      <w:r>
        <w:rPr>
          <w:rStyle w:val="Heading3Char"/>
          <w:b w:val="0"/>
          <w:color w:val="auto"/>
        </w:rPr>
        <w:t xml:space="preserve"> and the </w:t>
      </w:r>
      <w:r w:rsidRPr="002666BC">
        <w:rPr>
          <w:rStyle w:val="Heading3Char"/>
          <w:b w:val="0"/>
          <w:color w:val="auto"/>
        </w:rPr>
        <w:t xml:space="preserve">Flash Eurobarometer (2014) found that it was the youngest users who were most likely to buy NPS </w:t>
      </w:r>
      <w:r>
        <w:rPr>
          <w:rStyle w:val="Heading3Char"/>
          <w:b w:val="0"/>
          <w:color w:val="auto"/>
        </w:rPr>
        <w:t>from a shop.</w:t>
      </w:r>
    </w:p>
    <w:p w14:paraId="3EC3993F" w14:textId="6034617F" w:rsidR="001113B2" w:rsidRPr="009A2152" w:rsidRDefault="001113B2" w:rsidP="001113B2">
      <w:pPr>
        <w:spacing w:line="480" w:lineRule="auto"/>
      </w:pPr>
      <w:r w:rsidRPr="009A2152">
        <w:t>Although no studies have focused on very young users in</w:t>
      </w:r>
      <w:r w:rsidR="00394D21">
        <w:t>-</w:t>
      </w:r>
      <w:r w:rsidRPr="009A2152">
        <w:t xml:space="preserve">depth, several schools surveyed in the UK have included questions on NPS use prior to </w:t>
      </w:r>
      <w:r w:rsidR="00394D21">
        <w:t xml:space="preserve">the </w:t>
      </w:r>
      <w:r w:rsidRPr="009A2152">
        <w:t xml:space="preserve">introduction of the PS Act. Prevalence of lifetime use reported in these studies range from 0% to 5%. The lowest rates were reported for younger children aged 11 and 13, while higher rates of use were reported for older children aged 15 and 16 (see Table </w:t>
      </w:r>
      <w:r w:rsidR="00907FF2">
        <w:t>2-</w:t>
      </w:r>
      <w:r w:rsidRPr="009A2152">
        <w:t xml:space="preserve">2). With prevalence rates for older children around 4-5%, they are a similar order of magnitude to estimates of prevalence for young people sampled by the CSEW at a similar time (6%). By this age children may also be using illicit drugs, but it remains unknown whether NPS encourages earlier initiation of traditional drug use.  </w:t>
      </w:r>
    </w:p>
    <w:p w14:paraId="5AEF420D" w14:textId="3DD9637C" w:rsidR="00A64E15" w:rsidRPr="000427F1" w:rsidRDefault="00A64E15" w:rsidP="00D00FC5">
      <w:pPr>
        <w:pStyle w:val="TableHeader"/>
        <w:rPr>
          <w:b/>
        </w:rPr>
      </w:pPr>
      <w:bookmarkStart w:id="139" w:name="_Toc9242865"/>
      <w:bookmarkStart w:id="140" w:name="_Toc9509029"/>
      <w:r w:rsidRPr="000427F1">
        <w:rPr>
          <w:b/>
        </w:rPr>
        <w:t xml:space="preserve">Table </w:t>
      </w:r>
      <w:r w:rsidR="00195751" w:rsidRPr="000427F1">
        <w:rPr>
          <w:b/>
        </w:rPr>
        <w:t>2-</w:t>
      </w:r>
      <w:r w:rsidRPr="000427F1">
        <w:rPr>
          <w:b/>
        </w:rPr>
        <w:t>2:  Prevalence rates for use of NPS by school pupils</w:t>
      </w:r>
      <w:bookmarkEnd w:id="139"/>
      <w:bookmarkEnd w:id="140"/>
      <w:r w:rsidRPr="000427F1">
        <w:rPr>
          <w:b/>
        </w:rPr>
        <w:t xml:space="preserve"> </w:t>
      </w:r>
    </w:p>
    <w:tbl>
      <w:tblPr>
        <w:tblStyle w:val="TableGrid"/>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134"/>
        <w:gridCol w:w="851"/>
        <w:gridCol w:w="850"/>
        <w:gridCol w:w="1276"/>
        <w:gridCol w:w="1417"/>
      </w:tblGrid>
      <w:tr w:rsidR="00A64E15" w:rsidRPr="000427F1" w14:paraId="452781B1" w14:textId="77777777" w:rsidTr="00167B78">
        <w:trPr>
          <w:trHeight w:val="258"/>
        </w:trPr>
        <w:tc>
          <w:tcPr>
            <w:tcW w:w="1951" w:type="dxa"/>
            <w:tcBorders>
              <w:top w:val="single" w:sz="4" w:space="0" w:color="auto"/>
              <w:bottom w:val="single" w:sz="4" w:space="0" w:color="auto"/>
            </w:tcBorders>
            <w:vAlign w:val="center"/>
          </w:tcPr>
          <w:p w14:paraId="6D89C401" w14:textId="6C77F569" w:rsidR="00A64E15" w:rsidRPr="00167B78" w:rsidRDefault="00A64E15" w:rsidP="00167B78">
            <w:pPr>
              <w:spacing w:before="120" w:line="360" w:lineRule="auto"/>
              <w:rPr>
                <w:b/>
              </w:rPr>
            </w:pPr>
            <w:r w:rsidRPr="000427F1">
              <w:rPr>
                <w:b/>
              </w:rPr>
              <w:t>Authors</w:t>
            </w:r>
          </w:p>
        </w:tc>
        <w:tc>
          <w:tcPr>
            <w:tcW w:w="1134" w:type="dxa"/>
            <w:tcBorders>
              <w:top w:val="single" w:sz="4" w:space="0" w:color="auto"/>
              <w:bottom w:val="single" w:sz="4" w:space="0" w:color="auto"/>
            </w:tcBorders>
            <w:vAlign w:val="center"/>
          </w:tcPr>
          <w:p w14:paraId="5931395F" w14:textId="77777777" w:rsidR="00A64E15" w:rsidRPr="000427F1" w:rsidRDefault="00A64E15" w:rsidP="00167B78">
            <w:pPr>
              <w:spacing w:before="120" w:line="360" w:lineRule="auto"/>
              <w:rPr>
                <w:b/>
              </w:rPr>
            </w:pPr>
            <w:r w:rsidRPr="000427F1">
              <w:rPr>
                <w:b/>
              </w:rPr>
              <w:t>Year</w:t>
            </w:r>
          </w:p>
        </w:tc>
        <w:tc>
          <w:tcPr>
            <w:tcW w:w="851" w:type="dxa"/>
            <w:tcBorders>
              <w:top w:val="single" w:sz="4" w:space="0" w:color="auto"/>
              <w:bottom w:val="single" w:sz="4" w:space="0" w:color="auto"/>
            </w:tcBorders>
            <w:vAlign w:val="center"/>
          </w:tcPr>
          <w:p w14:paraId="5072D7A3" w14:textId="77777777" w:rsidR="00A64E15" w:rsidRPr="000427F1" w:rsidRDefault="00A64E15" w:rsidP="00167B78">
            <w:pPr>
              <w:spacing w:before="120" w:line="360" w:lineRule="auto"/>
              <w:rPr>
                <w:b/>
              </w:rPr>
            </w:pPr>
            <w:r w:rsidRPr="000427F1">
              <w:rPr>
                <w:b/>
              </w:rPr>
              <w:t>Co.</w:t>
            </w:r>
          </w:p>
        </w:tc>
        <w:tc>
          <w:tcPr>
            <w:tcW w:w="850" w:type="dxa"/>
            <w:tcBorders>
              <w:top w:val="single" w:sz="4" w:space="0" w:color="auto"/>
              <w:bottom w:val="single" w:sz="4" w:space="0" w:color="auto"/>
            </w:tcBorders>
            <w:vAlign w:val="center"/>
          </w:tcPr>
          <w:p w14:paraId="60C77828" w14:textId="77777777" w:rsidR="00A64E15" w:rsidRPr="000427F1" w:rsidRDefault="00A64E15" w:rsidP="00167B78">
            <w:pPr>
              <w:spacing w:before="120" w:line="360" w:lineRule="auto"/>
              <w:rPr>
                <w:b/>
              </w:rPr>
            </w:pPr>
            <w:r w:rsidRPr="000427F1">
              <w:rPr>
                <w:b/>
              </w:rPr>
              <w:t>N</w:t>
            </w:r>
          </w:p>
        </w:tc>
        <w:tc>
          <w:tcPr>
            <w:tcW w:w="1276" w:type="dxa"/>
            <w:tcBorders>
              <w:top w:val="single" w:sz="4" w:space="0" w:color="auto"/>
              <w:bottom w:val="single" w:sz="4" w:space="0" w:color="auto"/>
            </w:tcBorders>
            <w:vAlign w:val="center"/>
          </w:tcPr>
          <w:p w14:paraId="5F597E9B" w14:textId="77777777" w:rsidR="00A64E15" w:rsidRPr="000427F1" w:rsidRDefault="00A64E15" w:rsidP="00167B78">
            <w:pPr>
              <w:spacing w:before="120" w:line="360" w:lineRule="auto"/>
              <w:rPr>
                <w:b/>
              </w:rPr>
            </w:pPr>
            <w:r w:rsidRPr="000427F1">
              <w:rPr>
                <w:b/>
              </w:rPr>
              <w:t>Age</w:t>
            </w:r>
          </w:p>
        </w:tc>
        <w:tc>
          <w:tcPr>
            <w:tcW w:w="1417" w:type="dxa"/>
            <w:tcBorders>
              <w:top w:val="single" w:sz="4" w:space="0" w:color="auto"/>
              <w:bottom w:val="single" w:sz="4" w:space="0" w:color="auto"/>
            </w:tcBorders>
            <w:vAlign w:val="center"/>
          </w:tcPr>
          <w:p w14:paraId="075AE59E" w14:textId="77777777" w:rsidR="00A64E15" w:rsidRPr="000427F1" w:rsidRDefault="00A64E15" w:rsidP="00167B78">
            <w:pPr>
              <w:spacing w:before="120" w:line="360" w:lineRule="auto"/>
              <w:rPr>
                <w:b/>
              </w:rPr>
            </w:pPr>
            <w:r w:rsidRPr="000427F1">
              <w:rPr>
                <w:b/>
              </w:rPr>
              <w:t xml:space="preserve">Prevalence </w:t>
            </w:r>
          </w:p>
        </w:tc>
      </w:tr>
      <w:tr w:rsidR="00A64E15" w:rsidRPr="00397405" w14:paraId="67A1E89B" w14:textId="77777777" w:rsidTr="00AA2F96">
        <w:trPr>
          <w:trHeight w:val="537"/>
        </w:trPr>
        <w:tc>
          <w:tcPr>
            <w:tcW w:w="1951" w:type="dxa"/>
            <w:tcBorders>
              <w:top w:val="single" w:sz="4" w:space="0" w:color="auto"/>
            </w:tcBorders>
            <w:vAlign w:val="center"/>
          </w:tcPr>
          <w:p w14:paraId="17A72BFC" w14:textId="77777777" w:rsidR="00A64E15" w:rsidRPr="00397405" w:rsidRDefault="00A64E15" w:rsidP="00AA2F96">
            <w:pPr>
              <w:spacing w:line="360" w:lineRule="auto"/>
              <w:rPr>
                <w:sz w:val="20"/>
              </w:rPr>
            </w:pPr>
            <w:r w:rsidRPr="00397405">
              <w:rPr>
                <w:sz w:val="20"/>
              </w:rPr>
              <w:t>YPBAS</w:t>
            </w:r>
          </w:p>
        </w:tc>
        <w:tc>
          <w:tcPr>
            <w:tcW w:w="1134" w:type="dxa"/>
            <w:tcBorders>
              <w:top w:val="single" w:sz="4" w:space="0" w:color="auto"/>
            </w:tcBorders>
            <w:vAlign w:val="center"/>
          </w:tcPr>
          <w:p w14:paraId="034F1D5F" w14:textId="77777777" w:rsidR="00A64E15" w:rsidRPr="00397405" w:rsidRDefault="00A64E15" w:rsidP="00AA2F96">
            <w:pPr>
              <w:spacing w:line="360" w:lineRule="auto"/>
              <w:rPr>
                <w:sz w:val="20"/>
              </w:rPr>
            </w:pPr>
            <w:r w:rsidRPr="00397405">
              <w:rPr>
                <w:sz w:val="20"/>
              </w:rPr>
              <w:t>2010</w:t>
            </w:r>
          </w:p>
        </w:tc>
        <w:tc>
          <w:tcPr>
            <w:tcW w:w="851" w:type="dxa"/>
            <w:tcBorders>
              <w:top w:val="single" w:sz="4" w:space="0" w:color="auto"/>
            </w:tcBorders>
            <w:vAlign w:val="center"/>
          </w:tcPr>
          <w:p w14:paraId="0D26692E" w14:textId="77777777" w:rsidR="00A64E15" w:rsidRPr="00397405" w:rsidRDefault="00A64E15" w:rsidP="00AA2F96">
            <w:pPr>
              <w:spacing w:line="360" w:lineRule="auto"/>
              <w:rPr>
                <w:sz w:val="20"/>
              </w:rPr>
            </w:pPr>
            <w:r w:rsidRPr="00397405">
              <w:rPr>
                <w:sz w:val="20"/>
              </w:rPr>
              <w:t>NI</w:t>
            </w:r>
          </w:p>
        </w:tc>
        <w:tc>
          <w:tcPr>
            <w:tcW w:w="850" w:type="dxa"/>
            <w:tcBorders>
              <w:top w:val="single" w:sz="4" w:space="0" w:color="auto"/>
            </w:tcBorders>
            <w:vAlign w:val="center"/>
          </w:tcPr>
          <w:p w14:paraId="159DCEE0" w14:textId="77777777" w:rsidR="00A64E15" w:rsidRPr="00397405" w:rsidRDefault="00A64E15" w:rsidP="00AA2F96">
            <w:pPr>
              <w:spacing w:line="360" w:lineRule="auto"/>
              <w:rPr>
                <w:sz w:val="20"/>
              </w:rPr>
            </w:pPr>
            <w:r w:rsidRPr="00397405">
              <w:rPr>
                <w:sz w:val="20"/>
              </w:rPr>
              <w:t>3,546</w:t>
            </w:r>
          </w:p>
        </w:tc>
        <w:tc>
          <w:tcPr>
            <w:tcW w:w="1276" w:type="dxa"/>
            <w:tcBorders>
              <w:top w:val="single" w:sz="4" w:space="0" w:color="auto"/>
            </w:tcBorders>
            <w:vAlign w:val="center"/>
          </w:tcPr>
          <w:p w14:paraId="62162495" w14:textId="77777777" w:rsidR="00A64E15" w:rsidRPr="00397405" w:rsidRDefault="00A64E15" w:rsidP="00AA2F96">
            <w:pPr>
              <w:spacing w:line="360" w:lineRule="auto"/>
              <w:rPr>
                <w:sz w:val="20"/>
              </w:rPr>
            </w:pPr>
            <w:r w:rsidRPr="00397405">
              <w:rPr>
                <w:sz w:val="20"/>
              </w:rPr>
              <w:t>11-16</w:t>
            </w:r>
          </w:p>
        </w:tc>
        <w:tc>
          <w:tcPr>
            <w:tcW w:w="1417" w:type="dxa"/>
            <w:tcBorders>
              <w:top w:val="single" w:sz="4" w:space="0" w:color="auto"/>
            </w:tcBorders>
            <w:vAlign w:val="center"/>
          </w:tcPr>
          <w:p w14:paraId="06864216" w14:textId="77777777" w:rsidR="00A64E15" w:rsidRPr="00397405" w:rsidRDefault="00A64E15" w:rsidP="00AA2F96">
            <w:pPr>
              <w:spacing w:line="360" w:lineRule="auto"/>
              <w:rPr>
                <w:sz w:val="20"/>
              </w:rPr>
            </w:pPr>
            <w:r w:rsidRPr="00397405">
              <w:rPr>
                <w:sz w:val="20"/>
              </w:rPr>
              <w:t>3.8</w:t>
            </w:r>
            <w:r>
              <w:rPr>
                <w:sz w:val="20"/>
              </w:rPr>
              <w:t>%</w:t>
            </w:r>
          </w:p>
        </w:tc>
      </w:tr>
      <w:tr w:rsidR="00A64E15" w:rsidRPr="00397405" w14:paraId="7A508D2B" w14:textId="77777777" w:rsidTr="00AA2F96">
        <w:trPr>
          <w:trHeight w:val="537"/>
        </w:trPr>
        <w:tc>
          <w:tcPr>
            <w:tcW w:w="1951" w:type="dxa"/>
            <w:vAlign w:val="center"/>
          </w:tcPr>
          <w:p w14:paraId="49657F5D" w14:textId="77777777" w:rsidR="00A64E15" w:rsidRPr="00397405" w:rsidRDefault="00A64E15" w:rsidP="00AA2F96">
            <w:pPr>
              <w:spacing w:line="360" w:lineRule="auto"/>
              <w:rPr>
                <w:sz w:val="20"/>
              </w:rPr>
            </w:pPr>
            <w:r w:rsidRPr="00397405">
              <w:rPr>
                <w:sz w:val="20"/>
              </w:rPr>
              <w:t>SALSUS</w:t>
            </w:r>
          </w:p>
        </w:tc>
        <w:tc>
          <w:tcPr>
            <w:tcW w:w="1134" w:type="dxa"/>
            <w:vAlign w:val="center"/>
          </w:tcPr>
          <w:p w14:paraId="55D3F2B1" w14:textId="77777777" w:rsidR="00A64E15" w:rsidRPr="00397405" w:rsidRDefault="00A64E15" w:rsidP="00AA2F96">
            <w:pPr>
              <w:spacing w:line="360" w:lineRule="auto"/>
              <w:rPr>
                <w:sz w:val="20"/>
              </w:rPr>
            </w:pPr>
            <w:r w:rsidRPr="00397405">
              <w:rPr>
                <w:sz w:val="20"/>
              </w:rPr>
              <w:t>2013</w:t>
            </w:r>
          </w:p>
        </w:tc>
        <w:tc>
          <w:tcPr>
            <w:tcW w:w="851" w:type="dxa"/>
            <w:vAlign w:val="center"/>
          </w:tcPr>
          <w:p w14:paraId="3F125D52" w14:textId="77777777" w:rsidR="00A64E15" w:rsidRPr="00397405" w:rsidRDefault="00A64E15" w:rsidP="00AA2F96">
            <w:pPr>
              <w:spacing w:line="360" w:lineRule="auto"/>
              <w:rPr>
                <w:sz w:val="20"/>
              </w:rPr>
            </w:pPr>
            <w:r w:rsidRPr="00397405">
              <w:rPr>
                <w:sz w:val="20"/>
              </w:rPr>
              <w:t xml:space="preserve">SCT </w:t>
            </w:r>
          </w:p>
        </w:tc>
        <w:tc>
          <w:tcPr>
            <w:tcW w:w="850" w:type="dxa"/>
            <w:vAlign w:val="center"/>
          </w:tcPr>
          <w:p w14:paraId="3E92F7A5" w14:textId="77777777" w:rsidR="00A64E15" w:rsidRPr="00397405" w:rsidRDefault="00A64E15" w:rsidP="00AA2F96">
            <w:pPr>
              <w:spacing w:line="360" w:lineRule="auto"/>
              <w:rPr>
                <w:sz w:val="20"/>
              </w:rPr>
            </w:pPr>
            <w:r w:rsidRPr="00397405">
              <w:rPr>
                <w:sz w:val="20"/>
              </w:rPr>
              <w:t>33,685</w:t>
            </w:r>
          </w:p>
        </w:tc>
        <w:tc>
          <w:tcPr>
            <w:tcW w:w="1276" w:type="dxa"/>
            <w:vAlign w:val="center"/>
          </w:tcPr>
          <w:p w14:paraId="27333B27" w14:textId="77777777" w:rsidR="00A64E15" w:rsidRPr="00397405" w:rsidRDefault="00A64E15" w:rsidP="00AA2F96">
            <w:pPr>
              <w:spacing w:line="360" w:lineRule="auto"/>
              <w:rPr>
                <w:sz w:val="20"/>
              </w:rPr>
            </w:pPr>
            <w:r w:rsidRPr="00397405">
              <w:rPr>
                <w:sz w:val="20"/>
              </w:rPr>
              <w:t>13</w:t>
            </w:r>
          </w:p>
          <w:p w14:paraId="73710235" w14:textId="77777777" w:rsidR="00A64E15" w:rsidRPr="00397405" w:rsidRDefault="00A64E15" w:rsidP="00AA2F96">
            <w:pPr>
              <w:spacing w:line="360" w:lineRule="auto"/>
              <w:rPr>
                <w:sz w:val="20"/>
              </w:rPr>
            </w:pPr>
            <w:r w:rsidRPr="00397405">
              <w:rPr>
                <w:sz w:val="20"/>
              </w:rPr>
              <w:t>15</w:t>
            </w:r>
          </w:p>
        </w:tc>
        <w:tc>
          <w:tcPr>
            <w:tcW w:w="1417" w:type="dxa"/>
            <w:vAlign w:val="center"/>
          </w:tcPr>
          <w:p w14:paraId="516EB08D" w14:textId="77777777" w:rsidR="00A64E15" w:rsidRPr="00397405" w:rsidRDefault="00A64E15" w:rsidP="00AA2F96">
            <w:pPr>
              <w:spacing w:line="360" w:lineRule="auto"/>
              <w:rPr>
                <w:sz w:val="20"/>
              </w:rPr>
            </w:pPr>
            <w:r w:rsidRPr="00397405">
              <w:rPr>
                <w:sz w:val="20"/>
              </w:rPr>
              <w:t>1</w:t>
            </w:r>
            <w:r>
              <w:rPr>
                <w:sz w:val="20"/>
              </w:rPr>
              <w:t>%</w:t>
            </w:r>
          </w:p>
          <w:p w14:paraId="1E77F075" w14:textId="77777777" w:rsidR="00A64E15" w:rsidRPr="00397405" w:rsidRDefault="00A64E15" w:rsidP="00AA2F96">
            <w:pPr>
              <w:spacing w:line="360" w:lineRule="auto"/>
              <w:rPr>
                <w:sz w:val="20"/>
              </w:rPr>
            </w:pPr>
            <w:r w:rsidRPr="00397405">
              <w:rPr>
                <w:sz w:val="20"/>
              </w:rPr>
              <w:t>4</w:t>
            </w:r>
            <w:r>
              <w:rPr>
                <w:sz w:val="20"/>
              </w:rPr>
              <w:t>%</w:t>
            </w:r>
          </w:p>
        </w:tc>
      </w:tr>
      <w:tr w:rsidR="00A64E15" w:rsidRPr="00397405" w14:paraId="017AD238" w14:textId="77777777" w:rsidTr="00AA2F96">
        <w:trPr>
          <w:trHeight w:val="537"/>
        </w:trPr>
        <w:tc>
          <w:tcPr>
            <w:tcW w:w="1951" w:type="dxa"/>
            <w:vAlign w:val="center"/>
          </w:tcPr>
          <w:p w14:paraId="7F44B48F" w14:textId="77777777" w:rsidR="00A64E15" w:rsidRPr="00397405" w:rsidRDefault="00A64E15" w:rsidP="00AA2F96">
            <w:pPr>
              <w:spacing w:line="360" w:lineRule="auto"/>
              <w:rPr>
                <w:sz w:val="20"/>
              </w:rPr>
            </w:pPr>
            <w:r w:rsidRPr="00397405">
              <w:rPr>
                <w:sz w:val="20"/>
              </w:rPr>
              <w:t>HSCIC</w:t>
            </w:r>
          </w:p>
        </w:tc>
        <w:tc>
          <w:tcPr>
            <w:tcW w:w="1134" w:type="dxa"/>
            <w:vAlign w:val="center"/>
          </w:tcPr>
          <w:p w14:paraId="09CFE197" w14:textId="77777777" w:rsidR="00A64E15" w:rsidRPr="00397405" w:rsidRDefault="00A64E15" w:rsidP="00AA2F96">
            <w:pPr>
              <w:spacing w:line="360" w:lineRule="auto"/>
              <w:rPr>
                <w:sz w:val="20"/>
              </w:rPr>
            </w:pPr>
            <w:r w:rsidRPr="00397405">
              <w:rPr>
                <w:sz w:val="20"/>
              </w:rPr>
              <w:t>2014</w:t>
            </w:r>
          </w:p>
        </w:tc>
        <w:tc>
          <w:tcPr>
            <w:tcW w:w="851" w:type="dxa"/>
            <w:vAlign w:val="center"/>
          </w:tcPr>
          <w:p w14:paraId="070E1947" w14:textId="77777777" w:rsidR="00A64E15" w:rsidRPr="00397405" w:rsidRDefault="00A64E15" w:rsidP="00AA2F96">
            <w:pPr>
              <w:spacing w:line="360" w:lineRule="auto"/>
              <w:rPr>
                <w:sz w:val="20"/>
              </w:rPr>
            </w:pPr>
            <w:r w:rsidRPr="00397405">
              <w:rPr>
                <w:sz w:val="20"/>
              </w:rPr>
              <w:t>GB</w:t>
            </w:r>
          </w:p>
        </w:tc>
        <w:tc>
          <w:tcPr>
            <w:tcW w:w="850" w:type="dxa"/>
            <w:vAlign w:val="center"/>
          </w:tcPr>
          <w:p w14:paraId="42EC6DD8" w14:textId="77777777" w:rsidR="00A64E15" w:rsidRPr="00397405" w:rsidRDefault="00A64E15" w:rsidP="00AA2F96">
            <w:pPr>
              <w:spacing w:line="360" w:lineRule="auto"/>
              <w:rPr>
                <w:sz w:val="20"/>
              </w:rPr>
            </w:pPr>
            <w:r w:rsidRPr="00397405">
              <w:rPr>
                <w:sz w:val="20"/>
              </w:rPr>
              <w:t>6,173</w:t>
            </w:r>
          </w:p>
        </w:tc>
        <w:tc>
          <w:tcPr>
            <w:tcW w:w="1276" w:type="dxa"/>
            <w:vAlign w:val="center"/>
          </w:tcPr>
          <w:p w14:paraId="033EC207" w14:textId="77777777" w:rsidR="00A64E15" w:rsidRPr="00397405" w:rsidRDefault="00A64E15" w:rsidP="00AA2F96">
            <w:pPr>
              <w:spacing w:line="360" w:lineRule="auto"/>
              <w:rPr>
                <w:sz w:val="20"/>
              </w:rPr>
            </w:pPr>
            <w:r w:rsidRPr="00397405">
              <w:rPr>
                <w:sz w:val="20"/>
              </w:rPr>
              <w:t>11</w:t>
            </w:r>
          </w:p>
          <w:p w14:paraId="19A62FC2" w14:textId="77777777" w:rsidR="00A64E15" w:rsidRPr="00397405" w:rsidRDefault="00A64E15" w:rsidP="00AA2F96">
            <w:pPr>
              <w:spacing w:line="360" w:lineRule="auto"/>
              <w:rPr>
                <w:sz w:val="20"/>
              </w:rPr>
            </w:pPr>
            <w:r w:rsidRPr="00397405">
              <w:rPr>
                <w:sz w:val="20"/>
              </w:rPr>
              <w:t>16</w:t>
            </w:r>
          </w:p>
        </w:tc>
        <w:tc>
          <w:tcPr>
            <w:tcW w:w="1417" w:type="dxa"/>
            <w:vAlign w:val="center"/>
          </w:tcPr>
          <w:p w14:paraId="1782D536" w14:textId="77777777" w:rsidR="00A64E15" w:rsidRPr="00397405" w:rsidRDefault="00A64E15" w:rsidP="00AA2F96">
            <w:pPr>
              <w:spacing w:line="360" w:lineRule="auto"/>
              <w:rPr>
                <w:sz w:val="20"/>
              </w:rPr>
            </w:pPr>
            <w:r w:rsidRPr="00397405">
              <w:rPr>
                <w:sz w:val="20"/>
              </w:rPr>
              <w:t>0.5</w:t>
            </w:r>
            <w:r>
              <w:rPr>
                <w:sz w:val="20"/>
              </w:rPr>
              <w:t>%</w:t>
            </w:r>
          </w:p>
          <w:p w14:paraId="113A37C9" w14:textId="77777777" w:rsidR="00A64E15" w:rsidRPr="00397405" w:rsidRDefault="00A64E15" w:rsidP="00AA2F96">
            <w:pPr>
              <w:spacing w:line="360" w:lineRule="auto"/>
              <w:rPr>
                <w:sz w:val="20"/>
              </w:rPr>
            </w:pPr>
            <w:r w:rsidRPr="00397405">
              <w:rPr>
                <w:sz w:val="20"/>
              </w:rPr>
              <w:t>5</w:t>
            </w:r>
            <w:r>
              <w:rPr>
                <w:sz w:val="20"/>
              </w:rPr>
              <w:t>%</w:t>
            </w:r>
          </w:p>
        </w:tc>
      </w:tr>
      <w:tr w:rsidR="00A64E15" w:rsidRPr="00397405" w14:paraId="522FE953" w14:textId="77777777" w:rsidTr="00AA2F96">
        <w:trPr>
          <w:trHeight w:val="537"/>
        </w:trPr>
        <w:tc>
          <w:tcPr>
            <w:tcW w:w="1951" w:type="dxa"/>
            <w:vAlign w:val="center"/>
          </w:tcPr>
          <w:p w14:paraId="5FDF6AA9" w14:textId="77777777" w:rsidR="00A64E15" w:rsidRPr="00397405" w:rsidRDefault="00A64E15" w:rsidP="00AA2F96">
            <w:pPr>
              <w:spacing w:line="360" w:lineRule="auto"/>
              <w:rPr>
                <w:sz w:val="20"/>
              </w:rPr>
            </w:pPr>
            <w:r w:rsidRPr="00397405">
              <w:rPr>
                <w:sz w:val="20"/>
              </w:rPr>
              <w:t>YPBAS</w:t>
            </w:r>
          </w:p>
        </w:tc>
        <w:tc>
          <w:tcPr>
            <w:tcW w:w="1134" w:type="dxa"/>
            <w:vAlign w:val="center"/>
          </w:tcPr>
          <w:p w14:paraId="190BB7B4" w14:textId="77777777" w:rsidR="00A64E15" w:rsidRPr="00397405" w:rsidRDefault="00A64E15" w:rsidP="00AA2F96">
            <w:pPr>
              <w:spacing w:line="360" w:lineRule="auto"/>
              <w:rPr>
                <w:sz w:val="20"/>
              </w:rPr>
            </w:pPr>
            <w:r w:rsidRPr="00397405">
              <w:rPr>
                <w:sz w:val="20"/>
              </w:rPr>
              <w:t>2014</w:t>
            </w:r>
          </w:p>
        </w:tc>
        <w:tc>
          <w:tcPr>
            <w:tcW w:w="851" w:type="dxa"/>
            <w:vAlign w:val="center"/>
          </w:tcPr>
          <w:p w14:paraId="71933F51" w14:textId="77777777" w:rsidR="00A64E15" w:rsidRPr="00397405" w:rsidRDefault="00A64E15" w:rsidP="00AA2F96">
            <w:pPr>
              <w:spacing w:line="360" w:lineRule="auto"/>
              <w:rPr>
                <w:sz w:val="20"/>
              </w:rPr>
            </w:pPr>
            <w:r w:rsidRPr="00397405">
              <w:rPr>
                <w:sz w:val="20"/>
              </w:rPr>
              <w:t>NI</w:t>
            </w:r>
          </w:p>
        </w:tc>
        <w:tc>
          <w:tcPr>
            <w:tcW w:w="850" w:type="dxa"/>
            <w:vAlign w:val="center"/>
          </w:tcPr>
          <w:p w14:paraId="38F0F8D8" w14:textId="77777777" w:rsidR="00A64E15" w:rsidRPr="00397405" w:rsidRDefault="00A64E15" w:rsidP="00AA2F96">
            <w:pPr>
              <w:spacing w:line="360" w:lineRule="auto"/>
              <w:rPr>
                <w:sz w:val="20"/>
              </w:rPr>
            </w:pPr>
            <w:r w:rsidRPr="00397405">
              <w:rPr>
                <w:sz w:val="20"/>
              </w:rPr>
              <w:t>3,092</w:t>
            </w:r>
          </w:p>
        </w:tc>
        <w:tc>
          <w:tcPr>
            <w:tcW w:w="1276" w:type="dxa"/>
            <w:vAlign w:val="center"/>
          </w:tcPr>
          <w:p w14:paraId="0F873809" w14:textId="77777777" w:rsidR="00A64E15" w:rsidRPr="00397405" w:rsidRDefault="00A64E15" w:rsidP="00AA2F96">
            <w:pPr>
              <w:spacing w:line="360" w:lineRule="auto"/>
              <w:rPr>
                <w:sz w:val="20"/>
              </w:rPr>
            </w:pPr>
            <w:r w:rsidRPr="00397405">
              <w:rPr>
                <w:sz w:val="20"/>
              </w:rPr>
              <w:t>11-16</w:t>
            </w:r>
          </w:p>
        </w:tc>
        <w:tc>
          <w:tcPr>
            <w:tcW w:w="1417" w:type="dxa"/>
            <w:vAlign w:val="center"/>
          </w:tcPr>
          <w:p w14:paraId="517D6246" w14:textId="77777777" w:rsidR="00A64E15" w:rsidRPr="00397405" w:rsidRDefault="00A64E15" w:rsidP="00AA2F96">
            <w:pPr>
              <w:spacing w:line="360" w:lineRule="auto"/>
              <w:rPr>
                <w:sz w:val="20"/>
              </w:rPr>
            </w:pPr>
            <w:r w:rsidRPr="00397405">
              <w:rPr>
                <w:sz w:val="20"/>
              </w:rPr>
              <w:t>1.9</w:t>
            </w:r>
            <w:r>
              <w:rPr>
                <w:sz w:val="20"/>
              </w:rPr>
              <w:t>%</w:t>
            </w:r>
          </w:p>
        </w:tc>
      </w:tr>
      <w:tr w:rsidR="00A64E15" w:rsidRPr="00397405" w14:paraId="2D48F6CA" w14:textId="77777777" w:rsidTr="00AA2F96">
        <w:trPr>
          <w:trHeight w:val="537"/>
        </w:trPr>
        <w:tc>
          <w:tcPr>
            <w:tcW w:w="1951" w:type="dxa"/>
            <w:tcBorders>
              <w:bottom w:val="single" w:sz="4" w:space="0" w:color="auto"/>
            </w:tcBorders>
            <w:vAlign w:val="center"/>
          </w:tcPr>
          <w:p w14:paraId="13170373" w14:textId="77777777" w:rsidR="00A64E15" w:rsidRPr="00397405" w:rsidRDefault="00A64E15" w:rsidP="00AA2F96">
            <w:pPr>
              <w:spacing w:line="360" w:lineRule="auto"/>
              <w:rPr>
                <w:sz w:val="20"/>
              </w:rPr>
            </w:pPr>
            <w:r w:rsidRPr="00397405">
              <w:rPr>
                <w:sz w:val="20"/>
              </w:rPr>
              <w:t>SALSUS</w:t>
            </w:r>
          </w:p>
        </w:tc>
        <w:tc>
          <w:tcPr>
            <w:tcW w:w="1134" w:type="dxa"/>
            <w:tcBorders>
              <w:bottom w:val="single" w:sz="4" w:space="0" w:color="auto"/>
            </w:tcBorders>
            <w:vAlign w:val="center"/>
          </w:tcPr>
          <w:p w14:paraId="74EC14A3" w14:textId="77777777" w:rsidR="00A64E15" w:rsidRPr="00397405" w:rsidRDefault="00A64E15" w:rsidP="00AA2F96">
            <w:pPr>
              <w:spacing w:line="360" w:lineRule="auto"/>
              <w:rPr>
                <w:sz w:val="20"/>
              </w:rPr>
            </w:pPr>
            <w:r w:rsidRPr="00397405">
              <w:rPr>
                <w:sz w:val="20"/>
              </w:rPr>
              <w:t>201</w:t>
            </w:r>
            <w:r>
              <w:rPr>
                <w:sz w:val="20"/>
              </w:rPr>
              <w:t>5</w:t>
            </w:r>
          </w:p>
        </w:tc>
        <w:tc>
          <w:tcPr>
            <w:tcW w:w="851" w:type="dxa"/>
            <w:tcBorders>
              <w:bottom w:val="single" w:sz="4" w:space="0" w:color="auto"/>
            </w:tcBorders>
            <w:vAlign w:val="center"/>
          </w:tcPr>
          <w:p w14:paraId="1FE0A475" w14:textId="77777777" w:rsidR="00A64E15" w:rsidRPr="00397405" w:rsidRDefault="00A64E15" w:rsidP="00AA2F96">
            <w:pPr>
              <w:spacing w:line="360" w:lineRule="auto"/>
              <w:rPr>
                <w:sz w:val="20"/>
              </w:rPr>
            </w:pPr>
            <w:r w:rsidRPr="00397405">
              <w:rPr>
                <w:sz w:val="20"/>
              </w:rPr>
              <w:t xml:space="preserve">SCT </w:t>
            </w:r>
          </w:p>
        </w:tc>
        <w:tc>
          <w:tcPr>
            <w:tcW w:w="850" w:type="dxa"/>
            <w:tcBorders>
              <w:bottom w:val="single" w:sz="4" w:space="0" w:color="auto"/>
            </w:tcBorders>
            <w:vAlign w:val="center"/>
          </w:tcPr>
          <w:p w14:paraId="0811DE12" w14:textId="77777777" w:rsidR="00A64E15" w:rsidRPr="00397405" w:rsidRDefault="00A64E15" w:rsidP="00AA2F96">
            <w:pPr>
              <w:spacing w:line="360" w:lineRule="auto"/>
              <w:rPr>
                <w:sz w:val="20"/>
              </w:rPr>
            </w:pPr>
            <w:r>
              <w:rPr>
                <w:sz w:val="20"/>
              </w:rPr>
              <w:t>25,304</w:t>
            </w:r>
          </w:p>
        </w:tc>
        <w:tc>
          <w:tcPr>
            <w:tcW w:w="1276" w:type="dxa"/>
            <w:tcBorders>
              <w:bottom w:val="single" w:sz="4" w:space="0" w:color="auto"/>
            </w:tcBorders>
            <w:vAlign w:val="center"/>
          </w:tcPr>
          <w:p w14:paraId="3081098B" w14:textId="77777777" w:rsidR="00A64E15" w:rsidRPr="00397405" w:rsidRDefault="00A64E15" w:rsidP="00AA2F96">
            <w:pPr>
              <w:spacing w:line="360" w:lineRule="auto"/>
              <w:rPr>
                <w:sz w:val="20"/>
              </w:rPr>
            </w:pPr>
            <w:r w:rsidRPr="00397405">
              <w:rPr>
                <w:sz w:val="20"/>
              </w:rPr>
              <w:t>13</w:t>
            </w:r>
          </w:p>
          <w:p w14:paraId="6157EB64" w14:textId="77777777" w:rsidR="00A64E15" w:rsidRPr="00397405" w:rsidRDefault="00A64E15" w:rsidP="00AA2F96">
            <w:pPr>
              <w:spacing w:line="360" w:lineRule="auto"/>
              <w:rPr>
                <w:sz w:val="20"/>
              </w:rPr>
            </w:pPr>
            <w:r w:rsidRPr="00397405">
              <w:rPr>
                <w:sz w:val="20"/>
              </w:rPr>
              <w:t>15</w:t>
            </w:r>
          </w:p>
        </w:tc>
        <w:tc>
          <w:tcPr>
            <w:tcW w:w="1417" w:type="dxa"/>
            <w:tcBorders>
              <w:bottom w:val="single" w:sz="4" w:space="0" w:color="auto"/>
            </w:tcBorders>
            <w:vAlign w:val="center"/>
          </w:tcPr>
          <w:p w14:paraId="04EE49A0" w14:textId="77777777" w:rsidR="00A64E15" w:rsidRPr="00397405" w:rsidRDefault="00A64E15" w:rsidP="00AA2F96">
            <w:pPr>
              <w:spacing w:line="360" w:lineRule="auto"/>
              <w:rPr>
                <w:sz w:val="20"/>
              </w:rPr>
            </w:pPr>
            <w:r>
              <w:rPr>
                <w:sz w:val="20"/>
              </w:rPr>
              <w:t>0%</w:t>
            </w:r>
          </w:p>
          <w:p w14:paraId="448B40FD" w14:textId="77777777" w:rsidR="00A64E15" w:rsidRPr="00397405" w:rsidRDefault="00A64E15" w:rsidP="00AA2F96">
            <w:pPr>
              <w:spacing w:line="360" w:lineRule="auto"/>
              <w:rPr>
                <w:sz w:val="20"/>
              </w:rPr>
            </w:pPr>
            <w:r>
              <w:rPr>
                <w:sz w:val="20"/>
              </w:rPr>
              <w:t>5%</w:t>
            </w:r>
          </w:p>
        </w:tc>
      </w:tr>
    </w:tbl>
    <w:p w14:paraId="13A65E7A" w14:textId="77777777" w:rsidR="00A17501" w:rsidRDefault="00A17501" w:rsidP="00A17501">
      <w:pPr>
        <w:spacing w:line="480" w:lineRule="auto"/>
        <w:rPr>
          <w:rStyle w:val="Heading3Char"/>
          <w:b w:val="0"/>
          <w:color w:val="auto"/>
        </w:rPr>
      </w:pPr>
    </w:p>
    <w:p w14:paraId="633064CB" w14:textId="12B6FB23" w:rsidR="00A64E15" w:rsidRPr="009A6BEC" w:rsidRDefault="001113B2" w:rsidP="00DF5C89">
      <w:pPr>
        <w:spacing w:line="480" w:lineRule="auto"/>
        <w:rPr>
          <w:rStyle w:val="Heading3Char"/>
          <w:b w:val="0"/>
          <w:bCs w:val="0"/>
          <w:color w:val="auto"/>
        </w:rPr>
      </w:pPr>
      <w:r w:rsidRPr="009A2152">
        <w:t>Some evidence does point toward a sub-group of young users with substantially higher rates of use, and there is concern that these underage users are being missed by general survey methods. For instance, Welsh school teachers interviewed by the National Assembly of Wales estimated that around 80% of their pupils aged 12-14 were taking an NPS called NRG (NAW, 2015). The reasons for such high variability in findings are unclear. It may reflect regional or socioeconomic differences, type of educational establishment or differences in survey methods or definitions of NPS.</w:t>
      </w:r>
    </w:p>
    <w:p w14:paraId="5297AF8A" w14:textId="38F7FD2A" w:rsidR="00A64E15" w:rsidRPr="000464DC" w:rsidRDefault="00A64E15" w:rsidP="000464DC">
      <w:pPr>
        <w:pStyle w:val="Heading3"/>
      </w:pPr>
      <w:bookmarkStart w:id="141" w:name="_Toc9182759"/>
      <w:bookmarkStart w:id="142" w:name="_Toc35892526"/>
      <w:r w:rsidRPr="000464DC">
        <w:t>Recreational use</w:t>
      </w:r>
      <w:bookmarkEnd w:id="141"/>
      <w:bookmarkEnd w:id="142"/>
    </w:p>
    <w:p w14:paraId="20361B46" w14:textId="52616CD2" w:rsidR="00A64E15" w:rsidRDefault="00A64E15" w:rsidP="00A64E15">
      <w:pPr>
        <w:spacing w:line="480" w:lineRule="auto"/>
      </w:pPr>
      <w:r>
        <w:t>T</w:t>
      </w:r>
      <w:r w:rsidRPr="002666BC">
        <w:t xml:space="preserve">his group of users </w:t>
      </w:r>
      <w:r>
        <w:t xml:space="preserve">is believed to comprise </w:t>
      </w:r>
      <w:r w:rsidRPr="002666BC">
        <w:t>young adults and adolescents who tend to indulge on weekends, at parties, festivals and in clubs (Kellejer et al., 2011</w:t>
      </w:r>
      <w:r>
        <w:t>;</w:t>
      </w:r>
      <w:r w:rsidRPr="002666BC">
        <w:t xml:space="preserve"> NAW, 2015) but do not identify themselves with a drug user identity (e.g. Barnard et al., 2014). </w:t>
      </w:r>
      <w:r>
        <w:t xml:space="preserve">Recreational use may be infrequent or frequent, and limited to NPS </w:t>
      </w:r>
      <w:r w:rsidRPr="002666BC">
        <w:t>(</w:t>
      </w:r>
      <w:r w:rsidR="005F70CB" w:rsidRPr="002666BC">
        <w:t>NAW, 2015</w:t>
      </w:r>
      <w:r w:rsidR="005F70CB">
        <w:t xml:space="preserve">; </w:t>
      </w:r>
      <w:r w:rsidRPr="002666BC">
        <w:t>SANDS Cymru, 2015)</w:t>
      </w:r>
      <w:r>
        <w:t xml:space="preserve"> or take place alongside traditional drugs </w:t>
      </w:r>
      <w:r w:rsidRPr="002666BC">
        <w:t>(</w:t>
      </w:r>
      <w:r w:rsidR="005F70CB">
        <w:t xml:space="preserve">Measham, 2010; </w:t>
      </w:r>
      <w:r w:rsidR="005F70CB" w:rsidRPr="002666BC">
        <w:t>NAW, 2015</w:t>
      </w:r>
      <w:r w:rsidR="005F70CB">
        <w:t xml:space="preserve">; </w:t>
      </w:r>
      <w:r w:rsidRPr="002666BC">
        <w:t xml:space="preserve">SANDS Cymru, 2015; </w:t>
      </w:r>
      <w:r>
        <w:t>Winstock et. al., 2010</w:t>
      </w:r>
      <w:r w:rsidRPr="002666BC">
        <w:t>)</w:t>
      </w:r>
      <w:r>
        <w:t>.</w:t>
      </w:r>
      <w:r w:rsidRPr="00CA4858">
        <w:t xml:space="preserve"> </w:t>
      </w:r>
      <w:r w:rsidRPr="002666BC">
        <w:t xml:space="preserve">It is thought that </w:t>
      </w:r>
      <w:r>
        <w:t>recreational use is widespread</w:t>
      </w:r>
      <w:r w:rsidRPr="002666BC">
        <w:t xml:space="preserve"> but </w:t>
      </w:r>
      <w:r>
        <w:t xml:space="preserve">is </w:t>
      </w:r>
      <w:r w:rsidRPr="002666BC">
        <w:t xml:space="preserve">unreported as </w:t>
      </w:r>
      <w:r>
        <w:t>users</w:t>
      </w:r>
      <w:r w:rsidRPr="002666BC">
        <w:t xml:space="preserve"> tend not to come into contact with </w:t>
      </w:r>
      <w:r>
        <w:t xml:space="preserve">health </w:t>
      </w:r>
      <w:r w:rsidRPr="002666BC">
        <w:t>services as their drug use does not appear to be leading to serious adverse effects (Kelleher et al., 2011)</w:t>
      </w:r>
      <w:r>
        <w:t>, or they are unlikely</w:t>
      </w:r>
      <w:r w:rsidRPr="002666BC">
        <w:t xml:space="preserve"> to seek help due to their desire not to be associated with a drug user identity (Barnard et al., 2014).</w:t>
      </w:r>
    </w:p>
    <w:p w14:paraId="56C1139C" w14:textId="1FC720D8" w:rsidR="00A64E15" w:rsidRPr="000464DC" w:rsidRDefault="00A64E15" w:rsidP="000464DC">
      <w:pPr>
        <w:pStyle w:val="Heading3"/>
      </w:pPr>
      <w:bookmarkStart w:id="143" w:name="_Toc9182760"/>
      <w:bookmarkStart w:id="144" w:name="_Toc35892527"/>
      <w:r w:rsidRPr="000464DC">
        <w:t>Occasional users</w:t>
      </w:r>
      <w:bookmarkEnd w:id="143"/>
      <w:bookmarkEnd w:id="144"/>
      <w:r w:rsidRPr="000464DC">
        <w:t xml:space="preserve"> </w:t>
      </w:r>
    </w:p>
    <w:p w14:paraId="481A36F1" w14:textId="24D7D0C0" w:rsidR="00A64E15" w:rsidRDefault="00A64E15" w:rsidP="00A17501">
      <w:pPr>
        <w:spacing w:line="480" w:lineRule="auto"/>
      </w:pPr>
      <w:r>
        <w:t>For some recreational users’ legal status may be important, and t</w:t>
      </w:r>
      <w:r w:rsidRPr="002666BC">
        <w:t xml:space="preserve">hese users have been described as </w:t>
      </w:r>
      <w:r w:rsidRPr="002666BC">
        <w:rPr>
          <w:lang w:val="en-US"/>
        </w:rPr>
        <w:t xml:space="preserve">individuals who were not really involved in the substance misuse scene but </w:t>
      </w:r>
      <w:r>
        <w:rPr>
          <w:lang w:val="en-US"/>
        </w:rPr>
        <w:t xml:space="preserve">did not want to </w:t>
      </w:r>
      <w:r w:rsidRPr="002666BC">
        <w:rPr>
          <w:lang w:val="en-US"/>
        </w:rPr>
        <w:t xml:space="preserve">break the </w:t>
      </w:r>
      <w:r>
        <w:rPr>
          <w:lang w:val="en-US"/>
        </w:rPr>
        <w:t xml:space="preserve">law </w:t>
      </w:r>
      <w:r w:rsidRPr="002666BC">
        <w:t>(</w:t>
      </w:r>
      <w:r w:rsidR="005F70CB" w:rsidRPr="002666BC">
        <w:t>NAW, 2015</w:t>
      </w:r>
      <w:r w:rsidR="005F70CB">
        <w:t xml:space="preserve">; </w:t>
      </w:r>
      <w:r w:rsidRPr="002666BC">
        <w:t xml:space="preserve">SANDS Cymru, 2015). For </w:t>
      </w:r>
      <w:r>
        <w:t xml:space="preserve">these </w:t>
      </w:r>
      <w:r w:rsidRPr="002666BC">
        <w:t xml:space="preserve">recreational users’ legal highs might be seen as more akin to other legally available psychoactive substances such as alcohol. Certainly, the link between NPS use </w:t>
      </w:r>
      <w:r>
        <w:t xml:space="preserve">and </w:t>
      </w:r>
      <w:r w:rsidRPr="002666BC">
        <w:t>alcohol use has been consistently found</w:t>
      </w:r>
      <w:r w:rsidR="00907FF2">
        <w:t xml:space="preserve"> (Figure 2-20)</w:t>
      </w:r>
      <w:r w:rsidRPr="002666BC">
        <w:t>, with concurrent use of alcohol and NPS reported between 25%, and 100% in several studies (</w:t>
      </w:r>
      <w:r w:rsidR="005F70CB" w:rsidRPr="002666BC">
        <w:t xml:space="preserve">Barnard et al., 2014; Barrett et al., 2013; </w:t>
      </w:r>
      <w:r w:rsidRPr="002666BC">
        <w:t>Besli et al., 2015; Corrazza et al., 2014; McElrath, 2011).</w:t>
      </w:r>
      <w:r>
        <w:t xml:space="preserve"> </w:t>
      </w:r>
    </w:p>
    <w:p w14:paraId="30BA8B47" w14:textId="75CF447A" w:rsidR="00A64E15" w:rsidRPr="00086E7C" w:rsidRDefault="00A64E15" w:rsidP="00DF5C89">
      <w:pPr>
        <w:pStyle w:val="FigureHeading"/>
      </w:pPr>
      <w:bookmarkStart w:id="145" w:name="_Toc9186675"/>
      <w:bookmarkStart w:id="146" w:name="_Toc9509115"/>
      <w:r w:rsidRPr="0050019E">
        <w:t xml:space="preserve">Figure </w:t>
      </w:r>
      <w:r w:rsidR="00195751">
        <w:t>2-20</w:t>
      </w:r>
      <w:r w:rsidRPr="0050019E">
        <w:t xml:space="preserve">. </w:t>
      </w:r>
      <w:r>
        <w:t>Prevalence of last year use of NPS by use of frequency of alcohol consumption</w:t>
      </w:r>
      <w:bookmarkEnd w:id="145"/>
      <w:bookmarkEnd w:id="146"/>
      <w:r>
        <w:t xml:space="preserve"> </w:t>
      </w:r>
    </w:p>
    <w:p w14:paraId="7F7DE075" w14:textId="77777777" w:rsidR="00A64E15" w:rsidRDefault="00A64E15" w:rsidP="00A17501">
      <w:r w:rsidRPr="00D84AE4">
        <w:rPr>
          <w:noProof/>
          <w:lang w:val="en-US" w:eastAsia="en-US"/>
        </w:rPr>
        <mc:AlternateContent>
          <mc:Choice Requires="wps">
            <w:drawing>
              <wp:anchor distT="45720" distB="45720" distL="114300" distR="114300" simplePos="0" relativeHeight="251352064" behindDoc="0" locked="0" layoutInCell="1" allowOverlap="1" wp14:anchorId="0CB82D76" wp14:editId="10B4CB61">
                <wp:simplePos x="0" y="0"/>
                <wp:positionH relativeFrom="column">
                  <wp:posOffset>4522305</wp:posOffset>
                </wp:positionH>
                <wp:positionV relativeFrom="paragraph">
                  <wp:posOffset>1807796</wp:posOffset>
                </wp:positionV>
                <wp:extent cx="1228298" cy="234306"/>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3536B8B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0F5A32A9"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82D76" id="_x0000_s1056" type="#_x0000_t202" style="position:absolute;margin-left:356.1pt;margin-top:142.35pt;width:96.7pt;height:18.45pt;z-index:25135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91DwIAAPwDAAAOAAAAZHJzL2Uyb0RvYy54bWysU11v2yAUfZ+0/4B4X+y4SZdYIVXXrtOk&#10;7kNq9wMIxjEacBmQ2Nmv3wUnWdS+TfMDAl/uufece1jdDEaTvfRBgWV0OikpkVZAo+yW0R/PD+8W&#10;lITIbcM1WMnoQQZ6s377ZtW7WlbQgW6kJwhiQ907RrsYXV0UQXTS8DABJy0GW/CGRzz6bdF43iO6&#10;0UVVltdFD75xHoQMAf/ej0G6zvhtK0X81rZBRqIZxd5iXn1eN2kt1itebz13nRLHNvg/dGG4slj0&#10;DHXPIyc7r15BGSU8BGjjRIApoG2VkJkDspmWL9g8ddzJzAXFCe4sU/h/sOLr/rsnqmG0ms8psdzg&#10;kJ7lEMkHGEiV9OldqPHak8OLccDfOOfMNbhHED8DsXDXcbuVt95D30neYH/TlFlcpI44IYFs+i/Q&#10;YBm+i5CBhtabJB7KQRAd53Q4zya1IlLJqlpUS3STwFh1Nbsqr3MJXp+ynQ/xkwRD0oZRj7PP6Hz/&#10;GGLqhtenK6mYhQeldZ6/tqRndDmv5jnhImJURHtqZRhdlOkbDZNIfrRNTo5c6XGPBbQ9sk5ER8px&#10;2AyjwMuTmhtoDqiDh9GO+Hxw04H/TUmPVmQ0/NpxLynRny1quZzOZsm7+TCbv6/w4C8jm8sItwKh&#10;GI2UjNu7mP0+cr5FzVuV5UjDGTs59owWyyodn0Py8OU53/r7aNd/AAAA//8DAFBLAwQUAAYACAAA&#10;ACEA03VAaeAAAAALAQAADwAAAGRycy9kb3ducmV2LnhtbEyPwU7DMBBE70j8g7VI3Kgd06ZtyKZC&#10;IK6gFqjUm5tsk4h4HcVuE/4ec4Ljap5m3uabyXbiQoNvHSMkMwWCuHRVyzXCx/vL3QqED4Yr0zkm&#10;hG/ysCmur3KTVW7kLV12oRaxhH1mEJoQ+kxKXzZkjZ+5njhmJzdYE+I51LIazBjLbSe1Uqm0puW4&#10;0Jienhoqv3Zni/D5ejrs5+qtfraLfnSTkmzXEvH2Znp8ABFoCn8w/OpHdSii09GdufKiQ1gmWkcU&#10;Qa/mSxCRWKtFCuKIcK+TFGSRy/8/FD8AAAD//wMAUEsBAi0AFAAGAAgAAAAhALaDOJL+AAAA4QEA&#10;ABMAAAAAAAAAAAAAAAAAAAAAAFtDb250ZW50X1R5cGVzXS54bWxQSwECLQAUAAYACAAAACEAOP0h&#10;/9YAAACUAQAACwAAAAAAAAAAAAAAAAAvAQAAX3JlbHMvLnJlbHNQSwECLQAUAAYACAAAACEAzVVP&#10;dQ8CAAD8AwAADgAAAAAAAAAAAAAAAAAuAgAAZHJzL2Uyb0RvYy54bWxQSwECLQAUAAYACAAAACEA&#10;03VAaeAAAAALAQAADwAAAAAAAAAAAAAAAABpBAAAZHJzL2Rvd25yZXYueG1sUEsFBgAAAAAEAAQA&#10;8wAAAHYFAAAAAA==&#10;" filled="f" stroked="f">
                <v:textbox>
                  <w:txbxContent>
                    <w:p w14:paraId="3536B8BE"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0F5A32A9" w14:textId="77777777" w:rsidR="00777EE0" w:rsidRPr="00B96922" w:rsidRDefault="00777EE0" w:rsidP="00A64E15">
                      <w:pPr>
                        <w:rPr>
                          <w:b/>
                          <w:sz w:val="20"/>
                          <w:szCs w:val="20"/>
                        </w:rPr>
                      </w:pPr>
                    </w:p>
                  </w:txbxContent>
                </v:textbox>
              </v:shape>
            </w:pict>
          </mc:Fallback>
        </mc:AlternateContent>
      </w:r>
      <w:r>
        <w:rPr>
          <w:noProof/>
          <w:lang w:val="en-US" w:eastAsia="en-US"/>
        </w:rPr>
        <w:drawing>
          <wp:inline distT="0" distB="0" distL="0" distR="0" wp14:anchorId="02EB14F8" wp14:editId="0F902193">
            <wp:extent cx="5610225" cy="2447925"/>
            <wp:effectExtent l="0" t="0" r="0" b="0"/>
            <wp:docPr id="236" name="Chart 236">
              <a:extLst xmlns:a="http://schemas.openxmlformats.org/drawingml/2006/main">
                <a:ext uri="{FF2B5EF4-FFF2-40B4-BE49-F238E27FC236}">
                  <a16:creationId xmlns:a16="http://schemas.microsoft.com/office/drawing/2014/main" id="{BC69AA04-7942-4E73-9525-A53CD9EEE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18D527" w14:textId="0783305F" w:rsidR="00A64E15" w:rsidRDefault="00A64E15" w:rsidP="00A17501">
      <w:pPr>
        <w:spacing w:line="480" w:lineRule="auto"/>
      </w:pPr>
      <w:r>
        <w:t xml:space="preserve">Prior to the ban, frequent drinkers (3+days a week in the last month) were found by the CSEW to have some of the highest levels of last year use of NPS (7.8% in 2014/15). However, after implementation of the Act prevalence of NPS use for frequent drinkers appeared to drop down to the level of infrequent drinkers, close to the rate for an average young person (1.2%). This suggests that recreational drinkers may have been most heavily impacted by the ban. Substantial drops were also reported for young people who frequently attended bars and pubs (9+ times in the last month) with prevalence of NPS use dropping from a pre-ban level of 7.5% to 2.3% post-ban. </w:t>
      </w:r>
    </w:p>
    <w:p w14:paraId="22B5FB55" w14:textId="662CD723" w:rsidR="00A64E15" w:rsidRPr="000464DC" w:rsidRDefault="00A64E15" w:rsidP="000464DC">
      <w:pPr>
        <w:pStyle w:val="Heading3"/>
      </w:pPr>
      <w:bookmarkStart w:id="147" w:name="_Toc9182761"/>
      <w:bookmarkStart w:id="148" w:name="_Toc35892528"/>
      <w:r w:rsidRPr="000464DC">
        <w:t>Students</w:t>
      </w:r>
      <w:bookmarkEnd w:id="147"/>
      <w:bookmarkEnd w:id="148"/>
    </w:p>
    <w:p w14:paraId="44BC55AE" w14:textId="5EABDDB0" w:rsidR="000A6014" w:rsidRPr="004E22B9" w:rsidRDefault="000A6014" w:rsidP="000A6014">
      <w:pPr>
        <w:spacing w:line="480" w:lineRule="auto"/>
      </w:pPr>
      <w:r w:rsidRPr="004E22B9">
        <w:t>In a survey of students including an older age range (13-30, median age 18) the proportion of users in the sample was found to be considerably higher than the general population and school</w:t>
      </w:r>
      <w:r w:rsidR="001C322C">
        <w:t>-</w:t>
      </w:r>
      <w:r w:rsidRPr="004E22B9">
        <w:t xml:space="preserve">based surveys with </w:t>
      </w:r>
      <w:r w:rsidR="001C322C">
        <w:t xml:space="preserve">the </w:t>
      </w:r>
      <w:r w:rsidRPr="004E22B9">
        <w:t xml:space="preserve">prevalence of lifetime use of NPS reported as </w:t>
      </w:r>
      <w:r w:rsidR="001C322C">
        <w:t>over</w:t>
      </w:r>
      <w:r w:rsidRPr="004E22B9">
        <w:t xml:space="preserve"> 30% within the sample (Corazza et al., 2014). Although to some extent this higher rate may be attributable to selection bias resulting from the self-nominating sampling method, it should be noted that the authors did attempt to minimise sampling bias in both the content and context of their study advertisements. This increase in prevalence may be attributable to the transition from school to higher education where contact with NPS appears to rise dramatically. While only 6% - 8% of schoolchildren reported being offered legal highs (</w:t>
      </w:r>
      <w:r w:rsidR="005F70CB" w:rsidRPr="004E22B9">
        <w:t>HSCIC, 2014</w:t>
      </w:r>
      <w:r w:rsidR="005F70CB">
        <w:t xml:space="preserve">; </w:t>
      </w:r>
      <w:r w:rsidRPr="004E22B9">
        <w:t>SALSUS, 2013;) a survey of undergraduates by the Angelus Foundation found 36% of freshers reported being offered NPS, and as many as 61% noted that their friends had used legal highs (NAW, 2015).</w:t>
      </w:r>
    </w:p>
    <w:p w14:paraId="1C653DFF" w14:textId="6821999F" w:rsidR="00A64E15" w:rsidRPr="000464DC" w:rsidRDefault="00A64E15" w:rsidP="000464DC">
      <w:pPr>
        <w:pStyle w:val="Heading3"/>
      </w:pPr>
      <w:bookmarkStart w:id="149" w:name="_Toc9182763"/>
      <w:bookmarkStart w:id="150" w:name="_Toc35892529"/>
      <w:r w:rsidRPr="000464DC">
        <w:rPr>
          <w:rStyle w:val="Heading3Char"/>
          <w:b/>
          <w:bCs/>
        </w:rPr>
        <w:t>Existing drug users</w:t>
      </w:r>
      <w:r w:rsidR="001C322C">
        <w:rPr>
          <w:rStyle w:val="Heading3Char"/>
          <w:b/>
          <w:bCs/>
        </w:rPr>
        <w:t>/</w:t>
      </w:r>
      <w:r w:rsidRPr="000464DC">
        <w:rPr>
          <w:rStyle w:val="Heading3Char"/>
          <w:b/>
          <w:bCs/>
        </w:rPr>
        <w:t>clubbers</w:t>
      </w:r>
      <w:bookmarkEnd w:id="149"/>
      <w:bookmarkEnd w:id="150"/>
      <w:r w:rsidRPr="000464DC">
        <w:t xml:space="preserve"> </w:t>
      </w:r>
    </w:p>
    <w:p w14:paraId="73082A90" w14:textId="05438C73" w:rsidR="00A64E15" w:rsidRDefault="00A64E15" w:rsidP="00A17501">
      <w:pPr>
        <w:spacing w:line="480" w:lineRule="auto"/>
      </w:pPr>
      <w:r w:rsidRPr="002666BC">
        <w:t xml:space="preserve">Evidence indicates that existing </w:t>
      </w:r>
      <w:r>
        <w:t xml:space="preserve">recreational </w:t>
      </w:r>
      <w:r w:rsidRPr="002666BC">
        <w:t xml:space="preserve">drug users make up a large proportion of </w:t>
      </w:r>
      <w:r w:rsidRPr="009A02B7">
        <w:t>NPS users (</w:t>
      </w:r>
      <w:r w:rsidR="005F70CB" w:rsidRPr="009A02B7">
        <w:t xml:space="preserve">Barnard et al., 2014; Bonar, 2014; </w:t>
      </w:r>
      <w:r w:rsidRPr="009A02B7">
        <w:t xml:space="preserve">Carhart-Harris et al., 2011; Freeman et al., 2012; </w:t>
      </w:r>
      <w:r w:rsidR="005F70CB" w:rsidRPr="002666BC">
        <w:t>Kelleher et al., 2011</w:t>
      </w:r>
      <w:r w:rsidR="005F70CB">
        <w:t xml:space="preserve">; </w:t>
      </w:r>
      <w:r w:rsidRPr="009A02B7">
        <w:t>Schifano et al., 2012; Van Hout, 2014).</w:t>
      </w:r>
      <w:r>
        <w:t xml:space="preserve"> This group is characterised by drug use linked to the night-life settings such as clubs (EMCDDA, 2014: </w:t>
      </w:r>
      <w:r w:rsidR="005F70CB">
        <w:t xml:space="preserve">Measham, 2010; </w:t>
      </w:r>
      <w:r>
        <w:t>Winstock et al., 2010,) and the chemsex scene (EMCDDA, 2014</w:t>
      </w:r>
      <w:r w:rsidR="005F70CB">
        <w:t>;</w:t>
      </w:r>
      <w:r>
        <w:t xml:space="preserve"> </w:t>
      </w:r>
      <w:r w:rsidR="005F70CB">
        <w:t xml:space="preserve">Measham, 2010; </w:t>
      </w:r>
      <w:r>
        <w:t>Winstock et al., 2010). They are thought to</w:t>
      </w:r>
      <w:r w:rsidRPr="002666BC">
        <w:t xml:space="preserve"> be more informed about drug use (Van Hout, 2014)</w:t>
      </w:r>
      <w:r>
        <w:t xml:space="preserve"> and more likely t</w:t>
      </w:r>
      <w:r w:rsidRPr="002666BC">
        <w:t>o engage in behaviours intended to minimise harm</w:t>
      </w:r>
      <w:r>
        <w:t xml:space="preserve"> (</w:t>
      </w:r>
      <w:r w:rsidRPr="002666BC">
        <w:t>Kelleher et al., 2011</w:t>
      </w:r>
      <w:r w:rsidRPr="009A02B7">
        <w:t>).</w:t>
      </w:r>
      <w:r>
        <w:t xml:space="preserve"> Several types of existing recreational drug users are thought to be taking NPS in addition to other drugs; clubbers, men who have sex with men (MSM), LBGT groups </w:t>
      </w:r>
      <w:r w:rsidRPr="00B10CC6">
        <w:t>(Barnard et al., 2014</w:t>
      </w:r>
      <w:r>
        <w:t xml:space="preserve">) and psychonauts.  </w:t>
      </w:r>
    </w:p>
    <w:p w14:paraId="1B55C8BB" w14:textId="088244E5" w:rsidR="00A64E15" w:rsidRDefault="00A64E15" w:rsidP="00A17501">
      <w:pPr>
        <w:spacing w:line="480" w:lineRule="auto"/>
      </w:pPr>
      <w:r>
        <w:t>NPS use by clubbers is mostly related to stimulant type drugs, usually part of the family of synthetic cathinones (</w:t>
      </w:r>
      <w:r w:rsidRPr="002666BC">
        <w:t>Winstock et. al., 2010).</w:t>
      </w:r>
      <w:r>
        <w:t xml:space="preserve"> Although this group have </w:t>
      </w:r>
      <w:r w:rsidRPr="002666BC">
        <w:t>added NPS to their usual repertoire of drugs (NAW, 2015)</w:t>
      </w:r>
      <w:r>
        <w:t xml:space="preserve"> evidence</w:t>
      </w:r>
      <w:r w:rsidRPr="002666BC">
        <w:t xml:space="preserve"> shows that for many drug user</w:t>
      </w:r>
      <w:r>
        <w:t xml:space="preserve">s’ </w:t>
      </w:r>
      <w:r w:rsidRPr="002666BC">
        <w:t xml:space="preserve">illicit drugs are their preferred choice </w:t>
      </w:r>
      <w:r>
        <w:t>(</w:t>
      </w:r>
      <w:r w:rsidRPr="002666BC">
        <w:t>Winstock et. al., 2010)</w:t>
      </w:r>
      <w:r>
        <w:t xml:space="preserve"> </w:t>
      </w:r>
      <w:r w:rsidRPr="002666BC">
        <w:t>but NPS offer viable alternatives when the purity or availability of illicit substances are affected by wider drug market factors (Measham, 2010).</w:t>
      </w:r>
      <w:r>
        <w:t xml:space="preserve"> </w:t>
      </w:r>
      <w:r w:rsidRPr="002666BC">
        <w:t xml:space="preserve">In 2017/18 the CSEW found that 88% of young people who had used an NPS in the last year had also used an illicit drug, a proportion similar to that prior to the ban (84%). While the CSEW </w:t>
      </w:r>
      <w:r>
        <w:t>reported that post-ban,</w:t>
      </w:r>
      <w:r w:rsidRPr="002666BC">
        <w:t xml:space="preserve"> 5% of illicit drug users </w:t>
      </w:r>
      <w:r>
        <w:t>also used N</w:t>
      </w:r>
      <w:r w:rsidRPr="002666BC">
        <w:t>PS, a drop from 12% prior to the ban, a study of drug use in Manchester found as many as 79% of illicit drug users surveyed had also tried an NPS</w:t>
      </w:r>
      <w:r w:rsidR="00DE1191">
        <w:t>, the definition of which also included mephedrone and ketamine</w:t>
      </w:r>
      <w:r w:rsidRPr="002666BC">
        <w:t xml:space="preserve"> (Ralphs, Gray </w:t>
      </w:r>
      <w:r w:rsidR="006F7518">
        <w:t>&amp;</w:t>
      </w:r>
      <w:r w:rsidRPr="002666BC">
        <w:t xml:space="preserve"> Norton, 2017). </w:t>
      </w:r>
    </w:p>
    <w:p w14:paraId="33987673" w14:textId="6C0F6165" w:rsidR="00D622CD" w:rsidRPr="004E22B9" w:rsidRDefault="00D622CD" w:rsidP="00D622CD">
      <w:pPr>
        <w:spacing w:line="480" w:lineRule="auto"/>
      </w:pPr>
      <w:r w:rsidRPr="004E22B9">
        <w:t>Psychonaut is the name given to NPS users who actively experiment with psychoactive drugs to explore the effects of different substances (NAW, 2015). They show a pattern of very deliberate behaviour, commonly measuring out exact quantities, carefully staging doses and keeping records of their experiences. There is some evidence psychonauts may be somewhat older than other NPS users and are more likely to be male (Van Hout, 2014).</w:t>
      </w:r>
    </w:p>
    <w:p w14:paraId="097C3282" w14:textId="48CA55B6" w:rsidR="00A64E15" w:rsidRDefault="00A64E15" w:rsidP="00A17501">
      <w:pPr>
        <w:spacing w:line="480" w:lineRule="auto"/>
      </w:pPr>
      <w:r>
        <w:t>The main concern for</w:t>
      </w:r>
      <w:r w:rsidRPr="002666BC">
        <w:t xml:space="preserve"> populations of existing drug users is concurrent use of NPS with traditional drugs, as mixing NPS with other drugs, </w:t>
      </w:r>
      <w:r>
        <w:t>known as polydrug use</w:t>
      </w:r>
      <w:r w:rsidRPr="002666BC">
        <w:t xml:space="preserve">, increases the </w:t>
      </w:r>
      <w:r>
        <w:t xml:space="preserve">probability of harm </w:t>
      </w:r>
      <w:r w:rsidRPr="002666BC">
        <w:t xml:space="preserve">(NAW, 2015). Studies of existing drug users have found high rates of concurrent use, with prevalence of polydrug use involving NPS </w:t>
      </w:r>
      <w:r>
        <w:t>ranging from</w:t>
      </w:r>
      <w:r w:rsidRPr="002666BC">
        <w:t xml:space="preserve"> 13% </w:t>
      </w:r>
      <w:r>
        <w:t>to</w:t>
      </w:r>
      <w:r w:rsidRPr="002666BC">
        <w:t xml:space="preserve"> 38% (Corazza et. al., 2011; Corazza et.al., 2014).</w:t>
      </w:r>
    </w:p>
    <w:bookmarkStart w:id="151" w:name="_Toc9186676"/>
    <w:bookmarkStart w:id="152" w:name="_Toc9509116"/>
    <w:p w14:paraId="7CAA50C2" w14:textId="2D59A505" w:rsidR="00A64E15" w:rsidRPr="000B25B8" w:rsidRDefault="00A64E15" w:rsidP="00DF5C89">
      <w:pPr>
        <w:pStyle w:val="FigureHeading"/>
      </w:pPr>
      <w:r w:rsidRPr="00D84AE4">
        <mc:AlternateContent>
          <mc:Choice Requires="wps">
            <w:drawing>
              <wp:anchor distT="45720" distB="45720" distL="114300" distR="114300" simplePos="0" relativeHeight="251573248" behindDoc="0" locked="0" layoutInCell="1" allowOverlap="1" wp14:anchorId="2764AFB7" wp14:editId="5CB5C982">
                <wp:simplePos x="0" y="0"/>
                <wp:positionH relativeFrom="column">
                  <wp:posOffset>4081004</wp:posOffset>
                </wp:positionH>
                <wp:positionV relativeFrom="paragraph">
                  <wp:posOffset>3018259</wp:posOffset>
                </wp:positionV>
                <wp:extent cx="1228298" cy="234306"/>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8" cy="234306"/>
                        </a:xfrm>
                        <a:prstGeom prst="rect">
                          <a:avLst/>
                        </a:prstGeom>
                        <a:noFill/>
                        <a:ln w="9525">
                          <a:noFill/>
                          <a:miter lim="800000"/>
                          <a:headEnd/>
                          <a:tailEnd/>
                        </a:ln>
                      </wps:spPr>
                      <wps:txbx>
                        <w:txbxContent>
                          <w:p w14:paraId="12562483"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0DC36207" w14:textId="77777777" w:rsidR="00777EE0" w:rsidRPr="00B96922" w:rsidRDefault="00777EE0" w:rsidP="00A64E15">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AFB7" id="_x0000_s1057" type="#_x0000_t202" style="position:absolute;margin-left:321.35pt;margin-top:237.65pt;width:96.7pt;height:18.4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dUDgIAAPwDAAAOAAAAZHJzL2Uyb0RvYy54bWysU11v2yAUfZ+0/4B4X+w4SZdYIVXXrtOk&#10;7kNq9wMIxjEacBmQ2Nmv7wWnabS9TfMDAl/uufece1hfD0aTg/RBgWV0OikpkVZAo+yO0R9P9++W&#10;lITIbcM1WMnoUQZ6vXn7Zt27WlbQgW6kJwhiQ907RrsYXV0UQXTS8DABJy0GW/CGRzz6XdF43iO6&#10;0UVVlldFD75xHoQMAf/ejUG6yfhtK0X81rZBRqIZxd5iXn1et2ktNmte7zx3nRKnNvg/dGG4slj0&#10;DHXHIyd7r/6CMkp4CNDGiQBTQNsqITMHZDMt/2Dz2HEnMxcUJ7izTOH/wYqvh++eqIbRajGnxHKD&#10;Q3qSQyQfYCBV0qd3ocZrjw4vxgF/45wz1+AeQPwMxMJtx+1O3ngPfSd5g/1NU2ZxkTrihASy7b9A&#10;g2X4PkIGGlpvkngoB0F0nNPxPJvUikglq2pZrdBNAmPVbD4rr3IJXr9kOx/iJwmGpA2jHmef0fnh&#10;IcTUDa9frqRiFu6V1nn+2pKe0dWiWuSEi4hREe2plWF0WaZvNEwi+dE2OTlypcc9FtD2xDoRHSnH&#10;YTtkgWc5OUmyheaIOngY7YjPBzcd+N+U9GhFRsOvPfeSEv3Zopar6XyevJsP88X7Cg/+MrK9jHAr&#10;EIrRSMm4vY3Z7yPnG9S8VVmO105OPaPFskqn55A8fHnOt14f7eYZAAD//wMAUEsDBBQABgAIAAAA&#10;IQCXki5P4AAAAAsBAAAPAAAAZHJzL2Rvd25yZXYueG1sTI9BT4NAEIXvJv6HzZh4s7tQoBUZGqPx&#10;qmnVJr1tYQpEdpaw24L/3vWkx8n78t43xWY2vbjQ6DrLCNFCgSCubN1xg/Dx/nK3BuG85lr3lgnh&#10;mxxsyuurQue1nXhLl51vRChhl2uE1vshl9JVLRntFnYgDtnJjkb7cI6NrEc9hXLTy1ipTBrdcVho&#10;9UBPLVVfu7NB+Hw9HfaJemueTTpMdlaSzb1EvL2ZHx9AeJr9Hwy/+kEdyuB0tGeunegRsiReBRQh&#10;WaVLEIFYL7MIxBEhjeIYZFnI/z+UPwAAAP//AwBQSwECLQAUAAYACAAAACEAtoM4kv4AAADhAQAA&#10;EwAAAAAAAAAAAAAAAAAAAAAAW0NvbnRlbnRfVHlwZXNdLnhtbFBLAQItABQABgAIAAAAIQA4/SH/&#10;1gAAAJQBAAALAAAAAAAAAAAAAAAAAC8BAABfcmVscy8ucmVsc1BLAQItABQABgAIAAAAIQA6bXdU&#10;DgIAAPwDAAAOAAAAAAAAAAAAAAAAAC4CAABkcnMvZTJvRG9jLnhtbFBLAQItABQABgAIAAAAIQCX&#10;ki5P4AAAAAsBAAAPAAAAAAAAAAAAAAAAAGgEAABkcnMvZG93bnJldi54bWxQSwUGAAAAAAQABADz&#10;AAAAdQUAAAAA&#10;" filled="f" stroked="f">
                <v:textbox>
                  <w:txbxContent>
                    <w:p w14:paraId="12562483" w14:textId="77777777" w:rsidR="00777EE0" w:rsidRPr="00B96922" w:rsidRDefault="00777EE0" w:rsidP="00A64E15">
                      <w:pPr>
                        <w:rPr>
                          <w:b/>
                          <w:sz w:val="16"/>
                        </w:rPr>
                      </w:pPr>
                      <w:r>
                        <w:rPr>
                          <w:b/>
                          <w:sz w:val="16"/>
                        </w:rPr>
                        <w:t>Source:</w:t>
                      </w:r>
                      <w:r w:rsidRPr="00B96922">
                        <w:rPr>
                          <w:b/>
                          <w:sz w:val="16"/>
                        </w:rPr>
                        <w:t xml:space="preserve"> CSEW </w:t>
                      </w:r>
                      <w:r>
                        <w:rPr>
                          <w:b/>
                          <w:sz w:val="16"/>
                        </w:rPr>
                        <w:t>(2018)</w:t>
                      </w:r>
                      <w:r w:rsidRPr="00B96922">
                        <w:rPr>
                          <w:b/>
                          <w:sz w:val="16"/>
                        </w:rPr>
                        <w:t xml:space="preserve"> </w:t>
                      </w:r>
                      <w:r w:rsidRPr="00B96922">
                        <w:rPr>
                          <w:b/>
                          <w:sz w:val="16"/>
                        </w:rPr>
                        <w:tab/>
                      </w:r>
                    </w:p>
                    <w:p w14:paraId="0DC36207" w14:textId="77777777" w:rsidR="00777EE0" w:rsidRPr="00B96922" w:rsidRDefault="00777EE0" w:rsidP="00A64E15">
                      <w:pPr>
                        <w:rPr>
                          <w:b/>
                          <w:sz w:val="20"/>
                          <w:szCs w:val="20"/>
                        </w:rPr>
                      </w:pPr>
                    </w:p>
                  </w:txbxContent>
                </v:textbox>
              </v:shape>
            </w:pict>
          </mc:Fallback>
        </mc:AlternateContent>
      </w:r>
      <w:r>
        <w:drawing>
          <wp:anchor distT="0" distB="0" distL="114300" distR="114300" simplePos="0" relativeHeight="250861568" behindDoc="0" locked="0" layoutInCell="1" allowOverlap="1" wp14:anchorId="45006BC0" wp14:editId="3C327154">
            <wp:simplePos x="0" y="0"/>
            <wp:positionH relativeFrom="column">
              <wp:posOffset>0</wp:posOffset>
            </wp:positionH>
            <wp:positionV relativeFrom="paragraph">
              <wp:posOffset>568325</wp:posOffset>
            </wp:positionV>
            <wp:extent cx="4572000" cy="2755900"/>
            <wp:effectExtent l="0" t="0" r="0" b="6350"/>
            <wp:wrapTopAndBottom/>
            <wp:docPr id="237" name="Chart 237">
              <a:extLst xmlns:a="http://schemas.openxmlformats.org/drawingml/2006/main">
                <a:ext uri="{FF2B5EF4-FFF2-40B4-BE49-F238E27FC236}">
                  <a16:creationId xmlns:a16="http://schemas.microsoft.com/office/drawing/2014/main" id="{F80598CF-795E-47E1-94B0-E816DECA1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50019E">
        <w:t xml:space="preserve">Figure </w:t>
      </w:r>
      <w:r w:rsidR="00195751">
        <w:t>2-21</w:t>
      </w:r>
      <w:r w:rsidRPr="0050019E">
        <w:t xml:space="preserve">. </w:t>
      </w:r>
      <w:r>
        <w:t>Prevalence of last year use of NPS by use of frequency of visits to nightclubs in the last month</w:t>
      </w:r>
      <w:bookmarkEnd w:id="151"/>
      <w:bookmarkEnd w:id="152"/>
    </w:p>
    <w:p w14:paraId="0D91491B" w14:textId="77777777" w:rsidR="00167B78" w:rsidRDefault="00167B78" w:rsidP="00A17501">
      <w:pPr>
        <w:spacing w:line="480" w:lineRule="auto"/>
      </w:pPr>
    </w:p>
    <w:p w14:paraId="2CE910C6" w14:textId="7BF8A9A6" w:rsidR="00A64E15" w:rsidRDefault="00A64E15" w:rsidP="00A17501">
      <w:pPr>
        <w:spacing w:line="480" w:lineRule="auto"/>
      </w:pPr>
      <w:r>
        <w:t xml:space="preserve">It is thought that this group of users are least likely to be affected by the introduction of the PS Act as they have little concern for legal status and the continued availability of NPS on the black market means access to NPS has not been prevented (DrugWise, 2017, Ralphs, Gray </w:t>
      </w:r>
      <w:r w:rsidR="006F7518">
        <w:t>&amp;</w:t>
      </w:r>
      <w:r>
        <w:t xml:space="preserve"> Norton, 2017). Evidence from the CSEW confirms that, unlike recreational drinkers, prevalence of NPS use in those who most frequently attend nightclubs has remained comparatively high since the ban (2014/15 = 5.5% and 2017/18 = 5.5%: see </w:t>
      </w:r>
      <w:r w:rsidR="00E166AC">
        <w:t>F</w:t>
      </w:r>
      <w:r>
        <w:t xml:space="preserve">igure </w:t>
      </w:r>
      <w:r w:rsidR="00065C11">
        <w:t>2-21</w:t>
      </w:r>
      <w:r>
        <w:t>).</w:t>
      </w:r>
    </w:p>
    <w:p w14:paraId="04353DCC" w14:textId="234A9990" w:rsidR="00A64E15" w:rsidRPr="000464DC" w:rsidRDefault="00A64E15" w:rsidP="000464DC">
      <w:pPr>
        <w:pStyle w:val="Heading3"/>
      </w:pPr>
      <w:bookmarkStart w:id="153" w:name="_Toc9182765"/>
      <w:bookmarkStart w:id="154" w:name="_Toc35892530"/>
      <w:r w:rsidRPr="000464DC">
        <w:t>Problem use and dependency</w:t>
      </w:r>
      <w:bookmarkEnd w:id="153"/>
      <w:bookmarkEnd w:id="154"/>
      <w:r w:rsidRPr="000464DC">
        <w:t xml:space="preserve"> </w:t>
      </w:r>
    </w:p>
    <w:p w14:paraId="099061A0" w14:textId="05659862" w:rsidR="00A64E15" w:rsidRPr="00A17501" w:rsidRDefault="00A64E15" w:rsidP="00A17501">
      <w:pPr>
        <w:spacing w:line="480" w:lineRule="auto"/>
        <w:rPr>
          <w:bCs/>
        </w:rPr>
      </w:pPr>
      <w:r w:rsidRPr="00A17501">
        <w:rPr>
          <w:bCs/>
        </w:rPr>
        <w:t xml:space="preserve">Problem users are people who develop </w:t>
      </w:r>
      <w:r w:rsidR="001C322C">
        <w:rPr>
          <w:bCs/>
        </w:rPr>
        <w:t xml:space="preserve">a </w:t>
      </w:r>
      <w:r w:rsidRPr="00A17501">
        <w:rPr>
          <w:bCs/>
        </w:rPr>
        <w:t xml:space="preserve">dependence on substances, often using them frequently and in high doses. Problem drug use is largely associated with intravenous injection of substances, typically of opioids, cocaine or amphetamines </w:t>
      </w:r>
      <w:r w:rsidRPr="001359AE">
        <w:t>(EMCDDA, 2014</w:t>
      </w:r>
      <w:r w:rsidRPr="00A17501">
        <w:rPr>
          <w:bCs/>
        </w:rPr>
        <w:t xml:space="preserve">). Problem drug users are mostly polydrug users and prevalence figures are much higher in urban areas and among marginalised groups such as rough sleepers and the homeless </w:t>
      </w:r>
      <w:r w:rsidRPr="001359AE">
        <w:t>(EMCDDA, 20</w:t>
      </w:r>
      <w:r>
        <w:t>18; ONS, 2017)</w:t>
      </w:r>
      <w:r w:rsidRPr="00A17501">
        <w:rPr>
          <w:bCs/>
        </w:rPr>
        <w:t xml:space="preserve"> The extent to which users of NPS become dependent is not fully understood, but evidence suggests that a notable proportion of regular users may develop symptoms of dependence (Every-Palmer, 2011; Murphy et. </w:t>
      </w:r>
      <w:r w:rsidR="001C322C">
        <w:rPr>
          <w:bCs/>
        </w:rPr>
        <w:t>a</w:t>
      </w:r>
      <w:r w:rsidRPr="00A17501">
        <w:rPr>
          <w:bCs/>
        </w:rPr>
        <w:t xml:space="preserve">l., 2010). </w:t>
      </w:r>
    </w:p>
    <w:p w14:paraId="02FDF88B" w14:textId="53DA4E26" w:rsidR="00A64E15" w:rsidRPr="00A17501" w:rsidRDefault="00A64E15" w:rsidP="00A17501">
      <w:pPr>
        <w:spacing w:line="480" w:lineRule="auto"/>
      </w:pPr>
      <w:r w:rsidRPr="00A17501">
        <w:rPr>
          <w:bCs/>
        </w:rPr>
        <w:t>Problem drug users are thought to be an especially vulnerable group of NPS users as the harms associated with injecting drugs and polydrug use are considerably higher than other methods of consumption (</w:t>
      </w:r>
      <w:r w:rsidRPr="001359AE">
        <w:t>EMCDDA, 2012; 2018</w:t>
      </w:r>
      <w:r w:rsidR="005F70CB">
        <w:t>;</w:t>
      </w:r>
      <w:r w:rsidR="005F70CB" w:rsidRPr="005F70CB">
        <w:rPr>
          <w:bCs/>
        </w:rPr>
        <w:t xml:space="preserve"> </w:t>
      </w:r>
      <w:r w:rsidR="005F70CB" w:rsidRPr="00A17501">
        <w:rPr>
          <w:bCs/>
        </w:rPr>
        <w:t>Kellerher et al., 2011</w:t>
      </w:r>
      <w:r w:rsidRPr="001359AE">
        <w:t>).</w:t>
      </w:r>
      <w:r w:rsidRPr="00A17501">
        <w:rPr>
          <w:bCs/>
        </w:rPr>
        <w:t xml:space="preserve"> It has been noted that for this group of users NPS are not offering an alternative to traditional drugs but are being used as additional substances (NAW, 2015), particularly in relation to heroin, where opioid type NPS are often being mixed directly with heroin as well as being used between doses </w:t>
      </w:r>
      <w:r w:rsidRPr="00BA2F0F">
        <w:t>(Shapiro &amp; Daly, 2017).</w:t>
      </w:r>
      <w:r w:rsidRPr="00A17501">
        <w:rPr>
          <w:bCs/>
        </w:rPr>
        <w:t xml:space="preserve"> The uptake of NPS use among problem users has been noted in several studies and concerns have been raised about the impact of NPS on drug harms in drug-dependent populations </w:t>
      </w:r>
      <w:r w:rsidRPr="00D4040C">
        <w:t>(</w:t>
      </w:r>
      <w:r w:rsidR="005F70CB">
        <w:t xml:space="preserve">Addaction, 2017; </w:t>
      </w:r>
      <w:r>
        <w:t xml:space="preserve">Drugwise, 2017; </w:t>
      </w:r>
      <w:r w:rsidR="005F70CB">
        <w:t xml:space="preserve">EMCDDA, 2018; HM Government, 2018; </w:t>
      </w:r>
      <w:r>
        <w:t xml:space="preserve">Ralphs, Gray </w:t>
      </w:r>
      <w:r w:rsidR="006F7518">
        <w:t>&amp;</w:t>
      </w:r>
      <w:r>
        <w:t xml:space="preserve"> Norton, 2017</w:t>
      </w:r>
      <w:r w:rsidRPr="00D4040C">
        <w:t>)</w:t>
      </w:r>
      <w:r w:rsidRPr="00A17501">
        <w:rPr>
          <w:bCs/>
        </w:rPr>
        <w:t xml:space="preserve">. Although there is a paucity of research examining problem users’ use of NPS, prevalence for NPS use among problem drug user populations is estimated to be about 38% </w:t>
      </w:r>
      <w:r w:rsidRPr="00A17501">
        <w:t>(Bonar, Ashrafioun, Ilgen 2014) and for homeless street user populations about 31</w:t>
      </w:r>
      <w:r w:rsidRPr="00B10CC6">
        <w:t>% (Irving, 2017).</w:t>
      </w:r>
      <w:r>
        <w:t xml:space="preserve"> With rough sleeping and homelessness increasing significantly since 2010 (rough sleeping by 169% and homelessness by 48%: Joseph Rowntree Foundation, 2018) it can be expected that the number of vulnerable users of NPS will also have increased </w:t>
      </w:r>
      <w:r w:rsidRPr="00A74C88">
        <w:t xml:space="preserve">although </w:t>
      </w:r>
      <w:r w:rsidRPr="00A17501">
        <w:t>these rises will disproportionally affect older cohorts as people over the age of 25 are ten times more likely to become homeless than young people (ONS, 2018).</w:t>
      </w:r>
      <w:r w:rsidRPr="00A17501">
        <w:rPr>
          <w:bCs/>
        </w:rPr>
        <w:t xml:space="preserve"> </w:t>
      </w:r>
      <w:r w:rsidRPr="00B10CC6">
        <w:t>Evidence has shown that NPS are particularly problematic for vulnerabl</w:t>
      </w:r>
      <w:r w:rsidRPr="00A17501">
        <w:rPr>
          <w:bCs/>
        </w:rPr>
        <w:t xml:space="preserve">e street users </w:t>
      </w:r>
      <w:r w:rsidRPr="00B10CC6">
        <w:t xml:space="preserve">(Shapiro &amp; Daly, 2017) </w:t>
      </w:r>
      <w:r w:rsidRPr="00A17501">
        <w:rPr>
          <w:bCs/>
        </w:rPr>
        <w:t xml:space="preserve">with a survey of entrants to substance treatment centres finding that </w:t>
      </w:r>
      <w:r w:rsidRPr="00B10CC6">
        <w:t xml:space="preserve">25% used NPS as a primary substance (Gittins, </w:t>
      </w:r>
      <w:r w:rsidRPr="00A17501">
        <w:t xml:space="preserve">Guirguis, Schifano, Maidment, </w:t>
      </w:r>
      <w:r w:rsidRPr="00B10CC6">
        <w:t xml:space="preserve">2018). </w:t>
      </w:r>
      <w:r>
        <w:t xml:space="preserve">A study by Murphy et. al., (2010) found rates of NPS use amongst users of drug services to be as high as 70%, although not necessarily the primary reason for receiving treatment. </w:t>
      </w:r>
      <w:r w:rsidRPr="00B10CC6">
        <w:t xml:space="preserve">NPS use in populations of problem drug users is mostly related to use of synthetic cannabinoids </w:t>
      </w:r>
      <w:r w:rsidRPr="00A17501">
        <w:t>(Bonar, Ashrafioun, &amp; Ilgen 2014)</w:t>
      </w:r>
      <w:r w:rsidRPr="00B10CC6">
        <w:t xml:space="preserve"> due to the high addi</w:t>
      </w:r>
      <w:r>
        <w:t>c</w:t>
      </w:r>
      <w:r w:rsidRPr="00B10CC6">
        <w:t xml:space="preserve">tion potential of this group of drugs. Synthetic cannabinoid use in the context of problem drug use appears to have a close relationship with heroin use, with many users originally taking up synthetic cannabis as a </w:t>
      </w:r>
      <w:r w:rsidRPr="00A17501">
        <w:t xml:space="preserve">cheap way to manage heroin withdrawal during the heroin drought of 2010. </w:t>
      </w:r>
    </w:p>
    <w:p w14:paraId="64348F90" w14:textId="5E62650B" w:rsidR="00A64E15" w:rsidRPr="00A17501" w:rsidRDefault="00A64E15" w:rsidP="00A17501">
      <w:pPr>
        <w:spacing w:line="480" w:lineRule="auto"/>
      </w:pPr>
      <w:r w:rsidRPr="00A17501">
        <w:t>The introduction of the PS Act is believed to have negatively impacted dependent users most heavily. Black market dealers have been reported as targeting the most vulnerable users, selling surplus headshop stock at inflated prices. Increasingly</w:t>
      </w:r>
      <w:r w:rsidR="001C322C">
        <w:t>,</w:t>
      </w:r>
      <w:r w:rsidRPr="00A17501">
        <w:t xml:space="preserve"> however, shop-bought stock is being replaced with products manufactured by black</w:t>
      </w:r>
      <w:r w:rsidR="001C322C">
        <w:t>-</w:t>
      </w:r>
      <w:r w:rsidRPr="00A17501">
        <w:t>market suppliers with higher levels of potency and more inconsistent ingredients (DrugWise, 2017). The variability of strength and ingredients make accurate dosing harder and harmful outcomes more likely. Although qualitative studies indicate that many dependent users express a desire to stop using synthetic cannabis, the high addiction potential of some synthetic cannabinoids makes stopping difficult. Worryingly, several reports reveal that some users are reverting back to or taking up heroin to self-medicate from the effects of synthetic cannabis (</w:t>
      </w:r>
      <w:r w:rsidR="005F70CB" w:rsidRPr="00A17501">
        <w:t>Addaction, 2017</w:t>
      </w:r>
      <w:r w:rsidRPr="00A17501">
        <w:t xml:space="preserve">; Ralphs, Gray </w:t>
      </w:r>
      <w:r w:rsidR="006F7518">
        <w:t>&amp;</w:t>
      </w:r>
      <w:r w:rsidRPr="00A17501">
        <w:t xml:space="preserve"> Norton, 2017;</w:t>
      </w:r>
      <w:r w:rsidR="005F70CB" w:rsidRPr="005F70CB">
        <w:t xml:space="preserve"> </w:t>
      </w:r>
      <w:r w:rsidR="005F70CB" w:rsidRPr="00A17501">
        <w:t>Shapiro &amp; Daly, 2017</w:t>
      </w:r>
      <w:r w:rsidRPr="00A17501">
        <w:t>). In addition to the problems associated with synthetic cannabis use, there are also increasing reports of the emergence of synthetic opioids with particularly high harm potentials which are thought to account for a</w:t>
      </w:r>
      <w:r w:rsidRPr="00C92635">
        <w:rPr>
          <w:szCs w:val="24"/>
          <w:lang w:eastAsia="en-GB"/>
        </w:rPr>
        <w:t xml:space="preserve"> </w:t>
      </w:r>
      <w:r w:rsidRPr="00A17501">
        <w:rPr>
          <w:bCs/>
        </w:rPr>
        <w:t>significant proportion of NPS related deaths (EMCDDA, 2018).</w:t>
      </w:r>
    </w:p>
    <w:p w14:paraId="4F746174" w14:textId="32E33E84" w:rsidR="00A64E15" w:rsidRPr="00AA2F96" w:rsidRDefault="00A64E15" w:rsidP="000464DC">
      <w:pPr>
        <w:pStyle w:val="Heading3"/>
        <w:rPr>
          <w:rStyle w:val="NotesstructureChar"/>
          <w:color w:val="000000"/>
        </w:rPr>
      </w:pPr>
      <w:bookmarkStart w:id="155" w:name="_Toc9182766"/>
      <w:bookmarkStart w:id="156" w:name="_Toc35892531"/>
      <w:r w:rsidRPr="00AA2F96">
        <w:rPr>
          <w:rStyle w:val="NotesstructureChar"/>
          <w:color w:val="000000"/>
        </w:rPr>
        <w:t>Prisoners</w:t>
      </w:r>
      <w:bookmarkEnd w:id="155"/>
      <w:bookmarkEnd w:id="156"/>
    </w:p>
    <w:p w14:paraId="3ECB7D53" w14:textId="7FCB38D9" w:rsidR="00A64E15" w:rsidRPr="00A17501" w:rsidRDefault="00A64E15" w:rsidP="00A17501">
      <w:pPr>
        <w:spacing w:line="480" w:lineRule="auto"/>
      </w:pPr>
      <w:r w:rsidRPr="00A17501">
        <w:t>A growing area of concern is the link between NPS use and inmate populations where prevalence is found to be considerably higher than the general population with estimates of use ranging from about 18% to 50% of inmate populations (</w:t>
      </w:r>
      <w:r w:rsidR="005F70CB" w:rsidRPr="00A17501">
        <w:t>EMCDDA, 2018</w:t>
      </w:r>
      <w:r w:rsidR="005F70CB">
        <w:t xml:space="preserve">; </w:t>
      </w:r>
      <w:r w:rsidRPr="00A17501">
        <w:t>Scottish Prisoner Survey, 2017; User Voice, 2016). In contrast to decreasing rates of use in the general population, and decreasing rates of overall drug use in prisons, use of NPS by inmates has shown an increase between 2015 and 2017, and as a result</w:t>
      </w:r>
      <w:r w:rsidR="001C322C">
        <w:t>,</w:t>
      </w:r>
      <w:r w:rsidRPr="00A17501">
        <w:t xml:space="preserve"> more prisoners are using NPS for the first time after entering prison (</w:t>
      </w:r>
      <w:r w:rsidR="005F70CB" w:rsidRPr="00A17501">
        <w:t>HM Government, 2018</w:t>
      </w:r>
      <w:r w:rsidR="005F70CB">
        <w:t xml:space="preserve">; </w:t>
      </w:r>
      <w:r w:rsidRPr="00A17501">
        <w:t>Scottish Prisoner Survey, 2017). Synthetic cannabis has also been found to be the main NPS used in prisons (Scottish Prisoner Survey, 2017; User Voice, 2016).</w:t>
      </w:r>
    </w:p>
    <w:p w14:paraId="1F93BF5B" w14:textId="1BBE05E2" w:rsidR="00A64E15" w:rsidRPr="000464DC" w:rsidRDefault="00A64E15" w:rsidP="000464DC">
      <w:pPr>
        <w:pStyle w:val="Heading3"/>
      </w:pPr>
      <w:bookmarkStart w:id="157" w:name="_Toc9182767"/>
      <w:bookmarkStart w:id="158" w:name="_Toc35892532"/>
      <w:r w:rsidRPr="000464DC">
        <w:rPr>
          <w:rStyle w:val="Heading3Char"/>
          <w:b/>
          <w:bCs/>
        </w:rPr>
        <w:t>Summary of prevalence</w:t>
      </w:r>
      <w:bookmarkEnd w:id="157"/>
      <w:bookmarkEnd w:id="158"/>
    </w:p>
    <w:p w14:paraId="0220D69C" w14:textId="3250E594" w:rsidR="00A64E15" w:rsidRPr="00A17501" w:rsidRDefault="00A64E15" w:rsidP="00A17501">
      <w:pPr>
        <w:spacing w:line="480" w:lineRule="auto"/>
      </w:pPr>
      <w:r w:rsidRPr="00A17501">
        <w:t>Within the available literature on NPS, estimates of the prevalence of NPS use show huge variation, ranging from 0.5% to 87% across the full set of samples found. The highest rates of use were seen in populations of existing drug users and people using drugs services of whom between about 40-90% of people within the samples had used NPS. Studies examining these groups tended to use non-representative samples and self-nominating recruitment measures so the high prevalence in these samples is not surprising</w:t>
      </w:r>
      <w:r w:rsidRPr="003E3DEA">
        <w:t>.</w:t>
      </w:r>
      <w:r w:rsidRPr="00A17501">
        <w:t xml:space="preserve"> Nevertheless, surveys of recreational drug users suggest that a significant majority of users of traditional drugs have experimented with NPS and the correlation between use of NPS and classic recreational drugs appears to be high, and potentially relatively unaffected by the ban. In dependent drug user populations prevalence of NPS use also appears to be high</w:t>
      </w:r>
      <w:r w:rsidR="001C322C">
        <w:t>,</w:t>
      </w:r>
      <w:r w:rsidRPr="00A17501">
        <w:t xml:space="preserve"> though the impact of the ban on prevalence remains unclear, with reports of continued use as well as switching back to traditional drugs. </w:t>
      </w:r>
    </w:p>
    <w:p w14:paraId="40D5DC43" w14:textId="77777777" w:rsidR="00A64E15" w:rsidRPr="00A17501" w:rsidRDefault="00A64E15" w:rsidP="00A17501">
      <w:pPr>
        <w:spacing w:line="480" w:lineRule="auto"/>
      </w:pPr>
      <w:r w:rsidRPr="00A17501">
        <w:t xml:space="preserve">In contrast, estimates for the prevalence of NPS use in the general population are significantly lower, with about 4-6% of young people in England and Wales estimated to have tired using NPS. Relative to other commonly used recreational drugs, NPS use can be said to be low. This has led to some commentators warn against exaggerating the significance of NPS (e.g., ACMD, 2011; Shapiro, 2011). </w:t>
      </w:r>
    </w:p>
    <w:p w14:paraId="676FDC05" w14:textId="31D39A51" w:rsidR="00A64E15" w:rsidRPr="00A17501" w:rsidRDefault="00A64E15" w:rsidP="00A17501">
      <w:pPr>
        <w:spacing w:line="480" w:lineRule="auto"/>
      </w:pPr>
      <w:r w:rsidRPr="00A17501">
        <w:t>Although the large samples and random sampling methods of the general population surveys mean they are likely to be more robust than the stand-alone studies based on self-nominating methods and small samples, general population surveys are recognised as being relatively ineffective at accessing hard to reach groups such as marginalised populations and alternative subcultures (BCS, 2011).  In only collecting data obtained from residential homes data from other types of residence are systematically omitted. For example, data from multiple occupancy buildings such as student accommodation, homes for children in care, treatment centres, youth justice centres, and those who are homeless or without a registered address are not routinely captured. Consequently, the non-representative studies offer insights into some of the very populations the general surveys will have missed. With prevalence of NPS use considerably higher in some hard to reach populations, it seems very likely that use of NPS in household surveys is significantly underreported. Even within the general residential population, there is likely to be bias</w:t>
      </w:r>
      <w:r w:rsidR="001C322C">
        <w:t>ed</w:t>
      </w:r>
      <w:r w:rsidRPr="00A17501">
        <w:t xml:space="preserve"> against </w:t>
      </w:r>
      <w:r w:rsidR="001C322C">
        <w:t xml:space="preserve">the </w:t>
      </w:r>
      <w:r w:rsidRPr="00A17501">
        <w:t>inclusion of problematic drug users since their lives are often more chaotic and they may not be easily available at home or the phone (BCS, 2011). In addition, drug</w:t>
      </w:r>
      <w:r w:rsidR="001C322C">
        <w:t>-</w:t>
      </w:r>
      <w:r w:rsidRPr="00A17501">
        <w:t xml:space="preserve">taking behaviour is a sensitive issue, and people may be less willing to report drug use than other health behaviours. </w:t>
      </w:r>
    </w:p>
    <w:p w14:paraId="495888F4" w14:textId="678D015D" w:rsidR="00A64E15" w:rsidRPr="00A17501" w:rsidRDefault="00A64E15" w:rsidP="00A17501">
      <w:pPr>
        <w:spacing w:line="480" w:lineRule="auto"/>
      </w:pPr>
      <w:r w:rsidRPr="00A17501">
        <w:t>Prior to the ban</w:t>
      </w:r>
      <w:r w:rsidR="001C322C">
        <w:t>,</w:t>
      </w:r>
      <w:r w:rsidRPr="00A17501">
        <w:t xml:space="preserve"> there was generally</w:t>
      </w:r>
      <w:r w:rsidR="001C322C">
        <w:t xml:space="preserve"> a</w:t>
      </w:r>
      <w:r w:rsidRPr="00A17501">
        <w:t xml:space="preserve"> consensus within the literature that the use of NPS appeared to be widespread and increasing (e.g. NAW, 2015), but recent trend data suggests use of NPS may be decreasing. Although there are many encouraging signs there are also reasons that jumping to conclusions about the success of the PS Act might be premature. With only a single year of data post-implementation</w:t>
      </w:r>
      <w:r w:rsidR="001C322C">
        <w:t>,</w:t>
      </w:r>
      <w:r w:rsidRPr="00A17501">
        <w:t xml:space="preserve"> there is insufficient data to draw any firm conclusions about the impact of the ban on user prevalence. Even the four years of annual usage data available for NPS is short relative to drug market fluctuations, and so the full impact of the ban is likely to remain unclear for several more years. In addition, the variability of methodology, terminology, drug classification and inclusion criteria used in surveys and studies makes comparisons between studies and time periods problematic when trying to examine changes over time.</w:t>
      </w:r>
    </w:p>
    <w:p w14:paraId="648ACA03" w14:textId="2FD9B8BF" w:rsidR="00A64E15" w:rsidRPr="00A17501" w:rsidRDefault="00A64E15" w:rsidP="00A17501">
      <w:pPr>
        <w:spacing w:line="480" w:lineRule="auto"/>
      </w:pPr>
      <w:r w:rsidRPr="00A17501">
        <w:t>Nevertheless, overall, the findings from the studies and reports reviewed suggest that some users may be moving away from using NPS, but in different ways for different users. While some occasional recreational users of NPS might be stopping use, some users appear to be reverting to use of traditional drugs. What is not known</w:t>
      </w:r>
      <w:r w:rsidR="001C322C">
        <w:t>,</w:t>
      </w:r>
      <w:r w:rsidRPr="00A17501">
        <w:t xml:space="preserve"> however, is to what extent the easy availability of NPS has introduced people who might not otherwise have used drugs to new habits and behaviours. Understanding the different types of users, their different perceptions of NPS and their motivations for using and not using them is vital for intervention development. However, despite clear evidence of several distinct user types within the literature</w:t>
      </w:r>
      <w:r w:rsidR="001C322C">
        <w:t>,</w:t>
      </w:r>
      <w:r w:rsidRPr="00A17501">
        <w:t xml:space="preserve"> there remains a strong tendency within key reports on NPS, including Government reports, to assume NPS use is predominantly confined to existing users of traditional illicit drugs (ACMD, 2011; HM Government, 2014; 2018). If, however, various NPS users differ in important ways to users of traditional drugs it becomes a priority to understand the attitudes, knowledge and behaviours of people using NPS </w:t>
      </w:r>
      <w:r w:rsidR="001C322C">
        <w:t>so</w:t>
      </w:r>
      <w:r w:rsidRPr="00A17501">
        <w:t xml:space="preserve"> that effective interventions can be developed (NAW, 2015). </w:t>
      </w:r>
      <w:bookmarkStart w:id="159" w:name="_Hlk536014309"/>
      <w:bookmarkEnd w:id="159"/>
    </w:p>
    <w:p w14:paraId="3B74B8F8" w14:textId="2FDBE8D5" w:rsidR="00A64E15" w:rsidRPr="000464DC" w:rsidRDefault="00A64E15" w:rsidP="000464DC">
      <w:pPr>
        <w:pStyle w:val="Heading2"/>
      </w:pPr>
      <w:bookmarkStart w:id="160" w:name="_Toc9182768"/>
      <w:bookmarkStart w:id="161" w:name="_Toc35892533"/>
      <w:r w:rsidRPr="000464DC">
        <w:t>Harms associated with NPS</w:t>
      </w:r>
      <w:bookmarkEnd w:id="160"/>
      <w:bookmarkEnd w:id="161"/>
      <w:r w:rsidRPr="000464DC">
        <w:t xml:space="preserve"> </w:t>
      </w:r>
    </w:p>
    <w:p w14:paraId="4CF182B7" w14:textId="18689F9F" w:rsidR="00810772" w:rsidRPr="004E22B9" w:rsidRDefault="00810772" w:rsidP="00810772">
      <w:pPr>
        <w:spacing w:line="480" w:lineRule="auto"/>
      </w:pPr>
      <w:r w:rsidRPr="004E22B9">
        <w:t xml:space="preserve">Pressure for action on legal highs arose in response to concerns about their harm potential, largely based on sharp rises reported in NPS related mortality. However, assessing the harms associated with these drugs is immensely difficult, in large part due to the challenges of identification and detection. Data on NPS related harms is typically gathered via information on self-reported symptoms, clinical presentations or identification at post-mortem. However, for harms to be linked with a drug it first must be identifiable, something which generally depends on a substance being well-established within the drug market and having drug testing available. The pace and scale of novel drugs emerging onto the market presents an extremely challenging situation for the detection of NPS by medical professionals, while the absence of accurate information on products and the regular substitution of chemicals makes recognition of individual substances highly unreliable. Nevertheless, it is widely acknowledged that many NPS are potentially harmful (e.g. </w:t>
      </w:r>
      <w:r w:rsidR="005F70CB" w:rsidRPr="004E22B9">
        <w:t>ACMD, 2011</w:t>
      </w:r>
      <w:r w:rsidR="005F70CB">
        <w:t>;</w:t>
      </w:r>
      <w:r w:rsidR="005F70CB" w:rsidRPr="004E22B9">
        <w:t xml:space="preserve"> Barnard et al., 2014; EMCDDA, 2014</w:t>
      </w:r>
      <w:r w:rsidR="00D40BCF">
        <w:t>)</w:t>
      </w:r>
      <w:r w:rsidRPr="004E22B9">
        <w:t xml:space="preserve"> and a patchwork of evidence from mortality figures, health centre admissions and qualitative studies is mounting to reveal the dangers of NPS use.</w:t>
      </w:r>
    </w:p>
    <w:p w14:paraId="0C050918" w14:textId="61EC134C" w:rsidR="00A64E15" w:rsidRPr="000464DC" w:rsidRDefault="00A64E15" w:rsidP="000464DC">
      <w:pPr>
        <w:pStyle w:val="Heading3"/>
        <w:rPr>
          <w:rStyle w:val="Heading2Char"/>
          <w:rFonts w:eastAsiaTheme="minorEastAsia"/>
          <w:b/>
          <w:bCs/>
          <w:sz w:val="22"/>
          <w:szCs w:val="22"/>
        </w:rPr>
      </w:pPr>
      <w:bookmarkStart w:id="162" w:name="_Toc9182770"/>
      <w:bookmarkStart w:id="163" w:name="_Toc35892534"/>
      <w:r w:rsidRPr="000464DC">
        <w:rPr>
          <w:rStyle w:val="Heading2Char"/>
          <w:b/>
          <w:bCs/>
          <w:sz w:val="22"/>
          <w:szCs w:val="22"/>
        </w:rPr>
        <w:t>Unknown harms</w:t>
      </w:r>
      <w:bookmarkEnd w:id="162"/>
      <w:bookmarkEnd w:id="163"/>
    </w:p>
    <w:p w14:paraId="383A916C" w14:textId="77777777" w:rsidR="00A64E15" w:rsidRPr="00E81D8F" w:rsidRDefault="00A64E15" w:rsidP="00A64E15">
      <w:pPr>
        <w:widowControl w:val="0"/>
        <w:autoSpaceDE w:val="0"/>
        <w:autoSpaceDN w:val="0"/>
        <w:adjustRightInd w:val="0"/>
        <w:spacing w:line="480" w:lineRule="auto"/>
        <w:rPr>
          <w:szCs w:val="24"/>
          <w:lang w:val="en-US"/>
        </w:rPr>
      </w:pPr>
      <w:r w:rsidRPr="00E81D8F">
        <w:rPr>
          <w:szCs w:val="24"/>
          <w:lang w:val="en-US"/>
        </w:rPr>
        <w:t>In contrast to traditional drugs</w:t>
      </w:r>
      <w:r>
        <w:rPr>
          <w:szCs w:val="24"/>
          <w:lang w:val="en-US"/>
        </w:rPr>
        <w:t xml:space="preserve"> of abuse</w:t>
      </w:r>
      <w:r w:rsidRPr="00E81D8F">
        <w:rPr>
          <w:szCs w:val="24"/>
          <w:lang w:val="en-US"/>
        </w:rPr>
        <w:t xml:space="preserve"> such as cannabis, cocaine, ecstasy and heroin, the harm potential of the majority of NPS </w:t>
      </w:r>
      <w:r>
        <w:rPr>
          <w:szCs w:val="24"/>
          <w:lang w:val="en-US"/>
        </w:rPr>
        <w:t>is</w:t>
      </w:r>
      <w:r w:rsidRPr="00E81D8F">
        <w:rPr>
          <w:szCs w:val="24"/>
          <w:lang w:val="en-US"/>
        </w:rPr>
        <w:t xml:space="preserve"> largely unknown. Although </w:t>
      </w:r>
      <w:r>
        <w:rPr>
          <w:szCs w:val="24"/>
          <w:lang w:val="en-US"/>
        </w:rPr>
        <w:t xml:space="preserve">large </w:t>
      </w:r>
      <w:r w:rsidRPr="00E81D8F">
        <w:rPr>
          <w:szCs w:val="24"/>
          <w:lang w:val="en-US"/>
        </w:rPr>
        <w:t xml:space="preserve">numbers of NPS </w:t>
      </w:r>
      <w:r>
        <w:rPr>
          <w:szCs w:val="24"/>
          <w:lang w:val="en-US"/>
        </w:rPr>
        <w:t>have been</w:t>
      </w:r>
      <w:r w:rsidRPr="00E81D8F">
        <w:rPr>
          <w:szCs w:val="24"/>
          <w:lang w:val="en-US"/>
        </w:rPr>
        <w:t xml:space="preserve"> reported to the EU Early Warning System it is impossible to know how many remain undetected. With insufficient samples obtained through police seizures and border controls, substances are not profiled for detection and may continue to pass unnoticed in drug tests. Even for NPS which are discovered, inclusion in routine tests remains dependent on establishing clear links with detrimental effects and evidence of frequent use. In 2014, when 101 new substances were identified, European risk assessments were carried out on </w:t>
      </w:r>
      <w:r>
        <w:rPr>
          <w:szCs w:val="24"/>
          <w:lang w:val="en-US"/>
        </w:rPr>
        <w:t>six</w:t>
      </w:r>
      <w:r w:rsidRPr="00E81D8F">
        <w:rPr>
          <w:szCs w:val="24"/>
          <w:lang w:val="en-US"/>
        </w:rPr>
        <w:t xml:space="preserve"> (EMCDDA, 2015).  Although some predictions of harm potential could be based on the chemical structure of new compounds, even small changes in chemical structure can result in notably different physiological and psychological </w:t>
      </w:r>
      <w:r w:rsidRPr="001746A4">
        <w:rPr>
          <w:color w:val="000000" w:themeColor="text1"/>
          <w:szCs w:val="24"/>
          <w:lang w:val="en-US"/>
        </w:rPr>
        <w:t>effects</w:t>
      </w:r>
      <w:r w:rsidRPr="001746A4">
        <w:rPr>
          <w:rStyle w:val="NotesstructureChar"/>
          <w:color w:val="000000" w:themeColor="text1"/>
        </w:rPr>
        <w:t xml:space="preserve"> (ACMD, 2011).</w:t>
      </w:r>
      <w:r w:rsidRPr="001746A4">
        <w:rPr>
          <w:color w:val="000000" w:themeColor="text1"/>
          <w:szCs w:val="24"/>
          <w:lang w:val="en-US"/>
        </w:rPr>
        <w:t xml:space="preserve">  </w:t>
      </w:r>
    </w:p>
    <w:p w14:paraId="39E99C73" w14:textId="22C60349" w:rsidR="00A64E15" w:rsidRDefault="00A64E15" w:rsidP="00A64E15">
      <w:pPr>
        <w:widowControl w:val="0"/>
        <w:autoSpaceDE w:val="0"/>
        <w:autoSpaceDN w:val="0"/>
        <w:adjustRightInd w:val="0"/>
        <w:spacing w:line="480" w:lineRule="auto"/>
        <w:rPr>
          <w:szCs w:val="24"/>
        </w:rPr>
      </w:pPr>
      <w:r w:rsidRPr="00E81D8F">
        <w:rPr>
          <w:szCs w:val="24"/>
        </w:rPr>
        <w:t>In many instances, the first sign of the emergence of a new psychoactive substance is when users present at medical centres with distressing symptoms. Even then, it is extremely difficult to link drug harms with specific substances prior to the drugs being recognised, well established and in frequent use. To compound the issue further, hospital admissions correlate highly with polydrug use and adverse reactions may commonly be attributed to better</w:t>
      </w:r>
      <w:r w:rsidR="001C322C">
        <w:rPr>
          <w:szCs w:val="24"/>
        </w:rPr>
        <w:t>-</w:t>
      </w:r>
      <w:r w:rsidRPr="00E81D8F">
        <w:rPr>
          <w:szCs w:val="24"/>
        </w:rPr>
        <w:t>known substances if blood tests return a positive result. Even when NPS use is admitted or suspected, users may be unaware of what they have taken, and if a brand name is identified, lack of consistency in brand ingredients may prevent accurate identification of harmful substances.</w:t>
      </w:r>
    </w:p>
    <w:p w14:paraId="5223B4CE" w14:textId="169BD742" w:rsidR="00A64E15" w:rsidRPr="000464DC" w:rsidRDefault="00A64E15" w:rsidP="00C92BD2">
      <w:pPr>
        <w:pStyle w:val="Heading3"/>
        <w:numPr>
          <w:ilvl w:val="2"/>
          <w:numId w:val="3"/>
        </w:numPr>
      </w:pPr>
      <w:bookmarkStart w:id="164" w:name="_Toc9182771"/>
      <w:bookmarkStart w:id="165" w:name="_Toc35892535"/>
      <w:r w:rsidRPr="000464DC">
        <w:t>Harmful effects</w:t>
      </w:r>
      <w:bookmarkEnd w:id="164"/>
      <w:bookmarkEnd w:id="165"/>
    </w:p>
    <w:p w14:paraId="3EDC122F" w14:textId="4638B9F1" w:rsidR="00A64E15" w:rsidRPr="00E81D8F" w:rsidRDefault="00A64E15" w:rsidP="00A64E15">
      <w:pPr>
        <w:widowControl w:val="0"/>
        <w:autoSpaceDE w:val="0"/>
        <w:autoSpaceDN w:val="0"/>
        <w:adjustRightInd w:val="0"/>
        <w:spacing w:line="480" w:lineRule="auto"/>
        <w:rPr>
          <w:szCs w:val="24"/>
        </w:rPr>
      </w:pPr>
      <w:r w:rsidRPr="00E81D8F">
        <w:rPr>
          <w:szCs w:val="24"/>
        </w:rPr>
        <w:t>Numerous physical, psychological and social harms associated with NPS use have been identified through self-report and survey studies</w:t>
      </w:r>
      <w:r>
        <w:rPr>
          <w:szCs w:val="24"/>
        </w:rPr>
        <w:t xml:space="preserve">. References to harms associated with NPS use from a selection of studies have been collated and are presented in </w:t>
      </w:r>
      <w:r w:rsidRPr="00E81D8F">
        <w:rPr>
          <w:szCs w:val="24"/>
        </w:rPr>
        <w:t xml:space="preserve">table </w:t>
      </w:r>
      <w:r w:rsidR="00065C11">
        <w:rPr>
          <w:szCs w:val="24"/>
        </w:rPr>
        <w:t>2-</w:t>
      </w:r>
      <w:r>
        <w:rPr>
          <w:szCs w:val="24"/>
        </w:rPr>
        <w:t>3</w:t>
      </w:r>
      <w:r w:rsidRPr="00E81D8F">
        <w:rPr>
          <w:szCs w:val="24"/>
        </w:rPr>
        <w:t xml:space="preserve">. </w:t>
      </w:r>
    </w:p>
    <w:p w14:paraId="1BB27CA1" w14:textId="77777777" w:rsidR="00A64E15" w:rsidRPr="001746A4" w:rsidRDefault="00A64E15" w:rsidP="00A64E15">
      <w:pPr>
        <w:widowControl w:val="0"/>
        <w:autoSpaceDE w:val="0"/>
        <w:autoSpaceDN w:val="0"/>
        <w:adjustRightInd w:val="0"/>
        <w:spacing w:line="480" w:lineRule="auto"/>
        <w:rPr>
          <w:color w:val="000000" w:themeColor="text1"/>
          <w:szCs w:val="24"/>
        </w:rPr>
      </w:pPr>
      <w:r w:rsidRPr="00E81D8F">
        <w:rPr>
          <w:szCs w:val="24"/>
        </w:rPr>
        <w:t>The most common negative effects associated with use of NPS were</w:t>
      </w:r>
      <w:r>
        <w:rPr>
          <w:szCs w:val="24"/>
        </w:rPr>
        <w:t xml:space="preserve"> reported as</w:t>
      </w:r>
      <w:r w:rsidRPr="00E81D8F">
        <w:rPr>
          <w:szCs w:val="24"/>
        </w:rPr>
        <w:t xml:space="preserve"> headaches, </w:t>
      </w:r>
      <w:r w:rsidRPr="001746A4">
        <w:rPr>
          <w:color w:val="000000" w:themeColor="text1"/>
          <w:szCs w:val="24"/>
        </w:rPr>
        <w:t xml:space="preserve">dizziness, nausea/vomiting, palpitations, fatigue, anxiety and depression. These of symptoms are largely consistent with the acute effects of commonly used recreational drugs, including cannabis, stimulants, hallucinogens, dissociatives depressants and opioids </w:t>
      </w:r>
      <w:r w:rsidRPr="001746A4">
        <w:rPr>
          <w:rStyle w:val="NotesstructureChar"/>
          <w:color w:val="000000" w:themeColor="text1"/>
        </w:rPr>
        <w:t>(EMCDDA, 2012)</w:t>
      </w:r>
      <w:r w:rsidRPr="001746A4">
        <w:rPr>
          <w:color w:val="000000" w:themeColor="text1"/>
          <w:szCs w:val="24"/>
        </w:rPr>
        <w:t xml:space="preserve">. Little is known about chronic harms related to long-term use of NPS </w:t>
      </w:r>
      <w:r w:rsidRPr="001746A4">
        <w:rPr>
          <w:rStyle w:val="NotesstructureChar"/>
          <w:color w:val="000000" w:themeColor="text1"/>
        </w:rPr>
        <w:t>(EMCDDA, 2017).</w:t>
      </w:r>
    </w:p>
    <w:p w14:paraId="2963E104" w14:textId="77777777" w:rsidR="00A64E15" w:rsidRPr="00E81D8F" w:rsidRDefault="00A64E15" w:rsidP="00A64E15">
      <w:pPr>
        <w:widowControl w:val="0"/>
        <w:autoSpaceDE w:val="0"/>
        <w:autoSpaceDN w:val="0"/>
        <w:adjustRightInd w:val="0"/>
        <w:spacing w:line="480" w:lineRule="auto"/>
        <w:rPr>
          <w:lang w:val="en-US"/>
        </w:rPr>
      </w:pPr>
      <w:r w:rsidRPr="00E81D8F">
        <w:rPr>
          <w:szCs w:val="24"/>
        </w:rPr>
        <w:t>Self-report and case-study methods have provided a useful way to gather growing evidence about the harms of NPS use, but due to methodological limitations the specific substances consumed are rarely verified with chemical testing, so evidence remains suggestive rather than definitive. However, with</w:t>
      </w:r>
      <w:r w:rsidRPr="00E81D8F">
        <w:rPr>
          <w:szCs w:val="24"/>
          <w:lang w:val="en-US"/>
        </w:rPr>
        <w:t xml:space="preserve"> current drug legislation in the UK rendering laboratory testing of recreational drugs largely unfeasible</w:t>
      </w:r>
      <w:r>
        <w:rPr>
          <w:szCs w:val="24"/>
          <w:lang w:val="en-US"/>
        </w:rPr>
        <w:t>,</w:t>
      </w:r>
      <w:r w:rsidRPr="00E81D8F">
        <w:rPr>
          <w:szCs w:val="24"/>
          <w:lang w:val="en-US"/>
        </w:rPr>
        <w:t xml:space="preserve"> the evidence base for the harmful effects of NPS use remains heavily reliant on such self-report and observational studies.</w:t>
      </w:r>
      <w:r w:rsidRPr="00E81D8F">
        <w:rPr>
          <w:lang w:val="en-US"/>
        </w:rPr>
        <w:t xml:space="preserve"> </w:t>
      </w:r>
    </w:p>
    <w:p w14:paraId="06DAF658" w14:textId="77777777" w:rsidR="00A64E15" w:rsidRDefault="00A64E15" w:rsidP="00A64E15">
      <w:pPr>
        <w:widowControl w:val="0"/>
        <w:autoSpaceDE w:val="0"/>
        <w:autoSpaceDN w:val="0"/>
        <w:adjustRightInd w:val="0"/>
        <w:spacing w:line="480" w:lineRule="auto"/>
        <w:rPr>
          <w:szCs w:val="24"/>
        </w:rPr>
      </w:pPr>
    </w:p>
    <w:p w14:paraId="796E95E9" w14:textId="77777777" w:rsidR="00DE1191" w:rsidRDefault="00DE1191">
      <w:r>
        <w:br w:type="page"/>
      </w:r>
    </w:p>
    <w:p w14:paraId="19292F64" w14:textId="490C56E6" w:rsidR="00A64E15" w:rsidRPr="000427F1" w:rsidRDefault="00A64E15" w:rsidP="000334B1">
      <w:pPr>
        <w:pStyle w:val="TableHeader"/>
        <w:rPr>
          <w:b/>
        </w:rPr>
      </w:pPr>
      <w:bookmarkStart w:id="166" w:name="_Hlk9416644"/>
      <w:bookmarkStart w:id="167" w:name="_Toc9509030"/>
      <w:r w:rsidRPr="000427F1">
        <w:rPr>
          <w:b/>
        </w:rPr>
        <w:t xml:space="preserve">Table </w:t>
      </w:r>
      <w:r w:rsidR="00195751" w:rsidRPr="000427F1">
        <w:rPr>
          <w:b/>
        </w:rPr>
        <w:t>2-</w:t>
      </w:r>
      <w:r w:rsidRPr="000427F1">
        <w:rPr>
          <w:b/>
        </w:rPr>
        <w:t xml:space="preserve">3. </w:t>
      </w:r>
      <w:bookmarkEnd w:id="166"/>
      <w:r w:rsidRPr="000427F1">
        <w:rPr>
          <w:b/>
        </w:rPr>
        <w:t>Range of NPS harms identified through self-report and case studies of users</w:t>
      </w:r>
      <w:bookmarkEnd w:id="167"/>
      <w:r w:rsidRPr="000427F1">
        <w:rPr>
          <w:b/>
        </w:rPr>
        <w:t xml:space="preserve"> </w:t>
      </w:r>
    </w:p>
    <w:tbl>
      <w:tblPr>
        <w:tblStyle w:val="TableGrid"/>
        <w:tblW w:w="9280" w:type="dxa"/>
        <w:tblLayout w:type="fixed"/>
        <w:tblLook w:val="04A0" w:firstRow="1" w:lastRow="0" w:firstColumn="1" w:lastColumn="0" w:noHBand="0" w:noVBand="1"/>
      </w:tblPr>
      <w:tblGrid>
        <w:gridCol w:w="2146"/>
        <w:gridCol w:w="3065"/>
        <w:gridCol w:w="4069"/>
      </w:tblGrid>
      <w:tr w:rsidR="00D66AF4" w:rsidRPr="000427F1" w14:paraId="4EA09B65" w14:textId="77777777" w:rsidTr="007E7BB9">
        <w:tc>
          <w:tcPr>
            <w:tcW w:w="2146" w:type="dxa"/>
            <w:tcBorders>
              <w:top w:val="single" w:sz="4" w:space="0" w:color="auto"/>
              <w:left w:val="nil"/>
              <w:bottom w:val="single" w:sz="4" w:space="0" w:color="auto"/>
              <w:right w:val="nil"/>
            </w:tcBorders>
          </w:tcPr>
          <w:p w14:paraId="49E67FA0" w14:textId="77777777" w:rsidR="00D66AF4" w:rsidRPr="000427F1" w:rsidRDefault="00D66AF4" w:rsidP="00AA2F96">
            <w:pPr>
              <w:spacing w:before="120" w:line="360" w:lineRule="auto"/>
              <w:rPr>
                <w:b/>
              </w:rPr>
            </w:pPr>
            <w:r w:rsidRPr="000427F1">
              <w:rPr>
                <w:b/>
              </w:rPr>
              <w:t xml:space="preserve">Physical harms </w:t>
            </w:r>
          </w:p>
        </w:tc>
        <w:tc>
          <w:tcPr>
            <w:tcW w:w="3065" w:type="dxa"/>
            <w:tcBorders>
              <w:top w:val="single" w:sz="4" w:space="0" w:color="auto"/>
              <w:left w:val="nil"/>
              <w:bottom w:val="single" w:sz="4" w:space="0" w:color="auto"/>
              <w:right w:val="nil"/>
            </w:tcBorders>
          </w:tcPr>
          <w:p w14:paraId="2ABB0653" w14:textId="77777777" w:rsidR="00D66AF4" w:rsidRPr="000427F1" w:rsidRDefault="00D66AF4" w:rsidP="00AA2F96">
            <w:pPr>
              <w:spacing w:before="120" w:line="360" w:lineRule="auto"/>
              <w:rPr>
                <w:b/>
              </w:rPr>
            </w:pPr>
          </w:p>
        </w:tc>
        <w:tc>
          <w:tcPr>
            <w:tcW w:w="4069" w:type="dxa"/>
            <w:tcBorders>
              <w:top w:val="single" w:sz="4" w:space="0" w:color="auto"/>
              <w:left w:val="nil"/>
              <w:bottom w:val="single" w:sz="4" w:space="0" w:color="auto"/>
              <w:right w:val="nil"/>
            </w:tcBorders>
          </w:tcPr>
          <w:p w14:paraId="63EE78E3" w14:textId="77777777" w:rsidR="00D66AF4" w:rsidRPr="000427F1" w:rsidRDefault="00D66AF4" w:rsidP="00AA2F96">
            <w:pPr>
              <w:spacing w:before="120" w:line="360" w:lineRule="auto"/>
              <w:rPr>
                <w:b/>
              </w:rPr>
            </w:pPr>
          </w:p>
        </w:tc>
      </w:tr>
      <w:tr w:rsidR="00D66AF4" w:rsidRPr="00D66AF4" w14:paraId="666797AF" w14:textId="77777777" w:rsidTr="007E7BB9">
        <w:tc>
          <w:tcPr>
            <w:tcW w:w="2146" w:type="dxa"/>
            <w:tcBorders>
              <w:top w:val="single" w:sz="4" w:space="0" w:color="auto"/>
              <w:left w:val="nil"/>
              <w:bottom w:val="nil"/>
              <w:right w:val="nil"/>
            </w:tcBorders>
          </w:tcPr>
          <w:p w14:paraId="36FC9A34" w14:textId="77777777" w:rsidR="00D66AF4" w:rsidRPr="00D66AF4" w:rsidRDefault="00D66AF4" w:rsidP="00AA2F96">
            <w:pPr>
              <w:spacing w:before="120" w:line="360" w:lineRule="auto"/>
            </w:pPr>
          </w:p>
        </w:tc>
        <w:tc>
          <w:tcPr>
            <w:tcW w:w="3065" w:type="dxa"/>
            <w:tcBorders>
              <w:top w:val="single" w:sz="4" w:space="0" w:color="auto"/>
              <w:left w:val="nil"/>
              <w:bottom w:val="nil"/>
              <w:right w:val="nil"/>
            </w:tcBorders>
          </w:tcPr>
          <w:p w14:paraId="13B47EC1" w14:textId="77777777" w:rsidR="00D66AF4" w:rsidRPr="00D66AF4" w:rsidRDefault="00D66AF4" w:rsidP="00AA2F96">
            <w:pPr>
              <w:spacing w:before="120" w:line="360" w:lineRule="auto"/>
            </w:pPr>
            <w:r w:rsidRPr="00D66AF4">
              <w:t>Headaches</w:t>
            </w:r>
          </w:p>
        </w:tc>
        <w:tc>
          <w:tcPr>
            <w:tcW w:w="4069" w:type="dxa"/>
            <w:tcBorders>
              <w:top w:val="single" w:sz="4" w:space="0" w:color="auto"/>
              <w:left w:val="nil"/>
              <w:bottom w:val="nil"/>
              <w:right w:val="nil"/>
            </w:tcBorders>
          </w:tcPr>
          <w:p w14:paraId="0E6F7EFE" w14:textId="77777777" w:rsidR="00D66AF4" w:rsidRPr="00AA2F96" w:rsidRDefault="00D66AF4" w:rsidP="00AA2F96">
            <w:pPr>
              <w:spacing w:before="120" w:line="360" w:lineRule="auto"/>
              <w:rPr>
                <w:sz w:val="22"/>
              </w:rPr>
            </w:pPr>
            <w:r w:rsidRPr="00AA2F96">
              <w:rPr>
                <w:sz w:val="22"/>
              </w:rPr>
              <w:t>[1][3][5][14][16][17]</w:t>
            </w:r>
          </w:p>
        </w:tc>
      </w:tr>
      <w:tr w:rsidR="00D66AF4" w:rsidRPr="00D66AF4" w14:paraId="4C247F15" w14:textId="77777777" w:rsidTr="007E7BB9">
        <w:tc>
          <w:tcPr>
            <w:tcW w:w="2146" w:type="dxa"/>
            <w:tcBorders>
              <w:top w:val="nil"/>
              <w:left w:val="nil"/>
              <w:bottom w:val="nil"/>
              <w:right w:val="nil"/>
            </w:tcBorders>
          </w:tcPr>
          <w:p w14:paraId="2F33045E" w14:textId="77777777" w:rsidR="00D66AF4" w:rsidRPr="00D66AF4" w:rsidRDefault="00D66AF4" w:rsidP="00AA2F96">
            <w:pPr>
              <w:spacing w:line="360" w:lineRule="auto"/>
            </w:pPr>
          </w:p>
        </w:tc>
        <w:tc>
          <w:tcPr>
            <w:tcW w:w="3065" w:type="dxa"/>
            <w:tcBorders>
              <w:top w:val="nil"/>
              <w:left w:val="nil"/>
              <w:bottom w:val="nil"/>
              <w:right w:val="nil"/>
            </w:tcBorders>
          </w:tcPr>
          <w:p w14:paraId="533B6449" w14:textId="77777777" w:rsidR="00D66AF4" w:rsidRPr="00D66AF4" w:rsidRDefault="00D66AF4" w:rsidP="00AA2F96">
            <w:pPr>
              <w:spacing w:line="360" w:lineRule="auto"/>
            </w:pPr>
            <w:r w:rsidRPr="00D66AF4">
              <w:t xml:space="preserve">Faintness, dizziness </w:t>
            </w:r>
          </w:p>
        </w:tc>
        <w:tc>
          <w:tcPr>
            <w:tcW w:w="4069" w:type="dxa"/>
            <w:tcBorders>
              <w:top w:val="nil"/>
              <w:left w:val="nil"/>
              <w:bottom w:val="nil"/>
              <w:right w:val="nil"/>
            </w:tcBorders>
          </w:tcPr>
          <w:p w14:paraId="28833211" w14:textId="77777777" w:rsidR="00D66AF4" w:rsidRPr="00AA2F96" w:rsidRDefault="00D66AF4" w:rsidP="00AA2F96">
            <w:pPr>
              <w:spacing w:line="360" w:lineRule="auto"/>
              <w:rPr>
                <w:sz w:val="22"/>
              </w:rPr>
            </w:pPr>
            <w:r w:rsidRPr="00AA2F96">
              <w:rPr>
                <w:sz w:val="22"/>
              </w:rPr>
              <w:t>[1][2][10][14][15][16][20]</w:t>
            </w:r>
          </w:p>
        </w:tc>
      </w:tr>
      <w:tr w:rsidR="00D66AF4" w:rsidRPr="00D66AF4" w14:paraId="08A15C93" w14:textId="77777777" w:rsidTr="007E7BB9">
        <w:tc>
          <w:tcPr>
            <w:tcW w:w="2146" w:type="dxa"/>
            <w:tcBorders>
              <w:top w:val="nil"/>
              <w:left w:val="nil"/>
              <w:bottom w:val="nil"/>
              <w:right w:val="nil"/>
            </w:tcBorders>
          </w:tcPr>
          <w:p w14:paraId="2F2C185B" w14:textId="77777777" w:rsidR="00D66AF4" w:rsidRPr="00D66AF4" w:rsidRDefault="00D66AF4" w:rsidP="00AA2F96">
            <w:pPr>
              <w:spacing w:line="360" w:lineRule="auto"/>
            </w:pPr>
          </w:p>
        </w:tc>
        <w:tc>
          <w:tcPr>
            <w:tcW w:w="3065" w:type="dxa"/>
            <w:tcBorders>
              <w:top w:val="nil"/>
              <w:left w:val="nil"/>
              <w:bottom w:val="nil"/>
              <w:right w:val="nil"/>
            </w:tcBorders>
          </w:tcPr>
          <w:p w14:paraId="49AF18B9" w14:textId="77777777" w:rsidR="00D66AF4" w:rsidRPr="00D66AF4" w:rsidRDefault="00D66AF4" w:rsidP="00AA2F96">
            <w:pPr>
              <w:spacing w:line="360" w:lineRule="auto"/>
            </w:pPr>
            <w:r w:rsidRPr="00D66AF4">
              <w:t>Nausea, vomiting</w:t>
            </w:r>
          </w:p>
        </w:tc>
        <w:tc>
          <w:tcPr>
            <w:tcW w:w="4069" w:type="dxa"/>
            <w:tcBorders>
              <w:top w:val="nil"/>
              <w:left w:val="nil"/>
              <w:bottom w:val="nil"/>
              <w:right w:val="nil"/>
            </w:tcBorders>
          </w:tcPr>
          <w:p w14:paraId="5D545DDA" w14:textId="77777777" w:rsidR="00D66AF4" w:rsidRPr="00AA2F96" w:rsidRDefault="00D66AF4" w:rsidP="00AA2F96">
            <w:pPr>
              <w:spacing w:line="360" w:lineRule="auto"/>
              <w:rPr>
                <w:sz w:val="22"/>
              </w:rPr>
            </w:pPr>
            <w:r w:rsidRPr="00AA2F96">
              <w:rPr>
                <w:sz w:val="22"/>
              </w:rPr>
              <w:t>[1][2][3][5][14][16][17][21]</w:t>
            </w:r>
          </w:p>
        </w:tc>
      </w:tr>
      <w:tr w:rsidR="00D66AF4" w:rsidRPr="00D66AF4" w14:paraId="35EDD8A2" w14:textId="77777777" w:rsidTr="007E7BB9">
        <w:tc>
          <w:tcPr>
            <w:tcW w:w="2146" w:type="dxa"/>
            <w:tcBorders>
              <w:top w:val="nil"/>
              <w:left w:val="nil"/>
              <w:bottom w:val="nil"/>
              <w:right w:val="nil"/>
            </w:tcBorders>
          </w:tcPr>
          <w:p w14:paraId="316927DA" w14:textId="77777777" w:rsidR="00D66AF4" w:rsidRPr="00D66AF4" w:rsidRDefault="00D66AF4" w:rsidP="00AA2F96">
            <w:pPr>
              <w:spacing w:line="360" w:lineRule="auto"/>
            </w:pPr>
          </w:p>
        </w:tc>
        <w:tc>
          <w:tcPr>
            <w:tcW w:w="3065" w:type="dxa"/>
            <w:tcBorders>
              <w:top w:val="nil"/>
              <w:left w:val="nil"/>
              <w:bottom w:val="nil"/>
              <w:right w:val="nil"/>
            </w:tcBorders>
          </w:tcPr>
          <w:p w14:paraId="2A2AB5BB" w14:textId="77777777" w:rsidR="00D66AF4" w:rsidRPr="00D66AF4" w:rsidRDefault="00D66AF4" w:rsidP="00AA2F96">
            <w:pPr>
              <w:spacing w:line="360" w:lineRule="auto"/>
            </w:pPr>
            <w:r w:rsidRPr="00D66AF4">
              <w:t>Sore bleeding nose, nose swelling/burning</w:t>
            </w:r>
          </w:p>
        </w:tc>
        <w:tc>
          <w:tcPr>
            <w:tcW w:w="4069" w:type="dxa"/>
            <w:tcBorders>
              <w:top w:val="nil"/>
              <w:left w:val="nil"/>
              <w:bottom w:val="nil"/>
              <w:right w:val="nil"/>
            </w:tcBorders>
          </w:tcPr>
          <w:p w14:paraId="438A911D" w14:textId="77777777" w:rsidR="00D66AF4" w:rsidRPr="00AA2F96" w:rsidRDefault="00D66AF4" w:rsidP="00AA2F96">
            <w:pPr>
              <w:spacing w:line="360" w:lineRule="auto"/>
              <w:rPr>
                <w:sz w:val="22"/>
              </w:rPr>
            </w:pPr>
            <w:r w:rsidRPr="00AA2F96">
              <w:rPr>
                <w:sz w:val="22"/>
              </w:rPr>
              <w:t>[1][2][11][15][20]</w:t>
            </w:r>
          </w:p>
        </w:tc>
      </w:tr>
      <w:tr w:rsidR="00D66AF4" w:rsidRPr="00D66AF4" w14:paraId="23DBA05E" w14:textId="77777777" w:rsidTr="007E7BB9">
        <w:tc>
          <w:tcPr>
            <w:tcW w:w="2146" w:type="dxa"/>
            <w:tcBorders>
              <w:top w:val="nil"/>
              <w:left w:val="nil"/>
              <w:bottom w:val="nil"/>
              <w:right w:val="nil"/>
            </w:tcBorders>
          </w:tcPr>
          <w:p w14:paraId="009C8331" w14:textId="77777777" w:rsidR="00D66AF4" w:rsidRPr="00D66AF4" w:rsidRDefault="00D66AF4" w:rsidP="00AA2F96">
            <w:pPr>
              <w:spacing w:line="360" w:lineRule="auto"/>
            </w:pPr>
          </w:p>
        </w:tc>
        <w:tc>
          <w:tcPr>
            <w:tcW w:w="3065" w:type="dxa"/>
            <w:tcBorders>
              <w:top w:val="nil"/>
              <w:left w:val="nil"/>
              <w:bottom w:val="nil"/>
              <w:right w:val="nil"/>
            </w:tcBorders>
          </w:tcPr>
          <w:p w14:paraId="0F619518" w14:textId="77777777" w:rsidR="00D66AF4" w:rsidRPr="00D66AF4" w:rsidRDefault="00D66AF4" w:rsidP="00AA2F96">
            <w:pPr>
              <w:spacing w:line="360" w:lineRule="auto"/>
            </w:pPr>
            <w:r w:rsidRPr="00D66AF4">
              <w:t>Skin damage, infections, abscesses and ulcers</w:t>
            </w:r>
          </w:p>
        </w:tc>
        <w:tc>
          <w:tcPr>
            <w:tcW w:w="4069" w:type="dxa"/>
            <w:tcBorders>
              <w:top w:val="nil"/>
              <w:left w:val="nil"/>
              <w:bottom w:val="nil"/>
              <w:right w:val="nil"/>
            </w:tcBorders>
          </w:tcPr>
          <w:p w14:paraId="2DA1663B" w14:textId="77777777" w:rsidR="00D66AF4" w:rsidRPr="00AA2F96" w:rsidRDefault="00D66AF4" w:rsidP="00AA2F96">
            <w:pPr>
              <w:spacing w:line="360" w:lineRule="auto"/>
              <w:rPr>
                <w:sz w:val="22"/>
              </w:rPr>
            </w:pPr>
            <w:r w:rsidRPr="00AA2F96">
              <w:rPr>
                <w:sz w:val="22"/>
              </w:rPr>
              <w:t>[2][10]</w:t>
            </w:r>
          </w:p>
        </w:tc>
      </w:tr>
      <w:tr w:rsidR="00D66AF4" w:rsidRPr="00D66AF4" w14:paraId="3E470912" w14:textId="77777777" w:rsidTr="007E7BB9">
        <w:tc>
          <w:tcPr>
            <w:tcW w:w="2146" w:type="dxa"/>
            <w:tcBorders>
              <w:top w:val="nil"/>
              <w:left w:val="nil"/>
              <w:bottom w:val="nil"/>
              <w:right w:val="nil"/>
            </w:tcBorders>
          </w:tcPr>
          <w:p w14:paraId="3BA3F773" w14:textId="77777777" w:rsidR="00D66AF4" w:rsidRPr="00D66AF4" w:rsidRDefault="00D66AF4" w:rsidP="00AA2F96">
            <w:pPr>
              <w:spacing w:line="360" w:lineRule="auto"/>
            </w:pPr>
          </w:p>
        </w:tc>
        <w:tc>
          <w:tcPr>
            <w:tcW w:w="3065" w:type="dxa"/>
            <w:tcBorders>
              <w:top w:val="nil"/>
              <w:left w:val="nil"/>
              <w:bottom w:val="nil"/>
              <w:right w:val="nil"/>
            </w:tcBorders>
          </w:tcPr>
          <w:p w14:paraId="1C58C8F0" w14:textId="77777777" w:rsidR="00D66AF4" w:rsidRPr="00D66AF4" w:rsidRDefault="00D66AF4" w:rsidP="00AA2F96">
            <w:pPr>
              <w:spacing w:line="360" w:lineRule="auto"/>
            </w:pPr>
            <w:r w:rsidRPr="00D66AF4">
              <w:t xml:space="preserve">Chest pain, breathing difficulties </w:t>
            </w:r>
          </w:p>
        </w:tc>
        <w:tc>
          <w:tcPr>
            <w:tcW w:w="4069" w:type="dxa"/>
            <w:tcBorders>
              <w:top w:val="nil"/>
              <w:left w:val="nil"/>
              <w:bottom w:val="nil"/>
              <w:right w:val="nil"/>
            </w:tcBorders>
          </w:tcPr>
          <w:p w14:paraId="15216C5E" w14:textId="77777777" w:rsidR="00D66AF4" w:rsidRPr="00AA2F96" w:rsidRDefault="00D66AF4" w:rsidP="00AA2F96">
            <w:pPr>
              <w:spacing w:line="360" w:lineRule="auto"/>
              <w:rPr>
                <w:sz w:val="22"/>
              </w:rPr>
            </w:pPr>
            <w:r w:rsidRPr="00AA2F96">
              <w:rPr>
                <w:sz w:val="22"/>
              </w:rPr>
              <w:t>[10][14][15]</w:t>
            </w:r>
          </w:p>
        </w:tc>
      </w:tr>
      <w:tr w:rsidR="00D66AF4" w:rsidRPr="00D66AF4" w14:paraId="4079F94C" w14:textId="77777777" w:rsidTr="007E7BB9">
        <w:tc>
          <w:tcPr>
            <w:tcW w:w="2146" w:type="dxa"/>
            <w:tcBorders>
              <w:top w:val="nil"/>
              <w:left w:val="nil"/>
              <w:bottom w:val="nil"/>
              <w:right w:val="nil"/>
            </w:tcBorders>
          </w:tcPr>
          <w:p w14:paraId="4633D6D9" w14:textId="77777777" w:rsidR="00D66AF4" w:rsidRPr="00D66AF4" w:rsidRDefault="00D66AF4" w:rsidP="00AA2F96">
            <w:pPr>
              <w:spacing w:line="360" w:lineRule="auto"/>
            </w:pPr>
          </w:p>
        </w:tc>
        <w:tc>
          <w:tcPr>
            <w:tcW w:w="3065" w:type="dxa"/>
            <w:tcBorders>
              <w:top w:val="nil"/>
              <w:left w:val="nil"/>
              <w:bottom w:val="nil"/>
              <w:right w:val="nil"/>
            </w:tcBorders>
          </w:tcPr>
          <w:p w14:paraId="4DC61E78" w14:textId="77777777" w:rsidR="00D66AF4" w:rsidRPr="00D66AF4" w:rsidRDefault="00D66AF4" w:rsidP="00AA2F96">
            <w:pPr>
              <w:spacing w:line="360" w:lineRule="auto"/>
            </w:pPr>
            <w:r w:rsidRPr="00D66AF4">
              <w:t>Palpitations, racing heart</w:t>
            </w:r>
          </w:p>
        </w:tc>
        <w:tc>
          <w:tcPr>
            <w:tcW w:w="4069" w:type="dxa"/>
            <w:tcBorders>
              <w:top w:val="nil"/>
              <w:left w:val="nil"/>
              <w:bottom w:val="nil"/>
              <w:right w:val="nil"/>
            </w:tcBorders>
          </w:tcPr>
          <w:p w14:paraId="448BC10D" w14:textId="77777777" w:rsidR="00D66AF4" w:rsidRPr="00AA2F96" w:rsidRDefault="00D66AF4" w:rsidP="00AA2F96">
            <w:pPr>
              <w:spacing w:line="360" w:lineRule="auto"/>
              <w:rPr>
                <w:sz w:val="22"/>
              </w:rPr>
            </w:pPr>
            <w:r w:rsidRPr="00AA2F96">
              <w:rPr>
                <w:sz w:val="22"/>
              </w:rPr>
              <w:t>[1][2][5][6][7][10][16][17][20]</w:t>
            </w:r>
          </w:p>
        </w:tc>
      </w:tr>
      <w:tr w:rsidR="00D66AF4" w:rsidRPr="00D66AF4" w14:paraId="3AC598E6" w14:textId="77777777" w:rsidTr="007E7BB9">
        <w:tc>
          <w:tcPr>
            <w:tcW w:w="2146" w:type="dxa"/>
            <w:tcBorders>
              <w:top w:val="nil"/>
              <w:left w:val="nil"/>
              <w:bottom w:val="nil"/>
              <w:right w:val="nil"/>
            </w:tcBorders>
          </w:tcPr>
          <w:p w14:paraId="225DAFD4" w14:textId="77777777" w:rsidR="00D66AF4" w:rsidRPr="00D66AF4" w:rsidRDefault="00D66AF4" w:rsidP="00AA2F96">
            <w:pPr>
              <w:spacing w:line="360" w:lineRule="auto"/>
            </w:pPr>
          </w:p>
        </w:tc>
        <w:tc>
          <w:tcPr>
            <w:tcW w:w="3065" w:type="dxa"/>
            <w:tcBorders>
              <w:top w:val="nil"/>
              <w:left w:val="nil"/>
              <w:bottom w:val="nil"/>
              <w:right w:val="nil"/>
            </w:tcBorders>
          </w:tcPr>
          <w:p w14:paraId="7F2F1BF9" w14:textId="77777777" w:rsidR="00D66AF4" w:rsidRPr="00D66AF4" w:rsidRDefault="00D66AF4" w:rsidP="00AA2F96">
            <w:pPr>
              <w:spacing w:line="360" w:lineRule="auto"/>
            </w:pPr>
            <w:r w:rsidRPr="00D66AF4">
              <w:t>Shaking body, muscle twitching</w:t>
            </w:r>
          </w:p>
        </w:tc>
        <w:tc>
          <w:tcPr>
            <w:tcW w:w="4069" w:type="dxa"/>
            <w:tcBorders>
              <w:top w:val="nil"/>
              <w:left w:val="nil"/>
              <w:bottom w:val="nil"/>
              <w:right w:val="nil"/>
            </w:tcBorders>
          </w:tcPr>
          <w:p w14:paraId="4D5115FE" w14:textId="77777777" w:rsidR="00D66AF4" w:rsidRPr="00AA2F96" w:rsidRDefault="00D66AF4" w:rsidP="00AA2F96">
            <w:pPr>
              <w:spacing w:line="360" w:lineRule="auto"/>
              <w:rPr>
                <w:sz w:val="22"/>
              </w:rPr>
            </w:pPr>
            <w:r w:rsidRPr="00AA2F96">
              <w:rPr>
                <w:sz w:val="22"/>
              </w:rPr>
              <w:t>[1][7][20]</w:t>
            </w:r>
          </w:p>
        </w:tc>
      </w:tr>
      <w:tr w:rsidR="00D66AF4" w:rsidRPr="00D66AF4" w14:paraId="044E5846" w14:textId="77777777" w:rsidTr="007E7BB9">
        <w:tc>
          <w:tcPr>
            <w:tcW w:w="2146" w:type="dxa"/>
            <w:tcBorders>
              <w:top w:val="nil"/>
              <w:left w:val="nil"/>
              <w:bottom w:val="nil"/>
              <w:right w:val="nil"/>
            </w:tcBorders>
          </w:tcPr>
          <w:p w14:paraId="49879169" w14:textId="77777777" w:rsidR="00D66AF4" w:rsidRPr="00D66AF4" w:rsidRDefault="00D66AF4" w:rsidP="00AA2F96">
            <w:pPr>
              <w:spacing w:line="360" w:lineRule="auto"/>
            </w:pPr>
          </w:p>
        </w:tc>
        <w:tc>
          <w:tcPr>
            <w:tcW w:w="3065" w:type="dxa"/>
            <w:tcBorders>
              <w:top w:val="nil"/>
              <w:left w:val="nil"/>
              <w:bottom w:val="nil"/>
              <w:right w:val="nil"/>
            </w:tcBorders>
          </w:tcPr>
          <w:p w14:paraId="70E24B86" w14:textId="77777777" w:rsidR="00D66AF4" w:rsidRPr="00D66AF4" w:rsidRDefault="00D66AF4" w:rsidP="00AA2F96">
            <w:pPr>
              <w:spacing w:line="360" w:lineRule="auto"/>
            </w:pPr>
            <w:r w:rsidRPr="00D66AF4">
              <w:t>Teeth grinding, jaw clenching</w:t>
            </w:r>
          </w:p>
        </w:tc>
        <w:tc>
          <w:tcPr>
            <w:tcW w:w="4069" w:type="dxa"/>
            <w:tcBorders>
              <w:top w:val="nil"/>
              <w:left w:val="nil"/>
              <w:bottom w:val="nil"/>
              <w:right w:val="nil"/>
            </w:tcBorders>
          </w:tcPr>
          <w:p w14:paraId="3478407A" w14:textId="77777777" w:rsidR="00D66AF4" w:rsidRPr="00AA2F96" w:rsidRDefault="00D66AF4" w:rsidP="00AA2F96">
            <w:pPr>
              <w:spacing w:line="360" w:lineRule="auto"/>
              <w:rPr>
                <w:sz w:val="22"/>
              </w:rPr>
            </w:pPr>
            <w:r w:rsidRPr="00AA2F96">
              <w:rPr>
                <w:sz w:val="22"/>
              </w:rPr>
              <w:t>[1][2][20]</w:t>
            </w:r>
          </w:p>
        </w:tc>
      </w:tr>
      <w:tr w:rsidR="00D66AF4" w:rsidRPr="00D66AF4" w14:paraId="7481E476" w14:textId="77777777" w:rsidTr="007E7BB9">
        <w:tc>
          <w:tcPr>
            <w:tcW w:w="2146" w:type="dxa"/>
            <w:tcBorders>
              <w:top w:val="nil"/>
              <w:left w:val="nil"/>
              <w:bottom w:val="nil"/>
              <w:right w:val="nil"/>
            </w:tcBorders>
          </w:tcPr>
          <w:p w14:paraId="4C9D21A3" w14:textId="77777777" w:rsidR="00D66AF4" w:rsidRPr="00D66AF4" w:rsidRDefault="00D66AF4" w:rsidP="00AA2F96">
            <w:pPr>
              <w:spacing w:line="360" w:lineRule="auto"/>
            </w:pPr>
          </w:p>
        </w:tc>
        <w:tc>
          <w:tcPr>
            <w:tcW w:w="3065" w:type="dxa"/>
            <w:tcBorders>
              <w:top w:val="nil"/>
              <w:left w:val="nil"/>
              <w:bottom w:val="nil"/>
              <w:right w:val="nil"/>
            </w:tcBorders>
          </w:tcPr>
          <w:p w14:paraId="43204A7F" w14:textId="77777777" w:rsidR="00D66AF4" w:rsidRPr="00D66AF4" w:rsidRDefault="00D66AF4" w:rsidP="00AA2F96">
            <w:pPr>
              <w:spacing w:line="360" w:lineRule="auto"/>
            </w:pPr>
            <w:r w:rsidRPr="00D66AF4">
              <w:t>Cramps, aches and pains</w:t>
            </w:r>
          </w:p>
        </w:tc>
        <w:tc>
          <w:tcPr>
            <w:tcW w:w="4069" w:type="dxa"/>
            <w:tcBorders>
              <w:top w:val="nil"/>
              <w:left w:val="nil"/>
              <w:bottom w:val="nil"/>
              <w:right w:val="nil"/>
            </w:tcBorders>
          </w:tcPr>
          <w:p w14:paraId="48D6D3A3" w14:textId="77777777" w:rsidR="00D66AF4" w:rsidRPr="00AA2F96" w:rsidRDefault="00D66AF4" w:rsidP="00AA2F96">
            <w:pPr>
              <w:spacing w:line="360" w:lineRule="auto"/>
              <w:rPr>
                <w:sz w:val="22"/>
              </w:rPr>
            </w:pPr>
            <w:r w:rsidRPr="00AA2F96">
              <w:rPr>
                <w:sz w:val="22"/>
              </w:rPr>
              <w:t>[1][2][3]</w:t>
            </w:r>
          </w:p>
        </w:tc>
      </w:tr>
      <w:tr w:rsidR="00D66AF4" w:rsidRPr="00D66AF4" w14:paraId="2A106ED4" w14:textId="77777777" w:rsidTr="007E7BB9">
        <w:tc>
          <w:tcPr>
            <w:tcW w:w="2146" w:type="dxa"/>
            <w:tcBorders>
              <w:top w:val="nil"/>
              <w:left w:val="nil"/>
              <w:bottom w:val="nil"/>
              <w:right w:val="nil"/>
            </w:tcBorders>
          </w:tcPr>
          <w:p w14:paraId="36267150" w14:textId="77777777" w:rsidR="00D66AF4" w:rsidRPr="00D66AF4" w:rsidRDefault="00D66AF4" w:rsidP="00AA2F96">
            <w:pPr>
              <w:spacing w:line="360" w:lineRule="auto"/>
            </w:pPr>
          </w:p>
        </w:tc>
        <w:tc>
          <w:tcPr>
            <w:tcW w:w="3065" w:type="dxa"/>
            <w:tcBorders>
              <w:top w:val="nil"/>
              <w:left w:val="nil"/>
              <w:bottom w:val="nil"/>
              <w:right w:val="nil"/>
            </w:tcBorders>
          </w:tcPr>
          <w:p w14:paraId="7BD5DA02" w14:textId="77777777" w:rsidR="00D66AF4" w:rsidRPr="00D66AF4" w:rsidRDefault="00D66AF4" w:rsidP="00AA2F96">
            <w:pPr>
              <w:spacing w:line="360" w:lineRule="auto"/>
            </w:pPr>
            <w:r w:rsidRPr="00D66AF4">
              <w:t xml:space="preserve">Hot flushes, sweating </w:t>
            </w:r>
          </w:p>
        </w:tc>
        <w:tc>
          <w:tcPr>
            <w:tcW w:w="4069" w:type="dxa"/>
            <w:tcBorders>
              <w:top w:val="nil"/>
              <w:left w:val="nil"/>
              <w:bottom w:val="nil"/>
              <w:right w:val="nil"/>
            </w:tcBorders>
          </w:tcPr>
          <w:p w14:paraId="561977A9" w14:textId="77777777" w:rsidR="00D66AF4" w:rsidRPr="00AA2F96" w:rsidRDefault="00D66AF4" w:rsidP="00AA2F96">
            <w:pPr>
              <w:spacing w:line="360" w:lineRule="auto"/>
              <w:rPr>
                <w:sz w:val="22"/>
              </w:rPr>
            </w:pPr>
            <w:r w:rsidRPr="00AA2F96">
              <w:rPr>
                <w:sz w:val="22"/>
              </w:rPr>
              <w:t>[2][5][16][20][21]</w:t>
            </w:r>
          </w:p>
        </w:tc>
      </w:tr>
      <w:tr w:rsidR="00D66AF4" w:rsidRPr="00D66AF4" w14:paraId="1E739428" w14:textId="77777777" w:rsidTr="007E7BB9">
        <w:tc>
          <w:tcPr>
            <w:tcW w:w="2146" w:type="dxa"/>
            <w:tcBorders>
              <w:top w:val="nil"/>
              <w:left w:val="nil"/>
              <w:bottom w:val="nil"/>
              <w:right w:val="nil"/>
            </w:tcBorders>
          </w:tcPr>
          <w:p w14:paraId="53788C16" w14:textId="77777777" w:rsidR="00D66AF4" w:rsidRPr="00D66AF4" w:rsidRDefault="00D66AF4" w:rsidP="00AA2F96">
            <w:pPr>
              <w:spacing w:line="360" w:lineRule="auto"/>
            </w:pPr>
          </w:p>
        </w:tc>
        <w:tc>
          <w:tcPr>
            <w:tcW w:w="3065" w:type="dxa"/>
            <w:tcBorders>
              <w:top w:val="nil"/>
              <w:left w:val="nil"/>
              <w:bottom w:val="nil"/>
              <w:right w:val="nil"/>
            </w:tcBorders>
          </w:tcPr>
          <w:p w14:paraId="52A3165C" w14:textId="77777777" w:rsidR="00D66AF4" w:rsidRPr="00D66AF4" w:rsidRDefault="00D66AF4" w:rsidP="00AA2F96">
            <w:pPr>
              <w:spacing w:line="360" w:lineRule="auto"/>
            </w:pPr>
            <w:r w:rsidRPr="00D66AF4">
              <w:t>Numbness</w:t>
            </w:r>
          </w:p>
        </w:tc>
        <w:tc>
          <w:tcPr>
            <w:tcW w:w="4069" w:type="dxa"/>
            <w:tcBorders>
              <w:top w:val="nil"/>
              <w:left w:val="nil"/>
              <w:bottom w:val="nil"/>
              <w:right w:val="nil"/>
            </w:tcBorders>
          </w:tcPr>
          <w:p w14:paraId="559DB69D" w14:textId="77777777" w:rsidR="00D66AF4" w:rsidRPr="00AA2F96" w:rsidRDefault="00D66AF4" w:rsidP="00AA2F96">
            <w:pPr>
              <w:spacing w:line="360" w:lineRule="auto"/>
              <w:rPr>
                <w:sz w:val="22"/>
              </w:rPr>
            </w:pPr>
            <w:r w:rsidRPr="00AA2F96">
              <w:rPr>
                <w:sz w:val="22"/>
              </w:rPr>
              <w:t>[5][11][17]</w:t>
            </w:r>
          </w:p>
        </w:tc>
      </w:tr>
      <w:tr w:rsidR="00D66AF4" w:rsidRPr="00D66AF4" w14:paraId="1B19F05F" w14:textId="77777777" w:rsidTr="007E7BB9">
        <w:tc>
          <w:tcPr>
            <w:tcW w:w="2146" w:type="dxa"/>
            <w:tcBorders>
              <w:top w:val="nil"/>
              <w:left w:val="nil"/>
              <w:bottom w:val="nil"/>
              <w:right w:val="nil"/>
            </w:tcBorders>
          </w:tcPr>
          <w:p w14:paraId="53078451" w14:textId="77777777" w:rsidR="00D66AF4" w:rsidRPr="00D66AF4" w:rsidRDefault="00D66AF4" w:rsidP="00AA2F96">
            <w:pPr>
              <w:spacing w:line="360" w:lineRule="auto"/>
            </w:pPr>
          </w:p>
        </w:tc>
        <w:tc>
          <w:tcPr>
            <w:tcW w:w="3065" w:type="dxa"/>
            <w:tcBorders>
              <w:top w:val="nil"/>
              <w:left w:val="nil"/>
              <w:bottom w:val="nil"/>
              <w:right w:val="nil"/>
            </w:tcBorders>
          </w:tcPr>
          <w:p w14:paraId="626C03B2" w14:textId="77777777" w:rsidR="00D66AF4" w:rsidRPr="00D66AF4" w:rsidRDefault="00D66AF4" w:rsidP="00AA2F96">
            <w:pPr>
              <w:spacing w:line="360" w:lineRule="auto"/>
            </w:pPr>
            <w:r w:rsidRPr="00D66AF4">
              <w:t>Hypotension</w:t>
            </w:r>
          </w:p>
        </w:tc>
        <w:tc>
          <w:tcPr>
            <w:tcW w:w="4069" w:type="dxa"/>
            <w:tcBorders>
              <w:top w:val="nil"/>
              <w:left w:val="nil"/>
              <w:bottom w:val="nil"/>
              <w:right w:val="nil"/>
            </w:tcBorders>
          </w:tcPr>
          <w:p w14:paraId="64D6AF8F" w14:textId="77777777" w:rsidR="00D66AF4" w:rsidRPr="00AA2F96" w:rsidRDefault="00D66AF4" w:rsidP="00AA2F96">
            <w:pPr>
              <w:spacing w:line="360" w:lineRule="auto"/>
              <w:rPr>
                <w:sz w:val="22"/>
              </w:rPr>
            </w:pPr>
            <w:r w:rsidRPr="00AA2F96">
              <w:rPr>
                <w:sz w:val="22"/>
              </w:rPr>
              <w:t>[1][21]</w:t>
            </w:r>
          </w:p>
        </w:tc>
      </w:tr>
      <w:tr w:rsidR="00D66AF4" w:rsidRPr="00D66AF4" w14:paraId="4AA97DE2" w14:textId="77777777" w:rsidTr="007E7BB9">
        <w:tc>
          <w:tcPr>
            <w:tcW w:w="2146" w:type="dxa"/>
            <w:tcBorders>
              <w:top w:val="nil"/>
              <w:left w:val="nil"/>
              <w:bottom w:val="nil"/>
              <w:right w:val="nil"/>
            </w:tcBorders>
          </w:tcPr>
          <w:p w14:paraId="4D2723CF" w14:textId="77777777" w:rsidR="00D66AF4" w:rsidRPr="00D66AF4" w:rsidRDefault="00D66AF4" w:rsidP="00AA2F96">
            <w:pPr>
              <w:spacing w:line="360" w:lineRule="auto"/>
            </w:pPr>
          </w:p>
        </w:tc>
        <w:tc>
          <w:tcPr>
            <w:tcW w:w="3065" w:type="dxa"/>
            <w:tcBorders>
              <w:top w:val="nil"/>
              <w:left w:val="nil"/>
              <w:bottom w:val="nil"/>
              <w:right w:val="nil"/>
            </w:tcBorders>
          </w:tcPr>
          <w:p w14:paraId="719597FC" w14:textId="77777777" w:rsidR="00D66AF4" w:rsidRPr="00D66AF4" w:rsidRDefault="00D66AF4" w:rsidP="00AA2F96">
            <w:pPr>
              <w:spacing w:line="360" w:lineRule="auto"/>
            </w:pPr>
            <w:r w:rsidRPr="00D66AF4">
              <w:t>Changes in appetite, weight loss</w:t>
            </w:r>
          </w:p>
        </w:tc>
        <w:tc>
          <w:tcPr>
            <w:tcW w:w="4069" w:type="dxa"/>
            <w:tcBorders>
              <w:top w:val="nil"/>
              <w:left w:val="nil"/>
              <w:bottom w:val="nil"/>
              <w:right w:val="nil"/>
            </w:tcBorders>
          </w:tcPr>
          <w:p w14:paraId="12F48BF2" w14:textId="77777777" w:rsidR="00D66AF4" w:rsidRPr="00AA2F96" w:rsidRDefault="00D66AF4" w:rsidP="00AA2F96">
            <w:pPr>
              <w:spacing w:line="360" w:lineRule="auto"/>
              <w:rPr>
                <w:sz w:val="22"/>
              </w:rPr>
            </w:pPr>
            <w:r w:rsidRPr="00AA2F96">
              <w:rPr>
                <w:sz w:val="22"/>
              </w:rPr>
              <w:t>[1][2][7][11]</w:t>
            </w:r>
          </w:p>
        </w:tc>
      </w:tr>
      <w:tr w:rsidR="00D66AF4" w:rsidRPr="00D66AF4" w14:paraId="38A4533D" w14:textId="77777777" w:rsidTr="007E7BB9">
        <w:tc>
          <w:tcPr>
            <w:tcW w:w="2146" w:type="dxa"/>
            <w:tcBorders>
              <w:top w:val="nil"/>
              <w:left w:val="nil"/>
              <w:bottom w:val="nil"/>
              <w:right w:val="nil"/>
            </w:tcBorders>
          </w:tcPr>
          <w:p w14:paraId="634F1F11" w14:textId="77777777" w:rsidR="00D66AF4" w:rsidRPr="00D66AF4" w:rsidRDefault="00D66AF4" w:rsidP="00AA2F96">
            <w:pPr>
              <w:spacing w:line="360" w:lineRule="auto"/>
            </w:pPr>
          </w:p>
        </w:tc>
        <w:tc>
          <w:tcPr>
            <w:tcW w:w="3065" w:type="dxa"/>
            <w:tcBorders>
              <w:top w:val="nil"/>
              <w:left w:val="nil"/>
              <w:bottom w:val="nil"/>
              <w:right w:val="nil"/>
            </w:tcBorders>
          </w:tcPr>
          <w:p w14:paraId="6D67B274" w14:textId="77777777" w:rsidR="00D66AF4" w:rsidRPr="00D66AF4" w:rsidRDefault="00D66AF4" w:rsidP="00AA2F96">
            <w:pPr>
              <w:spacing w:line="360" w:lineRule="auto"/>
            </w:pPr>
            <w:r w:rsidRPr="00D66AF4">
              <w:t xml:space="preserve">Dehydration </w:t>
            </w:r>
          </w:p>
        </w:tc>
        <w:tc>
          <w:tcPr>
            <w:tcW w:w="4069" w:type="dxa"/>
            <w:tcBorders>
              <w:top w:val="nil"/>
              <w:left w:val="nil"/>
              <w:bottom w:val="nil"/>
              <w:right w:val="nil"/>
            </w:tcBorders>
          </w:tcPr>
          <w:p w14:paraId="3E35FFD5" w14:textId="77777777" w:rsidR="00D66AF4" w:rsidRPr="00AA2F96" w:rsidRDefault="00D66AF4" w:rsidP="00AA2F96">
            <w:pPr>
              <w:spacing w:line="360" w:lineRule="auto"/>
              <w:rPr>
                <w:sz w:val="22"/>
              </w:rPr>
            </w:pPr>
            <w:r w:rsidRPr="00AA2F96">
              <w:rPr>
                <w:sz w:val="22"/>
              </w:rPr>
              <w:t>[1][2][10][14]</w:t>
            </w:r>
          </w:p>
        </w:tc>
      </w:tr>
      <w:tr w:rsidR="00D66AF4" w:rsidRPr="00D66AF4" w14:paraId="27905D19" w14:textId="77777777" w:rsidTr="007E7BB9">
        <w:tc>
          <w:tcPr>
            <w:tcW w:w="2146" w:type="dxa"/>
            <w:tcBorders>
              <w:top w:val="nil"/>
              <w:left w:val="nil"/>
              <w:bottom w:val="nil"/>
              <w:right w:val="nil"/>
            </w:tcBorders>
          </w:tcPr>
          <w:p w14:paraId="131A223B" w14:textId="77777777" w:rsidR="00D66AF4" w:rsidRPr="00D66AF4" w:rsidRDefault="00D66AF4" w:rsidP="00AA2F96">
            <w:pPr>
              <w:spacing w:line="360" w:lineRule="auto"/>
            </w:pPr>
          </w:p>
        </w:tc>
        <w:tc>
          <w:tcPr>
            <w:tcW w:w="3065" w:type="dxa"/>
            <w:tcBorders>
              <w:top w:val="nil"/>
              <w:left w:val="nil"/>
              <w:bottom w:val="nil"/>
              <w:right w:val="nil"/>
            </w:tcBorders>
          </w:tcPr>
          <w:p w14:paraId="6C9FE774" w14:textId="77777777" w:rsidR="00D66AF4" w:rsidRPr="00D66AF4" w:rsidRDefault="00D66AF4" w:rsidP="00AA2F96">
            <w:pPr>
              <w:spacing w:line="360" w:lineRule="auto"/>
            </w:pPr>
            <w:r w:rsidRPr="00D66AF4">
              <w:t>Fatigue, tiredness</w:t>
            </w:r>
          </w:p>
        </w:tc>
        <w:tc>
          <w:tcPr>
            <w:tcW w:w="4069" w:type="dxa"/>
            <w:tcBorders>
              <w:top w:val="nil"/>
              <w:left w:val="nil"/>
              <w:bottom w:val="nil"/>
              <w:right w:val="nil"/>
            </w:tcBorders>
          </w:tcPr>
          <w:p w14:paraId="4D7F4BEB" w14:textId="77777777" w:rsidR="00D66AF4" w:rsidRPr="00AA2F96" w:rsidRDefault="00D66AF4" w:rsidP="00AA2F96">
            <w:pPr>
              <w:spacing w:line="360" w:lineRule="auto"/>
              <w:rPr>
                <w:sz w:val="22"/>
              </w:rPr>
            </w:pPr>
            <w:r w:rsidRPr="00AA2F96">
              <w:rPr>
                <w:sz w:val="22"/>
              </w:rPr>
              <w:t>[1][2][8][13][14][17]</w:t>
            </w:r>
          </w:p>
        </w:tc>
      </w:tr>
      <w:tr w:rsidR="00D66AF4" w:rsidRPr="00D66AF4" w14:paraId="233C3841" w14:textId="77777777" w:rsidTr="007E7BB9">
        <w:tc>
          <w:tcPr>
            <w:tcW w:w="2146" w:type="dxa"/>
            <w:tcBorders>
              <w:top w:val="nil"/>
              <w:left w:val="nil"/>
              <w:bottom w:val="nil"/>
              <w:right w:val="nil"/>
            </w:tcBorders>
          </w:tcPr>
          <w:p w14:paraId="6850630B" w14:textId="77777777" w:rsidR="00D66AF4" w:rsidRPr="00D66AF4" w:rsidRDefault="00D66AF4" w:rsidP="00AA2F96">
            <w:pPr>
              <w:spacing w:line="360" w:lineRule="auto"/>
            </w:pPr>
          </w:p>
        </w:tc>
        <w:tc>
          <w:tcPr>
            <w:tcW w:w="3065" w:type="dxa"/>
            <w:tcBorders>
              <w:top w:val="nil"/>
              <w:left w:val="nil"/>
              <w:bottom w:val="nil"/>
              <w:right w:val="nil"/>
            </w:tcBorders>
          </w:tcPr>
          <w:p w14:paraId="6EF48A77" w14:textId="77777777" w:rsidR="00D66AF4" w:rsidRPr="00D66AF4" w:rsidRDefault="00D66AF4" w:rsidP="00AA2F96">
            <w:pPr>
              <w:spacing w:line="360" w:lineRule="auto"/>
            </w:pPr>
            <w:r w:rsidRPr="00D66AF4">
              <w:t>Insomnia</w:t>
            </w:r>
          </w:p>
        </w:tc>
        <w:tc>
          <w:tcPr>
            <w:tcW w:w="4069" w:type="dxa"/>
            <w:tcBorders>
              <w:top w:val="nil"/>
              <w:left w:val="nil"/>
              <w:bottom w:val="nil"/>
              <w:right w:val="nil"/>
            </w:tcBorders>
          </w:tcPr>
          <w:p w14:paraId="3670DF88" w14:textId="77777777" w:rsidR="00D66AF4" w:rsidRPr="00AA2F96" w:rsidRDefault="00D66AF4" w:rsidP="00AA2F96">
            <w:pPr>
              <w:spacing w:line="360" w:lineRule="auto"/>
              <w:rPr>
                <w:sz w:val="22"/>
              </w:rPr>
            </w:pPr>
            <w:r w:rsidRPr="00AA2F96">
              <w:rPr>
                <w:sz w:val="22"/>
              </w:rPr>
              <w:t>[1][10][11][14][20]</w:t>
            </w:r>
          </w:p>
        </w:tc>
      </w:tr>
      <w:tr w:rsidR="00D66AF4" w:rsidRPr="00D66AF4" w14:paraId="5EAB2B9C" w14:textId="77777777" w:rsidTr="007E7BB9">
        <w:tc>
          <w:tcPr>
            <w:tcW w:w="2146" w:type="dxa"/>
            <w:tcBorders>
              <w:top w:val="nil"/>
              <w:left w:val="nil"/>
              <w:bottom w:val="nil"/>
              <w:right w:val="nil"/>
            </w:tcBorders>
          </w:tcPr>
          <w:p w14:paraId="5846D2E7" w14:textId="77777777" w:rsidR="00D66AF4" w:rsidRPr="00D66AF4" w:rsidRDefault="00D66AF4" w:rsidP="00AA2F96">
            <w:pPr>
              <w:spacing w:line="360" w:lineRule="auto"/>
            </w:pPr>
          </w:p>
        </w:tc>
        <w:tc>
          <w:tcPr>
            <w:tcW w:w="3065" w:type="dxa"/>
            <w:tcBorders>
              <w:top w:val="nil"/>
              <w:left w:val="nil"/>
              <w:bottom w:val="nil"/>
              <w:right w:val="nil"/>
            </w:tcBorders>
          </w:tcPr>
          <w:p w14:paraId="3015D816" w14:textId="77777777" w:rsidR="00D66AF4" w:rsidRPr="00D66AF4" w:rsidRDefault="00D66AF4" w:rsidP="00AA2F96">
            <w:pPr>
              <w:spacing w:line="360" w:lineRule="auto"/>
            </w:pPr>
            <w:r w:rsidRPr="00D66AF4">
              <w:t>Restlessness</w:t>
            </w:r>
          </w:p>
        </w:tc>
        <w:tc>
          <w:tcPr>
            <w:tcW w:w="4069" w:type="dxa"/>
            <w:tcBorders>
              <w:top w:val="nil"/>
              <w:left w:val="nil"/>
              <w:bottom w:val="nil"/>
              <w:right w:val="nil"/>
            </w:tcBorders>
          </w:tcPr>
          <w:p w14:paraId="510F9A9C" w14:textId="77777777" w:rsidR="00D66AF4" w:rsidRPr="00AA2F96" w:rsidRDefault="00D66AF4" w:rsidP="00AA2F96">
            <w:pPr>
              <w:spacing w:line="360" w:lineRule="auto"/>
              <w:rPr>
                <w:sz w:val="22"/>
              </w:rPr>
            </w:pPr>
            <w:r w:rsidRPr="00AA2F96">
              <w:rPr>
                <w:sz w:val="22"/>
              </w:rPr>
              <w:t>[7][14]</w:t>
            </w:r>
          </w:p>
        </w:tc>
      </w:tr>
      <w:tr w:rsidR="00D66AF4" w:rsidRPr="00D66AF4" w14:paraId="13524239" w14:textId="77777777" w:rsidTr="007E7BB9">
        <w:tc>
          <w:tcPr>
            <w:tcW w:w="2146" w:type="dxa"/>
            <w:tcBorders>
              <w:top w:val="nil"/>
              <w:left w:val="nil"/>
              <w:bottom w:val="nil"/>
              <w:right w:val="nil"/>
            </w:tcBorders>
          </w:tcPr>
          <w:p w14:paraId="67B4F0D0" w14:textId="77777777" w:rsidR="00D66AF4" w:rsidRPr="00D66AF4" w:rsidRDefault="00D66AF4" w:rsidP="00AA2F96">
            <w:pPr>
              <w:spacing w:line="360" w:lineRule="auto"/>
            </w:pPr>
          </w:p>
        </w:tc>
        <w:tc>
          <w:tcPr>
            <w:tcW w:w="3065" w:type="dxa"/>
            <w:tcBorders>
              <w:top w:val="nil"/>
              <w:left w:val="nil"/>
              <w:bottom w:val="nil"/>
              <w:right w:val="nil"/>
            </w:tcBorders>
          </w:tcPr>
          <w:p w14:paraId="2387400B" w14:textId="77777777" w:rsidR="00D66AF4" w:rsidRPr="00D66AF4" w:rsidRDefault="00D66AF4" w:rsidP="00AA2F96">
            <w:pPr>
              <w:spacing w:line="360" w:lineRule="auto"/>
            </w:pPr>
            <w:r w:rsidRPr="00D66AF4">
              <w:t>Addiction</w:t>
            </w:r>
          </w:p>
        </w:tc>
        <w:tc>
          <w:tcPr>
            <w:tcW w:w="4069" w:type="dxa"/>
            <w:tcBorders>
              <w:top w:val="nil"/>
              <w:left w:val="nil"/>
              <w:bottom w:val="nil"/>
              <w:right w:val="nil"/>
            </w:tcBorders>
          </w:tcPr>
          <w:p w14:paraId="16B0AFBA" w14:textId="77777777" w:rsidR="00D66AF4" w:rsidRPr="00AA2F96" w:rsidRDefault="00D66AF4" w:rsidP="00AA2F96">
            <w:pPr>
              <w:spacing w:line="360" w:lineRule="auto"/>
              <w:rPr>
                <w:sz w:val="22"/>
              </w:rPr>
            </w:pPr>
            <w:r w:rsidRPr="00AA2F96">
              <w:rPr>
                <w:sz w:val="22"/>
              </w:rPr>
              <w:t>[1][5][6][20][22]</w:t>
            </w:r>
          </w:p>
        </w:tc>
      </w:tr>
      <w:tr w:rsidR="00D66AF4" w:rsidRPr="00D66AF4" w14:paraId="1770853D" w14:textId="77777777" w:rsidTr="007E7BB9">
        <w:tc>
          <w:tcPr>
            <w:tcW w:w="2146" w:type="dxa"/>
            <w:tcBorders>
              <w:top w:val="nil"/>
              <w:left w:val="nil"/>
              <w:bottom w:val="nil"/>
              <w:right w:val="nil"/>
            </w:tcBorders>
          </w:tcPr>
          <w:p w14:paraId="55C33B67" w14:textId="77777777" w:rsidR="00D66AF4" w:rsidRPr="00D66AF4" w:rsidRDefault="00D66AF4" w:rsidP="00AA2F96">
            <w:pPr>
              <w:spacing w:line="360" w:lineRule="auto"/>
            </w:pPr>
          </w:p>
        </w:tc>
        <w:tc>
          <w:tcPr>
            <w:tcW w:w="3065" w:type="dxa"/>
            <w:tcBorders>
              <w:top w:val="nil"/>
              <w:left w:val="nil"/>
              <w:bottom w:val="nil"/>
              <w:right w:val="nil"/>
            </w:tcBorders>
          </w:tcPr>
          <w:p w14:paraId="3DCACF2F" w14:textId="77777777" w:rsidR="00D66AF4" w:rsidRPr="00D66AF4" w:rsidRDefault="00D66AF4" w:rsidP="00AA2F96">
            <w:pPr>
              <w:spacing w:line="360" w:lineRule="auto"/>
            </w:pPr>
            <w:r w:rsidRPr="00D66AF4">
              <w:t>Offensive body smells</w:t>
            </w:r>
          </w:p>
        </w:tc>
        <w:tc>
          <w:tcPr>
            <w:tcW w:w="4069" w:type="dxa"/>
            <w:tcBorders>
              <w:top w:val="nil"/>
              <w:left w:val="nil"/>
              <w:bottom w:val="nil"/>
              <w:right w:val="nil"/>
            </w:tcBorders>
          </w:tcPr>
          <w:p w14:paraId="287B2614" w14:textId="77777777" w:rsidR="00D66AF4" w:rsidRPr="00AA2F96" w:rsidRDefault="00D66AF4" w:rsidP="00AA2F96">
            <w:pPr>
              <w:spacing w:line="360" w:lineRule="auto"/>
              <w:rPr>
                <w:sz w:val="22"/>
              </w:rPr>
            </w:pPr>
            <w:r w:rsidRPr="00AA2F96">
              <w:rPr>
                <w:sz w:val="22"/>
              </w:rPr>
              <w:t>[11]</w:t>
            </w:r>
          </w:p>
        </w:tc>
      </w:tr>
      <w:tr w:rsidR="00D66AF4" w:rsidRPr="00D66AF4" w14:paraId="5B6C55F4" w14:textId="77777777" w:rsidTr="007E7BB9">
        <w:tc>
          <w:tcPr>
            <w:tcW w:w="2146" w:type="dxa"/>
            <w:tcBorders>
              <w:top w:val="nil"/>
              <w:left w:val="nil"/>
              <w:bottom w:val="nil"/>
              <w:right w:val="nil"/>
            </w:tcBorders>
          </w:tcPr>
          <w:p w14:paraId="52B442EF" w14:textId="77777777" w:rsidR="00D66AF4" w:rsidRPr="00D66AF4" w:rsidRDefault="00D66AF4" w:rsidP="00AA2F96">
            <w:pPr>
              <w:spacing w:line="360" w:lineRule="auto"/>
            </w:pPr>
          </w:p>
        </w:tc>
        <w:tc>
          <w:tcPr>
            <w:tcW w:w="3065" w:type="dxa"/>
            <w:tcBorders>
              <w:top w:val="nil"/>
              <w:left w:val="nil"/>
              <w:bottom w:val="nil"/>
              <w:right w:val="nil"/>
            </w:tcBorders>
          </w:tcPr>
          <w:p w14:paraId="6878B97E" w14:textId="2178C6B0" w:rsidR="00D66AF4" w:rsidRPr="00D66AF4" w:rsidRDefault="00D66AF4" w:rsidP="00AA2F96">
            <w:pPr>
              <w:spacing w:line="360" w:lineRule="auto"/>
            </w:pPr>
            <w:r w:rsidRPr="00D66AF4">
              <w:t>Poor motor coordination</w:t>
            </w:r>
          </w:p>
        </w:tc>
        <w:tc>
          <w:tcPr>
            <w:tcW w:w="4069" w:type="dxa"/>
            <w:tcBorders>
              <w:top w:val="nil"/>
              <w:left w:val="nil"/>
              <w:bottom w:val="nil"/>
              <w:right w:val="nil"/>
            </w:tcBorders>
          </w:tcPr>
          <w:p w14:paraId="7A70FB79" w14:textId="77777777" w:rsidR="00D66AF4" w:rsidRPr="00AA2F96" w:rsidRDefault="00D66AF4" w:rsidP="00AA2F96">
            <w:pPr>
              <w:spacing w:line="360" w:lineRule="auto"/>
              <w:rPr>
                <w:sz w:val="22"/>
              </w:rPr>
            </w:pPr>
            <w:r w:rsidRPr="00AA2F96">
              <w:rPr>
                <w:sz w:val="22"/>
              </w:rPr>
              <w:t>[7][16]</w:t>
            </w:r>
          </w:p>
        </w:tc>
      </w:tr>
      <w:tr w:rsidR="00D66AF4" w:rsidRPr="00D66AF4" w14:paraId="158C37FF" w14:textId="77777777" w:rsidTr="007E7BB9">
        <w:tc>
          <w:tcPr>
            <w:tcW w:w="2146" w:type="dxa"/>
            <w:tcBorders>
              <w:top w:val="nil"/>
              <w:left w:val="nil"/>
              <w:bottom w:val="nil"/>
              <w:right w:val="nil"/>
            </w:tcBorders>
          </w:tcPr>
          <w:p w14:paraId="662A5B5D" w14:textId="77777777" w:rsidR="00D66AF4" w:rsidRPr="00D66AF4" w:rsidRDefault="00D66AF4" w:rsidP="00AA2F96">
            <w:pPr>
              <w:spacing w:line="360" w:lineRule="auto"/>
            </w:pPr>
          </w:p>
        </w:tc>
        <w:tc>
          <w:tcPr>
            <w:tcW w:w="3065" w:type="dxa"/>
            <w:tcBorders>
              <w:top w:val="nil"/>
              <w:left w:val="nil"/>
              <w:bottom w:val="nil"/>
              <w:right w:val="nil"/>
            </w:tcBorders>
          </w:tcPr>
          <w:p w14:paraId="01FFE3F1" w14:textId="77777777" w:rsidR="00D66AF4" w:rsidRPr="00D66AF4" w:rsidRDefault="00D66AF4" w:rsidP="00AA2F96">
            <w:pPr>
              <w:spacing w:line="360" w:lineRule="auto"/>
            </w:pPr>
            <w:r w:rsidRPr="00D66AF4">
              <w:t>Slurred speech</w:t>
            </w:r>
          </w:p>
        </w:tc>
        <w:tc>
          <w:tcPr>
            <w:tcW w:w="4069" w:type="dxa"/>
            <w:tcBorders>
              <w:top w:val="nil"/>
              <w:left w:val="nil"/>
              <w:bottom w:val="nil"/>
              <w:right w:val="nil"/>
            </w:tcBorders>
          </w:tcPr>
          <w:p w14:paraId="50D85045" w14:textId="77777777" w:rsidR="00D66AF4" w:rsidRPr="00AA2F96" w:rsidRDefault="00D66AF4" w:rsidP="00AA2F96">
            <w:pPr>
              <w:spacing w:line="360" w:lineRule="auto"/>
              <w:rPr>
                <w:sz w:val="22"/>
              </w:rPr>
            </w:pPr>
            <w:r w:rsidRPr="00AA2F96">
              <w:rPr>
                <w:sz w:val="22"/>
              </w:rPr>
              <w:t>[15][16]</w:t>
            </w:r>
          </w:p>
        </w:tc>
      </w:tr>
      <w:tr w:rsidR="00D66AF4" w:rsidRPr="00D66AF4" w14:paraId="56B2B572" w14:textId="77777777" w:rsidTr="007E7BB9">
        <w:tc>
          <w:tcPr>
            <w:tcW w:w="2146" w:type="dxa"/>
            <w:tcBorders>
              <w:top w:val="nil"/>
              <w:left w:val="nil"/>
              <w:bottom w:val="nil"/>
              <w:right w:val="nil"/>
            </w:tcBorders>
          </w:tcPr>
          <w:p w14:paraId="3F4CDC59" w14:textId="77777777" w:rsidR="00D66AF4" w:rsidRPr="00D66AF4" w:rsidRDefault="00D66AF4" w:rsidP="00AA2F96">
            <w:pPr>
              <w:spacing w:line="360" w:lineRule="auto"/>
            </w:pPr>
          </w:p>
        </w:tc>
        <w:tc>
          <w:tcPr>
            <w:tcW w:w="3065" w:type="dxa"/>
            <w:tcBorders>
              <w:top w:val="nil"/>
              <w:left w:val="nil"/>
              <w:bottom w:val="nil"/>
              <w:right w:val="nil"/>
            </w:tcBorders>
          </w:tcPr>
          <w:p w14:paraId="02AE0A58" w14:textId="77777777" w:rsidR="00D66AF4" w:rsidRPr="00D66AF4" w:rsidRDefault="00D66AF4" w:rsidP="00AA2F96">
            <w:pPr>
              <w:spacing w:line="360" w:lineRule="auto"/>
            </w:pPr>
            <w:r w:rsidRPr="00D66AF4">
              <w:t>Impaired vision</w:t>
            </w:r>
          </w:p>
        </w:tc>
        <w:tc>
          <w:tcPr>
            <w:tcW w:w="4069" w:type="dxa"/>
            <w:tcBorders>
              <w:top w:val="nil"/>
              <w:left w:val="nil"/>
              <w:bottom w:val="nil"/>
              <w:right w:val="nil"/>
            </w:tcBorders>
          </w:tcPr>
          <w:p w14:paraId="69CF746F" w14:textId="77777777" w:rsidR="00D66AF4" w:rsidRPr="00AA2F96" w:rsidRDefault="00D66AF4" w:rsidP="00AA2F96">
            <w:pPr>
              <w:spacing w:line="360" w:lineRule="auto"/>
              <w:rPr>
                <w:sz w:val="22"/>
              </w:rPr>
            </w:pPr>
            <w:r w:rsidRPr="00AA2F96">
              <w:rPr>
                <w:sz w:val="22"/>
              </w:rPr>
              <w:t>[1][2][7][8][11][14][21]</w:t>
            </w:r>
          </w:p>
        </w:tc>
      </w:tr>
      <w:tr w:rsidR="00D66AF4" w:rsidRPr="00D66AF4" w14:paraId="1FCD121C" w14:textId="77777777" w:rsidTr="007E7BB9">
        <w:tc>
          <w:tcPr>
            <w:tcW w:w="2146" w:type="dxa"/>
            <w:tcBorders>
              <w:top w:val="nil"/>
              <w:left w:val="nil"/>
              <w:bottom w:val="single" w:sz="4" w:space="0" w:color="auto"/>
              <w:right w:val="nil"/>
            </w:tcBorders>
          </w:tcPr>
          <w:p w14:paraId="20E7AF35" w14:textId="77777777" w:rsidR="00D66AF4" w:rsidRPr="00D66AF4" w:rsidRDefault="00D66AF4" w:rsidP="00AA2F96">
            <w:pPr>
              <w:spacing w:line="360" w:lineRule="auto"/>
            </w:pPr>
          </w:p>
        </w:tc>
        <w:tc>
          <w:tcPr>
            <w:tcW w:w="3065" w:type="dxa"/>
            <w:tcBorders>
              <w:top w:val="nil"/>
              <w:left w:val="nil"/>
              <w:bottom w:val="single" w:sz="4" w:space="0" w:color="auto"/>
              <w:right w:val="nil"/>
            </w:tcBorders>
          </w:tcPr>
          <w:p w14:paraId="73394118" w14:textId="77777777" w:rsidR="00D66AF4" w:rsidRPr="00D66AF4" w:rsidRDefault="00D66AF4" w:rsidP="00AA2F96">
            <w:pPr>
              <w:spacing w:line="360" w:lineRule="auto"/>
            </w:pPr>
            <w:r w:rsidRPr="00D66AF4">
              <w:t>Hallucinations</w:t>
            </w:r>
          </w:p>
        </w:tc>
        <w:tc>
          <w:tcPr>
            <w:tcW w:w="4069" w:type="dxa"/>
            <w:tcBorders>
              <w:top w:val="nil"/>
              <w:left w:val="nil"/>
              <w:bottom w:val="single" w:sz="4" w:space="0" w:color="auto"/>
              <w:right w:val="nil"/>
            </w:tcBorders>
          </w:tcPr>
          <w:p w14:paraId="76832270" w14:textId="77777777" w:rsidR="00D66AF4" w:rsidRPr="00AA2F96" w:rsidRDefault="00D66AF4" w:rsidP="00AA2F96">
            <w:pPr>
              <w:spacing w:line="360" w:lineRule="auto"/>
              <w:rPr>
                <w:sz w:val="22"/>
              </w:rPr>
            </w:pPr>
            <w:r w:rsidRPr="00AA2F96">
              <w:rPr>
                <w:sz w:val="22"/>
              </w:rPr>
              <w:t>[2][3][8][10][17][21]</w:t>
            </w:r>
          </w:p>
        </w:tc>
      </w:tr>
      <w:tr w:rsidR="00AA2F96" w:rsidRPr="000427F1" w14:paraId="03E34872" w14:textId="77777777" w:rsidTr="007E7BB9">
        <w:tc>
          <w:tcPr>
            <w:tcW w:w="5211" w:type="dxa"/>
            <w:gridSpan w:val="2"/>
            <w:tcBorders>
              <w:top w:val="single" w:sz="4" w:space="0" w:color="auto"/>
              <w:left w:val="nil"/>
              <w:bottom w:val="single" w:sz="4" w:space="0" w:color="auto"/>
              <w:right w:val="nil"/>
            </w:tcBorders>
          </w:tcPr>
          <w:p w14:paraId="76E13665" w14:textId="11E2070B" w:rsidR="00AA2F96" w:rsidRPr="000427F1" w:rsidRDefault="00AA2F96" w:rsidP="00706EE0">
            <w:pPr>
              <w:spacing w:before="120" w:line="360" w:lineRule="auto"/>
              <w:rPr>
                <w:b/>
              </w:rPr>
            </w:pPr>
            <w:r w:rsidRPr="000427F1">
              <w:rPr>
                <w:b/>
              </w:rPr>
              <w:t xml:space="preserve">Physical harms </w:t>
            </w:r>
            <w:r>
              <w:rPr>
                <w:b/>
              </w:rPr>
              <w:t>continued</w:t>
            </w:r>
          </w:p>
        </w:tc>
        <w:tc>
          <w:tcPr>
            <w:tcW w:w="4069" w:type="dxa"/>
            <w:tcBorders>
              <w:top w:val="single" w:sz="4" w:space="0" w:color="auto"/>
              <w:left w:val="nil"/>
              <w:bottom w:val="single" w:sz="4" w:space="0" w:color="auto"/>
              <w:right w:val="nil"/>
            </w:tcBorders>
          </w:tcPr>
          <w:p w14:paraId="38F0AB2A" w14:textId="77777777" w:rsidR="00AA2F96" w:rsidRPr="000427F1" w:rsidRDefault="00AA2F96" w:rsidP="00706EE0">
            <w:pPr>
              <w:spacing w:before="120" w:line="360" w:lineRule="auto"/>
              <w:rPr>
                <w:b/>
              </w:rPr>
            </w:pPr>
          </w:p>
        </w:tc>
      </w:tr>
      <w:tr w:rsidR="00D66AF4" w:rsidRPr="00D66AF4" w14:paraId="04E76464" w14:textId="77777777" w:rsidTr="007E7BB9">
        <w:tc>
          <w:tcPr>
            <w:tcW w:w="2146" w:type="dxa"/>
            <w:tcBorders>
              <w:top w:val="single" w:sz="4" w:space="0" w:color="auto"/>
              <w:left w:val="nil"/>
              <w:bottom w:val="nil"/>
              <w:right w:val="nil"/>
            </w:tcBorders>
          </w:tcPr>
          <w:p w14:paraId="193C738C" w14:textId="77777777" w:rsidR="00D66AF4" w:rsidRPr="00D66AF4" w:rsidRDefault="00D66AF4" w:rsidP="00AA2F96">
            <w:pPr>
              <w:spacing w:line="360" w:lineRule="auto"/>
            </w:pPr>
          </w:p>
        </w:tc>
        <w:tc>
          <w:tcPr>
            <w:tcW w:w="3065" w:type="dxa"/>
            <w:tcBorders>
              <w:top w:val="single" w:sz="4" w:space="0" w:color="auto"/>
              <w:left w:val="nil"/>
              <w:bottom w:val="nil"/>
              <w:right w:val="nil"/>
            </w:tcBorders>
          </w:tcPr>
          <w:p w14:paraId="3F297E41" w14:textId="77777777" w:rsidR="00D66AF4" w:rsidRPr="00D66AF4" w:rsidRDefault="00D66AF4" w:rsidP="00AA2F96">
            <w:pPr>
              <w:spacing w:line="360" w:lineRule="auto"/>
            </w:pPr>
            <w:r w:rsidRPr="00D66AF4">
              <w:t>Auditory distortions</w:t>
            </w:r>
          </w:p>
        </w:tc>
        <w:tc>
          <w:tcPr>
            <w:tcW w:w="4069" w:type="dxa"/>
            <w:tcBorders>
              <w:top w:val="single" w:sz="4" w:space="0" w:color="auto"/>
              <w:left w:val="nil"/>
              <w:bottom w:val="nil"/>
              <w:right w:val="nil"/>
            </w:tcBorders>
          </w:tcPr>
          <w:p w14:paraId="35DD4686" w14:textId="77777777" w:rsidR="00D66AF4" w:rsidRPr="00AA2F96" w:rsidRDefault="00D66AF4" w:rsidP="00AA2F96">
            <w:pPr>
              <w:spacing w:line="360" w:lineRule="auto"/>
              <w:rPr>
                <w:sz w:val="22"/>
              </w:rPr>
            </w:pPr>
            <w:r w:rsidRPr="00AA2F96">
              <w:rPr>
                <w:sz w:val="22"/>
              </w:rPr>
              <w:t>[7][8]</w:t>
            </w:r>
          </w:p>
        </w:tc>
      </w:tr>
      <w:tr w:rsidR="00D66AF4" w:rsidRPr="00D66AF4" w14:paraId="3A88B006" w14:textId="77777777" w:rsidTr="007E7BB9">
        <w:tc>
          <w:tcPr>
            <w:tcW w:w="2146" w:type="dxa"/>
            <w:tcBorders>
              <w:top w:val="nil"/>
              <w:left w:val="nil"/>
              <w:bottom w:val="single" w:sz="4" w:space="0" w:color="auto"/>
              <w:right w:val="nil"/>
            </w:tcBorders>
          </w:tcPr>
          <w:p w14:paraId="3C02FE69" w14:textId="77777777" w:rsidR="00D66AF4" w:rsidRPr="00D66AF4" w:rsidRDefault="00D66AF4" w:rsidP="00AA2F96">
            <w:pPr>
              <w:spacing w:line="360" w:lineRule="auto"/>
            </w:pPr>
          </w:p>
        </w:tc>
        <w:tc>
          <w:tcPr>
            <w:tcW w:w="3065" w:type="dxa"/>
            <w:tcBorders>
              <w:top w:val="nil"/>
              <w:left w:val="nil"/>
              <w:bottom w:val="single" w:sz="4" w:space="0" w:color="auto"/>
              <w:right w:val="nil"/>
            </w:tcBorders>
          </w:tcPr>
          <w:p w14:paraId="59E6D0D1" w14:textId="77777777" w:rsidR="00D66AF4" w:rsidRPr="00D66AF4" w:rsidRDefault="00D66AF4" w:rsidP="00AA2F96">
            <w:pPr>
              <w:spacing w:line="360" w:lineRule="auto"/>
            </w:pPr>
            <w:r w:rsidRPr="00D66AF4">
              <w:t>Altered sex drive</w:t>
            </w:r>
          </w:p>
        </w:tc>
        <w:tc>
          <w:tcPr>
            <w:tcW w:w="4069" w:type="dxa"/>
            <w:tcBorders>
              <w:top w:val="nil"/>
              <w:left w:val="nil"/>
              <w:bottom w:val="single" w:sz="4" w:space="0" w:color="auto"/>
              <w:right w:val="nil"/>
            </w:tcBorders>
          </w:tcPr>
          <w:p w14:paraId="06E5D77E" w14:textId="153B7683" w:rsidR="00D66AF4" w:rsidRPr="00AA2F96" w:rsidRDefault="00D66AF4" w:rsidP="00AA2F96">
            <w:pPr>
              <w:spacing w:line="360" w:lineRule="auto"/>
              <w:rPr>
                <w:sz w:val="22"/>
              </w:rPr>
            </w:pPr>
            <w:r w:rsidRPr="00AA2F96">
              <w:rPr>
                <w:sz w:val="22"/>
              </w:rPr>
              <w:t>[1][5][17][22]</w:t>
            </w:r>
          </w:p>
        </w:tc>
      </w:tr>
      <w:tr w:rsidR="00AA2F96" w:rsidRPr="000427F1" w14:paraId="3E27552C" w14:textId="77777777" w:rsidTr="007E7BB9">
        <w:tc>
          <w:tcPr>
            <w:tcW w:w="5211" w:type="dxa"/>
            <w:gridSpan w:val="2"/>
            <w:tcBorders>
              <w:top w:val="single" w:sz="4" w:space="0" w:color="auto"/>
              <w:left w:val="nil"/>
              <w:bottom w:val="single" w:sz="4" w:space="0" w:color="auto"/>
              <w:right w:val="nil"/>
            </w:tcBorders>
          </w:tcPr>
          <w:p w14:paraId="1261FE1C" w14:textId="6B130A13" w:rsidR="00AA2F96" w:rsidRPr="000427F1" w:rsidRDefault="00AA2F96" w:rsidP="00AA2F96">
            <w:pPr>
              <w:spacing w:before="120" w:line="360" w:lineRule="auto"/>
              <w:rPr>
                <w:b/>
              </w:rPr>
            </w:pPr>
            <w:r w:rsidRPr="000427F1">
              <w:rPr>
                <w:b/>
              </w:rPr>
              <w:t xml:space="preserve">Psychological harms </w:t>
            </w:r>
          </w:p>
        </w:tc>
        <w:tc>
          <w:tcPr>
            <w:tcW w:w="4069" w:type="dxa"/>
            <w:tcBorders>
              <w:top w:val="single" w:sz="4" w:space="0" w:color="auto"/>
              <w:left w:val="nil"/>
              <w:bottom w:val="single" w:sz="4" w:space="0" w:color="auto"/>
              <w:right w:val="nil"/>
            </w:tcBorders>
          </w:tcPr>
          <w:p w14:paraId="545E3BC2" w14:textId="77777777" w:rsidR="00AA2F96" w:rsidRPr="00AA2F96" w:rsidRDefault="00AA2F96" w:rsidP="00AA2F96">
            <w:pPr>
              <w:spacing w:before="120" w:line="360" w:lineRule="auto"/>
              <w:rPr>
                <w:b/>
                <w:sz w:val="22"/>
              </w:rPr>
            </w:pPr>
          </w:p>
        </w:tc>
      </w:tr>
      <w:tr w:rsidR="00D66AF4" w:rsidRPr="00D66AF4" w14:paraId="7A3EEEF1" w14:textId="77777777" w:rsidTr="007E7BB9">
        <w:tc>
          <w:tcPr>
            <w:tcW w:w="2146" w:type="dxa"/>
            <w:tcBorders>
              <w:top w:val="single" w:sz="4" w:space="0" w:color="auto"/>
              <w:left w:val="nil"/>
              <w:bottom w:val="nil"/>
              <w:right w:val="nil"/>
            </w:tcBorders>
          </w:tcPr>
          <w:p w14:paraId="40278CAA" w14:textId="77777777" w:rsidR="00D66AF4" w:rsidRPr="00D66AF4" w:rsidRDefault="00D66AF4" w:rsidP="00AA2F96">
            <w:pPr>
              <w:spacing w:line="360" w:lineRule="auto"/>
            </w:pPr>
          </w:p>
        </w:tc>
        <w:tc>
          <w:tcPr>
            <w:tcW w:w="3065" w:type="dxa"/>
            <w:tcBorders>
              <w:top w:val="single" w:sz="4" w:space="0" w:color="auto"/>
              <w:left w:val="nil"/>
              <w:bottom w:val="nil"/>
              <w:right w:val="nil"/>
            </w:tcBorders>
          </w:tcPr>
          <w:p w14:paraId="484C367D" w14:textId="77777777" w:rsidR="00D66AF4" w:rsidRPr="00D66AF4" w:rsidRDefault="00D66AF4" w:rsidP="00AA2F96">
            <w:pPr>
              <w:spacing w:line="360" w:lineRule="auto"/>
            </w:pPr>
            <w:r w:rsidRPr="00D66AF4">
              <w:t>Paranoia, panic, anxiety</w:t>
            </w:r>
          </w:p>
        </w:tc>
        <w:tc>
          <w:tcPr>
            <w:tcW w:w="4069" w:type="dxa"/>
            <w:tcBorders>
              <w:top w:val="single" w:sz="4" w:space="0" w:color="auto"/>
              <w:left w:val="nil"/>
              <w:bottom w:val="nil"/>
              <w:right w:val="nil"/>
            </w:tcBorders>
          </w:tcPr>
          <w:p w14:paraId="2ED3465B" w14:textId="77777777" w:rsidR="00D66AF4" w:rsidRPr="00AA2F96" w:rsidRDefault="00D66AF4" w:rsidP="00AA2F96">
            <w:pPr>
              <w:spacing w:line="360" w:lineRule="auto"/>
              <w:rPr>
                <w:sz w:val="22"/>
              </w:rPr>
            </w:pPr>
            <w:r w:rsidRPr="00AA2F96">
              <w:rPr>
                <w:sz w:val="22"/>
              </w:rPr>
              <w:t>[1][3][5][7][9][10][11][14][15][16][17][18][21]</w:t>
            </w:r>
          </w:p>
        </w:tc>
      </w:tr>
      <w:tr w:rsidR="00D66AF4" w:rsidRPr="00D66AF4" w14:paraId="03E20C67" w14:textId="77777777" w:rsidTr="007E7BB9">
        <w:tc>
          <w:tcPr>
            <w:tcW w:w="2146" w:type="dxa"/>
            <w:tcBorders>
              <w:top w:val="nil"/>
              <w:left w:val="nil"/>
              <w:bottom w:val="nil"/>
              <w:right w:val="nil"/>
            </w:tcBorders>
          </w:tcPr>
          <w:p w14:paraId="5B61843E" w14:textId="77777777" w:rsidR="00D66AF4" w:rsidRPr="00D66AF4" w:rsidRDefault="00D66AF4" w:rsidP="00AA2F96">
            <w:pPr>
              <w:spacing w:line="360" w:lineRule="auto"/>
            </w:pPr>
          </w:p>
        </w:tc>
        <w:tc>
          <w:tcPr>
            <w:tcW w:w="3065" w:type="dxa"/>
            <w:tcBorders>
              <w:top w:val="nil"/>
              <w:left w:val="nil"/>
              <w:bottom w:val="nil"/>
              <w:right w:val="nil"/>
            </w:tcBorders>
          </w:tcPr>
          <w:p w14:paraId="471B1F8E" w14:textId="77777777" w:rsidR="00D66AF4" w:rsidRPr="00D66AF4" w:rsidRDefault="00D66AF4" w:rsidP="00AA2F96">
            <w:pPr>
              <w:spacing w:line="360" w:lineRule="auto"/>
            </w:pPr>
            <w:r w:rsidRPr="00D66AF4">
              <w:t xml:space="preserve">Psychosis </w:t>
            </w:r>
          </w:p>
        </w:tc>
        <w:tc>
          <w:tcPr>
            <w:tcW w:w="4069" w:type="dxa"/>
            <w:tcBorders>
              <w:top w:val="nil"/>
              <w:left w:val="nil"/>
              <w:bottom w:val="nil"/>
              <w:right w:val="nil"/>
            </w:tcBorders>
          </w:tcPr>
          <w:p w14:paraId="76966D0A" w14:textId="77777777" w:rsidR="00D66AF4" w:rsidRPr="00AA2F96" w:rsidRDefault="00D66AF4" w:rsidP="00AA2F96">
            <w:pPr>
              <w:spacing w:line="360" w:lineRule="auto"/>
              <w:rPr>
                <w:sz w:val="22"/>
              </w:rPr>
            </w:pPr>
            <w:r w:rsidRPr="00AA2F96">
              <w:rPr>
                <w:sz w:val="22"/>
              </w:rPr>
              <w:t>[9][10][16][18]</w:t>
            </w:r>
          </w:p>
        </w:tc>
      </w:tr>
      <w:tr w:rsidR="00D66AF4" w:rsidRPr="00D66AF4" w14:paraId="10A9585D" w14:textId="77777777" w:rsidTr="007E7BB9">
        <w:tc>
          <w:tcPr>
            <w:tcW w:w="2146" w:type="dxa"/>
            <w:tcBorders>
              <w:top w:val="nil"/>
              <w:left w:val="nil"/>
              <w:bottom w:val="nil"/>
              <w:right w:val="nil"/>
            </w:tcBorders>
          </w:tcPr>
          <w:p w14:paraId="120270F6" w14:textId="77777777" w:rsidR="00D66AF4" w:rsidRPr="00D66AF4" w:rsidRDefault="00D66AF4" w:rsidP="00AA2F96">
            <w:pPr>
              <w:spacing w:line="360" w:lineRule="auto"/>
            </w:pPr>
          </w:p>
        </w:tc>
        <w:tc>
          <w:tcPr>
            <w:tcW w:w="3065" w:type="dxa"/>
            <w:tcBorders>
              <w:top w:val="nil"/>
              <w:left w:val="nil"/>
              <w:bottom w:val="nil"/>
              <w:right w:val="nil"/>
            </w:tcBorders>
          </w:tcPr>
          <w:p w14:paraId="02B440EC" w14:textId="77777777" w:rsidR="00D66AF4" w:rsidRPr="00D66AF4" w:rsidRDefault="00D66AF4" w:rsidP="00AA2F96">
            <w:pPr>
              <w:spacing w:line="360" w:lineRule="auto"/>
            </w:pPr>
            <w:r w:rsidRPr="00D66AF4">
              <w:t>Confusion, disorientation</w:t>
            </w:r>
          </w:p>
        </w:tc>
        <w:tc>
          <w:tcPr>
            <w:tcW w:w="4069" w:type="dxa"/>
            <w:tcBorders>
              <w:top w:val="nil"/>
              <w:left w:val="nil"/>
              <w:bottom w:val="nil"/>
              <w:right w:val="nil"/>
            </w:tcBorders>
          </w:tcPr>
          <w:p w14:paraId="582B5003" w14:textId="77777777" w:rsidR="00D66AF4" w:rsidRPr="00AA2F96" w:rsidRDefault="00D66AF4" w:rsidP="00AA2F96">
            <w:pPr>
              <w:spacing w:line="360" w:lineRule="auto"/>
              <w:rPr>
                <w:sz w:val="22"/>
              </w:rPr>
            </w:pPr>
            <w:r w:rsidRPr="00AA2F96">
              <w:rPr>
                <w:sz w:val="22"/>
              </w:rPr>
              <w:t>[2][15][16][21]</w:t>
            </w:r>
          </w:p>
        </w:tc>
      </w:tr>
      <w:tr w:rsidR="00D66AF4" w:rsidRPr="00D66AF4" w14:paraId="23EDCBBF" w14:textId="77777777" w:rsidTr="007E7BB9">
        <w:tc>
          <w:tcPr>
            <w:tcW w:w="2146" w:type="dxa"/>
            <w:tcBorders>
              <w:top w:val="nil"/>
              <w:left w:val="nil"/>
              <w:bottom w:val="nil"/>
              <w:right w:val="nil"/>
            </w:tcBorders>
          </w:tcPr>
          <w:p w14:paraId="4BAFA706" w14:textId="77777777" w:rsidR="00D66AF4" w:rsidRPr="00D66AF4" w:rsidRDefault="00D66AF4" w:rsidP="00AA2F96">
            <w:pPr>
              <w:spacing w:line="360" w:lineRule="auto"/>
            </w:pPr>
          </w:p>
        </w:tc>
        <w:tc>
          <w:tcPr>
            <w:tcW w:w="3065" w:type="dxa"/>
            <w:tcBorders>
              <w:top w:val="nil"/>
              <w:left w:val="nil"/>
              <w:bottom w:val="nil"/>
              <w:right w:val="nil"/>
            </w:tcBorders>
          </w:tcPr>
          <w:p w14:paraId="2CA776B6" w14:textId="77777777" w:rsidR="00D66AF4" w:rsidRPr="00D66AF4" w:rsidRDefault="00D66AF4" w:rsidP="00AA2F96">
            <w:pPr>
              <w:spacing w:line="360" w:lineRule="auto"/>
            </w:pPr>
            <w:r w:rsidRPr="00D66AF4">
              <w:t>Aggression, irritability</w:t>
            </w:r>
          </w:p>
        </w:tc>
        <w:tc>
          <w:tcPr>
            <w:tcW w:w="4069" w:type="dxa"/>
            <w:tcBorders>
              <w:top w:val="nil"/>
              <w:left w:val="nil"/>
              <w:bottom w:val="nil"/>
              <w:right w:val="nil"/>
            </w:tcBorders>
          </w:tcPr>
          <w:p w14:paraId="2F81DC51" w14:textId="77777777" w:rsidR="00D66AF4" w:rsidRPr="00AA2F96" w:rsidRDefault="00D66AF4" w:rsidP="00AA2F96">
            <w:pPr>
              <w:spacing w:line="360" w:lineRule="auto"/>
              <w:rPr>
                <w:sz w:val="22"/>
              </w:rPr>
            </w:pPr>
            <w:r w:rsidRPr="00AA2F96">
              <w:rPr>
                <w:sz w:val="22"/>
              </w:rPr>
              <w:t>[7][14][17][21]</w:t>
            </w:r>
          </w:p>
        </w:tc>
      </w:tr>
      <w:tr w:rsidR="00D66AF4" w:rsidRPr="00D66AF4" w14:paraId="256183B4" w14:textId="77777777" w:rsidTr="007E7BB9">
        <w:tc>
          <w:tcPr>
            <w:tcW w:w="2146" w:type="dxa"/>
            <w:tcBorders>
              <w:top w:val="nil"/>
              <w:left w:val="nil"/>
              <w:bottom w:val="nil"/>
              <w:right w:val="nil"/>
            </w:tcBorders>
          </w:tcPr>
          <w:p w14:paraId="74AE1A54" w14:textId="77777777" w:rsidR="00D66AF4" w:rsidRPr="00D66AF4" w:rsidRDefault="00D66AF4" w:rsidP="00AA2F96">
            <w:pPr>
              <w:spacing w:line="360" w:lineRule="auto"/>
            </w:pPr>
          </w:p>
        </w:tc>
        <w:tc>
          <w:tcPr>
            <w:tcW w:w="3065" w:type="dxa"/>
            <w:tcBorders>
              <w:top w:val="nil"/>
              <w:left w:val="nil"/>
              <w:bottom w:val="nil"/>
              <w:right w:val="nil"/>
            </w:tcBorders>
          </w:tcPr>
          <w:p w14:paraId="5634EE58" w14:textId="77777777" w:rsidR="00D66AF4" w:rsidRPr="00D66AF4" w:rsidRDefault="00D66AF4" w:rsidP="00AA2F96">
            <w:pPr>
              <w:spacing w:line="360" w:lineRule="auto"/>
            </w:pPr>
            <w:r w:rsidRPr="00D66AF4">
              <w:t>Impaired memory</w:t>
            </w:r>
          </w:p>
        </w:tc>
        <w:tc>
          <w:tcPr>
            <w:tcW w:w="4069" w:type="dxa"/>
            <w:tcBorders>
              <w:top w:val="nil"/>
              <w:left w:val="nil"/>
              <w:bottom w:val="nil"/>
              <w:right w:val="nil"/>
            </w:tcBorders>
          </w:tcPr>
          <w:p w14:paraId="47A87A1D" w14:textId="77777777" w:rsidR="00D66AF4" w:rsidRPr="00AA2F96" w:rsidRDefault="00D66AF4" w:rsidP="00AA2F96">
            <w:pPr>
              <w:spacing w:line="360" w:lineRule="auto"/>
              <w:rPr>
                <w:sz w:val="22"/>
              </w:rPr>
            </w:pPr>
            <w:r w:rsidRPr="00AA2F96">
              <w:rPr>
                <w:sz w:val="22"/>
              </w:rPr>
              <w:t>[1][7][10][14][20]</w:t>
            </w:r>
          </w:p>
        </w:tc>
      </w:tr>
      <w:tr w:rsidR="00D66AF4" w:rsidRPr="00D66AF4" w14:paraId="618C6ED3" w14:textId="77777777" w:rsidTr="007E7BB9">
        <w:tc>
          <w:tcPr>
            <w:tcW w:w="2146" w:type="dxa"/>
            <w:tcBorders>
              <w:top w:val="nil"/>
              <w:left w:val="nil"/>
              <w:bottom w:val="nil"/>
              <w:right w:val="nil"/>
            </w:tcBorders>
          </w:tcPr>
          <w:p w14:paraId="290649B6" w14:textId="77777777" w:rsidR="00D66AF4" w:rsidRPr="00D66AF4" w:rsidRDefault="00D66AF4" w:rsidP="00AA2F96">
            <w:pPr>
              <w:spacing w:line="360" w:lineRule="auto"/>
            </w:pPr>
          </w:p>
        </w:tc>
        <w:tc>
          <w:tcPr>
            <w:tcW w:w="3065" w:type="dxa"/>
            <w:tcBorders>
              <w:top w:val="nil"/>
              <w:left w:val="nil"/>
              <w:bottom w:val="nil"/>
              <w:right w:val="nil"/>
            </w:tcBorders>
          </w:tcPr>
          <w:p w14:paraId="7146A33B" w14:textId="77777777" w:rsidR="00D66AF4" w:rsidRPr="00D66AF4" w:rsidRDefault="00D66AF4" w:rsidP="00AA2F96">
            <w:pPr>
              <w:spacing w:line="360" w:lineRule="auto"/>
            </w:pPr>
            <w:r w:rsidRPr="00D66AF4">
              <w:t xml:space="preserve">Depression </w:t>
            </w:r>
          </w:p>
        </w:tc>
        <w:tc>
          <w:tcPr>
            <w:tcW w:w="4069" w:type="dxa"/>
            <w:tcBorders>
              <w:top w:val="nil"/>
              <w:left w:val="nil"/>
              <w:bottom w:val="nil"/>
              <w:right w:val="nil"/>
            </w:tcBorders>
          </w:tcPr>
          <w:p w14:paraId="3DF0FFA7" w14:textId="77777777" w:rsidR="00D66AF4" w:rsidRPr="00AA2F96" w:rsidRDefault="00D66AF4" w:rsidP="00AA2F96">
            <w:pPr>
              <w:spacing w:line="360" w:lineRule="auto"/>
              <w:rPr>
                <w:sz w:val="22"/>
              </w:rPr>
            </w:pPr>
            <w:r w:rsidRPr="00AA2F96">
              <w:rPr>
                <w:sz w:val="22"/>
              </w:rPr>
              <w:t>[1][7][10][13][14][16][17][18]</w:t>
            </w:r>
          </w:p>
        </w:tc>
      </w:tr>
      <w:tr w:rsidR="00D66AF4" w:rsidRPr="00D66AF4" w14:paraId="08CCC7FE" w14:textId="77777777" w:rsidTr="007E7BB9">
        <w:tc>
          <w:tcPr>
            <w:tcW w:w="2146" w:type="dxa"/>
            <w:tcBorders>
              <w:top w:val="nil"/>
              <w:left w:val="nil"/>
              <w:bottom w:val="nil"/>
              <w:right w:val="nil"/>
            </w:tcBorders>
          </w:tcPr>
          <w:p w14:paraId="63848797" w14:textId="77777777" w:rsidR="00D66AF4" w:rsidRPr="00D66AF4" w:rsidRDefault="00D66AF4" w:rsidP="00AA2F96">
            <w:pPr>
              <w:spacing w:line="360" w:lineRule="auto"/>
            </w:pPr>
          </w:p>
        </w:tc>
        <w:tc>
          <w:tcPr>
            <w:tcW w:w="3065" w:type="dxa"/>
            <w:tcBorders>
              <w:top w:val="nil"/>
              <w:left w:val="nil"/>
              <w:bottom w:val="nil"/>
              <w:right w:val="nil"/>
            </w:tcBorders>
          </w:tcPr>
          <w:p w14:paraId="6E529E1E" w14:textId="77777777" w:rsidR="00D66AF4" w:rsidRPr="00D66AF4" w:rsidRDefault="00D66AF4" w:rsidP="00AA2F96">
            <w:pPr>
              <w:spacing w:line="360" w:lineRule="auto"/>
            </w:pPr>
            <w:r w:rsidRPr="00D66AF4">
              <w:t>Suicidal behaviour</w:t>
            </w:r>
          </w:p>
        </w:tc>
        <w:tc>
          <w:tcPr>
            <w:tcW w:w="4069" w:type="dxa"/>
            <w:tcBorders>
              <w:top w:val="nil"/>
              <w:left w:val="nil"/>
              <w:bottom w:val="nil"/>
              <w:right w:val="nil"/>
            </w:tcBorders>
          </w:tcPr>
          <w:p w14:paraId="7288E52C" w14:textId="77777777" w:rsidR="00D66AF4" w:rsidRPr="00AA2F96" w:rsidRDefault="00D66AF4" w:rsidP="00AA2F96">
            <w:pPr>
              <w:spacing w:line="360" w:lineRule="auto"/>
              <w:rPr>
                <w:sz w:val="22"/>
              </w:rPr>
            </w:pPr>
            <w:r w:rsidRPr="00AA2F96">
              <w:rPr>
                <w:sz w:val="22"/>
              </w:rPr>
              <w:t>[10][21]</w:t>
            </w:r>
          </w:p>
        </w:tc>
      </w:tr>
      <w:tr w:rsidR="007E7BB9" w:rsidRPr="00D66AF4" w14:paraId="069BFEB7" w14:textId="77777777" w:rsidTr="007E7BB9">
        <w:tc>
          <w:tcPr>
            <w:tcW w:w="2146" w:type="dxa"/>
            <w:tcBorders>
              <w:top w:val="nil"/>
              <w:left w:val="nil"/>
              <w:bottom w:val="single" w:sz="4" w:space="0" w:color="auto"/>
              <w:right w:val="nil"/>
            </w:tcBorders>
          </w:tcPr>
          <w:p w14:paraId="2F3391EB" w14:textId="77777777" w:rsidR="007E7BB9" w:rsidRPr="00D66AF4" w:rsidRDefault="007E7BB9" w:rsidP="00706EE0">
            <w:pPr>
              <w:spacing w:line="360" w:lineRule="auto"/>
            </w:pPr>
          </w:p>
        </w:tc>
        <w:tc>
          <w:tcPr>
            <w:tcW w:w="3065" w:type="dxa"/>
            <w:tcBorders>
              <w:top w:val="nil"/>
              <w:left w:val="nil"/>
              <w:bottom w:val="single" w:sz="4" w:space="0" w:color="auto"/>
              <w:right w:val="nil"/>
            </w:tcBorders>
          </w:tcPr>
          <w:p w14:paraId="6871A1CF" w14:textId="77777777" w:rsidR="007E7BB9" w:rsidRPr="00D66AF4" w:rsidRDefault="007E7BB9" w:rsidP="00706EE0">
            <w:pPr>
              <w:spacing w:line="360" w:lineRule="auto"/>
            </w:pPr>
            <w:r w:rsidRPr="00D66AF4">
              <w:t>Reduced inhibitions</w:t>
            </w:r>
          </w:p>
        </w:tc>
        <w:tc>
          <w:tcPr>
            <w:tcW w:w="4069" w:type="dxa"/>
            <w:tcBorders>
              <w:top w:val="nil"/>
              <w:left w:val="nil"/>
              <w:bottom w:val="single" w:sz="4" w:space="0" w:color="auto"/>
              <w:right w:val="nil"/>
            </w:tcBorders>
          </w:tcPr>
          <w:p w14:paraId="6A59804D" w14:textId="77777777" w:rsidR="007E7BB9" w:rsidRPr="00AA2F96" w:rsidRDefault="007E7BB9" w:rsidP="00706EE0">
            <w:pPr>
              <w:spacing w:line="360" w:lineRule="auto"/>
              <w:rPr>
                <w:sz w:val="22"/>
              </w:rPr>
            </w:pPr>
            <w:r w:rsidRPr="00AA2F96">
              <w:rPr>
                <w:sz w:val="22"/>
              </w:rPr>
              <w:t>[17]</w:t>
            </w:r>
          </w:p>
        </w:tc>
      </w:tr>
      <w:tr w:rsidR="007E7BB9" w:rsidRPr="000427F1" w14:paraId="2041DBA3" w14:textId="77777777" w:rsidTr="007E7BB9">
        <w:tc>
          <w:tcPr>
            <w:tcW w:w="2146" w:type="dxa"/>
            <w:tcBorders>
              <w:top w:val="single" w:sz="4" w:space="0" w:color="auto"/>
              <w:left w:val="nil"/>
              <w:bottom w:val="single" w:sz="4" w:space="0" w:color="auto"/>
              <w:right w:val="nil"/>
            </w:tcBorders>
            <w:vAlign w:val="center"/>
          </w:tcPr>
          <w:p w14:paraId="6A576102" w14:textId="77777777" w:rsidR="007E7BB9" w:rsidRPr="000427F1" w:rsidRDefault="007E7BB9" w:rsidP="00706EE0">
            <w:pPr>
              <w:spacing w:after="120" w:line="360" w:lineRule="auto"/>
              <w:rPr>
                <w:b/>
              </w:rPr>
            </w:pPr>
            <w:r w:rsidRPr="000427F1">
              <w:rPr>
                <w:b/>
              </w:rPr>
              <w:t xml:space="preserve">Social harms </w:t>
            </w:r>
          </w:p>
        </w:tc>
        <w:tc>
          <w:tcPr>
            <w:tcW w:w="3065" w:type="dxa"/>
            <w:tcBorders>
              <w:top w:val="single" w:sz="4" w:space="0" w:color="auto"/>
              <w:left w:val="nil"/>
              <w:bottom w:val="single" w:sz="4" w:space="0" w:color="auto"/>
              <w:right w:val="nil"/>
            </w:tcBorders>
            <w:vAlign w:val="center"/>
          </w:tcPr>
          <w:p w14:paraId="35316DE8" w14:textId="77777777" w:rsidR="007E7BB9" w:rsidRPr="000427F1" w:rsidRDefault="007E7BB9" w:rsidP="00706EE0">
            <w:pPr>
              <w:spacing w:after="120" w:line="360" w:lineRule="auto"/>
              <w:rPr>
                <w:b/>
              </w:rPr>
            </w:pPr>
          </w:p>
        </w:tc>
        <w:tc>
          <w:tcPr>
            <w:tcW w:w="4069" w:type="dxa"/>
            <w:tcBorders>
              <w:top w:val="single" w:sz="4" w:space="0" w:color="auto"/>
              <w:left w:val="nil"/>
              <w:bottom w:val="single" w:sz="4" w:space="0" w:color="auto"/>
              <w:right w:val="nil"/>
            </w:tcBorders>
            <w:vAlign w:val="center"/>
          </w:tcPr>
          <w:p w14:paraId="44523180" w14:textId="77777777" w:rsidR="007E7BB9" w:rsidRPr="000427F1" w:rsidRDefault="007E7BB9" w:rsidP="00706EE0">
            <w:pPr>
              <w:spacing w:after="120" w:line="360" w:lineRule="auto"/>
              <w:rPr>
                <w:b/>
              </w:rPr>
            </w:pPr>
          </w:p>
        </w:tc>
      </w:tr>
      <w:tr w:rsidR="007E7BB9" w:rsidRPr="00D66AF4" w14:paraId="1E1026B9" w14:textId="77777777" w:rsidTr="007E7BB9">
        <w:tc>
          <w:tcPr>
            <w:tcW w:w="2146" w:type="dxa"/>
            <w:tcBorders>
              <w:top w:val="single" w:sz="4" w:space="0" w:color="auto"/>
              <w:left w:val="nil"/>
              <w:bottom w:val="nil"/>
              <w:right w:val="nil"/>
            </w:tcBorders>
            <w:vAlign w:val="center"/>
          </w:tcPr>
          <w:p w14:paraId="1993B16B" w14:textId="77777777" w:rsidR="007E7BB9" w:rsidRPr="00D66AF4" w:rsidRDefault="007E7BB9" w:rsidP="00706EE0">
            <w:pPr>
              <w:spacing w:before="120" w:line="360" w:lineRule="auto"/>
            </w:pPr>
          </w:p>
        </w:tc>
        <w:tc>
          <w:tcPr>
            <w:tcW w:w="3065" w:type="dxa"/>
            <w:tcBorders>
              <w:top w:val="single" w:sz="4" w:space="0" w:color="auto"/>
              <w:left w:val="nil"/>
              <w:bottom w:val="nil"/>
              <w:right w:val="nil"/>
            </w:tcBorders>
            <w:vAlign w:val="center"/>
          </w:tcPr>
          <w:p w14:paraId="520A07FF" w14:textId="77777777" w:rsidR="007E7BB9" w:rsidRPr="00D66AF4" w:rsidRDefault="007E7BB9" w:rsidP="00706EE0">
            <w:pPr>
              <w:spacing w:before="120" w:line="360" w:lineRule="auto"/>
            </w:pPr>
            <w:r w:rsidRPr="00D66AF4">
              <w:t xml:space="preserve">Homelessness </w:t>
            </w:r>
          </w:p>
        </w:tc>
        <w:tc>
          <w:tcPr>
            <w:tcW w:w="4069" w:type="dxa"/>
            <w:tcBorders>
              <w:top w:val="single" w:sz="4" w:space="0" w:color="auto"/>
              <w:left w:val="nil"/>
              <w:bottom w:val="nil"/>
              <w:right w:val="nil"/>
            </w:tcBorders>
            <w:vAlign w:val="center"/>
          </w:tcPr>
          <w:p w14:paraId="65E1AF54" w14:textId="77777777" w:rsidR="007E7BB9" w:rsidRPr="00D66AF4" w:rsidRDefault="007E7BB9" w:rsidP="00706EE0">
            <w:pPr>
              <w:spacing w:before="120" w:line="360" w:lineRule="auto"/>
            </w:pPr>
            <w:r w:rsidRPr="00D66AF4">
              <w:t>[22]</w:t>
            </w:r>
          </w:p>
        </w:tc>
      </w:tr>
      <w:tr w:rsidR="007E7BB9" w:rsidRPr="00D66AF4" w14:paraId="76309F06" w14:textId="77777777" w:rsidTr="007E7BB9">
        <w:tc>
          <w:tcPr>
            <w:tcW w:w="2146" w:type="dxa"/>
            <w:tcBorders>
              <w:top w:val="nil"/>
              <w:left w:val="nil"/>
              <w:bottom w:val="nil"/>
              <w:right w:val="nil"/>
            </w:tcBorders>
            <w:vAlign w:val="center"/>
          </w:tcPr>
          <w:p w14:paraId="6CAA4EB0" w14:textId="77777777" w:rsidR="007E7BB9" w:rsidRPr="00D66AF4" w:rsidRDefault="007E7BB9" w:rsidP="00706EE0">
            <w:pPr>
              <w:spacing w:line="360" w:lineRule="auto"/>
            </w:pPr>
          </w:p>
        </w:tc>
        <w:tc>
          <w:tcPr>
            <w:tcW w:w="3065" w:type="dxa"/>
            <w:tcBorders>
              <w:top w:val="nil"/>
              <w:left w:val="nil"/>
              <w:bottom w:val="nil"/>
              <w:right w:val="nil"/>
            </w:tcBorders>
            <w:vAlign w:val="center"/>
          </w:tcPr>
          <w:p w14:paraId="5C999AB7" w14:textId="77777777" w:rsidR="007E7BB9" w:rsidRPr="00D66AF4" w:rsidRDefault="007E7BB9" w:rsidP="00706EE0">
            <w:pPr>
              <w:spacing w:line="360" w:lineRule="auto"/>
            </w:pPr>
            <w:r w:rsidRPr="00D66AF4">
              <w:t xml:space="preserve">Unemployment </w:t>
            </w:r>
          </w:p>
        </w:tc>
        <w:tc>
          <w:tcPr>
            <w:tcW w:w="4069" w:type="dxa"/>
            <w:tcBorders>
              <w:top w:val="nil"/>
              <w:left w:val="nil"/>
              <w:bottom w:val="nil"/>
              <w:right w:val="nil"/>
            </w:tcBorders>
            <w:vAlign w:val="center"/>
          </w:tcPr>
          <w:p w14:paraId="0BD14429" w14:textId="77777777" w:rsidR="007E7BB9" w:rsidRPr="00D66AF4" w:rsidRDefault="007E7BB9" w:rsidP="00706EE0">
            <w:pPr>
              <w:spacing w:line="360" w:lineRule="auto"/>
            </w:pPr>
            <w:r w:rsidRPr="00D66AF4">
              <w:t>[22]</w:t>
            </w:r>
          </w:p>
        </w:tc>
      </w:tr>
      <w:tr w:rsidR="007E7BB9" w:rsidRPr="00D66AF4" w14:paraId="2A890607" w14:textId="77777777" w:rsidTr="007E7BB9">
        <w:tc>
          <w:tcPr>
            <w:tcW w:w="2146" w:type="dxa"/>
            <w:tcBorders>
              <w:top w:val="nil"/>
              <w:left w:val="nil"/>
              <w:bottom w:val="nil"/>
              <w:right w:val="nil"/>
            </w:tcBorders>
            <w:vAlign w:val="center"/>
          </w:tcPr>
          <w:p w14:paraId="4251A9FB" w14:textId="77777777" w:rsidR="007E7BB9" w:rsidRPr="00D66AF4" w:rsidRDefault="007E7BB9" w:rsidP="00706EE0">
            <w:pPr>
              <w:spacing w:line="360" w:lineRule="auto"/>
            </w:pPr>
          </w:p>
        </w:tc>
        <w:tc>
          <w:tcPr>
            <w:tcW w:w="3065" w:type="dxa"/>
            <w:tcBorders>
              <w:top w:val="nil"/>
              <w:left w:val="nil"/>
              <w:bottom w:val="nil"/>
              <w:right w:val="nil"/>
            </w:tcBorders>
            <w:vAlign w:val="center"/>
          </w:tcPr>
          <w:p w14:paraId="51F2E550" w14:textId="77777777" w:rsidR="007E7BB9" w:rsidRPr="00D66AF4" w:rsidRDefault="007E7BB9" w:rsidP="00706EE0">
            <w:pPr>
              <w:spacing w:line="360" w:lineRule="auto"/>
            </w:pPr>
            <w:r w:rsidRPr="00D66AF4">
              <w:t>Poverty</w:t>
            </w:r>
          </w:p>
        </w:tc>
        <w:tc>
          <w:tcPr>
            <w:tcW w:w="4069" w:type="dxa"/>
            <w:tcBorders>
              <w:top w:val="nil"/>
              <w:left w:val="nil"/>
              <w:bottom w:val="nil"/>
              <w:right w:val="nil"/>
            </w:tcBorders>
            <w:vAlign w:val="center"/>
          </w:tcPr>
          <w:p w14:paraId="6E5413D0" w14:textId="77777777" w:rsidR="007E7BB9" w:rsidRPr="00D66AF4" w:rsidRDefault="007E7BB9" w:rsidP="00706EE0">
            <w:pPr>
              <w:spacing w:line="360" w:lineRule="auto"/>
            </w:pPr>
            <w:r w:rsidRPr="00D66AF4">
              <w:t>[22]</w:t>
            </w:r>
          </w:p>
        </w:tc>
      </w:tr>
      <w:tr w:rsidR="007E7BB9" w:rsidRPr="00D66AF4" w14:paraId="37C6C830" w14:textId="77777777" w:rsidTr="007E7BB9">
        <w:tc>
          <w:tcPr>
            <w:tcW w:w="2146" w:type="dxa"/>
            <w:tcBorders>
              <w:top w:val="nil"/>
              <w:left w:val="nil"/>
              <w:bottom w:val="single" w:sz="4" w:space="0" w:color="auto"/>
              <w:right w:val="nil"/>
            </w:tcBorders>
            <w:vAlign w:val="center"/>
          </w:tcPr>
          <w:p w14:paraId="65B910EF" w14:textId="77777777" w:rsidR="007E7BB9" w:rsidRPr="00D66AF4" w:rsidRDefault="007E7BB9" w:rsidP="00706EE0">
            <w:pPr>
              <w:spacing w:line="360" w:lineRule="auto"/>
            </w:pPr>
          </w:p>
        </w:tc>
        <w:tc>
          <w:tcPr>
            <w:tcW w:w="3065" w:type="dxa"/>
            <w:tcBorders>
              <w:top w:val="nil"/>
              <w:left w:val="nil"/>
              <w:bottom w:val="single" w:sz="4" w:space="0" w:color="auto"/>
              <w:right w:val="nil"/>
            </w:tcBorders>
            <w:vAlign w:val="center"/>
          </w:tcPr>
          <w:p w14:paraId="07CB8B3A" w14:textId="77777777" w:rsidR="007E7BB9" w:rsidRPr="00D66AF4" w:rsidRDefault="007E7BB9" w:rsidP="00706EE0">
            <w:pPr>
              <w:spacing w:line="360" w:lineRule="auto"/>
            </w:pPr>
            <w:r w:rsidRPr="00D66AF4">
              <w:t>Antisocial behaviour</w:t>
            </w:r>
          </w:p>
        </w:tc>
        <w:tc>
          <w:tcPr>
            <w:tcW w:w="4069" w:type="dxa"/>
            <w:tcBorders>
              <w:top w:val="nil"/>
              <w:left w:val="nil"/>
              <w:bottom w:val="single" w:sz="4" w:space="0" w:color="auto"/>
              <w:right w:val="nil"/>
            </w:tcBorders>
            <w:vAlign w:val="center"/>
          </w:tcPr>
          <w:p w14:paraId="26A8E0DA" w14:textId="77777777" w:rsidR="007E7BB9" w:rsidRPr="00D66AF4" w:rsidRDefault="007E7BB9" w:rsidP="00706EE0">
            <w:pPr>
              <w:spacing w:line="360" w:lineRule="auto"/>
            </w:pPr>
            <w:r w:rsidRPr="00D66AF4">
              <w:t>[1][22]</w:t>
            </w:r>
          </w:p>
        </w:tc>
      </w:tr>
    </w:tbl>
    <w:p w14:paraId="3E1409A7" w14:textId="47A2167F" w:rsidR="009B669E" w:rsidRPr="009B669E" w:rsidRDefault="009B669E" w:rsidP="009B669E">
      <w:pPr>
        <w:rPr>
          <w:b/>
        </w:rPr>
      </w:pPr>
    </w:p>
    <w:p w14:paraId="4952ECE1" w14:textId="35C0BCB4" w:rsidR="00D66AF4" w:rsidRDefault="00D66AF4" w:rsidP="00D66AF4">
      <w:r>
        <w:tab/>
      </w:r>
      <w:r>
        <w:tab/>
      </w:r>
    </w:p>
    <w:p w14:paraId="0D563ED2" w14:textId="4FDDC2EF" w:rsidR="00D66AF4" w:rsidRPr="004E22B9" w:rsidRDefault="00D66AF4" w:rsidP="00D66AF4">
      <w:r>
        <w:t xml:space="preserve">For sources see </w:t>
      </w:r>
      <w:r w:rsidR="00603E9F">
        <w:t>A</w:t>
      </w:r>
      <w:r>
        <w:t xml:space="preserve">ppendix </w:t>
      </w:r>
      <w:r w:rsidR="00603E9F">
        <w:t>A.</w:t>
      </w:r>
    </w:p>
    <w:p w14:paraId="258C6419" w14:textId="4AE067DF" w:rsidR="00065C11" w:rsidRPr="000464DC" w:rsidRDefault="00065C11" w:rsidP="00065C11">
      <w:pPr>
        <w:pStyle w:val="Heading2"/>
      </w:pPr>
      <w:bookmarkStart w:id="168" w:name="_Toc9182772"/>
      <w:bookmarkStart w:id="169" w:name="_Toc35892536"/>
      <w:r w:rsidRPr="000464DC">
        <w:t>Admissions to hospital and drug treatment services</w:t>
      </w:r>
      <w:bookmarkEnd w:id="168"/>
      <w:bookmarkEnd w:id="169"/>
    </w:p>
    <w:p w14:paraId="15E8DACB" w14:textId="77777777" w:rsidR="00065C11" w:rsidRPr="006519D9" w:rsidRDefault="00065C11" w:rsidP="00065C11">
      <w:pPr>
        <w:widowControl w:val="0"/>
        <w:autoSpaceDE w:val="0"/>
        <w:autoSpaceDN w:val="0"/>
        <w:adjustRightInd w:val="0"/>
        <w:spacing w:line="480" w:lineRule="auto"/>
        <w:rPr>
          <w:szCs w:val="24"/>
        </w:rPr>
      </w:pPr>
      <w:r>
        <w:rPr>
          <w:szCs w:val="24"/>
        </w:rPr>
        <w:t xml:space="preserve">Hospital emergency data can provide an insight into acute drug-related harms. </w:t>
      </w:r>
      <w:r w:rsidRPr="006519D9">
        <w:rPr>
          <w:szCs w:val="24"/>
        </w:rPr>
        <w:t>Hospital admissions data is published annually by the ONS based on NHS reports on the clinical coding of patient admissions undertaken by hospitals. Hospital admissions data is therefore depend</w:t>
      </w:r>
      <w:r>
        <w:rPr>
          <w:szCs w:val="24"/>
        </w:rPr>
        <w:t>e</w:t>
      </w:r>
      <w:r w:rsidRPr="006519D9">
        <w:rPr>
          <w:szCs w:val="24"/>
        </w:rPr>
        <w:t xml:space="preserve">nt on standardised hospital codes which currently do not </w:t>
      </w:r>
      <w:r>
        <w:rPr>
          <w:szCs w:val="24"/>
        </w:rPr>
        <w:t xml:space="preserve">offer provision for recording use of NPS. </w:t>
      </w:r>
      <w:r w:rsidRPr="006519D9">
        <w:rPr>
          <w:szCs w:val="24"/>
        </w:rPr>
        <w:t>Consequently, information on hospital admissions for NPS is thought to be dispersed across clinical coding categories for illicit drugs based on similarity to the substances they emulate (NHS, 2018). As a result, the potential impact of NPS on hospital admissions can only be inferred at the level of overall admissions</w:t>
      </w:r>
      <w:r>
        <w:rPr>
          <w:szCs w:val="24"/>
        </w:rPr>
        <w:t xml:space="preserve"> for incidents related to drug misuse</w:t>
      </w:r>
      <w:r w:rsidRPr="006519D9">
        <w:rPr>
          <w:szCs w:val="24"/>
        </w:rPr>
        <w:t xml:space="preserve">.  </w:t>
      </w:r>
    </w:p>
    <w:p w14:paraId="487997D9" w14:textId="316B0623" w:rsidR="00A64E15" w:rsidRDefault="00A64E15" w:rsidP="00A64E15">
      <w:pPr>
        <w:widowControl w:val="0"/>
        <w:autoSpaceDE w:val="0"/>
        <w:autoSpaceDN w:val="0"/>
        <w:adjustRightInd w:val="0"/>
        <w:spacing w:line="480" w:lineRule="auto"/>
        <w:rPr>
          <w:szCs w:val="24"/>
        </w:rPr>
      </w:pPr>
      <w:r w:rsidRPr="006519D9">
        <w:rPr>
          <w:szCs w:val="24"/>
        </w:rPr>
        <w:t>Hospital admissions attributed to drugs misuse are based on diagnoses of poisoning by illicit drugs and drug-related mental health or behavioural disorders. In general</w:t>
      </w:r>
      <w:r>
        <w:rPr>
          <w:szCs w:val="24"/>
        </w:rPr>
        <w:t>, annual</w:t>
      </w:r>
      <w:r w:rsidRPr="006519D9">
        <w:rPr>
          <w:szCs w:val="24"/>
        </w:rPr>
        <w:t xml:space="preserve"> admissions for both poisonings and mental health/behavioural disorders have increased steadily over the past decade</w:t>
      </w:r>
      <w:r>
        <w:rPr>
          <w:szCs w:val="24"/>
        </w:rPr>
        <w:t xml:space="preserve"> until a </w:t>
      </w:r>
      <w:r w:rsidRPr="006519D9">
        <w:rPr>
          <w:szCs w:val="24"/>
        </w:rPr>
        <w:t>drop in admissions in 2016/17</w:t>
      </w:r>
      <w:r>
        <w:rPr>
          <w:szCs w:val="24"/>
        </w:rPr>
        <w:t>. A</w:t>
      </w:r>
      <w:r w:rsidRPr="006519D9">
        <w:rPr>
          <w:szCs w:val="24"/>
        </w:rPr>
        <w:t>dmissions for drug-related mental health and behavioural disorders decreased by 12%</w:t>
      </w:r>
      <w:r>
        <w:rPr>
          <w:szCs w:val="24"/>
        </w:rPr>
        <w:t xml:space="preserve"> and </w:t>
      </w:r>
      <w:r w:rsidRPr="006519D9">
        <w:rPr>
          <w:szCs w:val="24"/>
        </w:rPr>
        <w:t>admissions for drug poisoning dropped by 7</w:t>
      </w:r>
      <w:r>
        <w:rPr>
          <w:szCs w:val="24"/>
        </w:rPr>
        <w:t xml:space="preserve">%, </w:t>
      </w:r>
      <w:r w:rsidRPr="006519D9">
        <w:rPr>
          <w:szCs w:val="24"/>
        </w:rPr>
        <w:t>change</w:t>
      </w:r>
      <w:r>
        <w:rPr>
          <w:szCs w:val="24"/>
        </w:rPr>
        <w:t>s that</w:t>
      </w:r>
      <w:r w:rsidRPr="006519D9">
        <w:rPr>
          <w:szCs w:val="24"/>
        </w:rPr>
        <w:t xml:space="preserve"> the Government review of the PS Act </w:t>
      </w:r>
      <w:r>
        <w:rPr>
          <w:szCs w:val="24"/>
        </w:rPr>
        <w:t>implies</w:t>
      </w:r>
      <w:r w:rsidRPr="006519D9">
        <w:rPr>
          <w:szCs w:val="24"/>
        </w:rPr>
        <w:t xml:space="preserve"> may be attribut</w:t>
      </w:r>
      <w:r>
        <w:rPr>
          <w:szCs w:val="24"/>
        </w:rPr>
        <w:t>ed</w:t>
      </w:r>
      <w:r w:rsidRPr="006519D9">
        <w:rPr>
          <w:szCs w:val="24"/>
        </w:rPr>
        <w:t xml:space="preserve"> to </w:t>
      </w:r>
      <w:r w:rsidR="001C322C">
        <w:rPr>
          <w:szCs w:val="24"/>
        </w:rPr>
        <w:t xml:space="preserve">the </w:t>
      </w:r>
      <w:r w:rsidRPr="006519D9">
        <w:rPr>
          <w:szCs w:val="24"/>
        </w:rPr>
        <w:t xml:space="preserve">implementation of the Act. </w:t>
      </w:r>
      <w:r>
        <w:rPr>
          <w:szCs w:val="24"/>
        </w:rPr>
        <w:t xml:space="preserve">Although it </w:t>
      </w:r>
      <w:r w:rsidRPr="006519D9">
        <w:rPr>
          <w:szCs w:val="24"/>
        </w:rPr>
        <w:t xml:space="preserve">is </w:t>
      </w:r>
      <w:r>
        <w:rPr>
          <w:szCs w:val="24"/>
        </w:rPr>
        <w:t>plausible</w:t>
      </w:r>
      <w:r w:rsidRPr="006519D9">
        <w:rPr>
          <w:szCs w:val="24"/>
        </w:rPr>
        <w:t xml:space="preserve"> that </w:t>
      </w:r>
      <w:r>
        <w:rPr>
          <w:szCs w:val="24"/>
        </w:rPr>
        <w:t xml:space="preserve">a reduction in </w:t>
      </w:r>
      <w:r w:rsidRPr="006519D9">
        <w:rPr>
          <w:szCs w:val="24"/>
        </w:rPr>
        <w:t>NPS use</w:t>
      </w:r>
      <w:r>
        <w:rPr>
          <w:szCs w:val="24"/>
        </w:rPr>
        <w:t xml:space="preserve"> may</w:t>
      </w:r>
      <w:r w:rsidRPr="006519D9">
        <w:rPr>
          <w:szCs w:val="24"/>
        </w:rPr>
        <w:t xml:space="preserve"> </w:t>
      </w:r>
      <w:r>
        <w:rPr>
          <w:szCs w:val="24"/>
        </w:rPr>
        <w:t xml:space="preserve">have contributed to these falls </w:t>
      </w:r>
      <w:r w:rsidRPr="006519D9">
        <w:rPr>
          <w:szCs w:val="24"/>
        </w:rPr>
        <w:t>it is not possible to asse</w:t>
      </w:r>
      <w:r>
        <w:rPr>
          <w:szCs w:val="24"/>
        </w:rPr>
        <w:t>s</w:t>
      </w:r>
      <w:r w:rsidRPr="006519D9">
        <w:rPr>
          <w:szCs w:val="24"/>
        </w:rPr>
        <w:t xml:space="preserve">s the extent of any impact </w:t>
      </w:r>
      <w:r>
        <w:rPr>
          <w:szCs w:val="24"/>
        </w:rPr>
        <w:t xml:space="preserve">changes in </w:t>
      </w:r>
      <w:r w:rsidRPr="006519D9">
        <w:rPr>
          <w:szCs w:val="24"/>
        </w:rPr>
        <w:t>NPS</w:t>
      </w:r>
      <w:r>
        <w:rPr>
          <w:szCs w:val="24"/>
        </w:rPr>
        <w:t xml:space="preserve"> use</w:t>
      </w:r>
      <w:r w:rsidRPr="006519D9">
        <w:rPr>
          <w:szCs w:val="24"/>
        </w:rPr>
        <w:t xml:space="preserve"> have had due to the inability to isolate NPS related dat</w:t>
      </w:r>
      <w:r>
        <w:rPr>
          <w:szCs w:val="24"/>
        </w:rPr>
        <w:t>a. For example, most drug poisonings are recorded as a result of opioid use (65% NHS, 2018) and a significant drop in the purity of the most commonly used opioid in 2016 may also be contributing to falls in admissions as the likelihood of overdose decreases (EDCDDA, 218).</w:t>
      </w:r>
    </w:p>
    <w:p w14:paraId="7BC32A9B" w14:textId="7A171C7B" w:rsidR="00A64E15" w:rsidRDefault="00A64E15" w:rsidP="00A64E15">
      <w:pPr>
        <w:spacing w:line="480" w:lineRule="auto"/>
        <w:rPr>
          <w:szCs w:val="24"/>
        </w:rPr>
      </w:pPr>
      <w:r>
        <w:rPr>
          <w:szCs w:val="24"/>
        </w:rPr>
        <w:t>Other</w:t>
      </w:r>
      <w:r w:rsidRPr="00975331">
        <w:rPr>
          <w:szCs w:val="24"/>
        </w:rPr>
        <w:t xml:space="preserve"> evidence in support of a reduction in NPS related harms following the Act comes from data on the numbers of young people admitted into treatment for drug and alcohol</w:t>
      </w:r>
      <w:r w:rsidR="001C322C">
        <w:rPr>
          <w:szCs w:val="24"/>
        </w:rPr>
        <w:t>-</w:t>
      </w:r>
      <w:r w:rsidRPr="00975331">
        <w:rPr>
          <w:szCs w:val="24"/>
        </w:rPr>
        <w:t>related issues</w:t>
      </w:r>
      <w:r>
        <w:rPr>
          <w:szCs w:val="24"/>
        </w:rPr>
        <w:t>. Of 268, 390 adults in contact with treatment services in 2017/18, 7% were aged 18-24 (15,740). Of the total number of people in treatment</w:t>
      </w:r>
      <w:r w:rsidR="001C322C">
        <w:rPr>
          <w:szCs w:val="24"/>
        </w:rPr>
        <w:t>,</w:t>
      </w:r>
      <w:r>
        <w:rPr>
          <w:szCs w:val="24"/>
        </w:rPr>
        <w:t xml:space="preserve"> less than 1% cited problematic use of NPS (2,528). Although the most commonly used substance by adults in treatment was opiates (53%) only 2% of those aged 18-24 cited problematic use of opioids. For adults aged 18-24</w:t>
      </w:r>
      <w:r w:rsidR="001C322C">
        <w:rPr>
          <w:szCs w:val="24"/>
        </w:rPr>
        <w:t>,</w:t>
      </w:r>
      <w:r>
        <w:rPr>
          <w:szCs w:val="24"/>
        </w:rPr>
        <w:t xml:space="preserve"> the most common drugs used were cannabis (54%) and cocaine (29%). Overall, the numbers of people entering treatment has fallen during the last ten years, with a reduction of 7% between 2015/16 and 2017/18. The number of young people aged 18-24 entering treatment for the first time has fallen more rapidly with 21% fewer young people entering treatment in 2017/18 than in 2015/16. This reduction reflects the decreasing prevalence of drug use by young people (PHE, 2018). </w:t>
      </w:r>
    </w:p>
    <w:p w14:paraId="2224B4A2" w14:textId="5FFAADBB" w:rsidR="00065C11" w:rsidRDefault="00A64E15" w:rsidP="00AA2F96">
      <w:pPr>
        <w:spacing w:line="480" w:lineRule="auto"/>
        <w:rPr>
          <w:b/>
          <w:noProof/>
          <w:lang w:val="en-US" w:eastAsia="en-US"/>
        </w:rPr>
      </w:pPr>
      <w:r>
        <w:rPr>
          <w:szCs w:val="24"/>
        </w:rPr>
        <w:t xml:space="preserve">The number of people in treatment for NPS has also reduced at a rate exceeding the overall trend, with a 24% decline between 20015/16 and 2017/18. New presentations for adults citing NPS use have decreased more sharply, reducing by 40% since peaking in 2015/16 following four years of sharp rises </w:t>
      </w:r>
      <w:r w:rsidRPr="00975331">
        <w:rPr>
          <w:szCs w:val="24"/>
        </w:rPr>
        <w:t>(PHE, 201</w:t>
      </w:r>
      <w:r>
        <w:rPr>
          <w:szCs w:val="24"/>
        </w:rPr>
        <w:t>8</w:t>
      </w:r>
      <w:r w:rsidRPr="00975331">
        <w:rPr>
          <w:szCs w:val="24"/>
        </w:rPr>
        <w:t>).</w:t>
      </w:r>
      <w:r>
        <w:rPr>
          <w:szCs w:val="24"/>
        </w:rPr>
        <w:t xml:space="preserve"> </w:t>
      </w:r>
      <w:r w:rsidRPr="00975331">
        <w:rPr>
          <w:szCs w:val="24"/>
        </w:rPr>
        <w:t>This reduction is mainly related to a drop in reported use of synthetic cannabinoid</w:t>
      </w:r>
      <w:r>
        <w:rPr>
          <w:szCs w:val="24"/>
        </w:rPr>
        <w:t xml:space="preserve">s (see </w:t>
      </w:r>
      <w:r w:rsidR="00E166AC">
        <w:rPr>
          <w:szCs w:val="24"/>
        </w:rPr>
        <w:t>F</w:t>
      </w:r>
      <w:r>
        <w:rPr>
          <w:szCs w:val="24"/>
        </w:rPr>
        <w:t xml:space="preserve">igure </w:t>
      </w:r>
      <w:r w:rsidR="00065C11">
        <w:rPr>
          <w:szCs w:val="24"/>
        </w:rPr>
        <w:t>2-</w:t>
      </w:r>
      <w:r>
        <w:rPr>
          <w:szCs w:val="24"/>
        </w:rPr>
        <w:t xml:space="preserve">22) although stimulant type NPS reduced by the greatest proportion (79%). While the 18-24 age group shows the highest proportion of new treatment presentations for NPS in 2017/18 (17% of total new entrants) it has also seen the greatest reduction since 2015/16 (67% reduction). </w:t>
      </w:r>
      <w:bookmarkStart w:id="170" w:name="_Toc9186677"/>
    </w:p>
    <w:p w14:paraId="71BBACF8" w14:textId="211E4AB5" w:rsidR="00A64E15" w:rsidRPr="0018038C" w:rsidRDefault="00A64E15" w:rsidP="00DF5C89">
      <w:pPr>
        <w:pStyle w:val="FigureHeading"/>
      </w:pPr>
      <w:bookmarkStart w:id="171" w:name="_Toc9509117"/>
      <w:r w:rsidRPr="005F3A68">
        <w:t xml:space="preserve">Figure </w:t>
      </w:r>
      <w:r w:rsidR="00195751">
        <w:t>2-22</w:t>
      </w:r>
      <w:r w:rsidRPr="005F3A68">
        <w:t xml:space="preserve">. </w:t>
      </w:r>
      <w:r>
        <w:t>Number of new presentations for adults in treatment</w:t>
      </w:r>
      <w:bookmarkEnd w:id="170"/>
      <w:bookmarkEnd w:id="171"/>
    </w:p>
    <w:p w14:paraId="47E7A313" w14:textId="77777777" w:rsidR="00A64E15" w:rsidRPr="00CB2D5D" w:rsidRDefault="00A64E15" w:rsidP="00A64E15">
      <w:pPr>
        <w:spacing w:line="240" w:lineRule="auto"/>
        <w:rPr>
          <w:szCs w:val="24"/>
        </w:rPr>
      </w:pPr>
      <w:r>
        <w:rPr>
          <w:noProof/>
          <w:lang w:val="en-US" w:eastAsia="en-US"/>
        </w:rPr>
        <w:drawing>
          <wp:inline distT="0" distB="0" distL="0" distR="0" wp14:anchorId="76326F6A" wp14:editId="07E935CA">
            <wp:extent cx="5704764" cy="3056890"/>
            <wp:effectExtent l="0" t="0" r="0" b="0"/>
            <wp:docPr id="240" name="Chart 240">
              <a:extLst xmlns:a="http://schemas.openxmlformats.org/drawingml/2006/main">
                <a:ext uri="{FF2B5EF4-FFF2-40B4-BE49-F238E27FC236}">
                  <a16:creationId xmlns:a16="http://schemas.microsoft.com/office/drawing/2014/main" id="{2D78293E-75DF-4203-A206-5279E826E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C85455" w14:textId="77777777" w:rsidR="007E7BB9" w:rsidRDefault="007E7BB9" w:rsidP="00A64E15">
      <w:pPr>
        <w:spacing w:line="480" w:lineRule="auto"/>
        <w:rPr>
          <w:szCs w:val="24"/>
        </w:rPr>
      </w:pPr>
    </w:p>
    <w:p w14:paraId="1C67E8D8" w14:textId="2A3AC907" w:rsidR="00A64E15" w:rsidRDefault="00A64E15" w:rsidP="00A64E15">
      <w:pPr>
        <w:spacing w:line="480" w:lineRule="auto"/>
        <w:rPr>
          <w:szCs w:val="24"/>
        </w:rPr>
      </w:pPr>
      <w:r>
        <w:rPr>
          <w:szCs w:val="24"/>
        </w:rPr>
        <w:t>Although the reductions in NPS use clearly show a decline in the use of NPS by those entering drug treatment services</w:t>
      </w:r>
      <w:r w:rsidR="001C322C">
        <w:rPr>
          <w:szCs w:val="24"/>
        </w:rPr>
        <w:t>,</w:t>
      </w:r>
      <w:r>
        <w:rPr>
          <w:szCs w:val="24"/>
        </w:rPr>
        <w:t xml:space="preserve"> it should be noted that NPS use may not be the primary problem substance</w:t>
      </w:r>
      <w:r w:rsidR="001C322C">
        <w:rPr>
          <w:szCs w:val="24"/>
        </w:rPr>
        <w:t>;</w:t>
      </w:r>
      <w:r>
        <w:rPr>
          <w:szCs w:val="24"/>
        </w:rPr>
        <w:t xml:space="preserve"> as people entering treatment typically cite </w:t>
      </w:r>
      <w:r w:rsidR="001C322C">
        <w:rPr>
          <w:szCs w:val="24"/>
        </w:rPr>
        <w:t xml:space="preserve">the </w:t>
      </w:r>
      <w:r>
        <w:rPr>
          <w:szCs w:val="24"/>
        </w:rPr>
        <w:t xml:space="preserve">use of multiple substances (PHE, 2018). In addition, treatment admissions data may not offer an accurate reflection of harms associated with drug use as they are also influenced by factors which affect service provision, such as the budget cuts and changes to admission criteria of </w:t>
      </w:r>
      <w:r w:rsidRPr="00FB2B1D">
        <w:rPr>
          <w:szCs w:val="24"/>
        </w:rPr>
        <w:t xml:space="preserve">recent years </w:t>
      </w:r>
      <w:r w:rsidRPr="00FB2B1D">
        <w:rPr>
          <w:rStyle w:val="NotesstructureChar"/>
          <w:color w:val="auto"/>
        </w:rPr>
        <w:t>(ACMD, 2016)</w:t>
      </w:r>
      <w:r w:rsidRPr="00FB2B1D">
        <w:rPr>
          <w:szCs w:val="24"/>
        </w:rPr>
        <w:t xml:space="preserve">. </w:t>
      </w:r>
      <w:r>
        <w:rPr>
          <w:szCs w:val="24"/>
        </w:rPr>
        <w:t xml:space="preserve">Also, there is the possibility </w:t>
      </w:r>
      <w:r w:rsidRPr="00975331">
        <w:rPr>
          <w:szCs w:val="24"/>
        </w:rPr>
        <w:t xml:space="preserve">that </w:t>
      </w:r>
      <w:r>
        <w:rPr>
          <w:szCs w:val="24"/>
        </w:rPr>
        <w:t xml:space="preserve">changes to the legal status of NPS might result in a </w:t>
      </w:r>
      <w:r w:rsidRPr="00975331">
        <w:rPr>
          <w:szCs w:val="24"/>
        </w:rPr>
        <w:t xml:space="preserve">decreased </w:t>
      </w:r>
      <w:r>
        <w:rPr>
          <w:szCs w:val="24"/>
        </w:rPr>
        <w:t>willingness of people to admit use, particularly those people entering treatment for problematic use of alcohol</w:t>
      </w:r>
      <w:r w:rsidRPr="00975331">
        <w:rPr>
          <w:szCs w:val="24"/>
        </w:rPr>
        <w:t>.</w:t>
      </w:r>
    </w:p>
    <w:p w14:paraId="595C713F" w14:textId="3F43ABD7" w:rsidR="00A64E15" w:rsidRPr="000464DC" w:rsidRDefault="00A64E15" w:rsidP="000464DC">
      <w:pPr>
        <w:pStyle w:val="Heading3"/>
      </w:pPr>
      <w:bookmarkStart w:id="172" w:name="_Toc9182814"/>
      <w:bookmarkStart w:id="173" w:name="_Toc35892537"/>
      <w:r w:rsidRPr="000464DC">
        <w:t>Mortality data</w:t>
      </w:r>
      <w:bookmarkEnd w:id="172"/>
      <w:bookmarkEnd w:id="173"/>
      <w:r w:rsidRPr="000464DC">
        <w:t xml:space="preserve">   </w:t>
      </w:r>
    </w:p>
    <w:p w14:paraId="4A71625E" w14:textId="33B861A5" w:rsidR="00A64E15" w:rsidRDefault="00A64E15" w:rsidP="00A64E15">
      <w:pPr>
        <w:spacing w:line="480" w:lineRule="auto"/>
        <w:rPr>
          <w:szCs w:val="24"/>
          <w:lang w:val="en-US"/>
        </w:rPr>
      </w:pPr>
      <w:r w:rsidRPr="008F2714">
        <w:rPr>
          <w:szCs w:val="24"/>
          <w:lang w:val="en-US"/>
        </w:rPr>
        <w:t xml:space="preserve">Relied on heavily in reports and papers, mortality rates linked to NPS use </w:t>
      </w:r>
      <w:r>
        <w:rPr>
          <w:szCs w:val="24"/>
          <w:lang w:val="en-US"/>
        </w:rPr>
        <w:t>are</w:t>
      </w:r>
      <w:r w:rsidRPr="008F2714">
        <w:rPr>
          <w:szCs w:val="24"/>
          <w:lang w:val="en-US"/>
        </w:rPr>
        <w:t xml:space="preserve"> a key source of data used to illustrate the dangers of NPS use. Office of National Statistics figures report </w:t>
      </w:r>
      <w:r>
        <w:rPr>
          <w:szCs w:val="24"/>
          <w:lang w:val="en-US"/>
        </w:rPr>
        <w:t>61</w:t>
      </w:r>
      <w:r w:rsidRPr="008F2714">
        <w:rPr>
          <w:szCs w:val="24"/>
          <w:lang w:val="en-US"/>
        </w:rPr>
        <w:t xml:space="preserve"> drug-poisoning deaths involving NPS use in England and Wales during 201</w:t>
      </w:r>
      <w:r>
        <w:rPr>
          <w:szCs w:val="24"/>
          <w:lang w:val="en-US"/>
        </w:rPr>
        <w:t>7</w:t>
      </w:r>
      <w:r w:rsidRPr="008F2714">
        <w:rPr>
          <w:szCs w:val="24"/>
          <w:lang w:val="en-US"/>
        </w:rPr>
        <w:t xml:space="preserve">. </w:t>
      </w:r>
    </w:p>
    <w:p w14:paraId="7AD779E0" w14:textId="37B95C35" w:rsidR="00A64E15" w:rsidRPr="0003780B" w:rsidRDefault="00A64E15" w:rsidP="00DF5C89">
      <w:pPr>
        <w:pStyle w:val="FigureHeading"/>
      </w:pPr>
      <w:bookmarkStart w:id="174" w:name="_Toc9186678"/>
      <w:bookmarkStart w:id="175" w:name="_Toc9509118"/>
      <w:r w:rsidRPr="005F3A68">
        <w:t xml:space="preserve">Figure </w:t>
      </w:r>
      <w:r w:rsidR="00195751">
        <w:t>2-23</w:t>
      </w:r>
      <w:r w:rsidRPr="005F3A68">
        <w:t xml:space="preserve">. </w:t>
      </w:r>
      <w:r>
        <w:t>Number of deaths in England and Wales where an NPS was included on the death certificate</w:t>
      </w:r>
      <w:bookmarkEnd w:id="174"/>
      <w:bookmarkEnd w:id="175"/>
    </w:p>
    <w:p w14:paraId="376B7C63" w14:textId="77777777" w:rsidR="00A64E15" w:rsidRPr="00331357" w:rsidRDefault="00A64E15" w:rsidP="00A64E15">
      <w:pPr>
        <w:widowControl w:val="0"/>
        <w:autoSpaceDE w:val="0"/>
        <w:autoSpaceDN w:val="0"/>
        <w:adjustRightInd w:val="0"/>
        <w:spacing w:line="240" w:lineRule="auto"/>
        <w:jc w:val="center"/>
        <w:rPr>
          <w:b/>
        </w:rPr>
      </w:pPr>
      <w:r>
        <w:rPr>
          <w:noProof/>
          <w:lang w:val="en-US" w:eastAsia="en-US"/>
        </w:rPr>
        <w:drawing>
          <wp:inline distT="0" distB="0" distL="0" distR="0" wp14:anchorId="18C138AA" wp14:editId="47A780AA">
            <wp:extent cx="5854889" cy="3084195"/>
            <wp:effectExtent l="0" t="0" r="0" b="1905"/>
            <wp:docPr id="215" name="Chart 215">
              <a:extLst xmlns:a="http://schemas.openxmlformats.org/drawingml/2006/main">
                <a:ext uri="{FF2B5EF4-FFF2-40B4-BE49-F238E27FC236}">
                  <a16:creationId xmlns:a16="http://schemas.microsoft.com/office/drawing/2014/main" id="{8D1D509D-0B1D-4B2E-90A9-AD9C626A4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A51EB7" w14:textId="77777777" w:rsidR="007E7BB9" w:rsidRDefault="007E7BB9" w:rsidP="00A64E15">
      <w:pPr>
        <w:spacing w:line="480" w:lineRule="auto"/>
        <w:rPr>
          <w:szCs w:val="24"/>
          <w:lang w:val="en-US"/>
        </w:rPr>
      </w:pPr>
    </w:p>
    <w:p w14:paraId="318FBF1A" w14:textId="2EE7C609" w:rsidR="00A64E15" w:rsidRPr="00FB3B4A" w:rsidRDefault="00A64E15" w:rsidP="00A64E15">
      <w:pPr>
        <w:spacing w:line="480" w:lineRule="auto"/>
        <w:rPr>
          <w:szCs w:val="24"/>
        </w:rPr>
      </w:pPr>
      <w:r>
        <w:rPr>
          <w:szCs w:val="24"/>
          <w:lang w:val="en-US"/>
        </w:rPr>
        <w:t xml:space="preserve">Mortality </w:t>
      </w:r>
      <w:r w:rsidRPr="008F2714">
        <w:rPr>
          <w:szCs w:val="24"/>
          <w:lang w:val="en-US"/>
        </w:rPr>
        <w:t>figures</w:t>
      </w:r>
      <w:r>
        <w:rPr>
          <w:szCs w:val="24"/>
          <w:lang w:val="en-US"/>
        </w:rPr>
        <w:t xml:space="preserve"> linked to NPS use</w:t>
      </w:r>
      <w:r w:rsidRPr="008F2714">
        <w:rPr>
          <w:szCs w:val="24"/>
          <w:lang w:val="en-US"/>
        </w:rPr>
        <w:t xml:space="preserve"> are described as low (</w:t>
      </w:r>
      <w:r w:rsidR="005F70CB">
        <w:rPr>
          <w:szCs w:val="24"/>
          <w:lang w:val="en-US"/>
        </w:rPr>
        <w:t xml:space="preserve">ACMD, 2011; </w:t>
      </w:r>
      <w:r w:rsidRPr="008F2714">
        <w:rPr>
          <w:szCs w:val="24"/>
          <w:lang w:val="en-US"/>
        </w:rPr>
        <w:t>NAW, 2015; ONS 2015), but sharp increases in death rates linked to NPS</w:t>
      </w:r>
      <w:r>
        <w:rPr>
          <w:szCs w:val="24"/>
          <w:lang w:val="en-US"/>
        </w:rPr>
        <w:t xml:space="preserve"> during the period 2010 to 2016</w:t>
      </w:r>
      <w:r w:rsidRPr="008F2714">
        <w:rPr>
          <w:szCs w:val="24"/>
          <w:lang w:val="en-US"/>
        </w:rPr>
        <w:t xml:space="preserve"> </w:t>
      </w:r>
      <w:r>
        <w:rPr>
          <w:szCs w:val="24"/>
          <w:lang w:val="en-US"/>
        </w:rPr>
        <w:t xml:space="preserve">have been the </w:t>
      </w:r>
      <w:r w:rsidRPr="008F2714">
        <w:rPr>
          <w:szCs w:val="24"/>
          <w:lang w:val="en-US"/>
        </w:rPr>
        <w:t xml:space="preserve">cause </w:t>
      </w:r>
      <w:r>
        <w:rPr>
          <w:szCs w:val="24"/>
          <w:lang w:val="en-US"/>
        </w:rPr>
        <w:t>great</w:t>
      </w:r>
      <w:r w:rsidRPr="008F2714">
        <w:rPr>
          <w:szCs w:val="24"/>
          <w:lang w:val="en-US"/>
        </w:rPr>
        <w:t xml:space="preserve"> concern (</w:t>
      </w:r>
      <w:r>
        <w:rPr>
          <w:szCs w:val="24"/>
          <w:lang w:val="en-US"/>
        </w:rPr>
        <w:t>HM Government, 2011; 2015</w:t>
      </w:r>
      <w:r w:rsidRPr="008F2714">
        <w:rPr>
          <w:szCs w:val="24"/>
          <w:lang w:val="en-US"/>
        </w:rPr>
        <w:t xml:space="preserve">). </w:t>
      </w:r>
      <w:r w:rsidRPr="004557EE">
        <w:rPr>
          <w:szCs w:val="24"/>
          <w:lang w:val="en-US"/>
        </w:rPr>
        <w:t xml:space="preserve">For the mortality data presented in </w:t>
      </w:r>
      <w:r w:rsidR="00E166AC">
        <w:rPr>
          <w:szCs w:val="24"/>
          <w:lang w:val="en-US"/>
        </w:rPr>
        <w:t>F</w:t>
      </w:r>
      <w:r w:rsidRPr="004557EE">
        <w:rPr>
          <w:szCs w:val="24"/>
          <w:lang w:val="en-US"/>
        </w:rPr>
        <w:t xml:space="preserve">igure </w:t>
      </w:r>
      <w:r w:rsidR="00065C11">
        <w:rPr>
          <w:szCs w:val="24"/>
          <w:lang w:val="en-US"/>
        </w:rPr>
        <w:t>2-23</w:t>
      </w:r>
      <w:r w:rsidRPr="004557EE">
        <w:rPr>
          <w:szCs w:val="24"/>
          <w:lang w:val="en-US"/>
        </w:rPr>
        <w:t>, deaths were associated with NPS use when the underlying cause of death was determined to be drug-related and one or more NPS were mentioned on the death certificate.</w:t>
      </w:r>
    </w:p>
    <w:p w14:paraId="72A319D1" w14:textId="01272AD3" w:rsidR="00A64E15" w:rsidRDefault="00A64E15" w:rsidP="002A5E7E">
      <w:pPr>
        <w:spacing w:line="480" w:lineRule="auto"/>
      </w:pPr>
      <w:r w:rsidRPr="00A17C59">
        <w:t xml:space="preserve">The first drug-related death to mention NPS on the death certificate was recorded in 1995, but mortality rates remained extremely low until rapid increases around 2007/8, with the sharpest rises in </w:t>
      </w:r>
      <w:r>
        <w:t xml:space="preserve">the number of </w:t>
      </w:r>
      <w:r w:rsidRPr="00A17C59">
        <w:t>death</w:t>
      </w:r>
      <w:r>
        <w:t>s</w:t>
      </w:r>
      <w:r w:rsidRPr="00A17C59">
        <w:t xml:space="preserve"> especially noticeable between 2010 and 2016. </w:t>
      </w:r>
      <w:r>
        <w:t xml:space="preserve">In the final year of available data, the rise in deaths not only appears to have stopped but reversed, showing a substantial drop in the number of deaths linked to NPS in 2016-2017. </w:t>
      </w:r>
      <w:r w:rsidR="00065C11">
        <w:t xml:space="preserve">(See Table 2-4). </w:t>
      </w:r>
      <w:r>
        <w:t>In 2016 in England and Wales</w:t>
      </w:r>
      <w:r w:rsidR="001C322C">
        <w:t>,</w:t>
      </w:r>
      <w:r>
        <w:t xml:space="preserve"> 123 deaths were linked with NPS at post-mortem, but by 2017 the number of deaths had dropped to 61, a percentage decrease of just over 50%. At 68%, the decrease in deaths for those under 30 is proportionally greater than those over aged over 30 (41%). The decrease in the number of deaths following implementation of the ban in 2016 is presented by the Government review of the PS Act as an indication that the aims of the act have mainly been achieved. However, with the observed downward trend based on only a single year of data, drawing any firm conclusions would be premature.</w:t>
      </w:r>
    </w:p>
    <w:p w14:paraId="790B7D87" w14:textId="77777777" w:rsidR="009852A2" w:rsidRPr="009852A2" w:rsidRDefault="009852A2" w:rsidP="009852A2">
      <w:pPr>
        <w:pStyle w:val="TableHeader"/>
        <w:rPr>
          <w:b/>
        </w:rPr>
      </w:pPr>
      <w:bookmarkStart w:id="176" w:name="_Toc9509031"/>
      <w:r w:rsidRPr="009852A2">
        <w:rPr>
          <w:b/>
        </w:rPr>
        <w:t>Table 2-4. Drug-related deaths associated with use of NPS</w:t>
      </w:r>
      <w:bookmarkEnd w:id="176"/>
      <w:r w:rsidRPr="009852A2">
        <w:rPr>
          <w:b/>
        </w:rPr>
        <w:t xml:space="preserve"> </w:t>
      </w:r>
    </w:p>
    <w:tbl>
      <w:tblPr>
        <w:tblStyle w:val="TableGrid"/>
        <w:tblW w:w="0" w:type="auto"/>
        <w:tblLook w:val="04A0" w:firstRow="1" w:lastRow="0" w:firstColumn="1" w:lastColumn="0" w:noHBand="0" w:noVBand="1"/>
      </w:tblPr>
      <w:tblGrid>
        <w:gridCol w:w="817"/>
        <w:gridCol w:w="750"/>
        <w:gridCol w:w="750"/>
        <w:gridCol w:w="749"/>
        <w:gridCol w:w="749"/>
        <w:gridCol w:w="749"/>
        <w:gridCol w:w="750"/>
        <w:gridCol w:w="750"/>
        <w:gridCol w:w="750"/>
        <w:gridCol w:w="750"/>
        <w:gridCol w:w="750"/>
        <w:gridCol w:w="750"/>
      </w:tblGrid>
      <w:tr w:rsidR="009852A2" w:rsidRPr="009852A2" w14:paraId="611D2B4A" w14:textId="77777777" w:rsidTr="009B669E">
        <w:tc>
          <w:tcPr>
            <w:tcW w:w="817" w:type="dxa"/>
            <w:tcBorders>
              <w:top w:val="single" w:sz="4" w:space="0" w:color="auto"/>
              <w:left w:val="nil"/>
              <w:bottom w:val="single" w:sz="4" w:space="0" w:color="auto"/>
              <w:right w:val="nil"/>
            </w:tcBorders>
          </w:tcPr>
          <w:p w14:paraId="242708CB" w14:textId="77777777" w:rsidR="009852A2" w:rsidRPr="009852A2" w:rsidRDefault="009852A2" w:rsidP="009B669E">
            <w:pPr>
              <w:spacing w:before="120" w:after="120"/>
              <w:rPr>
                <w:b/>
              </w:rPr>
            </w:pPr>
            <w:r w:rsidRPr="009852A2">
              <w:rPr>
                <w:b/>
              </w:rPr>
              <w:t>Year</w:t>
            </w:r>
          </w:p>
        </w:tc>
        <w:tc>
          <w:tcPr>
            <w:tcW w:w="750" w:type="dxa"/>
            <w:tcBorders>
              <w:top w:val="single" w:sz="4" w:space="0" w:color="auto"/>
              <w:left w:val="nil"/>
              <w:bottom w:val="single" w:sz="4" w:space="0" w:color="auto"/>
              <w:right w:val="nil"/>
            </w:tcBorders>
          </w:tcPr>
          <w:p w14:paraId="08892AD1" w14:textId="77777777" w:rsidR="009852A2" w:rsidRPr="009852A2" w:rsidRDefault="009852A2" w:rsidP="009B669E">
            <w:pPr>
              <w:spacing w:before="120" w:after="120"/>
              <w:rPr>
                <w:b/>
              </w:rPr>
            </w:pPr>
            <w:r w:rsidRPr="009852A2">
              <w:rPr>
                <w:b/>
              </w:rPr>
              <w:t>2007</w:t>
            </w:r>
          </w:p>
        </w:tc>
        <w:tc>
          <w:tcPr>
            <w:tcW w:w="750" w:type="dxa"/>
            <w:tcBorders>
              <w:top w:val="single" w:sz="4" w:space="0" w:color="auto"/>
              <w:left w:val="nil"/>
              <w:bottom w:val="single" w:sz="4" w:space="0" w:color="auto"/>
              <w:right w:val="nil"/>
            </w:tcBorders>
          </w:tcPr>
          <w:p w14:paraId="113C49F4" w14:textId="77777777" w:rsidR="009852A2" w:rsidRPr="009852A2" w:rsidRDefault="009852A2" w:rsidP="009B669E">
            <w:pPr>
              <w:spacing w:before="120" w:after="120"/>
              <w:rPr>
                <w:b/>
              </w:rPr>
            </w:pPr>
            <w:r w:rsidRPr="009852A2">
              <w:rPr>
                <w:b/>
              </w:rPr>
              <w:t>2008</w:t>
            </w:r>
          </w:p>
        </w:tc>
        <w:tc>
          <w:tcPr>
            <w:tcW w:w="749" w:type="dxa"/>
            <w:tcBorders>
              <w:top w:val="single" w:sz="4" w:space="0" w:color="auto"/>
              <w:left w:val="nil"/>
              <w:bottom w:val="single" w:sz="4" w:space="0" w:color="auto"/>
              <w:right w:val="nil"/>
            </w:tcBorders>
          </w:tcPr>
          <w:p w14:paraId="50EDC7B1" w14:textId="77777777" w:rsidR="009852A2" w:rsidRPr="009852A2" w:rsidRDefault="009852A2" w:rsidP="009B669E">
            <w:pPr>
              <w:spacing w:before="120" w:after="120"/>
              <w:rPr>
                <w:b/>
              </w:rPr>
            </w:pPr>
            <w:r w:rsidRPr="009852A2">
              <w:rPr>
                <w:b/>
              </w:rPr>
              <w:t>2009</w:t>
            </w:r>
          </w:p>
        </w:tc>
        <w:tc>
          <w:tcPr>
            <w:tcW w:w="749" w:type="dxa"/>
            <w:tcBorders>
              <w:top w:val="single" w:sz="4" w:space="0" w:color="auto"/>
              <w:left w:val="nil"/>
              <w:bottom w:val="single" w:sz="4" w:space="0" w:color="auto"/>
              <w:right w:val="nil"/>
            </w:tcBorders>
          </w:tcPr>
          <w:p w14:paraId="4D12B807" w14:textId="77777777" w:rsidR="009852A2" w:rsidRPr="009852A2" w:rsidRDefault="009852A2" w:rsidP="009B669E">
            <w:pPr>
              <w:spacing w:before="120" w:after="120"/>
              <w:rPr>
                <w:b/>
              </w:rPr>
            </w:pPr>
            <w:r w:rsidRPr="009852A2">
              <w:rPr>
                <w:b/>
              </w:rPr>
              <w:t>2010</w:t>
            </w:r>
          </w:p>
        </w:tc>
        <w:tc>
          <w:tcPr>
            <w:tcW w:w="749" w:type="dxa"/>
            <w:tcBorders>
              <w:top w:val="single" w:sz="4" w:space="0" w:color="auto"/>
              <w:left w:val="nil"/>
              <w:bottom w:val="single" w:sz="4" w:space="0" w:color="auto"/>
              <w:right w:val="nil"/>
            </w:tcBorders>
          </w:tcPr>
          <w:p w14:paraId="622ABF81" w14:textId="77777777" w:rsidR="009852A2" w:rsidRPr="009852A2" w:rsidRDefault="009852A2" w:rsidP="009B669E">
            <w:pPr>
              <w:spacing w:before="120" w:after="120"/>
              <w:rPr>
                <w:b/>
              </w:rPr>
            </w:pPr>
            <w:r w:rsidRPr="009852A2">
              <w:rPr>
                <w:b/>
              </w:rPr>
              <w:t>2011</w:t>
            </w:r>
          </w:p>
        </w:tc>
        <w:tc>
          <w:tcPr>
            <w:tcW w:w="750" w:type="dxa"/>
            <w:tcBorders>
              <w:top w:val="single" w:sz="4" w:space="0" w:color="auto"/>
              <w:left w:val="nil"/>
              <w:bottom w:val="single" w:sz="4" w:space="0" w:color="auto"/>
              <w:right w:val="nil"/>
            </w:tcBorders>
          </w:tcPr>
          <w:p w14:paraId="1D01A556" w14:textId="77777777" w:rsidR="009852A2" w:rsidRPr="009852A2" w:rsidRDefault="009852A2" w:rsidP="009B669E">
            <w:pPr>
              <w:spacing w:before="120" w:after="120"/>
              <w:rPr>
                <w:b/>
              </w:rPr>
            </w:pPr>
            <w:r w:rsidRPr="009852A2">
              <w:rPr>
                <w:b/>
              </w:rPr>
              <w:t>2012</w:t>
            </w:r>
          </w:p>
        </w:tc>
        <w:tc>
          <w:tcPr>
            <w:tcW w:w="750" w:type="dxa"/>
            <w:tcBorders>
              <w:top w:val="single" w:sz="4" w:space="0" w:color="auto"/>
              <w:left w:val="nil"/>
              <w:bottom w:val="single" w:sz="4" w:space="0" w:color="auto"/>
              <w:right w:val="nil"/>
            </w:tcBorders>
          </w:tcPr>
          <w:p w14:paraId="6330962D" w14:textId="77777777" w:rsidR="009852A2" w:rsidRPr="009852A2" w:rsidRDefault="009852A2" w:rsidP="009B669E">
            <w:pPr>
              <w:spacing w:before="120" w:after="120"/>
              <w:rPr>
                <w:b/>
              </w:rPr>
            </w:pPr>
            <w:r w:rsidRPr="009852A2">
              <w:rPr>
                <w:b/>
              </w:rPr>
              <w:t>2013</w:t>
            </w:r>
          </w:p>
        </w:tc>
        <w:tc>
          <w:tcPr>
            <w:tcW w:w="750" w:type="dxa"/>
            <w:tcBorders>
              <w:top w:val="single" w:sz="4" w:space="0" w:color="auto"/>
              <w:left w:val="nil"/>
              <w:bottom w:val="single" w:sz="4" w:space="0" w:color="auto"/>
              <w:right w:val="nil"/>
            </w:tcBorders>
          </w:tcPr>
          <w:p w14:paraId="59FE368E" w14:textId="77777777" w:rsidR="009852A2" w:rsidRPr="009852A2" w:rsidRDefault="009852A2" w:rsidP="009B669E">
            <w:pPr>
              <w:spacing w:before="120" w:after="120"/>
              <w:rPr>
                <w:b/>
              </w:rPr>
            </w:pPr>
            <w:r w:rsidRPr="009852A2">
              <w:rPr>
                <w:b/>
              </w:rPr>
              <w:t>2014</w:t>
            </w:r>
          </w:p>
        </w:tc>
        <w:tc>
          <w:tcPr>
            <w:tcW w:w="750" w:type="dxa"/>
            <w:tcBorders>
              <w:top w:val="single" w:sz="4" w:space="0" w:color="auto"/>
              <w:left w:val="nil"/>
              <w:bottom w:val="single" w:sz="4" w:space="0" w:color="auto"/>
              <w:right w:val="nil"/>
            </w:tcBorders>
          </w:tcPr>
          <w:p w14:paraId="087FC93F" w14:textId="77777777" w:rsidR="009852A2" w:rsidRPr="009852A2" w:rsidRDefault="009852A2" w:rsidP="009B669E">
            <w:pPr>
              <w:spacing w:before="120" w:after="120"/>
              <w:rPr>
                <w:b/>
              </w:rPr>
            </w:pPr>
            <w:r w:rsidRPr="009852A2">
              <w:rPr>
                <w:b/>
              </w:rPr>
              <w:t>2015</w:t>
            </w:r>
          </w:p>
        </w:tc>
        <w:tc>
          <w:tcPr>
            <w:tcW w:w="750" w:type="dxa"/>
            <w:tcBorders>
              <w:top w:val="single" w:sz="4" w:space="0" w:color="auto"/>
              <w:left w:val="nil"/>
              <w:bottom w:val="single" w:sz="4" w:space="0" w:color="auto"/>
              <w:right w:val="nil"/>
            </w:tcBorders>
          </w:tcPr>
          <w:p w14:paraId="29581954" w14:textId="77777777" w:rsidR="009852A2" w:rsidRPr="009852A2" w:rsidRDefault="009852A2" w:rsidP="009B669E">
            <w:pPr>
              <w:spacing w:before="120" w:after="120"/>
              <w:rPr>
                <w:b/>
              </w:rPr>
            </w:pPr>
            <w:r w:rsidRPr="009852A2">
              <w:rPr>
                <w:b/>
              </w:rPr>
              <w:t>2016</w:t>
            </w:r>
          </w:p>
        </w:tc>
        <w:tc>
          <w:tcPr>
            <w:tcW w:w="750" w:type="dxa"/>
            <w:tcBorders>
              <w:top w:val="single" w:sz="4" w:space="0" w:color="auto"/>
              <w:left w:val="nil"/>
              <w:bottom w:val="single" w:sz="4" w:space="0" w:color="auto"/>
              <w:right w:val="nil"/>
            </w:tcBorders>
          </w:tcPr>
          <w:p w14:paraId="33D08222" w14:textId="77777777" w:rsidR="009852A2" w:rsidRPr="009852A2" w:rsidRDefault="009852A2" w:rsidP="009B669E">
            <w:pPr>
              <w:spacing w:before="120" w:after="120"/>
              <w:rPr>
                <w:b/>
              </w:rPr>
            </w:pPr>
            <w:r w:rsidRPr="009852A2">
              <w:rPr>
                <w:b/>
              </w:rPr>
              <w:t>2017</w:t>
            </w:r>
          </w:p>
        </w:tc>
      </w:tr>
      <w:tr w:rsidR="009852A2" w:rsidRPr="009852A2" w14:paraId="03610779" w14:textId="77777777" w:rsidTr="009B669E">
        <w:tc>
          <w:tcPr>
            <w:tcW w:w="817" w:type="dxa"/>
            <w:tcBorders>
              <w:top w:val="nil"/>
              <w:left w:val="nil"/>
              <w:bottom w:val="nil"/>
              <w:right w:val="nil"/>
            </w:tcBorders>
          </w:tcPr>
          <w:p w14:paraId="2325AAD0" w14:textId="77777777" w:rsidR="009852A2" w:rsidRPr="009852A2" w:rsidRDefault="009852A2" w:rsidP="009B669E">
            <w:pPr>
              <w:spacing w:before="120" w:after="120"/>
            </w:pPr>
            <w:r w:rsidRPr="009852A2">
              <w:t>NPS</w:t>
            </w:r>
          </w:p>
        </w:tc>
        <w:tc>
          <w:tcPr>
            <w:tcW w:w="750" w:type="dxa"/>
            <w:tcBorders>
              <w:top w:val="nil"/>
              <w:left w:val="nil"/>
              <w:bottom w:val="nil"/>
              <w:right w:val="nil"/>
            </w:tcBorders>
          </w:tcPr>
          <w:p w14:paraId="7716AD66" w14:textId="77777777" w:rsidR="009852A2" w:rsidRPr="009852A2" w:rsidRDefault="009852A2" w:rsidP="009B669E">
            <w:pPr>
              <w:spacing w:before="120" w:after="120"/>
            </w:pPr>
            <w:r w:rsidRPr="009852A2">
              <w:t>9</w:t>
            </w:r>
          </w:p>
        </w:tc>
        <w:tc>
          <w:tcPr>
            <w:tcW w:w="750" w:type="dxa"/>
            <w:tcBorders>
              <w:top w:val="nil"/>
              <w:left w:val="nil"/>
              <w:bottom w:val="nil"/>
              <w:right w:val="nil"/>
            </w:tcBorders>
          </w:tcPr>
          <w:p w14:paraId="3C0718F7" w14:textId="77777777" w:rsidR="009852A2" w:rsidRPr="009852A2" w:rsidRDefault="009852A2" w:rsidP="009B669E">
            <w:pPr>
              <w:spacing w:before="120" w:after="120"/>
            </w:pPr>
            <w:r w:rsidRPr="009852A2">
              <w:t>25</w:t>
            </w:r>
          </w:p>
        </w:tc>
        <w:tc>
          <w:tcPr>
            <w:tcW w:w="749" w:type="dxa"/>
            <w:tcBorders>
              <w:top w:val="nil"/>
              <w:left w:val="nil"/>
              <w:bottom w:val="nil"/>
              <w:right w:val="nil"/>
            </w:tcBorders>
          </w:tcPr>
          <w:p w14:paraId="77559FC2" w14:textId="77777777" w:rsidR="009852A2" w:rsidRPr="009852A2" w:rsidRDefault="009852A2" w:rsidP="009B669E">
            <w:pPr>
              <w:spacing w:before="120" w:after="120"/>
            </w:pPr>
            <w:r w:rsidRPr="009852A2">
              <w:t>26</w:t>
            </w:r>
          </w:p>
        </w:tc>
        <w:tc>
          <w:tcPr>
            <w:tcW w:w="749" w:type="dxa"/>
            <w:tcBorders>
              <w:top w:val="nil"/>
              <w:left w:val="nil"/>
              <w:bottom w:val="nil"/>
              <w:right w:val="nil"/>
            </w:tcBorders>
          </w:tcPr>
          <w:p w14:paraId="2ADEC220" w14:textId="77777777" w:rsidR="009852A2" w:rsidRPr="009852A2" w:rsidRDefault="009852A2" w:rsidP="009B669E">
            <w:pPr>
              <w:spacing w:before="120" w:after="120"/>
            </w:pPr>
            <w:r w:rsidRPr="009852A2">
              <w:t>22</w:t>
            </w:r>
          </w:p>
        </w:tc>
        <w:tc>
          <w:tcPr>
            <w:tcW w:w="749" w:type="dxa"/>
            <w:tcBorders>
              <w:top w:val="nil"/>
              <w:left w:val="nil"/>
              <w:bottom w:val="nil"/>
              <w:right w:val="nil"/>
            </w:tcBorders>
          </w:tcPr>
          <w:p w14:paraId="3ECA07C9" w14:textId="77777777" w:rsidR="009852A2" w:rsidRPr="009852A2" w:rsidRDefault="009852A2" w:rsidP="009B669E">
            <w:pPr>
              <w:spacing w:before="120" w:after="120"/>
            </w:pPr>
            <w:r w:rsidRPr="009852A2">
              <w:t>31</w:t>
            </w:r>
          </w:p>
        </w:tc>
        <w:tc>
          <w:tcPr>
            <w:tcW w:w="750" w:type="dxa"/>
            <w:tcBorders>
              <w:top w:val="nil"/>
              <w:left w:val="nil"/>
              <w:bottom w:val="nil"/>
              <w:right w:val="nil"/>
            </w:tcBorders>
          </w:tcPr>
          <w:p w14:paraId="679992C4" w14:textId="77777777" w:rsidR="009852A2" w:rsidRPr="009852A2" w:rsidRDefault="009852A2" w:rsidP="009B669E">
            <w:pPr>
              <w:spacing w:before="120" w:after="120"/>
            </w:pPr>
            <w:r w:rsidRPr="009852A2">
              <w:t>55</w:t>
            </w:r>
          </w:p>
        </w:tc>
        <w:tc>
          <w:tcPr>
            <w:tcW w:w="750" w:type="dxa"/>
            <w:tcBorders>
              <w:top w:val="nil"/>
              <w:left w:val="nil"/>
              <w:bottom w:val="nil"/>
              <w:right w:val="nil"/>
            </w:tcBorders>
          </w:tcPr>
          <w:p w14:paraId="09A066DD" w14:textId="77777777" w:rsidR="009852A2" w:rsidRPr="009852A2" w:rsidRDefault="009852A2" w:rsidP="009B669E">
            <w:pPr>
              <w:spacing w:before="120" w:after="120"/>
            </w:pPr>
            <w:r w:rsidRPr="009852A2">
              <w:t>63</w:t>
            </w:r>
          </w:p>
        </w:tc>
        <w:tc>
          <w:tcPr>
            <w:tcW w:w="750" w:type="dxa"/>
            <w:tcBorders>
              <w:top w:val="nil"/>
              <w:left w:val="nil"/>
              <w:bottom w:val="nil"/>
              <w:right w:val="nil"/>
            </w:tcBorders>
          </w:tcPr>
          <w:p w14:paraId="6996D0D9" w14:textId="77777777" w:rsidR="009852A2" w:rsidRPr="009852A2" w:rsidRDefault="009852A2" w:rsidP="009B669E">
            <w:pPr>
              <w:spacing w:before="120" w:after="120"/>
            </w:pPr>
            <w:r w:rsidRPr="009852A2">
              <w:t>82</w:t>
            </w:r>
          </w:p>
        </w:tc>
        <w:tc>
          <w:tcPr>
            <w:tcW w:w="750" w:type="dxa"/>
            <w:tcBorders>
              <w:top w:val="nil"/>
              <w:left w:val="nil"/>
              <w:bottom w:val="nil"/>
              <w:right w:val="nil"/>
            </w:tcBorders>
          </w:tcPr>
          <w:p w14:paraId="59D7073F" w14:textId="77777777" w:rsidR="009852A2" w:rsidRPr="009852A2" w:rsidRDefault="009852A2" w:rsidP="009B669E">
            <w:pPr>
              <w:spacing w:before="120" w:after="120"/>
            </w:pPr>
            <w:r w:rsidRPr="009852A2">
              <w:t>114</w:t>
            </w:r>
          </w:p>
        </w:tc>
        <w:tc>
          <w:tcPr>
            <w:tcW w:w="750" w:type="dxa"/>
            <w:tcBorders>
              <w:top w:val="nil"/>
              <w:left w:val="nil"/>
              <w:bottom w:val="nil"/>
              <w:right w:val="nil"/>
            </w:tcBorders>
          </w:tcPr>
          <w:p w14:paraId="293DE3BD" w14:textId="77777777" w:rsidR="009852A2" w:rsidRPr="009852A2" w:rsidRDefault="009852A2" w:rsidP="009B669E">
            <w:pPr>
              <w:spacing w:before="120" w:after="120"/>
            </w:pPr>
            <w:r w:rsidRPr="009852A2">
              <w:t>123</w:t>
            </w:r>
          </w:p>
        </w:tc>
        <w:tc>
          <w:tcPr>
            <w:tcW w:w="750" w:type="dxa"/>
            <w:tcBorders>
              <w:top w:val="nil"/>
              <w:left w:val="nil"/>
              <w:bottom w:val="nil"/>
              <w:right w:val="nil"/>
            </w:tcBorders>
          </w:tcPr>
          <w:p w14:paraId="46569A0F" w14:textId="77777777" w:rsidR="009852A2" w:rsidRPr="009852A2" w:rsidRDefault="009852A2" w:rsidP="009B669E">
            <w:pPr>
              <w:spacing w:before="120" w:after="120"/>
            </w:pPr>
            <w:r w:rsidRPr="009852A2">
              <w:t>61</w:t>
            </w:r>
          </w:p>
        </w:tc>
      </w:tr>
      <w:tr w:rsidR="009852A2" w:rsidRPr="009852A2" w14:paraId="35135A4E" w14:textId="77777777" w:rsidTr="009B669E">
        <w:tc>
          <w:tcPr>
            <w:tcW w:w="817" w:type="dxa"/>
            <w:tcBorders>
              <w:top w:val="nil"/>
              <w:left w:val="nil"/>
              <w:bottom w:val="nil"/>
              <w:right w:val="nil"/>
            </w:tcBorders>
          </w:tcPr>
          <w:p w14:paraId="3C684E27" w14:textId="77777777" w:rsidR="009852A2" w:rsidRPr="009852A2" w:rsidRDefault="009852A2" w:rsidP="009B669E">
            <w:pPr>
              <w:spacing w:before="120" w:after="120"/>
            </w:pPr>
            <w:r w:rsidRPr="009852A2">
              <w:t xml:space="preserve">Aged 30+ </w:t>
            </w:r>
          </w:p>
        </w:tc>
        <w:tc>
          <w:tcPr>
            <w:tcW w:w="750" w:type="dxa"/>
            <w:tcBorders>
              <w:top w:val="nil"/>
              <w:left w:val="nil"/>
              <w:bottom w:val="nil"/>
              <w:right w:val="nil"/>
            </w:tcBorders>
          </w:tcPr>
          <w:p w14:paraId="088AF38E" w14:textId="77777777" w:rsidR="009852A2" w:rsidRPr="009852A2" w:rsidRDefault="009852A2" w:rsidP="009B669E">
            <w:pPr>
              <w:spacing w:before="120" w:after="120"/>
            </w:pPr>
            <w:r w:rsidRPr="009852A2">
              <w:t>5</w:t>
            </w:r>
          </w:p>
        </w:tc>
        <w:tc>
          <w:tcPr>
            <w:tcW w:w="750" w:type="dxa"/>
            <w:tcBorders>
              <w:top w:val="nil"/>
              <w:left w:val="nil"/>
              <w:bottom w:val="nil"/>
              <w:right w:val="nil"/>
            </w:tcBorders>
          </w:tcPr>
          <w:p w14:paraId="55AE49B4" w14:textId="77777777" w:rsidR="009852A2" w:rsidRPr="009852A2" w:rsidRDefault="009852A2" w:rsidP="009B669E">
            <w:pPr>
              <w:spacing w:before="120" w:after="120"/>
            </w:pPr>
            <w:r w:rsidRPr="009852A2">
              <w:t>9</w:t>
            </w:r>
          </w:p>
        </w:tc>
        <w:tc>
          <w:tcPr>
            <w:tcW w:w="749" w:type="dxa"/>
            <w:tcBorders>
              <w:top w:val="nil"/>
              <w:left w:val="nil"/>
              <w:bottom w:val="nil"/>
              <w:right w:val="nil"/>
            </w:tcBorders>
          </w:tcPr>
          <w:p w14:paraId="1A4E644C" w14:textId="77777777" w:rsidR="009852A2" w:rsidRPr="009852A2" w:rsidRDefault="009852A2" w:rsidP="009B669E">
            <w:pPr>
              <w:spacing w:before="120" w:after="120"/>
            </w:pPr>
            <w:r w:rsidRPr="009852A2">
              <w:t>14</w:t>
            </w:r>
          </w:p>
        </w:tc>
        <w:tc>
          <w:tcPr>
            <w:tcW w:w="749" w:type="dxa"/>
            <w:tcBorders>
              <w:top w:val="nil"/>
              <w:left w:val="nil"/>
              <w:bottom w:val="nil"/>
              <w:right w:val="nil"/>
            </w:tcBorders>
          </w:tcPr>
          <w:p w14:paraId="4C6A6C49" w14:textId="77777777" w:rsidR="009852A2" w:rsidRPr="009852A2" w:rsidRDefault="009852A2" w:rsidP="009B669E">
            <w:pPr>
              <w:spacing w:before="120" w:after="120"/>
            </w:pPr>
            <w:r w:rsidRPr="009852A2">
              <w:t>12</w:t>
            </w:r>
          </w:p>
        </w:tc>
        <w:tc>
          <w:tcPr>
            <w:tcW w:w="749" w:type="dxa"/>
            <w:tcBorders>
              <w:top w:val="nil"/>
              <w:left w:val="nil"/>
              <w:bottom w:val="nil"/>
              <w:right w:val="nil"/>
            </w:tcBorders>
          </w:tcPr>
          <w:p w14:paraId="29C8FA99" w14:textId="77777777" w:rsidR="009852A2" w:rsidRPr="009852A2" w:rsidRDefault="009852A2" w:rsidP="009B669E">
            <w:pPr>
              <w:spacing w:before="120" w:after="120"/>
            </w:pPr>
            <w:r w:rsidRPr="009852A2">
              <w:t>17</w:t>
            </w:r>
          </w:p>
        </w:tc>
        <w:tc>
          <w:tcPr>
            <w:tcW w:w="750" w:type="dxa"/>
            <w:tcBorders>
              <w:top w:val="nil"/>
              <w:left w:val="nil"/>
              <w:bottom w:val="nil"/>
              <w:right w:val="nil"/>
            </w:tcBorders>
          </w:tcPr>
          <w:p w14:paraId="1E427D66" w14:textId="77777777" w:rsidR="009852A2" w:rsidRPr="009852A2" w:rsidRDefault="009852A2" w:rsidP="009B669E">
            <w:pPr>
              <w:spacing w:before="120" w:after="120"/>
            </w:pPr>
            <w:r w:rsidRPr="009852A2">
              <w:t>36</w:t>
            </w:r>
          </w:p>
        </w:tc>
        <w:tc>
          <w:tcPr>
            <w:tcW w:w="750" w:type="dxa"/>
            <w:tcBorders>
              <w:top w:val="nil"/>
              <w:left w:val="nil"/>
              <w:bottom w:val="nil"/>
              <w:right w:val="nil"/>
            </w:tcBorders>
          </w:tcPr>
          <w:p w14:paraId="77D18645" w14:textId="77777777" w:rsidR="009852A2" w:rsidRPr="009852A2" w:rsidRDefault="009852A2" w:rsidP="009B669E">
            <w:pPr>
              <w:spacing w:before="120" w:after="120"/>
            </w:pPr>
            <w:r w:rsidRPr="009852A2">
              <w:t>33</w:t>
            </w:r>
          </w:p>
        </w:tc>
        <w:tc>
          <w:tcPr>
            <w:tcW w:w="750" w:type="dxa"/>
            <w:tcBorders>
              <w:top w:val="nil"/>
              <w:left w:val="nil"/>
              <w:bottom w:val="nil"/>
              <w:right w:val="nil"/>
            </w:tcBorders>
          </w:tcPr>
          <w:p w14:paraId="3C190B90" w14:textId="77777777" w:rsidR="009852A2" w:rsidRPr="009852A2" w:rsidRDefault="009852A2" w:rsidP="009B669E">
            <w:pPr>
              <w:spacing w:before="120" w:after="120"/>
            </w:pPr>
            <w:r w:rsidRPr="009852A2">
              <w:t>51</w:t>
            </w:r>
          </w:p>
        </w:tc>
        <w:tc>
          <w:tcPr>
            <w:tcW w:w="750" w:type="dxa"/>
            <w:tcBorders>
              <w:top w:val="nil"/>
              <w:left w:val="nil"/>
              <w:bottom w:val="nil"/>
              <w:right w:val="nil"/>
            </w:tcBorders>
          </w:tcPr>
          <w:p w14:paraId="27DD6EF4" w14:textId="77777777" w:rsidR="009852A2" w:rsidRPr="009852A2" w:rsidRDefault="009852A2" w:rsidP="009B669E">
            <w:pPr>
              <w:spacing w:before="120" w:after="120"/>
            </w:pPr>
            <w:r w:rsidRPr="009852A2">
              <w:t>71</w:t>
            </w:r>
          </w:p>
        </w:tc>
        <w:tc>
          <w:tcPr>
            <w:tcW w:w="750" w:type="dxa"/>
            <w:tcBorders>
              <w:top w:val="nil"/>
              <w:left w:val="nil"/>
              <w:bottom w:val="nil"/>
              <w:right w:val="nil"/>
            </w:tcBorders>
          </w:tcPr>
          <w:p w14:paraId="74F63FBC" w14:textId="77777777" w:rsidR="009852A2" w:rsidRPr="009852A2" w:rsidRDefault="009852A2" w:rsidP="009B669E">
            <w:pPr>
              <w:spacing w:before="120" w:after="120"/>
            </w:pPr>
            <w:r w:rsidRPr="009852A2">
              <w:t>82</w:t>
            </w:r>
          </w:p>
        </w:tc>
        <w:tc>
          <w:tcPr>
            <w:tcW w:w="750" w:type="dxa"/>
            <w:tcBorders>
              <w:top w:val="nil"/>
              <w:left w:val="nil"/>
              <w:bottom w:val="nil"/>
              <w:right w:val="nil"/>
            </w:tcBorders>
          </w:tcPr>
          <w:p w14:paraId="25F7F8DF" w14:textId="77777777" w:rsidR="009852A2" w:rsidRPr="009852A2" w:rsidRDefault="009852A2" w:rsidP="009B669E">
            <w:pPr>
              <w:spacing w:before="120" w:after="120"/>
            </w:pPr>
            <w:r w:rsidRPr="009852A2">
              <w:t>48</w:t>
            </w:r>
          </w:p>
        </w:tc>
      </w:tr>
      <w:tr w:rsidR="009852A2" w:rsidRPr="009852A2" w14:paraId="7BE4CF1A" w14:textId="77777777" w:rsidTr="009B669E">
        <w:tc>
          <w:tcPr>
            <w:tcW w:w="817" w:type="dxa"/>
            <w:tcBorders>
              <w:top w:val="nil"/>
              <w:left w:val="nil"/>
              <w:bottom w:val="single" w:sz="4" w:space="0" w:color="auto"/>
              <w:right w:val="nil"/>
            </w:tcBorders>
          </w:tcPr>
          <w:p w14:paraId="427C2D44" w14:textId="77777777" w:rsidR="009852A2" w:rsidRPr="009852A2" w:rsidRDefault="009852A2" w:rsidP="009B669E">
            <w:pPr>
              <w:spacing w:before="120" w:after="120"/>
            </w:pPr>
            <w:r w:rsidRPr="009852A2">
              <w:t>Under 30</w:t>
            </w:r>
          </w:p>
        </w:tc>
        <w:tc>
          <w:tcPr>
            <w:tcW w:w="750" w:type="dxa"/>
            <w:tcBorders>
              <w:top w:val="nil"/>
              <w:left w:val="nil"/>
              <w:bottom w:val="single" w:sz="4" w:space="0" w:color="auto"/>
              <w:right w:val="nil"/>
            </w:tcBorders>
          </w:tcPr>
          <w:p w14:paraId="30E155C2" w14:textId="77777777" w:rsidR="009852A2" w:rsidRPr="009852A2" w:rsidRDefault="009852A2" w:rsidP="009B669E">
            <w:pPr>
              <w:spacing w:before="120" w:after="120"/>
            </w:pPr>
            <w:r w:rsidRPr="009852A2">
              <w:t>4</w:t>
            </w:r>
          </w:p>
        </w:tc>
        <w:tc>
          <w:tcPr>
            <w:tcW w:w="750" w:type="dxa"/>
            <w:tcBorders>
              <w:top w:val="nil"/>
              <w:left w:val="nil"/>
              <w:bottom w:val="single" w:sz="4" w:space="0" w:color="auto"/>
              <w:right w:val="nil"/>
            </w:tcBorders>
          </w:tcPr>
          <w:p w14:paraId="4FA3B4F7" w14:textId="77777777" w:rsidR="009852A2" w:rsidRPr="009852A2" w:rsidRDefault="009852A2" w:rsidP="009B669E">
            <w:pPr>
              <w:spacing w:before="120" w:after="120"/>
            </w:pPr>
            <w:r w:rsidRPr="009852A2">
              <w:t>16</w:t>
            </w:r>
          </w:p>
        </w:tc>
        <w:tc>
          <w:tcPr>
            <w:tcW w:w="749" w:type="dxa"/>
            <w:tcBorders>
              <w:top w:val="nil"/>
              <w:left w:val="nil"/>
              <w:bottom w:val="single" w:sz="4" w:space="0" w:color="auto"/>
              <w:right w:val="nil"/>
            </w:tcBorders>
          </w:tcPr>
          <w:p w14:paraId="56623821" w14:textId="77777777" w:rsidR="009852A2" w:rsidRPr="009852A2" w:rsidRDefault="009852A2" w:rsidP="009B669E">
            <w:pPr>
              <w:spacing w:before="120" w:after="120"/>
            </w:pPr>
            <w:r w:rsidRPr="009852A2">
              <w:t>12</w:t>
            </w:r>
          </w:p>
        </w:tc>
        <w:tc>
          <w:tcPr>
            <w:tcW w:w="749" w:type="dxa"/>
            <w:tcBorders>
              <w:top w:val="nil"/>
              <w:left w:val="nil"/>
              <w:bottom w:val="single" w:sz="4" w:space="0" w:color="auto"/>
              <w:right w:val="nil"/>
            </w:tcBorders>
          </w:tcPr>
          <w:p w14:paraId="11102002" w14:textId="77777777" w:rsidR="009852A2" w:rsidRPr="009852A2" w:rsidRDefault="009852A2" w:rsidP="009B669E">
            <w:pPr>
              <w:spacing w:before="120" w:after="120"/>
            </w:pPr>
            <w:r w:rsidRPr="009852A2">
              <w:t>10</w:t>
            </w:r>
          </w:p>
        </w:tc>
        <w:tc>
          <w:tcPr>
            <w:tcW w:w="749" w:type="dxa"/>
            <w:tcBorders>
              <w:top w:val="nil"/>
              <w:left w:val="nil"/>
              <w:bottom w:val="single" w:sz="4" w:space="0" w:color="auto"/>
              <w:right w:val="nil"/>
            </w:tcBorders>
          </w:tcPr>
          <w:p w14:paraId="32A8B449" w14:textId="77777777" w:rsidR="009852A2" w:rsidRPr="009852A2" w:rsidRDefault="009852A2" w:rsidP="009B669E">
            <w:pPr>
              <w:spacing w:before="120" w:after="120"/>
            </w:pPr>
            <w:r w:rsidRPr="009852A2">
              <w:t>14</w:t>
            </w:r>
          </w:p>
        </w:tc>
        <w:tc>
          <w:tcPr>
            <w:tcW w:w="750" w:type="dxa"/>
            <w:tcBorders>
              <w:top w:val="nil"/>
              <w:left w:val="nil"/>
              <w:bottom w:val="single" w:sz="4" w:space="0" w:color="auto"/>
              <w:right w:val="nil"/>
            </w:tcBorders>
          </w:tcPr>
          <w:p w14:paraId="0D1919E8" w14:textId="77777777" w:rsidR="009852A2" w:rsidRPr="009852A2" w:rsidRDefault="009852A2" w:rsidP="009B669E">
            <w:pPr>
              <w:spacing w:before="120" w:after="120"/>
            </w:pPr>
            <w:r w:rsidRPr="009852A2">
              <w:t>19</w:t>
            </w:r>
          </w:p>
        </w:tc>
        <w:tc>
          <w:tcPr>
            <w:tcW w:w="750" w:type="dxa"/>
            <w:tcBorders>
              <w:top w:val="nil"/>
              <w:left w:val="nil"/>
              <w:bottom w:val="single" w:sz="4" w:space="0" w:color="auto"/>
              <w:right w:val="nil"/>
            </w:tcBorders>
          </w:tcPr>
          <w:p w14:paraId="17039467" w14:textId="77777777" w:rsidR="009852A2" w:rsidRPr="009852A2" w:rsidRDefault="009852A2" w:rsidP="009B669E">
            <w:pPr>
              <w:spacing w:before="120" w:after="120"/>
            </w:pPr>
            <w:r w:rsidRPr="009852A2">
              <w:t>30</w:t>
            </w:r>
          </w:p>
        </w:tc>
        <w:tc>
          <w:tcPr>
            <w:tcW w:w="750" w:type="dxa"/>
            <w:tcBorders>
              <w:top w:val="nil"/>
              <w:left w:val="nil"/>
              <w:bottom w:val="single" w:sz="4" w:space="0" w:color="auto"/>
              <w:right w:val="nil"/>
            </w:tcBorders>
          </w:tcPr>
          <w:p w14:paraId="7F60F2F4" w14:textId="77777777" w:rsidR="009852A2" w:rsidRPr="009852A2" w:rsidRDefault="009852A2" w:rsidP="009B669E">
            <w:pPr>
              <w:spacing w:before="120" w:after="120"/>
            </w:pPr>
            <w:r w:rsidRPr="009852A2">
              <w:t>31</w:t>
            </w:r>
          </w:p>
        </w:tc>
        <w:tc>
          <w:tcPr>
            <w:tcW w:w="750" w:type="dxa"/>
            <w:tcBorders>
              <w:top w:val="nil"/>
              <w:left w:val="nil"/>
              <w:bottom w:val="single" w:sz="4" w:space="0" w:color="auto"/>
              <w:right w:val="nil"/>
            </w:tcBorders>
          </w:tcPr>
          <w:p w14:paraId="45557C0B" w14:textId="77777777" w:rsidR="009852A2" w:rsidRPr="009852A2" w:rsidRDefault="009852A2" w:rsidP="009B669E">
            <w:pPr>
              <w:spacing w:before="120" w:after="120"/>
            </w:pPr>
            <w:r w:rsidRPr="009852A2">
              <w:t>43</w:t>
            </w:r>
          </w:p>
        </w:tc>
        <w:tc>
          <w:tcPr>
            <w:tcW w:w="750" w:type="dxa"/>
            <w:tcBorders>
              <w:top w:val="nil"/>
              <w:left w:val="nil"/>
              <w:bottom w:val="single" w:sz="4" w:space="0" w:color="auto"/>
              <w:right w:val="nil"/>
            </w:tcBorders>
          </w:tcPr>
          <w:p w14:paraId="7B848025" w14:textId="77777777" w:rsidR="009852A2" w:rsidRPr="009852A2" w:rsidRDefault="009852A2" w:rsidP="009B669E">
            <w:pPr>
              <w:spacing w:before="120" w:after="120"/>
            </w:pPr>
            <w:r w:rsidRPr="009852A2">
              <w:t>41</w:t>
            </w:r>
          </w:p>
        </w:tc>
        <w:tc>
          <w:tcPr>
            <w:tcW w:w="750" w:type="dxa"/>
            <w:tcBorders>
              <w:top w:val="nil"/>
              <w:left w:val="nil"/>
              <w:bottom w:val="single" w:sz="4" w:space="0" w:color="auto"/>
              <w:right w:val="nil"/>
            </w:tcBorders>
          </w:tcPr>
          <w:p w14:paraId="2534F697" w14:textId="77777777" w:rsidR="009852A2" w:rsidRPr="009852A2" w:rsidRDefault="009852A2" w:rsidP="009B669E">
            <w:pPr>
              <w:spacing w:before="120" w:after="120"/>
            </w:pPr>
            <w:r w:rsidRPr="009852A2">
              <w:t>13</w:t>
            </w:r>
          </w:p>
        </w:tc>
      </w:tr>
    </w:tbl>
    <w:p w14:paraId="5F54D8B5" w14:textId="77777777" w:rsidR="009852A2" w:rsidRDefault="009852A2" w:rsidP="009B669E">
      <w:pPr>
        <w:spacing w:before="120" w:after="120"/>
      </w:pPr>
      <w:r>
        <w:t>Source: ONS (2017)</w:t>
      </w:r>
    </w:p>
    <w:p w14:paraId="103A7182" w14:textId="77777777" w:rsidR="00AA2F96" w:rsidRDefault="00AA2F96" w:rsidP="00A64E15">
      <w:pPr>
        <w:spacing w:line="480" w:lineRule="auto"/>
        <w:rPr>
          <w:szCs w:val="24"/>
        </w:rPr>
      </w:pPr>
    </w:p>
    <w:p w14:paraId="42F99CD8" w14:textId="56A2A0CA" w:rsidR="00A64E15" w:rsidRDefault="00A64E15" w:rsidP="00A64E15">
      <w:pPr>
        <w:spacing w:line="480" w:lineRule="auto"/>
        <w:rPr>
          <w:szCs w:val="24"/>
        </w:rPr>
      </w:pPr>
      <w:r>
        <w:rPr>
          <w:szCs w:val="24"/>
        </w:rPr>
        <w:t>The drop</w:t>
      </w:r>
      <w:r w:rsidR="001746A4">
        <w:rPr>
          <w:szCs w:val="24"/>
        </w:rPr>
        <w:t xml:space="preserve"> </w:t>
      </w:r>
      <w:r>
        <w:rPr>
          <w:szCs w:val="24"/>
        </w:rPr>
        <w:t xml:space="preserve">in deaths associated with NPS is encouraging, and it seems plausible that changes resulting from </w:t>
      </w:r>
      <w:r w:rsidR="001C322C">
        <w:rPr>
          <w:szCs w:val="24"/>
        </w:rPr>
        <w:t xml:space="preserve">the </w:t>
      </w:r>
      <w:r>
        <w:rPr>
          <w:szCs w:val="24"/>
        </w:rPr>
        <w:t>implementation of the Act are being reflected in the mortality figures. However, it is probable that the extent of the decrease is currently overrepresented in the available data due to delays in the registration of deaths. Typically, drug-related deaths take around 160 days to be registered as a result of the time it takes for coroner’s investigations to be carried out, which can take months or even years (ONS, 2018). Consequently, the most recent year of mortality data for drug poisoning is routinely underestimated, and the full extent of the impact of the ban cannot be established at this time and any forecasts will be unreliable. It was for this reason that commentators claimed NPS related deaths were stabilising in 2013, 2014 and 2015 when in retrospect it has become clear that they were continuing to rise rapidly (ONS, 2014; ONS, 2015). By the same token, however, time lags for post-mortem reports may also obscure the full extent of recent decreases in deaths.</w:t>
      </w:r>
    </w:p>
    <w:p w14:paraId="7D02D8D7" w14:textId="37FF51CE" w:rsidR="00A64E15" w:rsidRPr="003E3DEA" w:rsidRDefault="00A64E15" w:rsidP="00A64E15">
      <w:pPr>
        <w:spacing w:line="480" w:lineRule="auto"/>
        <w:rPr>
          <w:szCs w:val="24"/>
        </w:rPr>
      </w:pPr>
      <w:r>
        <w:rPr>
          <w:szCs w:val="24"/>
        </w:rPr>
        <w:t>Whether or not rising death rates associated with NPS in recent years continue, t</w:t>
      </w:r>
      <w:r w:rsidRPr="00A17C59">
        <w:rPr>
          <w:szCs w:val="24"/>
        </w:rPr>
        <w:t>he sharp increase in mortality linked to NPS</w:t>
      </w:r>
      <w:r>
        <w:rPr>
          <w:szCs w:val="24"/>
        </w:rPr>
        <w:t xml:space="preserve"> over the last decade</w:t>
      </w:r>
      <w:r w:rsidRPr="00A17C59">
        <w:rPr>
          <w:szCs w:val="24"/>
        </w:rPr>
        <w:t xml:space="preserve"> </w:t>
      </w:r>
      <w:r>
        <w:rPr>
          <w:szCs w:val="24"/>
        </w:rPr>
        <w:t>has</w:t>
      </w:r>
      <w:r w:rsidRPr="00A17C59">
        <w:rPr>
          <w:szCs w:val="24"/>
        </w:rPr>
        <w:t xml:space="preserve"> attracted a great deal of attention, with numerous sources expressing alarm at increases of as much as 103% within the </w:t>
      </w:r>
      <w:r>
        <w:rPr>
          <w:szCs w:val="24"/>
        </w:rPr>
        <w:t>period</w:t>
      </w:r>
      <w:r w:rsidRPr="00A17C59">
        <w:rPr>
          <w:szCs w:val="24"/>
        </w:rPr>
        <w:t xml:space="preserve"> 2011 </w:t>
      </w:r>
      <w:r>
        <w:rPr>
          <w:szCs w:val="24"/>
        </w:rPr>
        <w:t>to</w:t>
      </w:r>
      <w:r w:rsidRPr="00A17C59">
        <w:rPr>
          <w:szCs w:val="24"/>
        </w:rPr>
        <w:t xml:space="preserve"> 2013, a figure commonly relied upon in key reports urging action on </w:t>
      </w:r>
      <w:r w:rsidRPr="001746A4">
        <w:rPr>
          <w:color w:val="000000" w:themeColor="text1"/>
          <w:szCs w:val="24"/>
        </w:rPr>
        <w:t xml:space="preserve">NPS </w:t>
      </w:r>
      <w:r w:rsidRPr="001746A4">
        <w:rPr>
          <w:rStyle w:val="NotesstructureChar"/>
          <w:color w:val="000000" w:themeColor="text1"/>
        </w:rPr>
        <w:t>(</w:t>
      </w:r>
      <w:r w:rsidR="00714DF0" w:rsidRPr="001746A4">
        <w:rPr>
          <w:rStyle w:val="NotesstructureChar"/>
          <w:color w:val="000000" w:themeColor="text1"/>
        </w:rPr>
        <w:t xml:space="preserve">BBC, 2014; </w:t>
      </w:r>
      <w:r w:rsidRPr="001746A4">
        <w:rPr>
          <w:rStyle w:val="NotesstructureChar"/>
          <w:color w:val="000000" w:themeColor="text1"/>
        </w:rPr>
        <w:t>HM Government, 2014)</w:t>
      </w:r>
      <w:r w:rsidRPr="001746A4">
        <w:rPr>
          <w:color w:val="000000" w:themeColor="text1"/>
          <w:szCs w:val="24"/>
        </w:rPr>
        <w:t xml:space="preserve">. While at the time absolute deaths remained low in comparison </w:t>
      </w:r>
      <w:r w:rsidRPr="00A17C59">
        <w:rPr>
          <w:szCs w:val="24"/>
        </w:rPr>
        <w:t xml:space="preserve">to overall </w:t>
      </w:r>
      <w:r>
        <w:rPr>
          <w:szCs w:val="24"/>
        </w:rPr>
        <w:t>deaths related to drug misuse</w:t>
      </w:r>
      <w:r w:rsidRPr="00A17C59">
        <w:rPr>
          <w:szCs w:val="24"/>
        </w:rPr>
        <w:t xml:space="preserve"> </w:t>
      </w:r>
      <w:r>
        <w:rPr>
          <w:szCs w:val="24"/>
        </w:rPr>
        <w:t>(</w:t>
      </w:r>
      <w:r w:rsidRPr="00A17C59">
        <w:rPr>
          <w:szCs w:val="24"/>
        </w:rPr>
        <w:t xml:space="preserve">NPS </w:t>
      </w:r>
      <w:r>
        <w:rPr>
          <w:szCs w:val="24"/>
        </w:rPr>
        <w:t>were linked to</w:t>
      </w:r>
      <w:r w:rsidRPr="00A17C59">
        <w:rPr>
          <w:szCs w:val="24"/>
        </w:rPr>
        <w:t xml:space="preserve"> 63 </w:t>
      </w:r>
      <w:r>
        <w:rPr>
          <w:szCs w:val="24"/>
        </w:rPr>
        <w:t xml:space="preserve">out </w:t>
      </w:r>
      <w:r w:rsidRPr="00A17C59">
        <w:rPr>
          <w:szCs w:val="24"/>
        </w:rPr>
        <w:t>of 1957 deaths</w:t>
      </w:r>
      <w:r>
        <w:rPr>
          <w:szCs w:val="24"/>
        </w:rPr>
        <w:t>)</w:t>
      </w:r>
      <w:r w:rsidRPr="00A17C59">
        <w:rPr>
          <w:szCs w:val="24"/>
        </w:rPr>
        <w:t>, commentators were concerned that should deaths continue to increase at such a high rate this might prove to be only the tip of the iceberg</w:t>
      </w:r>
      <w:r w:rsidRPr="00ED0D71">
        <w:rPr>
          <w:rStyle w:val="NotesstructureChar"/>
        </w:rPr>
        <w:t xml:space="preserve"> </w:t>
      </w:r>
      <w:r w:rsidRPr="00A979C6">
        <w:rPr>
          <w:szCs w:val="24"/>
        </w:rPr>
        <w:t>(NAW, 2015).</w:t>
      </w:r>
      <w:r>
        <w:rPr>
          <w:szCs w:val="24"/>
        </w:rPr>
        <w:t xml:space="preserve"> </w:t>
      </w:r>
      <w:r w:rsidRPr="00A17C59">
        <w:rPr>
          <w:szCs w:val="24"/>
        </w:rPr>
        <w:t>Although the steep increases in death rates are compelling</w:t>
      </w:r>
      <w:r>
        <w:rPr>
          <w:szCs w:val="24"/>
        </w:rPr>
        <w:t xml:space="preserve"> and</w:t>
      </w:r>
      <w:r w:rsidRPr="00A17C59">
        <w:rPr>
          <w:szCs w:val="24"/>
        </w:rPr>
        <w:t xml:space="preserve"> every preventable death deserves concern, establishing the scale and nature of the problem is important for the development of appropriate responses</w:t>
      </w:r>
      <w:r>
        <w:rPr>
          <w:szCs w:val="24"/>
        </w:rPr>
        <w:t xml:space="preserve"> </w:t>
      </w:r>
      <w:r w:rsidRPr="00A17C59">
        <w:rPr>
          <w:szCs w:val="24"/>
        </w:rPr>
        <w:t>and prevent</w:t>
      </w:r>
      <w:r>
        <w:rPr>
          <w:szCs w:val="24"/>
        </w:rPr>
        <w:t>ing</w:t>
      </w:r>
      <w:r w:rsidRPr="00A17C59">
        <w:rPr>
          <w:szCs w:val="24"/>
        </w:rPr>
        <w:t xml:space="preserve"> negligence</w:t>
      </w:r>
      <w:r>
        <w:rPr>
          <w:szCs w:val="24"/>
        </w:rPr>
        <w:t xml:space="preserve"> and/or</w:t>
      </w:r>
      <w:r w:rsidRPr="00A17C59">
        <w:rPr>
          <w:szCs w:val="24"/>
        </w:rPr>
        <w:t xml:space="preserve"> impulsive action. However, there are several reasons why mortality data must be treated with cautio</w:t>
      </w:r>
      <w:r>
        <w:rPr>
          <w:szCs w:val="24"/>
        </w:rPr>
        <w:t>n</w:t>
      </w:r>
      <w:r w:rsidRPr="00A17C59">
        <w:rPr>
          <w:szCs w:val="24"/>
        </w:rPr>
        <w:t xml:space="preserve">. </w:t>
      </w:r>
      <w:r>
        <w:rPr>
          <w:szCs w:val="24"/>
        </w:rPr>
        <w:t xml:space="preserve">Firstly, for drugs involving a low number of deaths, percentage increases can appear more striking than absolute increases. </w:t>
      </w:r>
      <w:r w:rsidRPr="005A3EA1">
        <w:rPr>
          <w:szCs w:val="24"/>
        </w:rPr>
        <w:t>For</w:t>
      </w:r>
      <w:r>
        <w:rPr>
          <w:szCs w:val="24"/>
        </w:rPr>
        <w:t xml:space="preserve"> </w:t>
      </w:r>
      <w:r w:rsidRPr="005A3EA1">
        <w:rPr>
          <w:szCs w:val="24"/>
          <w:lang w:val="en-US"/>
        </w:rPr>
        <w:t xml:space="preserve">example, the 103% increase in NPS related deaths between 2011 and 2013 </w:t>
      </w:r>
      <w:r>
        <w:rPr>
          <w:szCs w:val="24"/>
          <w:lang w:val="en-US"/>
        </w:rPr>
        <w:t>highlighted</w:t>
      </w:r>
      <w:r w:rsidRPr="005A3EA1">
        <w:rPr>
          <w:szCs w:val="24"/>
          <w:lang w:val="en-US"/>
        </w:rPr>
        <w:t xml:space="preserve"> in reports </w:t>
      </w:r>
      <w:r w:rsidRPr="001746A4">
        <w:rPr>
          <w:rStyle w:val="NotesstructureChar"/>
          <w:color w:val="000000" w:themeColor="text1"/>
        </w:rPr>
        <w:t xml:space="preserve">(ACDM, 2011; BBC, 2012) </w:t>
      </w:r>
      <w:r w:rsidRPr="001746A4">
        <w:rPr>
          <w:color w:val="000000" w:themeColor="text1"/>
          <w:szCs w:val="24"/>
          <w:lang w:val="en-US"/>
        </w:rPr>
        <w:t xml:space="preserve">equates to an increase of 32 deaths, whereas the 28% increases in </w:t>
      </w:r>
      <w:r w:rsidRPr="005A3EA1">
        <w:rPr>
          <w:szCs w:val="24"/>
          <w:lang w:val="en-US"/>
        </w:rPr>
        <w:t>the same period for heroin/morphine equates to 169 additional deaths.</w:t>
      </w:r>
      <w:r>
        <w:rPr>
          <w:color w:val="365F91" w:themeColor="accent1" w:themeShade="BF"/>
          <w:lang w:val="en-US"/>
        </w:rPr>
        <w:t xml:space="preserve"> </w:t>
      </w:r>
      <w:r>
        <w:rPr>
          <w:szCs w:val="24"/>
        </w:rPr>
        <w:t>Secondly</w:t>
      </w:r>
      <w:r w:rsidRPr="00A17C59">
        <w:rPr>
          <w:szCs w:val="24"/>
        </w:rPr>
        <w:t>, mortality data does not reflect inc</w:t>
      </w:r>
      <w:r>
        <w:rPr>
          <w:szCs w:val="24"/>
        </w:rPr>
        <w:t>idents</w:t>
      </w:r>
      <w:r w:rsidRPr="00A17C59">
        <w:rPr>
          <w:szCs w:val="24"/>
        </w:rPr>
        <w:t xml:space="preserve"> in which NPS were determined as the primary cause of death, </w:t>
      </w:r>
      <w:r w:rsidRPr="001746A4">
        <w:rPr>
          <w:color w:val="000000" w:themeColor="text1"/>
          <w:szCs w:val="24"/>
        </w:rPr>
        <w:t xml:space="preserve">but merely references to NPS coroners’ reports </w:t>
      </w:r>
      <w:r w:rsidRPr="001746A4">
        <w:rPr>
          <w:rStyle w:val="NotesstructureChar"/>
          <w:color w:val="000000" w:themeColor="text1"/>
        </w:rPr>
        <w:t>(ONS, 2016)</w:t>
      </w:r>
      <w:r w:rsidRPr="001746A4">
        <w:rPr>
          <w:color w:val="000000" w:themeColor="text1"/>
          <w:szCs w:val="24"/>
        </w:rPr>
        <w:t xml:space="preserve">. Although mortality figures </w:t>
      </w:r>
      <w:r w:rsidRPr="00A17C59">
        <w:rPr>
          <w:szCs w:val="24"/>
        </w:rPr>
        <w:t xml:space="preserve">indicate the dangers of NPS use to some extent, they most directly represent factors which increase the likelihood of coroners reporting the presence of NPS at post mortem. Increasing awareness of NPS and improved drug testing methodology can be expected to account for </w:t>
      </w:r>
      <w:r>
        <w:rPr>
          <w:szCs w:val="24"/>
        </w:rPr>
        <w:t xml:space="preserve">some of </w:t>
      </w:r>
      <w:r w:rsidRPr="00A17C59">
        <w:rPr>
          <w:szCs w:val="24"/>
        </w:rPr>
        <w:t xml:space="preserve">the sharp increase in NPS inclusions as post mortem practices adapt to changes in the recreational drug scene. What remains unknown however, is the extent to which NPS have been, and continue to be, undetected or unreported at post mortem. </w:t>
      </w:r>
    </w:p>
    <w:p w14:paraId="7145B028" w14:textId="398BFB46" w:rsidR="00A64E15" w:rsidRPr="00E3265B" w:rsidRDefault="00A64E15" w:rsidP="00A64E15">
      <w:pPr>
        <w:widowControl w:val="0"/>
        <w:autoSpaceDE w:val="0"/>
        <w:autoSpaceDN w:val="0"/>
        <w:adjustRightInd w:val="0"/>
        <w:spacing w:line="480" w:lineRule="auto"/>
        <w:rPr>
          <w:szCs w:val="24"/>
        </w:rPr>
      </w:pPr>
      <w:r>
        <w:rPr>
          <w:szCs w:val="24"/>
        </w:rPr>
        <w:t>A further significant factor is polydrug use, as although an NPS may be listed on the death certificate, a different substance may well be the primary cause of death</w:t>
      </w:r>
      <w:r w:rsidRPr="00A17C59">
        <w:rPr>
          <w:szCs w:val="24"/>
        </w:rPr>
        <w:t>.</w:t>
      </w:r>
      <w:r>
        <w:rPr>
          <w:szCs w:val="24"/>
        </w:rPr>
        <w:t xml:space="preserve"> Without data which can identify cases where NPS are suspected as the primary cause of death</w:t>
      </w:r>
      <w:r w:rsidR="001C322C">
        <w:rPr>
          <w:szCs w:val="24"/>
        </w:rPr>
        <w:t>,</w:t>
      </w:r>
      <w:r>
        <w:rPr>
          <w:szCs w:val="24"/>
        </w:rPr>
        <w:t xml:space="preserve"> it is difficult to isolate the harmful influence of NPS. As a result, what is presented as NPS-related data may reflect a variety of wider drug market and social factors that are not apparent when NPS figures are viewed in isolation. With polydrug use common among drug users in the UK, </w:t>
      </w:r>
      <w:r w:rsidRPr="001746A4">
        <w:rPr>
          <w:color w:val="000000" w:themeColor="text1"/>
          <w:szCs w:val="24"/>
        </w:rPr>
        <w:t xml:space="preserve">more than 50% of drug-related deaths typically involve multiple drugs </w:t>
      </w:r>
      <w:r w:rsidRPr="001746A4">
        <w:rPr>
          <w:rStyle w:val="NotesstructureChar"/>
          <w:color w:val="000000" w:themeColor="text1"/>
        </w:rPr>
        <w:t>(ONS, 2014),</w:t>
      </w:r>
      <w:r w:rsidRPr="001746A4">
        <w:rPr>
          <w:color w:val="000000" w:themeColor="text1"/>
          <w:szCs w:val="24"/>
        </w:rPr>
        <w:t xml:space="preserve"> and </w:t>
      </w:r>
      <w:r>
        <w:rPr>
          <w:szCs w:val="24"/>
        </w:rPr>
        <w:t xml:space="preserve">around 30% also involve alcohol. Consequently, there is a reasonably high probability that deaths reported as NPS related are also linked with other substances. Unfortunately, in cases of multiple </w:t>
      </w:r>
      <w:r w:rsidRPr="002E229A">
        <w:rPr>
          <w:szCs w:val="24"/>
        </w:rPr>
        <w:t xml:space="preserve">toxicity there is often no way to reliably determine which substance was the major cause of death. </w:t>
      </w:r>
      <w:r>
        <w:rPr>
          <w:szCs w:val="24"/>
        </w:rPr>
        <w:t>T</w:t>
      </w:r>
      <w:r w:rsidRPr="002E229A">
        <w:rPr>
          <w:szCs w:val="24"/>
          <w:lang w:val="en-US"/>
        </w:rPr>
        <w:t>he data presented by the ONS should</w:t>
      </w:r>
      <w:r w:rsidR="001C322C">
        <w:rPr>
          <w:szCs w:val="24"/>
          <w:lang w:val="en-US"/>
        </w:rPr>
        <w:t>, therefore,</w:t>
      </w:r>
      <w:r w:rsidRPr="002E229A">
        <w:rPr>
          <w:szCs w:val="24"/>
          <w:lang w:val="en-US"/>
        </w:rPr>
        <w:t xml:space="preserve"> be treated as largely correlational, and caution should be taken when making causal inferences.</w:t>
      </w:r>
    </w:p>
    <w:p w14:paraId="1983D8B5" w14:textId="2420A852" w:rsidR="00A64E15" w:rsidRPr="000464DC" w:rsidRDefault="00A64E15" w:rsidP="000464DC">
      <w:pPr>
        <w:pStyle w:val="Heading3"/>
      </w:pPr>
      <w:bookmarkStart w:id="177" w:name="_Toc9182865"/>
      <w:bookmarkStart w:id="178" w:name="_Toc35892538"/>
      <w:r w:rsidRPr="000464DC">
        <w:t>NPS and drug misuse deaths</w:t>
      </w:r>
      <w:bookmarkEnd w:id="177"/>
      <w:bookmarkEnd w:id="178"/>
    </w:p>
    <w:p w14:paraId="721D5A10" w14:textId="4CF3A7CD" w:rsidR="00A64E15" w:rsidRDefault="00A64E15" w:rsidP="00A64E15">
      <w:pPr>
        <w:spacing w:line="480" w:lineRule="auto"/>
        <w:rPr>
          <w:szCs w:val="24"/>
        </w:rPr>
      </w:pPr>
      <w:r>
        <w:rPr>
          <w:szCs w:val="24"/>
        </w:rPr>
        <w:t>Factors</w:t>
      </w:r>
      <w:r w:rsidRPr="006519D9">
        <w:rPr>
          <w:szCs w:val="24"/>
        </w:rPr>
        <w:t xml:space="preserve"> affecting drug harms can rarely be viewed in isolation as</w:t>
      </w:r>
      <w:r>
        <w:rPr>
          <w:szCs w:val="24"/>
        </w:rPr>
        <w:t xml:space="preserve"> not only is polydrug use common, but</w:t>
      </w:r>
      <w:r w:rsidRPr="006519D9">
        <w:rPr>
          <w:szCs w:val="24"/>
        </w:rPr>
        <w:t xml:space="preserve"> the drugs market is</w:t>
      </w:r>
      <w:r>
        <w:rPr>
          <w:szCs w:val="24"/>
        </w:rPr>
        <w:t xml:space="preserve"> </w:t>
      </w:r>
      <w:r w:rsidRPr="006519D9">
        <w:rPr>
          <w:szCs w:val="24"/>
        </w:rPr>
        <w:t>dynamic</w:t>
      </w:r>
      <w:r>
        <w:rPr>
          <w:szCs w:val="24"/>
        </w:rPr>
        <w:t xml:space="preserve"> and interactive, </w:t>
      </w:r>
      <w:r w:rsidRPr="006519D9">
        <w:rPr>
          <w:szCs w:val="24"/>
        </w:rPr>
        <w:t>mean</w:t>
      </w:r>
      <w:r>
        <w:rPr>
          <w:szCs w:val="24"/>
        </w:rPr>
        <w:t>ing</w:t>
      </w:r>
      <w:r w:rsidRPr="006519D9">
        <w:rPr>
          <w:szCs w:val="24"/>
        </w:rPr>
        <w:t xml:space="preserve"> that </w:t>
      </w:r>
      <w:r>
        <w:rPr>
          <w:szCs w:val="24"/>
        </w:rPr>
        <w:t>drug use</w:t>
      </w:r>
      <w:r w:rsidRPr="006519D9">
        <w:rPr>
          <w:szCs w:val="24"/>
        </w:rPr>
        <w:t xml:space="preserve"> and associated harms are best understood </w:t>
      </w:r>
      <w:r>
        <w:rPr>
          <w:szCs w:val="24"/>
        </w:rPr>
        <w:t xml:space="preserve">within the context of </w:t>
      </w:r>
      <w:r w:rsidRPr="006519D9">
        <w:rPr>
          <w:szCs w:val="24"/>
        </w:rPr>
        <w:t>wider</w:t>
      </w:r>
      <w:r>
        <w:rPr>
          <w:szCs w:val="24"/>
        </w:rPr>
        <w:t xml:space="preserve"> drug</w:t>
      </w:r>
      <w:r w:rsidRPr="006519D9">
        <w:rPr>
          <w:szCs w:val="24"/>
        </w:rPr>
        <w:t xml:space="preserve"> system</w:t>
      </w:r>
      <w:r>
        <w:rPr>
          <w:szCs w:val="24"/>
        </w:rPr>
        <w:t>s</w:t>
      </w:r>
      <w:r w:rsidRPr="006519D9">
        <w:rPr>
          <w:szCs w:val="24"/>
        </w:rPr>
        <w:t xml:space="preserve">. </w:t>
      </w:r>
      <w:r w:rsidRPr="00DF2444">
        <w:rPr>
          <w:szCs w:val="24"/>
        </w:rPr>
        <w:t xml:space="preserve">Overall, deaths related to drug misuse have increased over the last 20 years, with particularly sharp increases over the </w:t>
      </w:r>
      <w:r>
        <w:rPr>
          <w:szCs w:val="24"/>
        </w:rPr>
        <w:t xml:space="preserve">previous five </w:t>
      </w:r>
      <w:r w:rsidRPr="00DF2444">
        <w:rPr>
          <w:szCs w:val="24"/>
        </w:rPr>
        <w:t>bringing deaths related to drug misuse to an all-time high of 2,596 in 2016</w:t>
      </w:r>
      <w:r>
        <w:rPr>
          <w:szCs w:val="24"/>
        </w:rPr>
        <w:t xml:space="preserve"> (</w:t>
      </w:r>
      <w:r w:rsidR="00E166AC">
        <w:rPr>
          <w:szCs w:val="24"/>
        </w:rPr>
        <w:t>F</w:t>
      </w:r>
      <w:r>
        <w:rPr>
          <w:szCs w:val="24"/>
        </w:rPr>
        <w:t xml:space="preserve">igure </w:t>
      </w:r>
      <w:r w:rsidR="00065C11">
        <w:rPr>
          <w:szCs w:val="24"/>
        </w:rPr>
        <w:t>2-</w:t>
      </w:r>
      <w:r>
        <w:rPr>
          <w:szCs w:val="24"/>
        </w:rPr>
        <w:t>24)</w:t>
      </w:r>
      <w:r w:rsidRPr="00DF2444">
        <w:rPr>
          <w:szCs w:val="24"/>
        </w:rPr>
        <w:t>. Within this context</w:t>
      </w:r>
      <w:r w:rsidR="001C322C">
        <w:rPr>
          <w:szCs w:val="24"/>
        </w:rPr>
        <w:t>,</w:t>
      </w:r>
      <w:r w:rsidRPr="00DF2444">
        <w:rPr>
          <w:szCs w:val="24"/>
        </w:rPr>
        <w:t xml:space="preserve"> the sharp rises associated with NPS mortality can be seen to be part of a wider trend in drug-related deaths. Deaths attributed to different substances </w:t>
      </w:r>
      <w:r>
        <w:rPr>
          <w:szCs w:val="24"/>
        </w:rPr>
        <w:t>demonstrate some shared trends</w:t>
      </w:r>
      <w:r w:rsidRPr="00DF2444">
        <w:rPr>
          <w:szCs w:val="24"/>
        </w:rPr>
        <w:t xml:space="preserve">, such as </w:t>
      </w:r>
      <w:r>
        <w:rPr>
          <w:szCs w:val="24"/>
        </w:rPr>
        <w:t>a</w:t>
      </w:r>
      <w:r w:rsidRPr="00DF2444">
        <w:rPr>
          <w:szCs w:val="24"/>
        </w:rPr>
        <w:t xml:space="preserve"> drop in deaths around 2011</w:t>
      </w:r>
      <w:r>
        <w:rPr>
          <w:szCs w:val="24"/>
        </w:rPr>
        <w:t xml:space="preserve">. This </w:t>
      </w:r>
      <w:r w:rsidRPr="00DF2444">
        <w:rPr>
          <w:szCs w:val="24"/>
        </w:rPr>
        <w:t>suggest</w:t>
      </w:r>
      <w:r>
        <w:rPr>
          <w:szCs w:val="24"/>
        </w:rPr>
        <w:t>s</w:t>
      </w:r>
      <w:r w:rsidRPr="00DF2444">
        <w:rPr>
          <w:szCs w:val="24"/>
        </w:rPr>
        <w:t xml:space="preserve"> that at a </w:t>
      </w:r>
      <w:r>
        <w:rPr>
          <w:szCs w:val="24"/>
        </w:rPr>
        <w:t>wider</w:t>
      </w:r>
      <w:r w:rsidRPr="00DF2444">
        <w:rPr>
          <w:szCs w:val="24"/>
        </w:rPr>
        <w:t xml:space="preserve"> level the effects of individual substances are not independent but are in turn influenced by factors</w:t>
      </w:r>
      <w:r>
        <w:rPr>
          <w:szCs w:val="24"/>
        </w:rPr>
        <w:t xml:space="preserve"> which impact overall drug</w:t>
      </w:r>
      <w:r w:rsidR="001C322C">
        <w:rPr>
          <w:szCs w:val="24"/>
        </w:rPr>
        <w:t>-</w:t>
      </w:r>
      <w:r>
        <w:rPr>
          <w:szCs w:val="24"/>
        </w:rPr>
        <w:t>related mortality.</w:t>
      </w:r>
    </w:p>
    <w:p w14:paraId="2A960600" w14:textId="77777777" w:rsidR="00065C11" w:rsidRDefault="00065C11">
      <w:pPr>
        <w:rPr>
          <w:b/>
          <w:noProof/>
          <w:lang w:val="en-US" w:eastAsia="en-US"/>
        </w:rPr>
      </w:pPr>
      <w:bookmarkStart w:id="179" w:name="_Toc9186679"/>
      <w:r>
        <w:br w:type="page"/>
      </w:r>
    </w:p>
    <w:p w14:paraId="6B150E7F" w14:textId="4898D7A7" w:rsidR="00A64E15" w:rsidRPr="001F77BA" w:rsidRDefault="00A64E15" w:rsidP="00DF5C89">
      <w:pPr>
        <w:pStyle w:val="FigureHeading"/>
        <w:rPr>
          <w:rStyle w:val="Heading3Char"/>
        </w:rPr>
      </w:pPr>
      <w:bookmarkStart w:id="180" w:name="_Toc9509119"/>
      <w:r w:rsidRPr="00BE2CBE">
        <w:rPr>
          <w:rStyle w:val="Heading2Char"/>
        </w:rPr>
        <w:drawing>
          <wp:anchor distT="0" distB="0" distL="114300" distR="114300" simplePos="0" relativeHeight="250009600" behindDoc="0" locked="0" layoutInCell="1" allowOverlap="1" wp14:anchorId="7FFFC85B" wp14:editId="47EB68DE">
            <wp:simplePos x="0" y="0"/>
            <wp:positionH relativeFrom="margin">
              <wp:posOffset>4512</wp:posOffset>
            </wp:positionH>
            <wp:positionV relativeFrom="paragraph">
              <wp:posOffset>486243</wp:posOffset>
            </wp:positionV>
            <wp:extent cx="5575935" cy="2769870"/>
            <wp:effectExtent l="0" t="0" r="5715" b="0"/>
            <wp:wrapTopAndBottom/>
            <wp:docPr id="216" name="Chart 216">
              <a:extLst xmlns:a="http://schemas.openxmlformats.org/drawingml/2006/main">
                <a:ext uri="{FF2B5EF4-FFF2-40B4-BE49-F238E27FC236}">
                  <a16:creationId xmlns:a16="http://schemas.microsoft.com/office/drawing/2014/main" id="{EF12538C-60C6-4DA2-AFBB-581FB74A7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t xml:space="preserve">Figure </w:t>
      </w:r>
      <w:r w:rsidR="00D24612">
        <w:t>2-</w:t>
      </w:r>
      <w:r>
        <w:t>24</w:t>
      </w:r>
      <w:r w:rsidRPr="005F3A68">
        <w:t xml:space="preserve">. </w:t>
      </w:r>
      <w:r>
        <w:t>Number of drug-related deaths in England and Wales for selected substances</w:t>
      </w:r>
      <w:bookmarkEnd w:id="179"/>
      <w:bookmarkEnd w:id="180"/>
      <w:r>
        <w:t xml:space="preserve">      </w:t>
      </w:r>
    </w:p>
    <w:p w14:paraId="21DA138D" w14:textId="3572FC15" w:rsidR="00A64E15" w:rsidRPr="000464DC" w:rsidRDefault="00A64E15" w:rsidP="000464DC">
      <w:pPr>
        <w:pStyle w:val="Heading3"/>
      </w:pPr>
      <w:bookmarkStart w:id="181" w:name="_Toc9182866"/>
      <w:bookmarkStart w:id="182" w:name="_Toc35892539"/>
      <w:r w:rsidRPr="000464DC">
        <w:t>Potency and mortality</w:t>
      </w:r>
      <w:bookmarkEnd w:id="181"/>
      <w:bookmarkEnd w:id="182"/>
      <w:r w:rsidR="00EC507F" w:rsidRPr="000464DC">
        <w:t xml:space="preserve"> </w:t>
      </w:r>
    </w:p>
    <w:p w14:paraId="462CD3FA" w14:textId="2A87340E" w:rsidR="00A64E15" w:rsidRDefault="00A64E15" w:rsidP="00A64E15">
      <w:pPr>
        <w:widowControl w:val="0"/>
        <w:autoSpaceDE w:val="0"/>
        <w:autoSpaceDN w:val="0"/>
        <w:adjustRightInd w:val="0"/>
        <w:spacing w:line="480" w:lineRule="auto"/>
        <w:rPr>
          <w:szCs w:val="24"/>
          <w:lang w:val="en-US"/>
        </w:rPr>
      </w:pPr>
      <w:r>
        <w:rPr>
          <w:szCs w:val="24"/>
          <w:lang w:val="en-US"/>
        </w:rPr>
        <w:t>The greatest influence on drug</w:t>
      </w:r>
      <w:r w:rsidR="001C322C">
        <w:rPr>
          <w:szCs w:val="24"/>
          <w:lang w:val="en-US"/>
        </w:rPr>
        <w:t>-</w:t>
      </w:r>
      <w:r>
        <w:rPr>
          <w:szCs w:val="24"/>
          <w:lang w:val="en-US"/>
        </w:rPr>
        <w:t xml:space="preserve">related mortality is the potency of the substances consumed. Drugs are rarely sold with information about ingredients or potency, so dosing is usually a </w:t>
      </w:r>
      <w:r w:rsidRPr="001746A4">
        <w:rPr>
          <w:color w:val="000000" w:themeColor="text1"/>
          <w:szCs w:val="24"/>
          <w:lang w:val="en-US"/>
        </w:rPr>
        <w:t xml:space="preserve">matter of trial and error </w:t>
      </w:r>
      <w:r w:rsidRPr="001746A4">
        <w:rPr>
          <w:rStyle w:val="NotesstructureChar"/>
          <w:color w:val="000000" w:themeColor="text1"/>
        </w:rPr>
        <w:t>(Kelleher et al., 2011).</w:t>
      </w:r>
      <w:r w:rsidRPr="001746A4">
        <w:rPr>
          <w:color w:val="000000" w:themeColor="text1"/>
          <w:szCs w:val="24"/>
          <w:lang w:val="en-US"/>
        </w:rPr>
        <w:t xml:space="preserve"> When the potency of a drug rises, users are </w:t>
      </w:r>
      <w:r>
        <w:rPr>
          <w:szCs w:val="24"/>
          <w:lang w:val="en-US"/>
        </w:rPr>
        <w:t xml:space="preserve">more likely to exceed their intended dose and overdoses and incidents of acute harms and death become more common. Changes in drug potency are typically related to the frequency and scale of drug seizures which affect the supply chain. When there are significant seizures of drugs or compounds used in their manufacture, the availability of substances becomes reduced in what is sometimes described as a </w:t>
      </w:r>
      <w:r w:rsidRPr="0037554A">
        <w:rPr>
          <w:szCs w:val="24"/>
          <w:lang w:val="en-US"/>
        </w:rPr>
        <w:t xml:space="preserve">drought </w:t>
      </w:r>
      <w:r w:rsidRPr="0037554A">
        <w:rPr>
          <w:rStyle w:val="NotesstructureChar"/>
          <w:color w:val="auto"/>
        </w:rPr>
        <w:t>(Measham, 2010)</w:t>
      </w:r>
      <w:r w:rsidRPr="0037554A">
        <w:rPr>
          <w:szCs w:val="24"/>
          <w:lang w:val="en-US"/>
        </w:rPr>
        <w:t xml:space="preserve">. </w:t>
      </w:r>
      <w:r>
        <w:rPr>
          <w:szCs w:val="24"/>
          <w:lang w:val="en-US"/>
        </w:rPr>
        <w:t xml:space="preserve">To counteract reduced availability, sellers dilute psychoactive substances with a variety of cutting agents </w:t>
      </w:r>
      <w:r w:rsidRPr="001746A4">
        <w:rPr>
          <w:color w:val="000000" w:themeColor="text1"/>
          <w:szCs w:val="24"/>
          <w:lang w:val="en-US"/>
        </w:rPr>
        <w:t xml:space="preserve">and the purity of the end product is reduced </w:t>
      </w:r>
      <w:r w:rsidRPr="001746A4">
        <w:rPr>
          <w:rStyle w:val="NotesstructureChar"/>
          <w:color w:val="000000" w:themeColor="text1"/>
        </w:rPr>
        <w:t>(</w:t>
      </w:r>
      <w:r w:rsidR="00714DF0" w:rsidRPr="001746A4">
        <w:rPr>
          <w:rStyle w:val="NotesstructureChar"/>
          <w:color w:val="000000" w:themeColor="text1"/>
        </w:rPr>
        <w:t xml:space="preserve">Measham, 2010; </w:t>
      </w:r>
      <w:r w:rsidRPr="001746A4">
        <w:rPr>
          <w:rStyle w:val="NotesstructureChar"/>
          <w:color w:val="000000" w:themeColor="text1"/>
        </w:rPr>
        <w:t>Winstock, 2010)</w:t>
      </w:r>
      <w:r w:rsidRPr="001746A4">
        <w:rPr>
          <w:color w:val="000000" w:themeColor="text1"/>
          <w:szCs w:val="24"/>
          <w:lang w:val="en-US"/>
        </w:rPr>
        <w:t xml:space="preserve">. Reductions in purity are accompanied by a corresponding reduction in mortalities as users are less likely to overdose </w:t>
      </w:r>
      <w:r w:rsidRPr="001746A4">
        <w:rPr>
          <w:rStyle w:val="NotesstructureChar"/>
          <w:color w:val="000000" w:themeColor="text1"/>
        </w:rPr>
        <w:t>(Measham, 2010; ONS, 2014).</w:t>
      </w:r>
      <w:r w:rsidRPr="001746A4">
        <w:rPr>
          <w:color w:val="000000" w:themeColor="text1"/>
          <w:szCs w:val="24"/>
          <w:lang w:val="en-US"/>
        </w:rPr>
        <w:t xml:space="preserve"> To compensate for the reduction in potency users typically increase their dosing or migrate to using different substances </w:t>
      </w:r>
      <w:r w:rsidRPr="001746A4">
        <w:rPr>
          <w:rStyle w:val="NotesstructureChar"/>
          <w:color w:val="000000" w:themeColor="text1"/>
        </w:rPr>
        <w:t>(</w:t>
      </w:r>
      <w:r w:rsidR="00714DF0" w:rsidRPr="001746A4">
        <w:rPr>
          <w:rStyle w:val="NotesstructureChar"/>
          <w:color w:val="000000" w:themeColor="text1"/>
        </w:rPr>
        <w:t xml:space="preserve">Measham, 2010; </w:t>
      </w:r>
      <w:r w:rsidRPr="001746A4">
        <w:rPr>
          <w:rStyle w:val="NotesstructureChar"/>
          <w:color w:val="000000" w:themeColor="text1"/>
        </w:rPr>
        <w:t>Winstock, 2010;)</w:t>
      </w:r>
      <w:r w:rsidRPr="001746A4">
        <w:rPr>
          <w:color w:val="000000" w:themeColor="text1"/>
          <w:szCs w:val="24"/>
          <w:lang w:val="en-US"/>
        </w:rPr>
        <w:t xml:space="preserve">. As the drug market recovers from the disruption to supply, purity levels </w:t>
      </w:r>
      <w:r>
        <w:rPr>
          <w:szCs w:val="24"/>
          <w:lang w:val="en-US"/>
        </w:rPr>
        <w:t>rise</w:t>
      </w:r>
      <w:r w:rsidR="00072EBE">
        <w:rPr>
          <w:szCs w:val="24"/>
          <w:lang w:val="en-US"/>
        </w:rPr>
        <w:t>;</w:t>
      </w:r>
      <w:r>
        <w:rPr>
          <w:szCs w:val="24"/>
          <w:lang w:val="en-US"/>
        </w:rPr>
        <w:t xml:space="preserve"> returning to</w:t>
      </w:r>
      <w:r w:rsidR="00072EBE">
        <w:rPr>
          <w:szCs w:val="24"/>
          <w:lang w:val="en-US"/>
        </w:rPr>
        <w:t>,</w:t>
      </w:r>
      <w:r>
        <w:rPr>
          <w:szCs w:val="24"/>
          <w:lang w:val="en-US"/>
        </w:rPr>
        <w:t xml:space="preserve"> or exceeding pre-drought levels. </w:t>
      </w:r>
    </w:p>
    <w:p w14:paraId="02D0AD59" w14:textId="77777777" w:rsidR="00E35FA2" w:rsidRDefault="00E35FA2" w:rsidP="00A64E15">
      <w:pPr>
        <w:widowControl w:val="0"/>
        <w:autoSpaceDE w:val="0"/>
        <w:autoSpaceDN w:val="0"/>
        <w:adjustRightInd w:val="0"/>
        <w:spacing w:line="240" w:lineRule="auto"/>
        <w:rPr>
          <w:b/>
        </w:rPr>
        <w:sectPr w:rsidR="00E35FA2" w:rsidSect="000427F1">
          <w:pgSz w:w="11900" w:h="16840"/>
          <w:pgMar w:top="1418" w:right="1418" w:bottom="1418" w:left="1418" w:header="709" w:footer="709" w:gutter="0"/>
          <w:cols w:space="708"/>
          <w:docGrid w:linePitch="360"/>
        </w:sectPr>
      </w:pPr>
    </w:p>
    <w:p w14:paraId="55C763C9" w14:textId="11CC7855" w:rsidR="00E35FA2" w:rsidRPr="00065C11" w:rsidRDefault="00574833" w:rsidP="00065C11">
      <w:pPr>
        <w:pStyle w:val="FigureHeading"/>
      </w:pPr>
      <w:bookmarkStart w:id="183" w:name="_Toc9509120"/>
      <w:r w:rsidRPr="00065C11">
        <w:drawing>
          <wp:anchor distT="0" distB="0" distL="114300" distR="114300" simplePos="0" relativeHeight="253707264" behindDoc="0" locked="0" layoutInCell="1" allowOverlap="1" wp14:anchorId="22F9EC2A" wp14:editId="305999E3">
            <wp:simplePos x="0" y="0"/>
            <wp:positionH relativeFrom="margin">
              <wp:posOffset>262355</wp:posOffset>
            </wp:positionH>
            <wp:positionV relativeFrom="paragraph">
              <wp:posOffset>626745</wp:posOffset>
            </wp:positionV>
            <wp:extent cx="2715895" cy="2482850"/>
            <wp:effectExtent l="0" t="0" r="8255" b="0"/>
            <wp:wrapTopAndBottom/>
            <wp:docPr id="218" name="Chart 218">
              <a:extLst xmlns:a="http://schemas.openxmlformats.org/drawingml/2006/main">
                <a:ext uri="{FF2B5EF4-FFF2-40B4-BE49-F238E27FC236}">
                  <a16:creationId xmlns:a16="http://schemas.microsoft.com/office/drawing/2014/main" id="{631B69F3-F6DE-4D37-AAB0-3B8C7E24F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065C11">
        <mc:AlternateContent>
          <mc:Choice Requires="wps">
            <w:drawing>
              <wp:anchor distT="45720" distB="45720" distL="114300" distR="114300" simplePos="0" relativeHeight="251217920" behindDoc="0" locked="0" layoutInCell="1" allowOverlap="1" wp14:anchorId="455E228C" wp14:editId="21DE76C2">
                <wp:simplePos x="0" y="0"/>
                <wp:positionH relativeFrom="leftMargin">
                  <wp:posOffset>275957</wp:posOffset>
                </wp:positionH>
                <wp:positionV relativeFrom="paragraph">
                  <wp:posOffset>1485900</wp:posOffset>
                </wp:positionV>
                <wp:extent cx="1664335" cy="428625"/>
                <wp:effectExtent l="0" t="0" r="127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4335" cy="428625"/>
                        </a:xfrm>
                        <a:prstGeom prst="rect">
                          <a:avLst/>
                        </a:prstGeom>
                        <a:noFill/>
                        <a:ln w="9525">
                          <a:noFill/>
                          <a:miter lim="800000"/>
                          <a:headEnd/>
                          <a:tailEnd/>
                        </a:ln>
                      </wps:spPr>
                      <wps:txbx>
                        <w:txbxContent>
                          <w:p w14:paraId="6B281A23" w14:textId="77777777" w:rsidR="00777EE0" w:rsidRPr="009970A8" w:rsidRDefault="00777EE0" w:rsidP="00A64E15">
                            <w:r w:rsidRPr="009970A8">
                              <w:t xml:space="preserve">% of 2006 level purity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5E228C" id="_x0000_s1058" type="#_x0000_t202" style="position:absolute;margin-left:21.75pt;margin-top:117pt;width:131.05pt;height:33.75pt;rotation:-90;z-index:251217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z3FgIAAAsEAAAOAAAAZHJzL2Uyb0RvYy54bWysU9uO2yAQfa/Uf0C8N46dS7NWyGq721SV&#10;thdptx9AMI5RgaFAYm+/vgOOkmj7VtUPFjDDmXPODOvbwWhylD4osIyWkykl0gpolN0z+uN5+25F&#10;SYjcNlyDlYy+yEBvN2/frHtXywo60I30BEFsqHvHaBejq4siiE4aHibgpMVgC97wiFu/LxrPe0Q3&#10;uqim02XRg2+cByFDwNOHMUg3Gb9tpYjf2jbISDSjyC3mv8//XfoXmzWv9567TokTDf4PLAxXFoue&#10;oR545OTg1V9QRgkPAdo4EWAKaFslZNaAasrpKzVPHXcya0FzgjvbFP4frPh6/O6JahitSvTHcoNN&#10;epZDJB9gIFXyp3ehxrQnh4lxwGPsc9Ya3COIn4FYuO+43cs776HvJG+QX5luFldXR5yQQHb9F2iw&#10;DD9EyEBD6w3xgM0pl9hU/PIxukOwGNJ6ObcqMROJwXI5n80WlAiMzavVslrkirxOYKkTzof4SYIh&#10;acGox1HIqPz4GGIid0lJ6Ra2Sus8DtqSntGbBUK+ihgVcVq1MoyuRp75QtL80TZ5HbnS4xoLaHsy&#10;IekeHYjDbsh+z7JFyaEdNC9oSzYAxeJrQr4d+N+U9DiZjIZfB+4lJfqzRWtvyvk8jXLezBfvK9z4&#10;68juOsKtQChGIyXj8j7m8U/KgrvDFmxVtuPC5MQZJy67dHodaaSv9znr8oY3fwAAAP//AwBQSwME&#10;FAAGAAgAAAAhAKfCEMHfAAAACwEAAA8AAABkcnMvZG93bnJldi54bWxMj8FOwzAQRO9I/IO1SFwQ&#10;tWkghBCnQpW4cEEt4e7E2yQiXkexm6Z8PcsJbjOa0ezbYrO4Qcw4hd6ThruVAoHUeNtTq6H6eL3N&#10;QIRoyJrBE2o4Y4BNeXlRmNz6E+1w3sdW8AiF3GjoYhxzKUPToTNh5Uckzg5+ciaynVppJ3PicTfI&#10;tVKpdKYnvtCZEbcdNl/7o9Nwc9hW5883//6dOqwe6tn2SRW1vr5aXp5BRFziXxl+8RkdSmaq/ZFs&#10;EAP7e8XokUWSPoLgxlplCYhaQ/KUZSDLQv7/ofwBAAD//wMAUEsBAi0AFAAGAAgAAAAhALaDOJL+&#10;AAAA4QEAABMAAAAAAAAAAAAAAAAAAAAAAFtDb250ZW50X1R5cGVzXS54bWxQSwECLQAUAAYACAAA&#10;ACEAOP0h/9YAAACUAQAACwAAAAAAAAAAAAAAAAAvAQAAX3JlbHMvLnJlbHNQSwECLQAUAAYACAAA&#10;ACEARKac9xYCAAALBAAADgAAAAAAAAAAAAAAAAAuAgAAZHJzL2Uyb0RvYy54bWxQSwECLQAUAAYA&#10;CAAAACEAp8IQwd8AAAALAQAADwAAAAAAAAAAAAAAAABwBAAAZHJzL2Rvd25yZXYueG1sUEsFBgAA&#10;AAAEAAQA8wAAAHwFAAAAAA==&#10;" filled="f" stroked="f">
                <v:textbox style="mso-fit-shape-to-text:t">
                  <w:txbxContent>
                    <w:p w14:paraId="6B281A23" w14:textId="77777777" w:rsidR="00777EE0" w:rsidRPr="009970A8" w:rsidRDefault="00777EE0" w:rsidP="00A64E15">
                      <w:r w:rsidRPr="009970A8">
                        <w:t xml:space="preserve">% of 2006 level purity </w:t>
                      </w:r>
                    </w:p>
                  </w:txbxContent>
                </v:textbox>
                <w10:wrap anchorx="margin"/>
              </v:shape>
            </w:pict>
          </mc:Fallback>
        </mc:AlternateContent>
      </w:r>
      <w:r w:rsidR="00E35FA2" w:rsidRPr="00065C11">
        <w:t xml:space="preserve">Figure </w:t>
      </w:r>
      <w:r w:rsidR="00131C28" w:rsidRPr="00065C11">
        <w:t>2-</w:t>
      </w:r>
      <w:r w:rsidR="00E35FA2" w:rsidRPr="00065C11">
        <w:t>25. Cocaine purity in Europe: changes in percentage purity since 2006</w:t>
      </w:r>
      <w:bookmarkEnd w:id="183"/>
      <w:r w:rsidR="00E35FA2" w:rsidRPr="00065C11">
        <w:t xml:space="preserve">       </w:t>
      </w:r>
    </w:p>
    <w:p w14:paraId="6707A13F" w14:textId="1002F0A6" w:rsidR="00E35FA2" w:rsidRPr="003F58EA" w:rsidRDefault="00E35FA2" w:rsidP="00065C11">
      <w:pPr>
        <w:pStyle w:val="FigureHeading"/>
        <w:rPr>
          <w:sz w:val="20"/>
          <w:szCs w:val="20"/>
        </w:rPr>
      </w:pPr>
      <w:bookmarkStart w:id="184" w:name="_Toc9509121"/>
      <w:r>
        <w:t xml:space="preserve">Figure </w:t>
      </w:r>
      <w:r w:rsidR="00131C28">
        <w:t>2-</w:t>
      </w:r>
      <w:r>
        <w:t>26</w:t>
      </w:r>
      <w:r w:rsidRPr="005F3A68">
        <w:t xml:space="preserve">. </w:t>
      </w:r>
      <w:r>
        <w:t>Cocaine related mortality in England and Wales</w:t>
      </w:r>
      <w:bookmarkEnd w:id="184"/>
    </w:p>
    <w:p w14:paraId="43962CC0" w14:textId="77777777" w:rsidR="00065C11" w:rsidRDefault="00065C11" w:rsidP="00A64E15">
      <w:pPr>
        <w:widowControl w:val="0"/>
        <w:autoSpaceDE w:val="0"/>
        <w:autoSpaceDN w:val="0"/>
        <w:adjustRightInd w:val="0"/>
        <w:spacing w:line="240" w:lineRule="auto"/>
        <w:rPr>
          <w:b/>
        </w:rPr>
      </w:pPr>
    </w:p>
    <w:p w14:paraId="2C1165DB" w14:textId="1292E9DD" w:rsidR="00E35FA2" w:rsidRDefault="00574833" w:rsidP="00A64E15">
      <w:pPr>
        <w:widowControl w:val="0"/>
        <w:autoSpaceDE w:val="0"/>
        <w:autoSpaceDN w:val="0"/>
        <w:adjustRightInd w:val="0"/>
        <w:spacing w:line="240" w:lineRule="auto"/>
        <w:rPr>
          <w:b/>
        </w:rPr>
      </w:pPr>
      <w:r>
        <w:rPr>
          <w:noProof/>
          <w:lang w:val="en-US" w:eastAsia="en-US"/>
        </w:rPr>
        <w:drawing>
          <wp:anchor distT="0" distB="0" distL="114300" distR="114300" simplePos="0" relativeHeight="250572800" behindDoc="0" locked="0" layoutInCell="1" allowOverlap="1" wp14:anchorId="170CE5B9" wp14:editId="3D6B0B67">
            <wp:simplePos x="0" y="0"/>
            <wp:positionH relativeFrom="column">
              <wp:posOffset>200559</wp:posOffset>
            </wp:positionH>
            <wp:positionV relativeFrom="paragraph">
              <wp:posOffset>11998</wp:posOffset>
            </wp:positionV>
            <wp:extent cx="2838450" cy="2286000"/>
            <wp:effectExtent l="0" t="0" r="0" b="0"/>
            <wp:wrapNone/>
            <wp:docPr id="219" name="Chart 219">
              <a:extLst xmlns:a="http://schemas.openxmlformats.org/drawingml/2006/main">
                <a:ext uri="{FF2B5EF4-FFF2-40B4-BE49-F238E27FC236}">
                  <a16:creationId xmlns:a16="http://schemas.microsoft.com/office/drawing/2014/main" id="{97D81380-5C7F-4F9F-ACDE-C37A53432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0B68E819" w14:textId="201FCB9A" w:rsidR="00E35FA2" w:rsidRDefault="00574833" w:rsidP="00A64E15">
      <w:pPr>
        <w:widowControl w:val="0"/>
        <w:autoSpaceDE w:val="0"/>
        <w:autoSpaceDN w:val="0"/>
        <w:adjustRightInd w:val="0"/>
        <w:spacing w:line="240" w:lineRule="auto"/>
        <w:rPr>
          <w:b/>
        </w:rPr>
      </w:pPr>
      <w:r w:rsidRPr="009970A8">
        <w:rPr>
          <w:noProof/>
          <w:szCs w:val="24"/>
          <w:lang w:val="en-US" w:eastAsia="en-US"/>
        </w:rPr>
        <mc:AlternateContent>
          <mc:Choice Requires="wps">
            <w:drawing>
              <wp:anchor distT="45720" distB="45720" distL="114300" distR="114300" simplePos="0" relativeHeight="249854976" behindDoc="0" locked="0" layoutInCell="1" allowOverlap="1" wp14:anchorId="0979AA10" wp14:editId="5EA58447">
                <wp:simplePos x="0" y="0"/>
                <wp:positionH relativeFrom="page">
                  <wp:posOffset>3318075</wp:posOffset>
                </wp:positionH>
                <wp:positionV relativeFrom="paragraph">
                  <wp:posOffset>334311</wp:posOffset>
                </wp:positionV>
                <wp:extent cx="1664335" cy="428625"/>
                <wp:effectExtent l="0" t="3175" r="8890" b="88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4335" cy="428625"/>
                        </a:xfrm>
                        <a:prstGeom prst="rect">
                          <a:avLst/>
                        </a:prstGeom>
                        <a:solidFill>
                          <a:srgbClr val="FFFFFF"/>
                        </a:solidFill>
                        <a:ln w="9525">
                          <a:noFill/>
                          <a:miter lim="800000"/>
                          <a:headEnd/>
                          <a:tailEnd/>
                        </a:ln>
                      </wps:spPr>
                      <wps:txbx>
                        <w:txbxContent>
                          <w:p w14:paraId="62517CA8" w14:textId="77777777" w:rsidR="00777EE0" w:rsidRPr="009970A8" w:rsidRDefault="00777EE0" w:rsidP="00A64E15">
                            <w:r>
                              <w:t>Number of deaths</w:t>
                            </w:r>
                            <w:r w:rsidRPr="009970A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79AA10" id="_x0000_s1059" type="#_x0000_t202" style="position:absolute;margin-left:261.25pt;margin-top:26.3pt;width:131.05pt;height:33.75pt;rotation:-90;z-index:24985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7zKgIAADMEAAAOAAAAZHJzL2Uyb0RvYy54bWysU9uO2yAQfa/Uf0C8N06cS7NWnNU221SV&#10;thdptx+AAceowFAgsbdf3wFH2bR9q8oDYpjhzMw5w+Z2MJqcpA8KbE1nkykl0nIQyh5q+u1p/2ZN&#10;SYjMCqbBypo+y0Bvt69fbXpXyRI60EJ6giA2VL2raRejq4oi8E4aFibgpEVnC96wiKY/FMKzHtGN&#10;LsrpdFX04IXzwGUIeHs/Ouk247et5PFL2wYZia4p1hbz7vPepL3Yblh18Mx1ip/LYP9QhWHKYtIL&#10;1D2LjBy9+gvKKO4hQBsnHEwBbau4zD1gN7PpH908dszJ3AuSE9yFpvD/YPnn01dPlEDtUCnLDGr0&#10;JIdI3sFAykRP70KFUY8O4+KA1xiaWw3uAfj3QCzsOmYP8s576DvJBJY3Sy+Lq6cjTkggTf8JBKZh&#10;xwgZaGi9IR5Qm9kKNcWVr5EcgslQteeLUqkynipYrRbz+ZISjr5FuV6Vy5yRVQksCeF8iB8kGJIO&#10;NfU4CRmVnR5CTMW9hKTwAFqJvdI6G/7Q7LQnJ4ZTs8/rjP5bmLakr+nNEnOnVxbS+zxQRkWcaq1M&#10;TddjQ/k6kfPeinyOTOnxjJVoe2YrETRSFYdmyLrMLyo0IJ6Rv8wUsoK/DhvrwP+kpMcJrmn4cWRe&#10;UqI/WtTgZrZYpJHPxmL5tkTDX3uaaw+zHKFqGikZj7uYv0nmw92hVnuVeUuijpWca8bJzHSef1Ea&#10;/Ws7R7389e0vAAAA//8DAFBLAwQUAAYACAAAACEA93p9luAAAAALAQAADwAAAGRycy9kb3ducmV2&#10;LnhtbEyPzU6EQBCE7ya+w6RNvO0OrIQ/aTb+xD2ZGNEHGKAFIjODTO/Cvr2zJz1WqlL1VbFf9ShO&#10;NLvBGoRwG4Ag09h2MB3C58fLJgXhWJlWjdYQwpkc7Mvrq0LlrV3MO50q7oQvMS5XCD3zlEvpmp60&#10;cls7kfHel521Yi/nTrazWny5HuUuCGKp1WD8Qq8meuqp+a6OGkGuWVwd6uD59ec8NMxL+vaYpYi3&#10;N+vDPQimlf/CcMH36FB6ptoeTevEiBCHmUdnhE0UJSB8Ik6TOxA1wi5MIpBlIf9/KH8BAAD//wMA&#10;UEsBAi0AFAAGAAgAAAAhALaDOJL+AAAA4QEAABMAAAAAAAAAAAAAAAAAAAAAAFtDb250ZW50X1R5&#10;cGVzXS54bWxQSwECLQAUAAYACAAAACEAOP0h/9YAAACUAQAACwAAAAAAAAAAAAAAAAAvAQAAX3Jl&#10;bHMvLnJlbHNQSwECLQAUAAYACAAAACEAcShe8yoCAAAzBAAADgAAAAAAAAAAAAAAAAAuAgAAZHJz&#10;L2Uyb0RvYy54bWxQSwECLQAUAAYACAAAACEA93p9luAAAAALAQAADwAAAAAAAAAAAAAAAACEBAAA&#10;ZHJzL2Rvd25yZXYueG1sUEsFBgAAAAAEAAQA8wAAAJEFAAAAAA==&#10;" stroked="f">
                <v:textbox style="mso-fit-shape-to-text:t">
                  <w:txbxContent>
                    <w:p w14:paraId="62517CA8" w14:textId="77777777" w:rsidR="00777EE0" w:rsidRPr="009970A8" w:rsidRDefault="00777EE0" w:rsidP="00A64E15">
                      <w:r>
                        <w:t>Number of deaths</w:t>
                      </w:r>
                      <w:r w:rsidRPr="009970A8">
                        <w:t xml:space="preserve"> </w:t>
                      </w:r>
                    </w:p>
                  </w:txbxContent>
                </v:textbox>
                <w10:wrap anchorx="page"/>
              </v:shape>
            </w:pict>
          </mc:Fallback>
        </mc:AlternateContent>
      </w:r>
    </w:p>
    <w:p w14:paraId="5FF8E547" w14:textId="585BC89F" w:rsidR="00E35FA2" w:rsidRDefault="00E35FA2" w:rsidP="00A64E15">
      <w:pPr>
        <w:widowControl w:val="0"/>
        <w:autoSpaceDE w:val="0"/>
        <w:autoSpaceDN w:val="0"/>
        <w:adjustRightInd w:val="0"/>
        <w:spacing w:line="240" w:lineRule="auto"/>
        <w:rPr>
          <w:b/>
        </w:rPr>
      </w:pPr>
    </w:p>
    <w:p w14:paraId="6789F992" w14:textId="0243F24D" w:rsidR="00E35FA2" w:rsidRDefault="00E35FA2" w:rsidP="00A64E15">
      <w:pPr>
        <w:widowControl w:val="0"/>
        <w:autoSpaceDE w:val="0"/>
        <w:autoSpaceDN w:val="0"/>
        <w:adjustRightInd w:val="0"/>
        <w:spacing w:line="240" w:lineRule="auto"/>
        <w:rPr>
          <w:b/>
        </w:rPr>
      </w:pPr>
    </w:p>
    <w:p w14:paraId="10EFF59E" w14:textId="5F032050" w:rsidR="00E35FA2" w:rsidRDefault="00E35FA2" w:rsidP="00A64E15">
      <w:pPr>
        <w:widowControl w:val="0"/>
        <w:autoSpaceDE w:val="0"/>
        <w:autoSpaceDN w:val="0"/>
        <w:adjustRightInd w:val="0"/>
        <w:spacing w:line="240" w:lineRule="auto"/>
        <w:rPr>
          <w:b/>
        </w:rPr>
      </w:pPr>
    </w:p>
    <w:p w14:paraId="1B8EEFD4" w14:textId="7190D41A" w:rsidR="00E35FA2" w:rsidRDefault="00E35FA2" w:rsidP="00A64E15">
      <w:pPr>
        <w:widowControl w:val="0"/>
        <w:autoSpaceDE w:val="0"/>
        <w:autoSpaceDN w:val="0"/>
        <w:adjustRightInd w:val="0"/>
        <w:spacing w:line="240" w:lineRule="auto"/>
        <w:rPr>
          <w:b/>
        </w:rPr>
      </w:pPr>
    </w:p>
    <w:p w14:paraId="6874D638" w14:textId="45A48DCA" w:rsidR="00065C11" w:rsidRDefault="00065C11" w:rsidP="00A64E15">
      <w:pPr>
        <w:widowControl w:val="0"/>
        <w:autoSpaceDE w:val="0"/>
        <w:autoSpaceDN w:val="0"/>
        <w:adjustRightInd w:val="0"/>
        <w:spacing w:line="240" w:lineRule="auto"/>
        <w:rPr>
          <w:b/>
        </w:rPr>
      </w:pPr>
    </w:p>
    <w:p w14:paraId="54312ECB" w14:textId="0E171CD9" w:rsidR="00E35FA2" w:rsidRDefault="00065C11" w:rsidP="00A64E15">
      <w:pPr>
        <w:widowControl w:val="0"/>
        <w:autoSpaceDE w:val="0"/>
        <w:autoSpaceDN w:val="0"/>
        <w:adjustRightInd w:val="0"/>
        <w:spacing w:line="240" w:lineRule="auto"/>
        <w:rPr>
          <w:b/>
        </w:rPr>
      </w:pPr>
      <w:r w:rsidRPr="00A17501">
        <w:rPr>
          <w:noProof/>
        </w:rPr>
        <mc:AlternateContent>
          <mc:Choice Requires="wps">
            <w:drawing>
              <wp:anchor distT="0" distB="0" distL="114300" distR="114300" simplePos="0" relativeHeight="251875328" behindDoc="0" locked="0" layoutInCell="1" allowOverlap="1" wp14:anchorId="04BAA465" wp14:editId="6E854E41">
                <wp:simplePos x="0" y="0"/>
                <wp:positionH relativeFrom="column">
                  <wp:posOffset>830735</wp:posOffset>
                </wp:positionH>
                <wp:positionV relativeFrom="paragraph">
                  <wp:posOffset>189294</wp:posOffset>
                </wp:positionV>
                <wp:extent cx="1392072" cy="439221"/>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2" cy="439221"/>
                        </a:xfrm>
                        <a:prstGeom prst="rect">
                          <a:avLst/>
                        </a:prstGeom>
                        <a:noFill/>
                        <a:ln w="9525">
                          <a:noFill/>
                          <a:miter lim="800000"/>
                          <a:headEnd/>
                          <a:tailEnd/>
                        </a:ln>
                      </wps:spPr>
                      <wps:txbx>
                        <w:txbxContent>
                          <w:p w14:paraId="7E6E1591"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603E544F"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4BAA465" id="Text Box 263" o:spid="_x0000_s1060" type="#_x0000_t202" style="position:absolute;margin-left:65.4pt;margin-top:14.9pt;width:109.6pt;height:34.6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58kDgIAAP4DAAAOAAAAZHJzL2Uyb0RvYy54bWysU9tu2zAMfR+wfxD0vthxkrYxohRduw4D&#10;ugvQ7gMUWY6FSaImKbGzry8lp2nQvQ3zgyCa5CHPIbW6Howme+mDAsvodFJSIq2ARtktoz+f7j9c&#10;URIitw3XYCWjBxno9fr9u1XvallBB7qRniCIDXXvGO1idHVRBNFJw8MEnLTobMEbHtH026LxvEd0&#10;o4uqLC+KHnzjPAgZAv69G510nfHbVor4vW2DjEQzir3FfPp8btJZrFe83nruOiWObfB/6MJwZbHo&#10;CeqOR052Xv0FZZTwEKCNEwGmgLZVQmYOyGZavmHz2HEnMxcUJ7iTTOH/wYpv+x+eqIbR6mJGieUG&#10;h/Qkh0g+wkDSP1Sod6HGwEeHoXFAB046sw3uAcSvQCzcdtxu5Y330HeSN9jhNGUWZ6kjTkggm/4r&#10;NFiI7yJkoKH1JsmHghBEx0kdTtNJzYhUcrasysuKEoG+ORrVWILXL9nOh/hZgiHpwqjH6Wd0vn8I&#10;MXXD65eQVMzCvdI6b4C2pGd0uagWOeHMY1TEBdXKMHpVpm9cmUTyk21ycuRKj3csoO2RdSI6Uo7D&#10;ZsgSz05qbqA5oA4exoXEB4SXDvwfSnpcRkbD7x33khL9xaKWy+l8nrY3G/PFZYWGP/dszj3cCoRi&#10;NFIyXm9j3viR8w1q3qosRxrO2MmxZ1yyrNLxQaQtPrdz1OuzXT8DAAD//wMAUEsDBBQABgAIAAAA&#10;IQDjX2h13AAAAAkBAAAPAAAAZHJzL2Rvd25yZXYueG1sTI/BTsMwEETvSPyDtZW4UbstrUiIUyEQ&#10;VxClIHHbxtskIl5HsduEv2c5wWk12tHMm2I7+U6daYhtYAuLuQFFXAXXcm1h//Z0fQsqJmSHXWCy&#10;8E0RtuXlRYG5CyO/0nmXaiUhHHO00KTU51rHqiGPcR56Yvkdw+AxiRxq7QYcJdx3emnMRntsWRoa&#10;7Omhoeprd/IW3p+Pnx835qV+9Ot+DJPR7DNt7dVsur8DlWhKf2b4xRd0KIXpEE7soupEr4ygJwvL&#10;TK4YVmsj4w4WssyALgv9f0H5AwAA//8DAFBLAQItABQABgAIAAAAIQC2gziS/gAAAOEBAAATAAAA&#10;AAAAAAAAAAAAAAAAAABbQ29udGVudF9UeXBlc10ueG1sUEsBAi0AFAAGAAgAAAAhADj9If/WAAAA&#10;lAEAAAsAAAAAAAAAAAAAAAAALwEAAF9yZWxzLy5yZWxzUEsBAi0AFAAGAAgAAAAhAKzbnyQOAgAA&#10;/gMAAA4AAAAAAAAAAAAAAAAALgIAAGRycy9lMm9Eb2MueG1sUEsBAi0AFAAGAAgAAAAhAONfaHXc&#10;AAAACQEAAA8AAAAAAAAAAAAAAAAAaAQAAGRycy9kb3ducmV2LnhtbFBLBQYAAAAABAAEAPMAAABx&#10;BQAAAAA=&#10;" filled="f" stroked="f">
                <v:textbox>
                  <w:txbxContent>
                    <w:p w14:paraId="7E6E1591"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603E544F"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r w:rsidRPr="00A17501">
        <w:rPr>
          <w:noProof/>
        </w:rPr>
        <mc:AlternateContent>
          <mc:Choice Requires="wps">
            <w:drawing>
              <wp:anchor distT="0" distB="0" distL="114300" distR="114300" simplePos="0" relativeHeight="251731968" behindDoc="0" locked="0" layoutInCell="1" allowOverlap="1" wp14:anchorId="71806D27" wp14:editId="39DC90A0">
                <wp:simplePos x="0" y="0"/>
                <wp:positionH relativeFrom="column">
                  <wp:posOffset>-2288108</wp:posOffset>
                </wp:positionH>
                <wp:positionV relativeFrom="paragraph">
                  <wp:posOffset>212864</wp:posOffset>
                </wp:positionV>
                <wp:extent cx="1392072" cy="439221"/>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2" cy="439221"/>
                        </a:xfrm>
                        <a:prstGeom prst="rect">
                          <a:avLst/>
                        </a:prstGeom>
                        <a:noFill/>
                        <a:ln w="9525">
                          <a:noFill/>
                          <a:miter lim="800000"/>
                          <a:headEnd/>
                          <a:tailEnd/>
                        </a:ln>
                      </wps:spPr>
                      <wps:txbx>
                        <w:txbxContent>
                          <w:p w14:paraId="5235459F"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EMCDDA (2018)</w:t>
                            </w:r>
                            <w:r>
                              <w:rPr>
                                <w:rFonts w:cstheme="minorBidi"/>
                                <w:b/>
                                <w:bCs/>
                                <w:sz w:val="16"/>
                                <w:szCs w:val="16"/>
                              </w:rPr>
                              <w:tab/>
                            </w:r>
                          </w:p>
                          <w:p w14:paraId="60BCC651"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806D27" id="Text Box 260" o:spid="_x0000_s1061" type="#_x0000_t202" style="position:absolute;margin-left:-180.15pt;margin-top:16.75pt;width:109.6pt;height:34.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SsDgIAAP4DAAAOAAAAZHJzL2Uyb0RvYy54bWysU9tu2zAMfR+wfxD0vthxk7YxohRduw4D&#10;ugvQ7gMUWY6FSaImKbGzry8lJ2nQvQ3zgyCa5CHPIbW8GYwmO+mDAsvodFJSIq2ARtkNoz+fHz5c&#10;UxIitw3XYCWjexnozer9u2XvallBB7qRniCIDXXvGO1idHVRBNFJw8MEnLTobMEbHtH0m6LxvEd0&#10;o4uqLC+LHnzjPAgZAv69H510lfHbVor4vW2DjEQzir3FfPp8rtNZrJa83njuOiUObfB/6MJwZbHo&#10;CeqeR062Xv0FZZTwEKCNEwGmgLZVQmYOyGZavmHz1HEnMxcUJ7iTTOH/wYpvux+eqIbR6hL1sdzg&#10;kJ7lEMlHGEj6hwr1LtQY+OQwNA7owElntsE9gvgViIW7jtuNvPUe+k7yBjucpsziLHXECQlk3X+F&#10;BgvxbYQMNLTeJPlQEILo2Mn+NJ3UjEglLxZVeVVRItA3Q6MaS/D6mO18iJ8lGJIujHqcfkbnu8cQ&#10;Uze8PoakYhYelNZ5A7QlPaOLeTXPCWceoyIuqFaG0esyfePKJJKfbJOTI1d6vGMBbQ+sE9GRchzW&#10;Q5b4YnZUcw3NHnXwMC4kPiC8dOD/UNLjMjIafm+5l5ToLxa1XExns7S92ZjNryo0/Llnfe7hViAU&#10;o5GS8XoX88aPnG9R81ZlOdJwxk4OPeOSZZUODyJt8bmdo16f7eoFAAD//wMAUEsDBBQABgAIAAAA&#10;IQDHN56G4AAAAAwBAAAPAAAAZHJzL2Rvd25yZXYueG1sTI/LTsMwEEX3SPyDNZXYpXaatkAap0Ig&#10;tkWUh8TOjadJRDyOYrcJf890BcvRPbr3TLGdXCfOOITWk4Z0rkAgVd62VGt4f3tO7kCEaMiazhNq&#10;+MEA2/L6qjC59SO94nkfa8ElFHKjoYmxz6UMVYPOhLnvkTg7+sGZyOdQSzuYkctdJxdKraUzLfFC&#10;Y3p8bLD63p+cho/d8etzqV7qJ7fqRz8pSe5ean0zmx42ICJO8Q+Giz6rQ8lOB38iG0SnIcnWKmNW&#10;Q5atQDCRpMs0BXFgVi1uQZaF/P9E+QsAAP//AwBQSwECLQAUAAYACAAAACEAtoM4kv4AAADhAQAA&#10;EwAAAAAAAAAAAAAAAAAAAAAAW0NvbnRlbnRfVHlwZXNdLnhtbFBLAQItABQABgAIAAAAIQA4/SH/&#10;1gAAAJQBAAALAAAAAAAAAAAAAAAAAC8BAABfcmVscy8ucmVsc1BLAQItABQABgAIAAAAIQDOEmSs&#10;DgIAAP4DAAAOAAAAAAAAAAAAAAAAAC4CAABkcnMvZTJvRG9jLnhtbFBLAQItABQABgAIAAAAIQDH&#10;N56G4AAAAAwBAAAPAAAAAAAAAAAAAAAAAGgEAABkcnMvZG93bnJldi54bWxQSwUGAAAAAAQABADz&#10;AAAAdQUAAAAA&#10;" filled="f" stroked="f">
                <v:textbox>
                  <w:txbxContent>
                    <w:p w14:paraId="5235459F"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EMCDDA (2018)</w:t>
                      </w:r>
                      <w:r>
                        <w:rPr>
                          <w:rFonts w:cstheme="minorBidi"/>
                          <w:b/>
                          <w:bCs/>
                          <w:sz w:val="16"/>
                          <w:szCs w:val="16"/>
                        </w:rPr>
                        <w:tab/>
                      </w:r>
                    </w:p>
                    <w:p w14:paraId="60BCC651"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p>
    <w:p w14:paraId="7ECF8E39" w14:textId="77777777" w:rsidR="00E35FA2" w:rsidRDefault="00E35FA2" w:rsidP="00A64E15">
      <w:pPr>
        <w:widowControl w:val="0"/>
        <w:autoSpaceDE w:val="0"/>
        <w:autoSpaceDN w:val="0"/>
        <w:adjustRightInd w:val="0"/>
        <w:spacing w:line="240" w:lineRule="auto"/>
        <w:rPr>
          <w:b/>
        </w:rPr>
        <w:sectPr w:rsidR="00E35FA2" w:rsidSect="00E35FA2">
          <w:type w:val="continuous"/>
          <w:pgSz w:w="11900" w:h="16840"/>
          <w:pgMar w:top="1418" w:right="1418" w:bottom="1418" w:left="1418" w:header="709" w:footer="709" w:gutter="0"/>
          <w:cols w:num="2" w:space="708"/>
          <w:docGrid w:linePitch="360"/>
        </w:sectPr>
      </w:pPr>
    </w:p>
    <w:p w14:paraId="606B946D" w14:textId="55EF73E4" w:rsidR="00E35FA2" w:rsidRDefault="00E35FA2" w:rsidP="00A64E15">
      <w:pPr>
        <w:widowControl w:val="0"/>
        <w:autoSpaceDE w:val="0"/>
        <w:autoSpaceDN w:val="0"/>
        <w:adjustRightInd w:val="0"/>
        <w:spacing w:line="240" w:lineRule="auto"/>
        <w:rPr>
          <w:b/>
        </w:rPr>
        <w:sectPr w:rsidR="00E35FA2" w:rsidSect="00874B78">
          <w:type w:val="continuous"/>
          <w:pgSz w:w="11900" w:h="16840"/>
          <w:pgMar w:top="1418" w:right="1418" w:bottom="1418" w:left="1418" w:header="709" w:footer="709" w:gutter="0"/>
          <w:cols w:space="708"/>
          <w:docGrid w:linePitch="360"/>
        </w:sectPr>
      </w:pPr>
    </w:p>
    <w:p w14:paraId="232AE753" w14:textId="77777777" w:rsidR="008B0B44" w:rsidRDefault="008B0B44" w:rsidP="00E35FA2">
      <w:pPr>
        <w:pStyle w:val="FigureHeading"/>
      </w:pPr>
    </w:p>
    <w:bookmarkStart w:id="185" w:name="_Toc9509122"/>
    <w:p w14:paraId="4B5005DE" w14:textId="71AD5F38" w:rsidR="00E35FA2" w:rsidRDefault="00574833" w:rsidP="00E35FA2">
      <w:pPr>
        <w:pStyle w:val="FigureHeading"/>
      </w:pPr>
      <w:r w:rsidRPr="00A17501">
        <mc:AlternateContent>
          <mc:Choice Requires="wps">
            <w:drawing>
              <wp:anchor distT="45720" distB="45720" distL="114300" distR="114300" simplePos="0" relativeHeight="251148288" behindDoc="0" locked="0" layoutInCell="1" allowOverlap="1" wp14:anchorId="509BB2CF" wp14:editId="29B59F1E">
                <wp:simplePos x="0" y="0"/>
                <wp:positionH relativeFrom="page">
                  <wp:posOffset>3355291</wp:posOffset>
                </wp:positionH>
                <wp:positionV relativeFrom="paragraph">
                  <wp:posOffset>1464627</wp:posOffset>
                </wp:positionV>
                <wp:extent cx="1570990" cy="42862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0990" cy="428625"/>
                        </a:xfrm>
                        <a:prstGeom prst="rect">
                          <a:avLst/>
                        </a:prstGeom>
                        <a:noFill/>
                        <a:ln w="9525">
                          <a:noFill/>
                          <a:miter lim="800000"/>
                          <a:headEnd/>
                          <a:tailEnd/>
                        </a:ln>
                      </wps:spPr>
                      <wps:txbx>
                        <w:txbxContent>
                          <w:p w14:paraId="7C7F9A23" w14:textId="77777777" w:rsidR="00777EE0" w:rsidRPr="009970A8" w:rsidRDefault="00777EE0" w:rsidP="00A64E15">
                            <w:r>
                              <w:t>Number of deaths</w:t>
                            </w:r>
                            <w:r w:rsidRPr="009970A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9BB2CF" id="_x0000_s1062" type="#_x0000_t202" style="position:absolute;margin-left:264.2pt;margin-top:115.3pt;width:123.7pt;height:33.75pt;rotation:-90;z-index:25114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36FgIAAAsEAAAOAAAAZHJzL2Uyb0RvYy54bWysU9uO2yAQfa/Uf0C8N3bcJJtYIavtblNV&#10;2l6k3X4AwThGBYYCib39+g44SqLtW1U/WMAMZ845M6xvB6PJUfqgwDI6nZSUSCugUXbP6I/n7bsl&#10;JSFy23ANVjL6IgO93bx9s+5dLSvoQDfSEwSxoe4do12Mri6KIDppeJiAkxaDLXjDI279vmg87xHd&#10;6KIqy0XRg2+cByFDwNOHMUg3Gb9tpYjf2jbISDSjyC3mv8//XfoXmzWv9567TokTDf4PLAxXFoue&#10;oR545OTg1V9QRgkPAdo4EWAKaFslZNaAaqblKzVPHXcya0FzgjvbFP4frPh6/O6JahityhUllhts&#10;0rMcIvkAA6mSP70LNaY9OUyMAx5jn7PW4B5B/AzEwn3H7V7eeQ99J3mD/KbpZnF1dcQJCWTXf4EG&#10;y/BDhAw0tN4QD9ic6QKbil8+RncIFsO2vZxblZiJxGB+U65WGBIYm1XLRTXPFXmdwFInnA/xkwRD&#10;0oJRj6OQUfnxMcRE7pKS0i1sldZ5HLQlPaOrOUK+ihgVcVq1MowuR575QtL80TZ5HbnS4xoLaHsy&#10;IekeHYjDbsh+v8+Ek0M7aF7QlmwAKsLXhHw78L8p6XEyGQ2/DtxLSvRni9auprNZGuW8mc1vKtz4&#10;68juOsKtQChGIyXj8j7m8U/KgrvDFmxVtuPC5MQZJy67dHodaaSv9znr8oY3fwAAAP//AwBQSwME&#10;FAAGAAgAAAAhALtxeFvfAAAACwEAAA8AAABkcnMvZG93bnJldi54bWxMj0FPg0AQhe8m/ofNmHgx&#10;dkEsEsrSmCZevBgr3hd2CqTsLGG3lPrrHU/2OHlf3nyv2C52EDNOvnekIF5FIJAaZ3pqFVRfb48Z&#10;CB80GT04QgUX9LAtb28KnRt3pk+c96EVXEI+1wq6EMZcSt90aLVfuRGJs4ObrA58Tq00kz5zuR3k&#10;UxSl0uqe+EOnR9x12Bz3J6vg4bCrLt/v7uMntVit69n0SRWUur9bXjcgAi7hH4Y/fVaHkp1qdyLj&#10;xaAgjbOEUQ6eoxcQTKTZmsfUCpIsi0GWhbzeUP4CAAD//wMAUEsBAi0AFAAGAAgAAAAhALaDOJL+&#10;AAAA4QEAABMAAAAAAAAAAAAAAAAAAAAAAFtDb250ZW50X1R5cGVzXS54bWxQSwECLQAUAAYACAAA&#10;ACEAOP0h/9YAAACUAQAACwAAAAAAAAAAAAAAAAAvAQAAX3JlbHMvLnJlbHNQSwECLQAUAAYACAAA&#10;ACEAeBVd+hYCAAALBAAADgAAAAAAAAAAAAAAAAAuAgAAZHJzL2Uyb0RvYy54bWxQSwECLQAUAAYA&#10;CAAAACEAu3F4W98AAAALAQAADwAAAAAAAAAAAAAAAABwBAAAZHJzL2Rvd25yZXYueG1sUEsFBgAA&#10;AAAEAAQA8wAAAHwFAAAAAA==&#10;" filled="f" stroked="f">
                <v:textbox style="mso-fit-shape-to-text:t">
                  <w:txbxContent>
                    <w:p w14:paraId="7C7F9A23" w14:textId="77777777" w:rsidR="00777EE0" w:rsidRPr="009970A8" w:rsidRDefault="00777EE0" w:rsidP="00A64E15">
                      <w:r>
                        <w:t>Number of deaths</w:t>
                      </w:r>
                      <w:r w:rsidRPr="009970A8">
                        <w:t xml:space="preserve"> </w:t>
                      </w:r>
                    </w:p>
                  </w:txbxContent>
                </v:textbox>
                <w10:wrap anchorx="page"/>
              </v:shape>
            </w:pict>
          </mc:Fallback>
        </mc:AlternateContent>
      </w:r>
      <w:r>
        <w:drawing>
          <wp:anchor distT="0" distB="0" distL="114300" distR="114300" simplePos="0" relativeHeight="250151936" behindDoc="1" locked="0" layoutInCell="1" allowOverlap="1" wp14:anchorId="61F40005" wp14:editId="7D2143D7">
            <wp:simplePos x="0" y="0"/>
            <wp:positionH relativeFrom="margin">
              <wp:posOffset>153536</wp:posOffset>
            </wp:positionH>
            <wp:positionV relativeFrom="paragraph">
              <wp:posOffset>762535</wp:posOffset>
            </wp:positionV>
            <wp:extent cx="2769870" cy="2113280"/>
            <wp:effectExtent l="0" t="0" r="0" b="1270"/>
            <wp:wrapTopAndBottom/>
            <wp:docPr id="221" name="Chart 221">
              <a:extLst xmlns:a="http://schemas.openxmlformats.org/drawingml/2006/main">
                <a:ext uri="{FF2B5EF4-FFF2-40B4-BE49-F238E27FC236}">
                  <a16:creationId xmlns:a16="http://schemas.microsoft.com/office/drawing/2014/main" id="{0C904B94-B463-41F6-A2B0-D8C38F27F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A17501">
        <mc:AlternateContent>
          <mc:Choice Requires="wps">
            <w:drawing>
              <wp:anchor distT="45720" distB="45720" distL="114300" distR="114300" simplePos="0" relativeHeight="251508736" behindDoc="0" locked="0" layoutInCell="1" allowOverlap="1" wp14:anchorId="0A421978" wp14:editId="630D2C1C">
                <wp:simplePos x="0" y="0"/>
                <wp:positionH relativeFrom="leftMargin">
                  <wp:posOffset>282576</wp:posOffset>
                </wp:positionH>
                <wp:positionV relativeFrom="paragraph">
                  <wp:posOffset>1627137</wp:posOffset>
                </wp:positionV>
                <wp:extent cx="1664335" cy="428625"/>
                <wp:effectExtent l="0" t="0" r="127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4335" cy="428625"/>
                        </a:xfrm>
                        <a:prstGeom prst="rect">
                          <a:avLst/>
                        </a:prstGeom>
                        <a:noFill/>
                        <a:ln w="9525">
                          <a:noFill/>
                          <a:miter lim="800000"/>
                          <a:headEnd/>
                          <a:tailEnd/>
                        </a:ln>
                      </wps:spPr>
                      <wps:txbx>
                        <w:txbxContent>
                          <w:p w14:paraId="4649206F" w14:textId="77777777" w:rsidR="00777EE0" w:rsidRPr="009970A8" w:rsidRDefault="00777EE0" w:rsidP="00A64E15">
                            <w:r w:rsidRPr="009970A8">
                              <w:t xml:space="preserve">% of 2006 level purity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421978" id="_x0000_s1063" type="#_x0000_t202" style="position:absolute;margin-left:22.25pt;margin-top:128.1pt;width:131.05pt;height:33.75pt;rotation:-90;z-index:251508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pQGAIAAAsEAAAOAAAAZHJzL2Uyb0RvYy54bWysU9Fu2yAUfZ+0f0C8L04cx0utOFXXLtOk&#10;bqvU7gMIxjEacBmQ2NnX94KzNGrfpvnBAu7l3HPOvayuB63IQTgvwdR0NplSIgyHRppdTX8+bT4s&#10;KfGBmYYpMKKmR+Hp9fr9u1VvK5FDB6oRjiCI8VVva9qFYKss87wTmvkJWGEw2ILTLODW7bLGsR7R&#10;tcry6bTMenCNdcCF93h6NwbpOuG3reDhR9t6EYiqKXIL6e/Sfxv/2XrFqp1jtpP8RIP9AwvNpMGi&#10;Z6g7FhjZO/kGSkvuwEMbJhx0Bm0ruUgaUM1s+krNY8esSFrQHG/PNvn/B8u/Hx4ckU1N86KkxDCN&#10;TXoSQyCfYCB59Ke3vsK0R4uJYcBj7HPS6u098F+eGLjtmNmJG+eg7wRrkN8s3swuro44PoJs+2/Q&#10;YBm2D5CAhtZp4gCbMyuxqfilY3SHYDFs2/HcqsiMRwZlWcznC0o4xop8WeaLVJFVESx2wjofvgjQ&#10;JC5q6nAUEio73PsQyb2kxHQDG6lUGgdlSF/TqwVCvopoGXBaldQ1XY4804Wo+bNp0jowqcY1FlDm&#10;ZELUPToQhu2Q/J6Xf83dQnNEW5IBKBZfE/LtwP2hpMfJrKn/vWdOUKK+GrT2alYUcZTTplh8zHHj&#10;LiPbywgzHKFqGigZl7chjX9U5u0NtmAjkx2xVyOTE2ecuOTS6XXEkb7cp6yXN7x+BgAA//8DAFBL&#10;AwQUAAYACAAAACEAE0PUOeAAAAALAQAADwAAAGRycy9kb3ducmV2LnhtbEyPzU7DMBCE70i8g7VI&#10;XBC1k/6oDXEqVIkLF0QJdyfeJhHxOordNOXpWU5wm9GMZr/N97PrxYRj6DxpSBYKBFLtbUeNhvLj&#10;5XELIkRD1vSeUMMVA+yL25vcZNZf6B2nY2wEj1DIjIY2xiGTMtQtOhMWfkDi7ORHZyLbsZF2NBce&#10;d71MldpIZzriC60Z8NBi/XU8Ow0Pp0N5/Xz1b98bh+W6mmy3LKPW93fz8xOIiHP8K8MvPqNDwUyV&#10;P5MNome/Shg9slhvdyC4kardEkSlYZUmCmSRy/8/FD8AAAD//wMAUEsBAi0AFAAGAAgAAAAhALaD&#10;OJL+AAAA4QEAABMAAAAAAAAAAAAAAAAAAAAAAFtDb250ZW50X1R5cGVzXS54bWxQSwECLQAUAAYA&#10;CAAAACEAOP0h/9YAAACUAQAACwAAAAAAAAAAAAAAAAAvAQAAX3JlbHMvLnJlbHNQSwECLQAUAAYA&#10;CAAAACEAiSJ6UBgCAAALBAAADgAAAAAAAAAAAAAAAAAuAgAAZHJzL2Uyb0RvYy54bWxQSwECLQAU&#10;AAYACAAAACEAE0PUOeAAAAALAQAADwAAAAAAAAAAAAAAAAByBAAAZHJzL2Rvd25yZXYueG1sUEsF&#10;BgAAAAAEAAQA8wAAAH8FAAAAAA==&#10;" filled="f" stroked="f">
                <v:textbox style="mso-fit-shape-to-text:t">
                  <w:txbxContent>
                    <w:p w14:paraId="4649206F" w14:textId="77777777" w:rsidR="00777EE0" w:rsidRPr="009970A8" w:rsidRDefault="00777EE0" w:rsidP="00A64E15">
                      <w:r w:rsidRPr="009970A8">
                        <w:t xml:space="preserve">% of 2006 level purity </w:t>
                      </w:r>
                    </w:p>
                  </w:txbxContent>
                </v:textbox>
                <w10:wrap anchorx="margin"/>
              </v:shape>
            </w:pict>
          </mc:Fallback>
        </mc:AlternateContent>
      </w:r>
      <w:r w:rsidR="00E35FA2">
        <w:t xml:space="preserve">Figure </w:t>
      </w:r>
      <w:r w:rsidR="00131C28">
        <w:t>2-</w:t>
      </w:r>
      <w:r w:rsidR="00E35FA2">
        <w:t>27</w:t>
      </w:r>
      <w:r w:rsidR="00E35FA2" w:rsidRPr="005F3A68">
        <w:t xml:space="preserve">. </w:t>
      </w:r>
      <w:r w:rsidR="00E35FA2">
        <w:t>Heroin purity in Europe: changes in percentage purity since 2006</w:t>
      </w:r>
      <w:bookmarkEnd w:id="185"/>
      <w:r w:rsidR="00E35FA2">
        <w:t xml:space="preserve">       </w:t>
      </w:r>
    </w:p>
    <w:bookmarkStart w:id="186" w:name="_Toc9509123"/>
    <w:p w14:paraId="19D1E3C8" w14:textId="25D8B212" w:rsidR="00574833" w:rsidRDefault="00065C11" w:rsidP="00574833">
      <w:pPr>
        <w:pStyle w:val="FigureHeading"/>
        <w:rPr>
          <w:b w:val="0"/>
        </w:rPr>
      </w:pPr>
      <w:r w:rsidRPr="00E02A6E">
        <mc:AlternateContent>
          <mc:Choice Requires="wps">
            <w:drawing>
              <wp:anchor distT="0" distB="0" distL="114300" distR="114300" simplePos="0" relativeHeight="251655168" behindDoc="0" locked="0" layoutInCell="1" allowOverlap="1" wp14:anchorId="35A2F92F" wp14:editId="323BA8D2">
                <wp:simplePos x="0" y="0"/>
                <wp:positionH relativeFrom="column">
                  <wp:posOffset>3811905</wp:posOffset>
                </wp:positionH>
                <wp:positionV relativeFrom="paragraph">
                  <wp:posOffset>2536825</wp:posOffset>
                </wp:positionV>
                <wp:extent cx="1391920" cy="269507"/>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69507"/>
                        </a:xfrm>
                        <a:prstGeom prst="rect">
                          <a:avLst/>
                        </a:prstGeom>
                        <a:noFill/>
                        <a:ln w="9525">
                          <a:noFill/>
                          <a:miter lim="800000"/>
                          <a:headEnd/>
                          <a:tailEnd/>
                        </a:ln>
                      </wps:spPr>
                      <wps:txbx>
                        <w:txbxContent>
                          <w:p w14:paraId="416E249D"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97F6C42"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2F92F" id="Text Box 262" o:spid="_x0000_s1064" type="#_x0000_t202" style="position:absolute;margin-left:300.15pt;margin-top:199.75pt;width:109.6pt;height:2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TDwIAAP4DAAAOAAAAZHJzL2Uyb0RvYy54bWysU11v2yAUfZ+0/4B4X+y4SdpYIVXXrtOk&#10;7kNq9wMIxjEacBmQ2Nmv3wWnabS+VfMDAl/uufece1hdD0aTvfRBgWV0OikpkVZAo+yW0Z9P9x+u&#10;KAmR24ZrsJLRgwz0ev3+3ap3taygA91ITxDEhrp3jHYxurooguik4WECTloMtuANj3j026LxvEd0&#10;o4uqLBdFD75xHoQMAf/ejUG6zvhtK0X83rZBRqIZxd5iXn1eN2kt1itebz13nRLHNvgbujBcWSx6&#10;grrjkZOdV6+gjBIeArRxIsAU0LZKyMwB2UzLf9g8dtzJzAXFCe4kU/h/sOLb/ocnqmG0WlSUWG5w&#10;SE9yiOQjDCT9Q4V6F2q8+OjwahwwgJPObIN7APErEAu3HbdbeeM99J3kDXY4TZnFWeqIExLIpv8K&#10;DRbiuwgZaGi9SfKhIATRcVKH03RSMyKVvFhOlxWGBMaqxXJeXuYSvH7Odj7EzxIMSRtGPU4/o/P9&#10;Q4ipG14/X0nFLNwrrbMDtCU9o8t5Nc8JZxGjIhpUK8PoVZm+0TKJ5Cfb5OTIlR73WEDbI+tEdKQc&#10;h82QJb7IDSdJNtAcUAcPoyHxAeGmA/+Hkh7NyGj4veNeUqK/WNRyOZ3NknvzYTa/TCr488jmPMKt&#10;QChGIyXj9jZmx4+cb1DzVmU5Xjo59owmyyodH0Ry8fk533p5tuu/AAAA//8DAFBLAwQUAAYACAAA&#10;ACEALnYHNd8AAAALAQAADwAAAGRycy9kb3ducmV2LnhtbEyPwU7DMAyG70h7h8iTuLGkrJvWUndC&#10;IK4gxobELWu8tqJxqiZby9uTneBmy59+f3+xnWwnLjT41jFCslAgiCtnWq4R9h8vdxsQPmg2unNM&#10;CD/kYVvObgqdGzfyO112oRYxhH2uEZoQ+lxKXzVktV+4njjeTm6wOsR1qKUZ9BjDbSfvlVpLq1uO&#10;Hxrd01ND1ffubBEOr6evz1S91c921Y9uUpJtJhFv59PjA4hAU/iD4aof1aGMTkd3ZuNFh7BWahlR&#10;hGWWrUBEYpNchyNCmiYZyLKQ/zuUvwAAAP//AwBQSwECLQAUAAYACAAAACEAtoM4kv4AAADhAQAA&#10;EwAAAAAAAAAAAAAAAAAAAAAAW0NvbnRlbnRfVHlwZXNdLnhtbFBLAQItABQABgAIAAAAIQA4/SH/&#10;1gAAAJQBAAALAAAAAAAAAAAAAAAAAC8BAABfcmVscy8ucmVsc1BLAQItABQABgAIAAAAIQBns/4T&#10;DwIAAP4DAAAOAAAAAAAAAAAAAAAAAC4CAABkcnMvZTJvRG9jLnhtbFBLAQItABQABgAIAAAAIQAu&#10;dgc13wAAAAsBAAAPAAAAAAAAAAAAAAAAAGkEAABkcnMvZG93bnJldi54bWxQSwUGAAAAAAQABADz&#10;AAAAdQUAAAAA&#10;" filled="f" stroked="f">
                <v:textbox>
                  <w:txbxContent>
                    <w:p w14:paraId="416E249D"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97F6C42"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r w:rsidR="00574833" w:rsidRPr="00E02A6E">
        <mc:AlternateContent>
          <mc:Choice Requires="wps">
            <w:drawing>
              <wp:anchor distT="0" distB="0" distL="114300" distR="114300" simplePos="0" relativeHeight="251431936" behindDoc="0" locked="0" layoutInCell="1" allowOverlap="1" wp14:anchorId="267ED895" wp14:editId="0735483D">
                <wp:simplePos x="0" y="0"/>
                <wp:positionH relativeFrom="column">
                  <wp:posOffset>610669</wp:posOffset>
                </wp:positionH>
                <wp:positionV relativeFrom="paragraph">
                  <wp:posOffset>2554572</wp:posOffset>
                </wp:positionV>
                <wp:extent cx="1391920" cy="240632"/>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40632"/>
                        </a:xfrm>
                        <a:prstGeom prst="rect">
                          <a:avLst/>
                        </a:prstGeom>
                        <a:noFill/>
                        <a:ln w="9525">
                          <a:noFill/>
                          <a:miter lim="800000"/>
                          <a:headEnd/>
                          <a:tailEnd/>
                        </a:ln>
                      </wps:spPr>
                      <wps:txbx>
                        <w:txbxContent>
                          <w:p w14:paraId="74111DDF" w14:textId="51BFFFA0"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EMCDDA (2018)</w:t>
                            </w:r>
                          </w:p>
                          <w:p w14:paraId="4FB3D7E4"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ED895" id="Text Box 259" o:spid="_x0000_s1065" type="#_x0000_t202" style="position:absolute;margin-left:48.1pt;margin-top:201.15pt;width:109.6pt;height:18.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2WDwIAAP4DAAAOAAAAZHJzL2Uyb0RvYy54bWysU9uO2yAQfa/Uf0C8N3acZJtYIavtbreq&#10;tL1Iu/0AgnGMCgwFEjv9+g44SaP2raofEHiYM3POHNa3g9HkIH1QYBmdTkpKpBXQKLtj9NvL45sl&#10;JSFy23ANVjJ6lIHebl6/WveulhV0oBvpCYLYUPeO0S5GVxdFEJ00PEzASYvBFrzhEY9+VzSe94hu&#10;dFGV5U3Rg2+cByFDwL8PY5BuMn7bShG/tG2QkWhGsbeYV5/XbVqLzZrXO89dp8SpDf4PXRiuLBa9&#10;QD3wyMneq7+gjBIeArRxIsAU0LZKyMwB2UzLP9g8d9zJzAXFCe4iU/h/sOLz4asnqmG0Wqwosdzg&#10;kF7kEMk7GEj6hwr1LtR48dnh1ThgACed2Qb3BOJ7IBbuO2538s576DvJG+xwmjKLq9QRJySQbf8J&#10;GizE9xEy0NB6k+RDQQii46SOl+mkZkQqOVtNVxWGBMaqeXkzq3IJXp+znQ/xgwRD0oZRj9PP6Pzw&#10;FGLqhtfnK6mYhUeldXaAtqRndLWoFjnhKmJURINqZRhdlukbLZNIvrdNTo5c6XGPBbQ9sU5ER8px&#10;2A5Z4tnyrOYWmiPq4GE0JD4g3HTgf1LSoxkZDT/23EtK9EeLWq6m83lybz7MF2+TCv46sr2OcCsQ&#10;itFIybi9j9nxI+c71LxVWY40nLGTU89osqzS6UEkF1+f863fz3bzCwAA//8DAFBLAwQUAAYACAAA&#10;ACEAnQAJcd4AAAAKAQAADwAAAGRycy9kb3ducmV2LnhtbEyPwW7CMAyG70h7h8iTdoOEUtDomqJp&#10;066bYBsSt9CYtlrjVE2g3dvPO8HRvz/9/pxvRteKC/ah8aRhPlMgkEpvG6o0fH2+TR9BhGjImtYT&#10;avjFAJvibpKbzPqBtnjZxUpwCYXMaKhj7DIpQ1mjM2HmOyTenXzvTOSxr6TtzcDlrpWJUivpTEN8&#10;oTYdvtRY/uzOTsP3++mwT9VH9eqW3eBHJcmtpdYP9+PzE4iIY7zC8K/P6lCw09GfyQbRalivEiY1&#10;pCpZgGBgMV+mII6ccASyyOXtC8UfAAAA//8DAFBLAQItABQABgAIAAAAIQC2gziS/gAAAOEBAAAT&#10;AAAAAAAAAAAAAAAAAAAAAABbQ29udGVudF9UeXBlc10ueG1sUEsBAi0AFAAGAAgAAAAhADj9If/W&#10;AAAAlAEAAAsAAAAAAAAAAAAAAAAALwEAAF9yZWxzLy5yZWxzUEsBAi0AFAAGAAgAAAAhANM4bZYP&#10;AgAA/gMAAA4AAAAAAAAAAAAAAAAALgIAAGRycy9lMm9Eb2MueG1sUEsBAi0AFAAGAAgAAAAhAJ0A&#10;CXHeAAAACgEAAA8AAAAAAAAAAAAAAAAAaQQAAGRycy9kb3ducmV2LnhtbFBLBQYAAAAABAAEAPMA&#10;AAB0BQAAAAA=&#10;" filled="f" stroked="f">
                <v:textbox>
                  <w:txbxContent>
                    <w:p w14:paraId="74111DDF" w14:textId="51BFFFA0"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EMCDDA (2018)</w:t>
                      </w:r>
                    </w:p>
                    <w:p w14:paraId="4FB3D7E4"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bookmarkEnd w:id="186"/>
    </w:p>
    <w:p w14:paraId="3D96842B" w14:textId="3C90BB59" w:rsidR="00204128" w:rsidRDefault="00204128" w:rsidP="00574833">
      <w:pPr>
        <w:pStyle w:val="FigureHeading"/>
      </w:pPr>
    </w:p>
    <w:p w14:paraId="17701103" w14:textId="162974E2" w:rsidR="00065C11" w:rsidRDefault="00065C11" w:rsidP="00574833">
      <w:pPr>
        <w:pStyle w:val="FigureHeading"/>
      </w:pPr>
    </w:p>
    <w:p w14:paraId="4F75BB6C" w14:textId="72A3F659" w:rsidR="00065C11" w:rsidRDefault="00065C11" w:rsidP="00574833">
      <w:pPr>
        <w:pStyle w:val="FigureHeading"/>
      </w:pPr>
    </w:p>
    <w:p w14:paraId="172EA58D" w14:textId="7391D761" w:rsidR="00065C11" w:rsidRDefault="00065C11" w:rsidP="00574833">
      <w:pPr>
        <w:pStyle w:val="FigureHeading"/>
      </w:pPr>
    </w:p>
    <w:p w14:paraId="3D00972E" w14:textId="5AB48BC3" w:rsidR="00065C11" w:rsidRDefault="00065C11" w:rsidP="00574833">
      <w:pPr>
        <w:pStyle w:val="FigureHeading"/>
      </w:pPr>
    </w:p>
    <w:p w14:paraId="5B629FB0" w14:textId="719519B2" w:rsidR="00065C11" w:rsidRDefault="00065C11" w:rsidP="00574833">
      <w:pPr>
        <w:pStyle w:val="FigureHeading"/>
      </w:pPr>
    </w:p>
    <w:p w14:paraId="0007BE0D" w14:textId="77777777" w:rsidR="00065C11" w:rsidRDefault="00065C11" w:rsidP="00574833">
      <w:pPr>
        <w:pStyle w:val="FigureHeading"/>
      </w:pPr>
    </w:p>
    <w:p w14:paraId="7D615D26" w14:textId="77777777" w:rsidR="001746A4" w:rsidRDefault="001746A4" w:rsidP="00574833">
      <w:pPr>
        <w:pStyle w:val="FigureHeading"/>
      </w:pPr>
    </w:p>
    <w:p w14:paraId="660DC469" w14:textId="55F043AE" w:rsidR="00E35FA2" w:rsidRDefault="00E35FA2" w:rsidP="00574833">
      <w:pPr>
        <w:pStyle w:val="FigureHeading"/>
      </w:pPr>
      <w:bookmarkStart w:id="187" w:name="_Toc9509124"/>
      <w:r w:rsidRPr="00574833">
        <w:t xml:space="preserve">Figure </w:t>
      </w:r>
      <w:r w:rsidR="00131C28">
        <w:t>2-</w:t>
      </w:r>
      <w:r w:rsidRPr="00574833">
        <w:t>28. Heroin related mortality in England and Wales</w:t>
      </w:r>
      <w:bookmarkEnd w:id="187"/>
    </w:p>
    <w:p w14:paraId="3FA8334B" w14:textId="6AFA77F4" w:rsidR="00E35FA2" w:rsidRPr="000427F1" w:rsidRDefault="00065C11" w:rsidP="000427F1">
      <w:pPr>
        <w:pStyle w:val="FigureHeading"/>
      </w:pPr>
      <w:bookmarkStart w:id="188" w:name="_Toc9509125"/>
      <w:r w:rsidRPr="00A17501">
        <w:drawing>
          <wp:anchor distT="0" distB="0" distL="114300" distR="114300" simplePos="0" relativeHeight="250951680" behindDoc="0" locked="0" layoutInCell="1" allowOverlap="1" wp14:anchorId="7A571924" wp14:editId="3523C1FF">
            <wp:simplePos x="0" y="0"/>
            <wp:positionH relativeFrom="margin">
              <wp:posOffset>3364993</wp:posOffset>
            </wp:positionH>
            <wp:positionV relativeFrom="paragraph">
              <wp:posOffset>346262</wp:posOffset>
            </wp:positionV>
            <wp:extent cx="2838450" cy="2130425"/>
            <wp:effectExtent l="0" t="0" r="0" b="3175"/>
            <wp:wrapTopAndBottom/>
            <wp:docPr id="220" name="Chart 220">
              <a:extLst xmlns:a="http://schemas.openxmlformats.org/drawingml/2006/main">
                <a:ext uri="{FF2B5EF4-FFF2-40B4-BE49-F238E27FC236}">
                  <a16:creationId xmlns:a16="http://schemas.microsoft.com/office/drawing/2014/main" id="{9CAD78E6-6458-45EB-A157-609617BD9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bookmarkEnd w:id="188"/>
    </w:p>
    <w:p w14:paraId="28B8FA30" w14:textId="2FC1FA33" w:rsidR="00574833" w:rsidRDefault="00574833" w:rsidP="00A64E15">
      <w:pPr>
        <w:widowControl w:val="0"/>
        <w:autoSpaceDE w:val="0"/>
        <w:autoSpaceDN w:val="0"/>
        <w:adjustRightInd w:val="0"/>
        <w:spacing w:line="240" w:lineRule="auto"/>
        <w:rPr>
          <w:b/>
        </w:rPr>
        <w:sectPr w:rsidR="00574833" w:rsidSect="00574833">
          <w:type w:val="continuous"/>
          <w:pgSz w:w="11900" w:h="16840"/>
          <w:pgMar w:top="1418" w:right="1418" w:bottom="1418" w:left="1418" w:header="709" w:footer="709" w:gutter="0"/>
          <w:cols w:num="2" w:space="708"/>
          <w:docGrid w:linePitch="360"/>
        </w:sectPr>
      </w:pPr>
    </w:p>
    <w:p w14:paraId="4CF7DEA4" w14:textId="36289784" w:rsidR="00A64E15" w:rsidRPr="00A17501" w:rsidRDefault="00A64E15" w:rsidP="00A17501">
      <w:pPr>
        <w:spacing w:line="480" w:lineRule="auto"/>
      </w:pPr>
      <w:r w:rsidRPr="00A17501">
        <w:t xml:space="preserve">The most significant drug droughts to affect the illicit drug market in recent years are the cocaine drought of 2007-2010 and the heroin drought of 2009-2012 (EMCDDA, 2018). The impact of reductions in purity of cocaine and heroin may explain much of the variance in mortality data. Comparing variations in the purity of each substance with mortality data it is apparent that significant drops in purity have coincided with respective drops in mortality followed by sharp rises in deaths as purity returned to pre-drop levels (see </w:t>
      </w:r>
      <w:r w:rsidR="00311FB4">
        <w:t>F</w:t>
      </w:r>
      <w:r w:rsidRPr="00A17501">
        <w:t xml:space="preserve">igures </w:t>
      </w:r>
      <w:r w:rsidR="008B0B44">
        <w:t>2-</w:t>
      </w:r>
      <w:r w:rsidRPr="00A17501">
        <w:t>25</w:t>
      </w:r>
      <w:r w:rsidR="008B0B44">
        <w:t xml:space="preserve"> through 2-</w:t>
      </w:r>
      <w:r w:rsidRPr="00A17501">
        <w:t>28).</w:t>
      </w:r>
    </w:p>
    <w:p w14:paraId="5C251510" w14:textId="119E1A6E" w:rsidR="00A64E15" w:rsidRPr="00204128" w:rsidRDefault="00A64E15" w:rsidP="00C92BD2">
      <w:pPr>
        <w:pStyle w:val="Heading3"/>
        <w:numPr>
          <w:ilvl w:val="2"/>
          <w:numId w:val="3"/>
        </w:numPr>
      </w:pPr>
      <w:bookmarkStart w:id="189" w:name="_Toc9182867"/>
      <w:bookmarkStart w:id="190" w:name="_Toc35892540"/>
      <w:r w:rsidRPr="00204128">
        <w:t>Heroin use and NPS</w:t>
      </w:r>
      <w:bookmarkEnd w:id="189"/>
      <w:bookmarkEnd w:id="190"/>
      <w:r w:rsidRPr="00204128">
        <w:t xml:space="preserve"> </w:t>
      </w:r>
    </w:p>
    <w:p w14:paraId="15A5FEB3" w14:textId="1A1E204B" w:rsidR="00A64E15" w:rsidRPr="00484A43" w:rsidRDefault="00A64E15" w:rsidP="00131C28">
      <w:pPr>
        <w:spacing w:before="240" w:line="480" w:lineRule="auto"/>
        <w:rPr>
          <w:szCs w:val="24"/>
        </w:rPr>
      </w:pPr>
      <w:r>
        <w:rPr>
          <w:szCs w:val="24"/>
        </w:rPr>
        <w:t>Opiates, usually heroin, are associated with 87% of drug-related deaths in the UK, the majority of which occur in the context of polydrug use, typically alcohol, benzodiazepines, other opiates or crack cocaine (EMCDDA, 2018). Many cocaine</w:t>
      </w:r>
      <w:r w:rsidR="00072EBE">
        <w:rPr>
          <w:szCs w:val="24"/>
        </w:rPr>
        <w:t>-</w:t>
      </w:r>
      <w:r>
        <w:rPr>
          <w:szCs w:val="24"/>
        </w:rPr>
        <w:t xml:space="preserve">related deaths are thought to be users of crack cocaine also using heroin. Compared to the rest of Europe, the UK has a sizable population of problem drug users, with opiate-related deaths accounting for 34% of the European total. </w:t>
      </w:r>
      <w:r w:rsidRPr="00EF3333">
        <w:rPr>
          <w:szCs w:val="24"/>
        </w:rPr>
        <w:t xml:space="preserve">What </w:t>
      </w:r>
      <w:r>
        <w:rPr>
          <w:szCs w:val="24"/>
        </w:rPr>
        <w:t>is</w:t>
      </w:r>
      <w:r w:rsidRPr="00EF3333">
        <w:rPr>
          <w:szCs w:val="24"/>
        </w:rPr>
        <w:t xml:space="preserve"> apparent</w:t>
      </w:r>
      <w:r>
        <w:rPr>
          <w:szCs w:val="24"/>
        </w:rPr>
        <w:t>,</w:t>
      </w:r>
      <w:r w:rsidRPr="00EF3333">
        <w:rPr>
          <w:szCs w:val="24"/>
        </w:rPr>
        <w:t xml:space="preserve"> looking at the overall picture of drug</w:t>
      </w:r>
      <w:r w:rsidR="00072EBE">
        <w:rPr>
          <w:szCs w:val="24"/>
        </w:rPr>
        <w:t>-</w:t>
      </w:r>
      <w:r w:rsidRPr="00EF3333">
        <w:rPr>
          <w:szCs w:val="24"/>
        </w:rPr>
        <w:t>related mortality</w:t>
      </w:r>
      <w:r>
        <w:rPr>
          <w:szCs w:val="24"/>
        </w:rPr>
        <w:t xml:space="preserve"> (</w:t>
      </w:r>
      <w:r w:rsidR="00311FB4">
        <w:rPr>
          <w:szCs w:val="24"/>
        </w:rPr>
        <w:t>F</w:t>
      </w:r>
      <w:r>
        <w:rPr>
          <w:szCs w:val="24"/>
        </w:rPr>
        <w:t>igure</w:t>
      </w:r>
      <w:r w:rsidRPr="00EF3333">
        <w:rPr>
          <w:szCs w:val="24"/>
        </w:rPr>
        <w:t xml:space="preserve"> </w:t>
      </w:r>
      <w:r>
        <w:rPr>
          <w:szCs w:val="24"/>
        </w:rPr>
        <w:t xml:space="preserve">26), </w:t>
      </w:r>
      <w:r w:rsidRPr="00EF3333">
        <w:rPr>
          <w:szCs w:val="24"/>
        </w:rPr>
        <w:t>is the disproportionate impact of heroin/morphine related deaths</w:t>
      </w:r>
      <w:r w:rsidR="00131C28">
        <w:rPr>
          <w:szCs w:val="24"/>
        </w:rPr>
        <w:t xml:space="preserve"> (m</w:t>
      </w:r>
      <w:r w:rsidR="00131C28">
        <w:t>ortality figures for heroin and morphine are combined as heroin breaks down into morphine and the two substances are therefore indistinguishable at post-mortem) (EMCDDA, 2014)</w:t>
      </w:r>
      <w:r w:rsidRPr="00EF3333">
        <w:rPr>
          <w:szCs w:val="24"/>
        </w:rPr>
        <w:t>, as despite being drug</w:t>
      </w:r>
      <w:r>
        <w:rPr>
          <w:szCs w:val="24"/>
        </w:rPr>
        <w:t>s</w:t>
      </w:r>
      <w:r w:rsidRPr="00EF3333">
        <w:rPr>
          <w:szCs w:val="24"/>
        </w:rPr>
        <w:t xml:space="preserve"> with very low prevalence rates (CSEW, 2018) the number of deaths involving heroin/morphine are substantially greater than any other drug about which</w:t>
      </w:r>
      <w:r>
        <w:rPr>
          <w:szCs w:val="24"/>
        </w:rPr>
        <w:t xml:space="preserve"> drug misuse</w:t>
      </w:r>
      <w:r w:rsidRPr="00EF3333">
        <w:rPr>
          <w:szCs w:val="24"/>
        </w:rPr>
        <w:t xml:space="preserve"> data is recorded</w:t>
      </w:r>
      <w:r w:rsidRPr="00EF3333">
        <w:rPr>
          <w:szCs w:val="24"/>
          <w:lang w:val="en-US"/>
        </w:rPr>
        <w:t xml:space="preserve">. The influence of heroin is thought to be so great that the upward trend in total drug deaths in the previous few years is thought to be driven by sharp increases in heroin-related deaths, particularly in men (ONS, 2018). Without more refined multiple toxicity data there is no evidence </w:t>
      </w:r>
      <w:r>
        <w:rPr>
          <w:szCs w:val="24"/>
          <w:lang w:val="en-US"/>
        </w:rPr>
        <w:t xml:space="preserve">to </w:t>
      </w:r>
      <w:r w:rsidRPr="00EF3333">
        <w:rPr>
          <w:szCs w:val="24"/>
          <w:lang w:val="en-US"/>
        </w:rPr>
        <w:t xml:space="preserve">discount the possibility that </w:t>
      </w:r>
      <w:r>
        <w:rPr>
          <w:szCs w:val="24"/>
          <w:lang w:val="en-US"/>
        </w:rPr>
        <w:t>changes</w:t>
      </w:r>
      <w:r w:rsidRPr="00EF3333">
        <w:rPr>
          <w:szCs w:val="24"/>
          <w:lang w:val="en-US"/>
        </w:rPr>
        <w:t xml:space="preserve"> in </w:t>
      </w:r>
      <w:r w:rsidRPr="00EF3333">
        <w:rPr>
          <w:szCs w:val="24"/>
        </w:rPr>
        <w:t xml:space="preserve">deaths involving NPS reflect </w:t>
      </w:r>
      <w:r>
        <w:rPr>
          <w:szCs w:val="24"/>
        </w:rPr>
        <w:t>changes</w:t>
      </w:r>
      <w:r w:rsidRPr="00EF3333">
        <w:rPr>
          <w:szCs w:val="24"/>
        </w:rPr>
        <w:t xml:space="preserve"> in heroin-related deaths</w:t>
      </w:r>
      <w:r>
        <w:rPr>
          <w:szCs w:val="24"/>
        </w:rPr>
        <w:t xml:space="preserve">. However, there is also the possibility that the dangers of mixing heroin use with </w:t>
      </w:r>
      <w:r w:rsidR="00072EBE">
        <w:rPr>
          <w:szCs w:val="24"/>
        </w:rPr>
        <w:t xml:space="preserve">the </w:t>
      </w:r>
      <w:r>
        <w:rPr>
          <w:szCs w:val="24"/>
        </w:rPr>
        <w:t>use of NPS</w:t>
      </w:r>
      <w:r w:rsidR="00072EBE">
        <w:rPr>
          <w:szCs w:val="24"/>
        </w:rPr>
        <w:t>,</w:t>
      </w:r>
      <w:r>
        <w:rPr>
          <w:szCs w:val="24"/>
        </w:rPr>
        <w:t xml:space="preserve"> is reflected in drug-related mortalities for both substances</w:t>
      </w:r>
      <w:r w:rsidRPr="00EF3333">
        <w:rPr>
          <w:szCs w:val="24"/>
        </w:rPr>
        <w:t xml:space="preserve">. </w:t>
      </w:r>
    </w:p>
    <w:p w14:paraId="1C28E47C" w14:textId="5F776512" w:rsidR="00A64E15" w:rsidRPr="00EF3333" w:rsidRDefault="00A64E15" w:rsidP="00A64E15">
      <w:pPr>
        <w:spacing w:line="480" w:lineRule="auto"/>
        <w:rPr>
          <w:szCs w:val="24"/>
        </w:rPr>
      </w:pPr>
      <w:r w:rsidRPr="00EF3333">
        <w:rPr>
          <w:szCs w:val="24"/>
        </w:rPr>
        <w:t>Although mortality rate increases associated with heroin are partially explained through an ag</w:t>
      </w:r>
      <w:r w:rsidR="00072EBE">
        <w:rPr>
          <w:szCs w:val="24"/>
        </w:rPr>
        <w:t>e</w:t>
      </w:r>
      <w:r w:rsidRPr="00EF3333">
        <w:rPr>
          <w:szCs w:val="24"/>
        </w:rPr>
        <w:t>ing cohort of users</w:t>
      </w:r>
      <w:r w:rsidR="00072EBE">
        <w:rPr>
          <w:szCs w:val="24"/>
        </w:rPr>
        <w:t>;</w:t>
      </w:r>
      <w:r w:rsidRPr="00EF3333">
        <w:rPr>
          <w:szCs w:val="24"/>
        </w:rPr>
        <w:t xml:space="preserve"> increases in availability and purity,</w:t>
      </w:r>
      <w:r w:rsidR="00072EBE">
        <w:rPr>
          <w:szCs w:val="24"/>
        </w:rPr>
        <w:t xml:space="preserve"> alongside</w:t>
      </w:r>
      <w:r w:rsidRPr="00EF3333">
        <w:rPr>
          <w:szCs w:val="24"/>
        </w:rPr>
        <w:t xml:space="preserve"> discrepancies in consumption patterns have led researchers to suspect that rises may also be linked to changes in the specific drugs taken alongside heroin (ONS, 2016). The same 2010-2012 heroin drought</w:t>
      </w:r>
      <w:r w:rsidR="00072EBE">
        <w:rPr>
          <w:szCs w:val="24"/>
        </w:rPr>
        <w:t>,</w:t>
      </w:r>
      <w:r w:rsidRPr="00EF3333">
        <w:rPr>
          <w:szCs w:val="24"/>
        </w:rPr>
        <w:t xml:space="preserve"> which precipitated increases in overdose deaths when the purity of heroin returned to pre-drought levels (Drugscope, 2015), was also credited for prompting displacement from heroin onto NPS (EMCDDA, 2015). Heroin is </w:t>
      </w:r>
      <w:r>
        <w:rPr>
          <w:szCs w:val="24"/>
        </w:rPr>
        <w:t>especially</w:t>
      </w:r>
      <w:r w:rsidRPr="00EF3333">
        <w:rPr>
          <w:szCs w:val="24"/>
        </w:rPr>
        <w:t xml:space="preserve"> dangerous taken in combination with other </w:t>
      </w:r>
      <w:r w:rsidRPr="001746A4">
        <w:rPr>
          <w:color w:val="000000" w:themeColor="text1"/>
          <w:szCs w:val="24"/>
        </w:rPr>
        <w:t xml:space="preserve">psychoactive substances </w:t>
      </w:r>
      <w:r w:rsidRPr="001746A4">
        <w:rPr>
          <w:rStyle w:val="NotesstructureChar"/>
          <w:color w:val="000000" w:themeColor="text1"/>
        </w:rPr>
        <w:t>(EMCDDA, 2014)</w:t>
      </w:r>
      <w:r w:rsidRPr="001746A4">
        <w:rPr>
          <w:color w:val="000000" w:themeColor="text1"/>
          <w:szCs w:val="24"/>
        </w:rPr>
        <w:t xml:space="preserve">, particularly synthetic cannabinoids, so with the </w:t>
      </w:r>
      <w:r w:rsidRPr="00EF3333">
        <w:rPr>
          <w:szCs w:val="24"/>
        </w:rPr>
        <w:t>incorporation of NPS into heroin users</w:t>
      </w:r>
      <w:r>
        <w:rPr>
          <w:szCs w:val="24"/>
        </w:rPr>
        <w:t>’</w:t>
      </w:r>
      <w:r w:rsidRPr="00EF3333">
        <w:rPr>
          <w:szCs w:val="24"/>
        </w:rPr>
        <w:t xml:space="preserve"> repertoires around the same time heroin-related deaths began increasing sharply, it seems plausible that concurrent use of heroin and </w:t>
      </w:r>
      <w:r>
        <w:rPr>
          <w:szCs w:val="24"/>
        </w:rPr>
        <w:t xml:space="preserve">some types of </w:t>
      </w:r>
      <w:r w:rsidRPr="00EF3333">
        <w:rPr>
          <w:szCs w:val="24"/>
        </w:rPr>
        <w:t xml:space="preserve">NPS may be contributing to rising mortality. </w:t>
      </w:r>
    </w:p>
    <w:p w14:paraId="67D21926" w14:textId="4CE000B3" w:rsidR="00A64E15" w:rsidRDefault="00A64E15" w:rsidP="00A64E15">
      <w:pPr>
        <w:widowControl w:val="0"/>
        <w:autoSpaceDE w:val="0"/>
        <w:autoSpaceDN w:val="0"/>
        <w:adjustRightInd w:val="0"/>
        <w:spacing w:line="480" w:lineRule="auto"/>
        <w:rPr>
          <w:szCs w:val="24"/>
          <w:lang w:val="en-US"/>
        </w:rPr>
      </w:pPr>
      <w:r>
        <w:rPr>
          <w:szCs w:val="24"/>
          <w:lang w:val="en-US"/>
        </w:rPr>
        <w:t xml:space="preserve">When drug-related deaths for various substances are plotted independently on a line graph (see </w:t>
      </w:r>
      <w:r w:rsidR="00311FB4">
        <w:rPr>
          <w:szCs w:val="24"/>
          <w:lang w:val="en-US"/>
        </w:rPr>
        <w:t>F</w:t>
      </w:r>
      <w:r>
        <w:rPr>
          <w:szCs w:val="24"/>
          <w:lang w:val="en-US"/>
        </w:rPr>
        <w:t xml:space="preserve">igure </w:t>
      </w:r>
      <w:r w:rsidR="005E3022">
        <w:rPr>
          <w:szCs w:val="24"/>
          <w:lang w:val="en-US"/>
        </w:rPr>
        <w:t>2-</w:t>
      </w:r>
      <w:r>
        <w:rPr>
          <w:szCs w:val="24"/>
          <w:lang w:val="en-US"/>
        </w:rPr>
        <w:t>29) there appears to be a correlation between the steep reduction in the number of deaths associated with NPS and those associated with heroin/morphine in 2016/17, but not other substances. This pattern suggests there may indeed be shared variance between heroin/morphine related deaths and NPS related deaths which supports the possibility that mortality figures are reflective of high-risk concurrent use of heroin and NPS.</w:t>
      </w:r>
    </w:p>
    <w:p w14:paraId="6B5DBB33" w14:textId="77777777" w:rsidR="000427F1" w:rsidRDefault="000427F1">
      <w:pPr>
        <w:rPr>
          <w:b/>
          <w:noProof/>
          <w:lang w:val="en-US" w:eastAsia="en-US"/>
        </w:rPr>
      </w:pPr>
      <w:bookmarkStart w:id="191" w:name="_Toc9186680"/>
      <w:r>
        <w:br w:type="page"/>
      </w:r>
    </w:p>
    <w:p w14:paraId="021BB82D" w14:textId="47E305AE" w:rsidR="00A64E15" w:rsidRPr="00BF6C5C" w:rsidRDefault="00A64E15" w:rsidP="00DF5C89">
      <w:pPr>
        <w:pStyle w:val="FigureHeading"/>
      </w:pPr>
      <w:bookmarkStart w:id="192" w:name="_Toc9509126"/>
      <w:r w:rsidRPr="00E81D8F">
        <w:drawing>
          <wp:anchor distT="0" distB="0" distL="114300" distR="114300" simplePos="0" relativeHeight="249721856" behindDoc="0" locked="0" layoutInCell="1" allowOverlap="1" wp14:anchorId="2AD33990" wp14:editId="04541212">
            <wp:simplePos x="0" y="0"/>
            <wp:positionH relativeFrom="margin">
              <wp:posOffset>-137489</wp:posOffset>
            </wp:positionH>
            <wp:positionV relativeFrom="paragraph">
              <wp:posOffset>555947</wp:posOffset>
            </wp:positionV>
            <wp:extent cx="5718175" cy="2893060"/>
            <wp:effectExtent l="0" t="0" r="0" b="2540"/>
            <wp:wrapTopAndBottom/>
            <wp:docPr id="222" name="Chart 222">
              <a:extLst xmlns:a="http://schemas.openxmlformats.org/drawingml/2006/main">
                <a:ext uri="{FF2B5EF4-FFF2-40B4-BE49-F238E27FC236}">
                  <a16:creationId xmlns:a16="http://schemas.microsoft.com/office/drawing/2014/main" id="{05B2F90D-B8E5-4F36-91CE-43586B6D2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E02A6E">
        <mc:AlternateContent>
          <mc:Choice Requires="wps">
            <w:drawing>
              <wp:anchor distT="0" distB="0" distL="114300" distR="114300" simplePos="0" relativeHeight="249781248" behindDoc="0" locked="0" layoutInCell="1" allowOverlap="1" wp14:anchorId="2845FE54" wp14:editId="203AA26D">
                <wp:simplePos x="0" y="0"/>
                <wp:positionH relativeFrom="column">
                  <wp:posOffset>4367199</wp:posOffset>
                </wp:positionH>
                <wp:positionV relativeFrom="paragraph">
                  <wp:posOffset>2553696</wp:posOffset>
                </wp:positionV>
                <wp:extent cx="1392072" cy="439221"/>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2" cy="439221"/>
                        </a:xfrm>
                        <a:prstGeom prst="rect">
                          <a:avLst/>
                        </a:prstGeom>
                        <a:noFill/>
                        <a:ln w="9525">
                          <a:noFill/>
                          <a:miter lim="800000"/>
                          <a:headEnd/>
                          <a:tailEnd/>
                        </a:ln>
                      </wps:spPr>
                      <wps:txbx>
                        <w:txbxContent>
                          <w:p w14:paraId="4510FE4C"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7F88087"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845FE54" id="Text Box 264" o:spid="_x0000_s1066" type="#_x0000_t202" style="position:absolute;margin-left:343.85pt;margin-top:201.1pt;width:109.6pt;height:34.6pt;z-index:2497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4qDwIAAP4DAAAOAAAAZHJzL2Uyb0RvYy54bWysU9tu2zAMfR+wfxD0vthxk7YxohRduw4D&#10;ugvQ7gMUWY6FSaImKbGzry8lJ2nQvQ3zgyCa5CHPIbW8GYwmO+mDAsvodFJSIq2ARtkNoz+fHz5c&#10;UxIitw3XYCWjexnozer9u2XvallBB7qRniCIDXXvGO1idHVRBNFJw8MEnLTobMEbHtH0m6LxvEd0&#10;o4uqLC+LHnzjPAgZAv69H510lfHbVor4vW2DjEQzir3FfPp8rtNZrJa83njuOiUObfB/6MJwZbHo&#10;CeqeR062Xv0FZZTwEKCNEwGmgLZVQmYOyGZavmHz1HEnMxcUJ7iTTOH/wYpvux+eqIbR6nJGieUG&#10;h/Qsh0g+wkDSP1Sod6HGwCeHoXFAB046sw3uEcSvQCzcddxu5K330HeSN9jhNGUWZ6kjTkgg6/4r&#10;NFiIbyNkoKH1JsmHghBEx0ntT9NJzYhU8mJRlVcVJQJ9MzSqsQSvj9nOh/hZgiHpwqjH6Wd0vnsM&#10;MXXD62NIKmbhQWmdN0Bb0jO6mFfznHDmMSrigmplGL0u0zeuTCL5yTY5OXKlxzsW0PbAOhEdKcdh&#10;PWSJLxZHNdfQ7FEHD+NC4gPCSwf+DyU9LiOj4feWe0mJ/mJRy8V0Nkvbm43Z/KpCw5971ucebgVC&#10;MRopGa93MW/8yPkWNW9VliMNZ+zk0DMuWVbp8CDSFp/bOer12a5eAAAA//8DAFBLAwQUAAYACAAA&#10;ACEAJb0UqN8AAAALAQAADwAAAGRycy9kb3ducmV2LnhtbEyPTU/DMAyG70j8h8hI3FiyqrRraToh&#10;EFcQ40PiljVeW9E4VZOt5d9jTuxo+9Hr5622ixvECafQe9KwXikQSI23PbUa3t+ebjYgQjRkzeAJ&#10;NfxggG19eVGZ0vqZXvG0i63gEAql0dDFOJZShqZDZ8LKj0h8O/jJmcjj1Eo7mZnD3SATpTLpTE/8&#10;oTMjPnTYfO+OTsPH8+HrM1Uv7aO7HWe/KEmukFpfXy33dyAiLvEfhj99Voeanfb+SDaIQUO2yXNG&#10;NaQqSUAwUaisALHnTb5OQdaVPO9Q/wIAAP//AwBQSwECLQAUAAYACAAAACEAtoM4kv4AAADhAQAA&#10;EwAAAAAAAAAAAAAAAAAAAAAAW0NvbnRlbnRfVHlwZXNdLnhtbFBLAQItABQABgAIAAAAIQA4/SH/&#10;1gAAAJQBAAALAAAAAAAAAAAAAAAAAC8BAABfcmVscy8ucmVsc1BLAQItABQABgAIAAAAIQCpIk4q&#10;DwIAAP4DAAAOAAAAAAAAAAAAAAAAAC4CAABkcnMvZTJvRG9jLnhtbFBLAQItABQABgAIAAAAIQAl&#10;vRSo3wAAAAsBAAAPAAAAAAAAAAAAAAAAAGkEAABkcnMvZG93bnJldi54bWxQSwUGAAAAAAQABADz&#10;AAAAdQUAAAAA&#10;" filled="f" stroked="f">
                <v:textbox>
                  <w:txbxContent>
                    <w:p w14:paraId="4510FE4C"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7F88087"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r>
        <w:t xml:space="preserve">Figure </w:t>
      </w:r>
      <w:r w:rsidR="00131C28">
        <w:t>2-29</w:t>
      </w:r>
      <w:r>
        <w:t>. Number of drug-related deaths in England and Wales for selected substances</w:t>
      </w:r>
      <w:bookmarkEnd w:id="191"/>
      <w:bookmarkEnd w:id="192"/>
      <w:r>
        <w:t xml:space="preserve">      </w:t>
      </w:r>
    </w:p>
    <w:p w14:paraId="6E189214" w14:textId="2209A063" w:rsidR="00131C28" w:rsidRDefault="00131C28" w:rsidP="00131C28">
      <w:bookmarkStart w:id="193" w:name="_Toc9182868"/>
      <w:r>
        <w:t>Mortality figures for cocaine include power cocaine and crack cocaine.</w:t>
      </w:r>
    </w:p>
    <w:p w14:paraId="665ACD54" w14:textId="77777777" w:rsidR="00204128" w:rsidRDefault="00204128" w:rsidP="00131C28"/>
    <w:p w14:paraId="7C754300" w14:textId="3EBB97BD" w:rsidR="00A64E15" w:rsidRPr="005E3022" w:rsidRDefault="00A64E15" w:rsidP="00C92BD2">
      <w:pPr>
        <w:pStyle w:val="Heading3"/>
        <w:numPr>
          <w:ilvl w:val="2"/>
          <w:numId w:val="3"/>
        </w:numPr>
      </w:pPr>
      <w:bookmarkStart w:id="194" w:name="_Toc35892541"/>
      <w:r w:rsidRPr="005E3022">
        <w:t>Displacement</w:t>
      </w:r>
      <w:bookmarkEnd w:id="193"/>
      <w:bookmarkEnd w:id="194"/>
      <w:r w:rsidRPr="005E3022">
        <w:t xml:space="preserve"> </w:t>
      </w:r>
    </w:p>
    <w:p w14:paraId="39986119" w14:textId="61E0A8BA" w:rsidR="00131C28" w:rsidRDefault="00A64E15" w:rsidP="00A17501">
      <w:pPr>
        <w:widowControl w:val="0"/>
        <w:autoSpaceDE w:val="0"/>
        <w:autoSpaceDN w:val="0"/>
        <w:adjustRightInd w:val="0"/>
        <w:spacing w:line="480" w:lineRule="auto"/>
        <w:rPr>
          <w:szCs w:val="24"/>
          <w:lang w:val="en-US"/>
        </w:rPr>
      </w:pPr>
      <w:r w:rsidRPr="00D30DF0">
        <w:rPr>
          <w:szCs w:val="24"/>
          <w:lang w:val="en-US"/>
        </w:rPr>
        <w:t>In contrast to heroin/morphine related deaths</w:t>
      </w:r>
      <w:r>
        <w:rPr>
          <w:szCs w:val="24"/>
          <w:lang w:val="en-US"/>
        </w:rPr>
        <w:t>,</w:t>
      </w:r>
      <w:r w:rsidRPr="00D30DF0">
        <w:rPr>
          <w:szCs w:val="24"/>
          <w:lang w:val="en-US"/>
        </w:rPr>
        <w:t xml:space="preserve"> which appear to show a similar decline to NPS related deaths in the last year of available data, deaths associated with cocaine continue to rise.</w:t>
      </w:r>
      <w:r w:rsidR="00131C28">
        <w:rPr>
          <w:szCs w:val="24"/>
          <w:lang w:val="en-US"/>
        </w:rPr>
        <w:t xml:space="preserve"> (</w:t>
      </w:r>
      <w:r w:rsidR="00131C28">
        <w:t>Mortality data does not distinguish between pow</w:t>
      </w:r>
      <w:r w:rsidR="00072EBE">
        <w:t>d</w:t>
      </w:r>
      <w:r w:rsidR="00131C28">
        <w:t>er cocaine and more dangerous crack cocaine).</w:t>
      </w:r>
      <w:r w:rsidRPr="00D30DF0">
        <w:rPr>
          <w:szCs w:val="24"/>
          <w:lang w:val="en-US"/>
        </w:rPr>
        <w:t xml:space="preserve"> Although these rises are linked to the increasing purity of cocaine</w:t>
      </w:r>
      <w:r w:rsidR="00072EBE">
        <w:rPr>
          <w:szCs w:val="24"/>
          <w:lang w:val="en-US"/>
        </w:rPr>
        <w:t>,</w:t>
      </w:r>
      <w:r w:rsidRPr="00D30DF0">
        <w:rPr>
          <w:szCs w:val="24"/>
          <w:lang w:val="en-US"/>
        </w:rPr>
        <w:t xml:space="preserve"> in recent years</w:t>
      </w:r>
      <w:r w:rsidR="00072EBE">
        <w:rPr>
          <w:szCs w:val="24"/>
          <w:lang w:val="en-US"/>
        </w:rPr>
        <w:t>,</w:t>
      </w:r>
      <w:r w:rsidRPr="00D30DF0">
        <w:rPr>
          <w:szCs w:val="24"/>
          <w:lang w:val="en-US"/>
        </w:rPr>
        <w:t xml:space="preserve"> there is evidence to indicate that</w:t>
      </w:r>
      <w:r w:rsidR="00072EBE">
        <w:rPr>
          <w:szCs w:val="24"/>
          <w:lang w:val="en-US"/>
        </w:rPr>
        <w:t xml:space="preserve"> a</w:t>
      </w:r>
      <w:r w:rsidRPr="00D30DF0">
        <w:rPr>
          <w:szCs w:val="24"/>
          <w:lang w:val="en-US"/>
        </w:rPr>
        <w:t xml:space="preserve"> decrease in NPS use i</w:t>
      </w:r>
      <w:r w:rsidR="00072EBE">
        <w:rPr>
          <w:szCs w:val="24"/>
          <w:lang w:val="en-US"/>
        </w:rPr>
        <w:t>s</w:t>
      </w:r>
      <w:r w:rsidRPr="00D30DF0">
        <w:rPr>
          <w:szCs w:val="24"/>
          <w:lang w:val="en-US"/>
        </w:rPr>
        <w:t xml:space="preserve"> being displaced onto other substances such as powder cocaine and ecstasy (</w:t>
      </w:r>
      <w:r w:rsidR="00714DF0" w:rsidRPr="00D30DF0">
        <w:rPr>
          <w:szCs w:val="24"/>
          <w:lang w:val="en-US"/>
        </w:rPr>
        <w:t xml:space="preserve">DrugWise, 2017; </w:t>
      </w:r>
      <w:r w:rsidRPr="00D30DF0">
        <w:rPr>
          <w:szCs w:val="24"/>
          <w:lang w:val="en-US"/>
        </w:rPr>
        <w:t xml:space="preserve">HM Government, 2017; Ralphs, Gray and Norton 2017). Increases in treatment centre admissions for traditional drugs of abuse have shown rises since </w:t>
      </w:r>
      <w:r w:rsidR="00072EBE">
        <w:rPr>
          <w:szCs w:val="24"/>
          <w:lang w:val="en-US"/>
        </w:rPr>
        <w:t xml:space="preserve">the </w:t>
      </w:r>
      <w:r w:rsidRPr="00D30DF0">
        <w:rPr>
          <w:szCs w:val="24"/>
          <w:lang w:val="en-US"/>
        </w:rPr>
        <w:t>implementation of the act, as well as prevalence estimates of cocaine and other traditional illicit substances (</w:t>
      </w:r>
      <w:r>
        <w:rPr>
          <w:szCs w:val="24"/>
          <w:lang w:val="en-US"/>
        </w:rPr>
        <w:t>s</w:t>
      </w:r>
      <w:r w:rsidRPr="00D30DF0">
        <w:rPr>
          <w:szCs w:val="24"/>
          <w:lang w:val="en-US"/>
        </w:rPr>
        <w:t xml:space="preserve">ee </w:t>
      </w:r>
      <w:r>
        <w:rPr>
          <w:szCs w:val="24"/>
          <w:lang w:val="en-US"/>
        </w:rPr>
        <w:t>F</w:t>
      </w:r>
      <w:r w:rsidRPr="00D30DF0">
        <w:rPr>
          <w:szCs w:val="24"/>
          <w:lang w:val="en-US"/>
        </w:rPr>
        <w:t xml:space="preserve">igure </w:t>
      </w:r>
      <w:r w:rsidR="005E3022">
        <w:rPr>
          <w:szCs w:val="24"/>
          <w:lang w:val="en-US"/>
        </w:rPr>
        <w:t>2-22</w:t>
      </w:r>
      <w:r w:rsidRPr="00D30DF0">
        <w:rPr>
          <w:szCs w:val="24"/>
          <w:lang w:val="en-US"/>
        </w:rPr>
        <w:t>). It is not known whether rises in the use of cocaine and other drugs are a direct result of the ban or the consequence of increasing purity and availability of these substances</w:t>
      </w:r>
      <w:r w:rsidR="00072EBE">
        <w:rPr>
          <w:szCs w:val="24"/>
          <w:lang w:val="en-US"/>
        </w:rPr>
        <w:t xml:space="preserve">, </w:t>
      </w:r>
      <w:r w:rsidRPr="00D30DF0">
        <w:rPr>
          <w:szCs w:val="24"/>
          <w:lang w:val="en-US"/>
        </w:rPr>
        <w:t>nevertheless, reductions in NPS use appear to be offset by increases in the use of other illicit drugs.</w:t>
      </w:r>
    </w:p>
    <w:p w14:paraId="5C3E14B2" w14:textId="05E38F50" w:rsidR="00131C28" w:rsidRPr="00E52B38" w:rsidRDefault="00131C28" w:rsidP="00131C28">
      <w:pPr>
        <w:pStyle w:val="FigureHeading"/>
      </w:pPr>
      <w:bookmarkStart w:id="195" w:name="_Toc9509127"/>
      <w:r>
        <w:t>Figure 2-30.</w:t>
      </w:r>
      <w:r w:rsidRPr="00E52B38">
        <w:t xml:space="preserve"> </w:t>
      </w:r>
      <w:r>
        <w:t>Number of drug-related deaths for selected substances age 30+</w:t>
      </w:r>
      <w:bookmarkEnd w:id="195"/>
    </w:p>
    <w:p w14:paraId="75324D21" w14:textId="14A04E90" w:rsidR="00131C28" w:rsidRDefault="00131C28" w:rsidP="00A17501">
      <w:pPr>
        <w:widowControl w:val="0"/>
        <w:autoSpaceDE w:val="0"/>
        <w:autoSpaceDN w:val="0"/>
        <w:adjustRightInd w:val="0"/>
        <w:spacing w:line="480" w:lineRule="auto"/>
        <w:rPr>
          <w:szCs w:val="24"/>
          <w:lang w:val="en-US"/>
        </w:rPr>
      </w:pPr>
      <w:r w:rsidRPr="00A17501">
        <w:rPr>
          <w:noProof/>
          <w:szCs w:val="24"/>
          <w:lang w:val="en-US"/>
        </w:rPr>
        <w:drawing>
          <wp:anchor distT="0" distB="0" distL="114300" distR="114300" simplePos="0" relativeHeight="251930624" behindDoc="0" locked="0" layoutInCell="1" allowOverlap="1" wp14:anchorId="0475F523" wp14:editId="1B3AA927">
            <wp:simplePos x="0" y="0"/>
            <wp:positionH relativeFrom="margin">
              <wp:posOffset>42846</wp:posOffset>
            </wp:positionH>
            <wp:positionV relativeFrom="paragraph">
              <wp:posOffset>12800</wp:posOffset>
            </wp:positionV>
            <wp:extent cx="4629751" cy="3936733"/>
            <wp:effectExtent l="0" t="0" r="0" b="6985"/>
            <wp:wrapNone/>
            <wp:docPr id="224" name="Chart 224">
              <a:extLst xmlns:a="http://schemas.openxmlformats.org/drawingml/2006/main">
                <a:ext uri="{FF2B5EF4-FFF2-40B4-BE49-F238E27FC236}">
                  <a16:creationId xmlns:a16="http://schemas.microsoft.com/office/drawing/2014/main" id="{B04ED412-BC79-4016-BB43-7C5538E0E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3F692E5" w14:textId="5A63ADEF" w:rsidR="00131C28" w:rsidRDefault="00131C28" w:rsidP="00A17501">
      <w:pPr>
        <w:widowControl w:val="0"/>
        <w:autoSpaceDE w:val="0"/>
        <w:autoSpaceDN w:val="0"/>
        <w:adjustRightInd w:val="0"/>
        <w:spacing w:line="480" w:lineRule="auto"/>
        <w:rPr>
          <w:szCs w:val="24"/>
          <w:lang w:val="en-US"/>
        </w:rPr>
      </w:pPr>
    </w:p>
    <w:p w14:paraId="3E99753A" w14:textId="5FCA66B2" w:rsidR="00131C28" w:rsidRDefault="00131C28" w:rsidP="00A17501">
      <w:pPr>
        <w:widowControl w:val="0"/>
        <w:autoSpaceDE w:val="0"/>
        <w:autoSpaceDN w:val="0"/>
        <w:adjustRightInd w:val="0"/>
        <w:spacing w:line="480" w:lineRule="auto"/>
        <w:rPr>
          <w:szCs w:val="24"/>
          <w:lang w:val="en-US"/>
        </w:rPr>
      </w:pPr>
    </w:p>
    <w:p w14:paraId="61489C38" w14:textId="7D4C39B8" w:rsidR="00131C28" w:rsidRDefault="00204128" w:rsidP="00A17501">
      <w:pPr>
        <w:widowControl w:val="0"/>
        <w:autoSpaceDE w:val="0"/>
        <w:autoSpaceDN w:val="0"/>
        <w:adjustRightInd w:val="0"/>
        <w:spacing w:line="480" w:lineRule="auto"/>
        <w:rPr>
          <w:szCs w:val="24"/>
          <w:lang w:val="en-US"/>
        </w:rPr>
      </w:pPr>
      <w:r w:rsidRPr="00E02A6E">
        <w:rPr>
          <w:noProof/>
          <w:lang w:val="en-US" w:eastAsia="en-US"/>
        </w:rPr>
        <mc:AlternateContent>
          <mc:Choice Requires="wps">
            <w:drawing>
              <wp:anchor distT="0" distB="0" distL="114300" distR="114300" simplePos="0" relativeHeight="252214272" behindDoc="0" locked="0" layoutInCell="1" allowOverlap="1" wp14:anchorId="4D83F437" wp14:editId="52268276">
                <wp:simplePos x="0" y="0"/>
                <wp:positionH relativeFrom="column">
                  <wp:posOffset>4540518</wp:posOffset>
                </wp:positionH>
                <wp:positionV relativeFrom="paragraph">
                  <wp:posOffset>272549</wp:posOffset>
                </wp:positionV>
                <wp:extent cx="1391920" cy="4387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438785"/>
                        </a:xfrm>
                        <a:prstGeom prst="rect">
                          <a:avLst/>
                        </a:prstGeom>
                        <a:noFill/>
                        <a:ln w="9525">
                          <a:noFill/>
                          <a:miter lim="800000"/>
                          <a:headEnd/>
                          <a:tailEnd/>
                        </a:ln>
                      </wps:spPr>
                      <wps:txbx>
                        <w:txbxContent>
                          <w:p w14:paraId="3C7A1532"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28BE91F"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D83F437" id="Text Box 265" o:spid="_x0000_s1067" type="#_x0000_t202" style="position:absolute;margin-left:357.5pt;margin-top:21.45pt;width:109.6pt;height:34.55p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wMDwIAAP4DAAAOAAAAZHJzL2Uyb0RvYy54bWysU8tu2zAQvBfoPxC817IdO7EFy0GaNEWB&#10;9AEk/YA1RVlESS5L0pbcr++SchyjuQXVgSC13NmZ2eXqujea7aUPCm3FJ6MxZ9IKrJXdVvzn0/2H&#10;BWchgq1Bo5UVP8jAr9fv3606V8optqhr6RmB2FB2ruJtjK4siiBaaSCM0ElLwQa9gUhHvy1qDx2h&#10;G11Mx+PLokNfO49ChkB/74YgX2f8ppEifm+aICPTFSduMa8+r5u0FusVlFsPrlXiSAPewMKAslT0&#10;BHUHEdjOq1dQRgmPAZs4EmgKbBolZNZAaibjf9Q8tuBk1kLmBHeyKfw/WPFt/8MzVVd8ejnnzIKh&#10;Jj3JPrKP2LP0jxzqXCjp4qOjq7GnAHU6qw3uAcWvwCzetmC38sZ77FoJNTGcpMziLHXACQlk033F&#10;mgrBLmIG6htvkn1kCCN06tTh1J1ERqSSF8vJckohQbHZxeJqkckVUD5nOx/iZ4mGpU3FPXU/o8P+&#10;IcTEBsrnK6mYxXuldZ4AbVlX8eV8Os8JZxGjIg2oVqbii3H6hpFJIj/ZOidHUHrYUwFtj6qT0EFy&#10;7Dd9tniWk5MlG6wP5IPHYSDpAdGmRf+Hs46GseLh9w685Ex/seTlcjKjXBbzYTa/Si7488jmPAJW&#10;EFTFI2fD9jbmiR8035Dnjcp2vDA5cqYhyy4dH0Sa4vNzvvXybNd/AQAA//8DAFBLAwQUAAYACAAA&#10;ACEAdjnx3t8AAAAKAQAADwAAAGRycy9kb3ducmV2LnhtbEyPy07DMBBF90j8gzWV2FE7IQWSxqkQ&#10;iC2I8pDYufE0iYjHUew24e87XcFyNEf3nltuZteLI46h86QhWSoQSLW3HTUaPt6fr+9BhGjImt4T&#10;avjFAJvq8qI0hfUTveFxGxvBIRQKo6GNcSikDHWLzoSlH5D4t/ejM5HPsZF2NBOHu16mSt1KZzri&#10;htYM+Nhi/bM9OA2fL/vvr0y9Nk9uNUx+VpJcLrW+WswPaxAR5/gHw1mf1aFip50/kA2i13CXrHhL&#10;1JClOQgG8pssBbFjMkkVyKqU/ydUJwAAAP//AwBQSwECLQAUAAYACAAAACEAtoM4kv4AAADhAQAA&#10;EwAAAAAAAAAAAAAAAAAAAAAAW0NvbnRlbnRfVHlwZXNdLnhtbFBLAQItABQABgAIAAAAIQA4/SH/&#10;1gAAAJQBAAALAAAAAAAAAAAAAAAAAC8BAABfcmVscy8ucmVsc1BLAQItABQABgAIAAAAIQBgQswM&#10;DwIAAP4DAAAOAAAAAAAAAAAAAAAAAC4CAABkcnMvZTJvRG9jLnhtbFBLAQItABQABgAIAAAAIQB2&#10;OfHe3wAAAAoBAAAPAAAAAAAAAAAAAAAAAGkEAABkcnMvZG93bnJldi54bWxQSwUGAAAAAAQABADz&#10;AAAAdQUAAAAA&#10;" filled="f" stroked="f">
                <v:textbox>
                  <w:txbxContent>
                    <w:p w14:paraId="3C7A1532"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328BE91F"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p>
    <w:p w14:paraId="7E6F4DBA" w14:textId="1102A03E" w:rsidR="00131C28" w:rsidRDefault="00131C28" w:rsidP="00A17501">
      <w:pPr>
        <w:widowControl w:val="0"/>
        <w:autoSpaceDE w:val="0"/>
        <w:autoSpaceDN w:val="0"/>
        <w:adjustRightInd w:val="0"/>
        <w:spacing w:line="480" w:lineRule="auto"/>
        <w:rPr>
          <w:szCs w:val="24"/>
          <w:lang w:val="en-US"/>
        </w:rPr>
      </w:pPr>
    </w:p>
    <w:p w14:paraId="6FEF435D" w14:textId="7203E631" w:rsidR="00131C28" w:rsidRDefault="00131C28" w:rsidP="00A17501">
      <w:pPr>
        <w:widowControl w:val="0"/>
        <w:autoSpaceDE w:val="0"/>
        <w:autoSpaceDN w:val="0"/>
        <w:adjustRightInd w:val="0"/>
        <w:spacing w:line="480" w:lineRule="auto"/>
        <w:rPr>
          <w:szCs w:val="24"/>
          <w:lang w:val="en-US"/>
        </w:rPr>
      </w:pPr>
    </w:p>
    <w:p w14:paraId="76DF5434" w14:textId="3D69856A" w:rsidR="00131C28" w:rsidRDefault="00131C28" w:rsidP="00A17501">
      <w:pPr>
        <w:widowControl w:val="0"/>
        <w:autoSpaceDE w:val="0"/>
        <w:autoSpaceDN w:val="0"/>
        <w:adjustRightInd w:val="0"/>
        <w:spacing w:line="480" w:lineRule="auto"/>
        <w:rPr>
          <w:szCs w:val="24"/>
          <w:lang w:val="en-US"/>
        </w:rPr>
      </w:pPr>
    </w:p>
    <w:p w14:paraId="06DEFECF" w14:textId="5D1EAFD4" w:rsidR="00204128" w:rsidRDefault="00204128" w:rsidP="00A17501">
      <w:pPr>
        <w:widowControl w:val="0"/>
        <w:autoSpaceDE w:val="0"/>
        <w:autoSpaceDN w:val="0"/>
        <w:adjustRightInd w:val="0"/>
        <w:spacing w:line="480" w:lineRule="auto"/>
        <w:rPr>
          <w:szCs w:val="24"/>
          <w:lang w:val="en-US"/>
        </w:rPr>
      </w:pPr>
    </w:p>
    <w:p w14:paraId="4A69620A" w14:textId="77777777" w:rsidR="000427F1" w:rsidRDefault="000427F1" w:rsidP="00A17501">
      <w:pPr>
        <w:widowControl w:val="0"/>
        <w:autoSpaceDE w:val="0"/>
        <w:autoSpaceDN w:val="0"/>
        <w:adjustRightInd w:val="0"/>
        <w:spacing w:line="480" w:lineRule="auto"/>
        <w:rPr>
          <w:szCs w:val="24"/>
          <w:lang w:val="en-US"/>
        </w:rPr>
      </w:pPr>
    </w:p>
    <w:p w14:paraId="01AF8225" w14:textId="77777777" w:rsidR="00131C28" w:rsidRPr="00E52B38" w:rsidRDefault="00131C28" w:rsidP="00131C28">
      <w:pPr>
        <w:pStyle w:val="FigureHeading"/>
      </w:pPr>
      <w:bookmarkStart w:id="196" w:name="_Toc9509128"/>
      <w:r>
        <w:t>Figure 2-31.</w:t>
      </w:r>
      <w:r w:rsidRPr="00E52B38">
        <w:t xml:space="preserve"> </w:t>
      </w:r>
      <w:r>
        <w:t>Number of drug-related deaths for selected substances age less than 30</w:t>
      </w:r>
      <w:bookmarkEnd w:id="196"/>
    </w:p>
    <w:p w14:paraId="6A6ABA0C" w14:textId="7A997CEC" w:rsidR="00131C28" w:rsidRPr="00A17501" w:rsidRDefault="00131C28" w:rsidP="00A17501">
      <w:pPr>
        <w:widowControl w:val="0"/>
        <w:autoSpaceDE w:val="0"/>
        <w:autoSpaceDN w:val="0"/>
        <w:adjustRightInd w:val="0"/>
        <w:spacing w:line="480" w:lineRule="auto"/>
        <w:rPr>
          <w:szCs w:val="24"/>
          <w:lang w:val="en-US"/>
        </w:rPr>
      </w:pPr>
      <w:r w:rsidRPr="00E81D8F">
        <w:rPr>
          <w:noProof/>
          <w:lang w:val="en-US" w:eastAsia="en-US"/>
        </w:rPr>
        <w:drawing>
          <wp:anchor distT="0" distB="0" distL="114300" distR="114300" simplePos="0" relativeHeight="252086272" behindDoc="0" locked="0" layoutInCell="1" allowOverlap="1" wp14:anchorId="623C0143" wp14:editId="7E803762">
            <wp:simplePos x="0" y="0"/>
            <wp:positionH relativeFrom="column">
              <wp:posOffset>119380</wp:posOffset>
            </wp:positionH>
            <wp:positionV relativeFrom="paragraph">
              <wp:posOffset>246380</wp:posOffset>
            </wp:positionV>
            <wp:extent cx="4340860" cy="3310890"/>
            <wp:effectExtent l="0" t="0" r="2540" b="3810"/>
            <wp:wrapThrough wrapText="bothSides">
              <wp:wrapPolygon edited="0">
                <wp:start x="0" y="0"/>
                <wp:lineTo x="0" y="21501"/>
                <wp:lineTo x="21518" y="21501"/>
                <wp:lineTo x="21518" y="0"/>
                <wp:lineTo x="0" y="0"/>
              </wp:wrapPolygon>
            </wp:wrapThrough>
            <wp:docPr id="225" name="Chart 225">
              <a:extLst xmlns:a="http://schemas.openxmlformats.org/drawingml/2006/main">
                <a:ext uri="{FF2B5EF4-FFF2-40B4-BE49-F238E27FC236}">
                  <a16:creationId xmlns:a16="http://schemas.microsoft.com/office/drawing/2014/main" id="{FF992BFC-15A9-4400-AFF7-8CD01143E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68BCD57F" w14:textId="097EF28D" w:rsidR="00131C28" w:rsidRDefault="00131C28" w:rsidP="00A17501">
      <w:pPr>
        <w:widowControl w:val="0"/>
        <w:autoSpaceDE w:val="0"/>
        <w:autoSpaceDN w:val="0"/>
        <w:adjustRightInd w:val="0"/>
        <w:spacing w:line="480" w:lineRule="auto"/>
        <w:rPr>
          <w:szCs w:val="24"/>
          <w:lang w:val="en-US"/>
        </w:rPr>
      </w:pPr>
    </w:p>
    <w:p w14:paraId="44912163" w14:textId="18FA2F0B" w:rsidR="00131C28" w:rsidRDefault="00131C28" w:rsidP="00A17501">
      <w:pPr>
        <w:widowControl w:val="0"/>
        <w:autoSpaceDE w:val="0"/>
        <w:autoSpaceDN w:val="0"/>
        <w:adjustRightInd w:val="0"/>
        <w:spacing w:line="480" w:lineRule="auto"/>
        <w:rPr>
          <w:szCs w:val="24"/>
          <w:lang w:val="en-US"/>
        </w:rPr>
      </w:pPr>
    </w:p>
    <w:p w14:paraId="27930E65" w14:textId="681CDFDC" w:rsidR="00131C28" w:rsidRDefault="00131C28" w:rsidP="00A17501">
      <w:pPr>
        <w:widowControl w:val="0"/>
        <w:autoSpaceDE w:val="0"/>
        <w:autoSpaceDN w:val="0"/>
        <w:adjustRightInd w:val="0"/>
        <w:spacing w:line="480" w:lineRule="auto"/>
        <w:rPr>
          <w:szCs w:val="24"/>
          <w:lang w:val="en-US"/>
        </w:rPr>
      </w:pPr>
    </w:p>
    <w:p w14:paraId="2C837680" w14:textId="36C4E70B" w:rsidR="00131C28" w:rsidRDefault="00777EE0" w:rsidP="00A17501">
      <w:pPr>
        <w:widowControl w:val="0"/>
        <w:autoSpaceDE w:val="0"/>
        <w:autoSpaceDN w:val="0"/>
        <w:adjustRightInd w:val="0"/>
        <w:spacing w:line="480" w:lineRule="auto"/>
        <w:rPr>
          <w:szCs w:val="24"/>
          <w:lang w:val="en-US"/>
        </w:rPr>
      </w:pPr>
      <w:r w:rsidRPr="00E02A6E">
        <w:rPr>
          <w:noProof/>
          <w:lang w:val="en-US" w:eastAsia="en-US"/>
        </w:rPr>
        <mc:AlternateContent>
          <mc:Choice Requires="wps">
            <w:drawing>
              <wp:anchor distT="0" distB="0" distL="114300" distR="114300" simplePos="0" relativeHeight="252273664" behindDoc="0" locked="0" layoutInCell="1" allowOverlap="1" wp14:anchorId="6876C804" wp14:editId="1178B558">
                <wp:simplePos x="0" y="0"/>
                <wp:positionH relativeFrom="column">
                  <wp:posOffset>4670470</wp:posOffset>
                </wp:positionH>
                <wp:positionV relativeFrom="paragraph">
                  <wp:posOffset>265017</wp:posOffset>
                </wp:positionV>
                <wp:extent cx="1392072" cy="439221"/>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072" cy="439221"/>
                        </a:xfrm>
                        <a:prstGeom prst="rect">
                          <a:avLst/>
                        </a:prstGeom>
                        <a:noFill/>
                        <a:ln w="9525">
                          <a:noFill/>
                          <a:miter lim="800000"/>
                          <a:headEnd/>
                          <a:tailEnd/>
                        </a:ln>
                      </wps:spPr>
                      <wps:txbx>
                        <w:txbxContent>
                          <w:p w14:paraId="3C7B0874"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57001AD6"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76C804" id="Text Box 266" o:spid="_x0000_s1068" type="#_x0000_t202" style="position:absolute;margin-left:367.75pt;margin-top:20.85pt;width:109.6pt;height:34.6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O6DgIAAP4DAAAOAAAAZHJzL2Uyb0RvYy54bWysU9tu2zAMfR+wfxD0vtjxkrQxohRduw4D&#10;ugvQ7gMUWY6FSaImKbGzry8lp2nQvg3zgyCa5CHPIbW6Gowme+mDAsvodFJSIq2ARtkto78e7z5c&#10;UhIitw3XYCWjBxno1fr9u1XvallBB7qRniCIDXXvGO1idHVRBNFJw8MEnLTobMEbHtH026LxvEd0&#10;o4uqLBdFD75xHoQMAf/ejk66zvhtK0X80bZBRqIZxd5iPn0+N+ks1itebz13nRLHNvg/dGG4slj0&#10;BHXLIyc7r95AGSU8BGjjRIApoG2VkJkDspmWr9g8dNzJzAXFCe4kU/h/sOL7/qcnqmG0Wiwosdzg&#10;kB7lEMknGEj6hwr1LtQY+OAwNA7owElntsHdg/gdiIWbjtutvPYe+k7yBjucpsziLHXECQlk03+D&#10;BgvxXYQMNLTeJPlQEILoOKnDaTqpGZFKflxW5UVFiUDfDI1qLMHr52znQ/wiwZB0YdTj9DM639+H&#10;mLrh9XNIKmbhTmmdN0Bb0jO6nFfznHDmMSrigmplGL0s0zeuTCL52TY5OXKlxzsW0PbIOhEdKcdh&#10;M2SJZ7nhJMkGmgPq4GFcSHxAeOnA/6Wkx2VkNPzZcS8p0V8tarmczmZpe7Mxm19UaPhzz+bcw61A&#10;KEYjJeP1JuaNHzlfo+atynK8dHLsGZcsq3R8EGmLz+0c9fJs108AAAD//wMAUEsDBBQABgAIAAAA&#10;IQDS13/z3gAAAAoBAAAPAAAAZHJzL2Rvd25yZXYueG1sTI9NT8MwDIbvSPyHyEjcWNLRMto1nRCI&#10;K4jxIe2WNV5brXGqJlvLv8ec4GbLj14/b7mZXS/OOIbOk4ZkoUAg1d521Gj4eH++uQcRoiFrek+o&#10;4RsDbKrLi9IU1k/0hudtbASHUCiMhjbGoZAy1C06ExZ+QOLbwY/ORF7HRtrRTBzuerlU6k460xF/&#10;aM2Ajy3Wx+3Jafh8Oey+UvXaPLlsmPysJLlcan19NT+sQUSc4x8Mv/qsDhU77f2JbBC9htVtljGq&#10;IU1WIBjIs5SHPZOJykFWpfxfofoBAAD//wMAUEsBAi0AFAAGAAgAAAAhALaDOJL+AAAA4QEAABMA&#10;AAAAAAAAAAAAAAAAAAAAAFtDb250ZW50X1R5cGVzXS54bWxQSwECLQAUAAYACAAAACEAOP0h/9YA&#10;AACUAQAACwAAAAAAAAAAAAAAAAAvAQAAX3JlbHMvLnJlbHNQSwECLQAUAAYACAAAACEAROszug4C&#10;AAD+AwAADgAAAAAAAAAAAAAAAAAuAgAAZHJzL2Uyb0RvYy54bWxQSwECLQAUAAYACAAAACEA0td/&#10;894AAAAKAQAADwAAAAAAAAAAAAAAAABoBAAAZHJzL2Rvd25yZXYueG1sUEsFBgAAAAAEAAQA8wAA&#10;AHMFAAAAAA==&#10;" filled="f" stroked="f">
                <v:textbox>
                  <w:txbxContent>
                    <w:p w14:paraId="3C7B0874" w14:textId="77777777" w:rsidR="00777EE0" w:rsidRDefault="00777EE0" w:rsidP="00A64E15">
                      <w:pPr>
                        <w:pStyle w:val="NormalWeb"/>
                        <w:tabs>
                          <w:tab w:val="left" w:pos="720"/>
                        </w:tabs>
                        <w:spacing w:before="0" w:beforeAutospacing="0" w:after="200" w:afterAutospacing="0" w:line="276" w:lineRule="auto"/>
                        <w:jc w:val="right"/>
                      </w:pPr>
                      <w:r>
                        <w:rPr>
                          <w:rFonts w:cstheme="minorBidi"/>
                          <w:b/>
                          <w:bCs/>
                          <w:sz w:val="16"/>
                          <w:szCs w:val="16"/>
                        </w:rPr>
                        <w:t>Source: ONS (2017)</w:t>
                      </w:r>
                      <w:r>
                        <w:rPr>
                          <w:rFonts w:cstheme="minorBidi"/>
                          <w:b/>
                          <w:bCs/>
                          <w:sz w:val="16"/>
                          <w:szCs w:val="16"/>
                        </w:rPr>
                        <w:tab/>
                      </w:r>
                    </w:p>
                    <w:p w14:paraId="57001AD6" w14:textId="77777777" w:rsidR="00777EE0" w:rsidRDefault="00777EE0" w:rsidP="00A64E15">
                      <w:pPr>
                        <w:pStyle w:val="NormalWeb"/>
                        <w:tabs>
                          <w:tab w:val="left" w:pos="720"/>
                        </w:tabs>
                        <w:spacing w:before="0" w:beforeAutospacing="0" w:after="200" w:afterAutospacing="0" w:line="276" w:lineRule="auto"/>
                      </w:pPr>
                      <w:r>
                        <w:rPr>
                          <w:rFonts w:cstheme="minorBidi"/>
                          <w:b/>
                          <w:bCs/>
                          <w:sz w:val="20"/>
                          <w:szCs w:val="20"/>
                        </w:rPr>
                        <w:t> </w:t>
                      </w:r>
                    </w:p>
                  </w:txbxContent>
                </v:textbox>
              </v:shape>
            </w:pict>
          </mc:Fallback>
        </mc:AlternateContent>
      </w:r>
    </w:p>
    <w:p w14:paraId="41C9E07C" w14:textId="5F0DB7E4" w:rsidR="00131C28" w:rsidRDefault="00131C28" w:rsidP="00A17501">
      <w:pPr>
        <w:widowControl w:val="0"/>
        <w:autoSpaceDE w:val="0"/>
        <w:autoSpaceDN w:val="0"/>
        <w:adjustRightInd w:val="0"/>
        <w:spacing w:line="480" w:lineRule="auto"/>
        <w:rPr>
          <w:szCs w:val="24"/>
          <w:lang w:val="en-US"/>
        </w:rPr>
      </w:pPr>
    </w:p>
    <w:p w14:paraId="25D1BD7F" w14:textId="78B5CEE2" w:rsidR="00A64E15" w:rsidRPr="00A17501" w:rsidRDefault="00A64E15" w:rsidP="00A17501">
      <w:pPr>
        <w:widowControl w:val="0"/>
        <w:autoSpaceDE w:val="0"/>
        <w:autoSpaceDN w:val="0"/>
        <w:adjustRightInd w:val="0"/>
        <w:spacing w:line="480" w:lineRule="auto"/>
        <w:rPr>
          <w:szCs w:val="24"/>
          <w:lang w:val="en-US"/>
        </w:rPr>
      </w:pPr>
      <w:r w:rsidRPr="00A17501">
        <w:rPr>
          <w:noProof/>
          <w:szCs w:val="24"/>
          <w:lang w:val="en-US"/>
        </w:rPr>
        <mc:AlternateContent>
          <mc:Choice Requires="wps">
            <w:drawing>
              <wp:anchor distT="45720" distB="45720" distL="114300" distR="114300" simplePos="0" relativeHeight="251987968" behindDoc="0" locked="0" layoutInCell="1" allowOverlap="1" wp14:anchorId="243A1637" wp14:editId="33B703FA">
                <wp:simplePos x="0" y="0"/>
                <wp:positionH relativeFrom="column">
                  <wp:posOffset>3029898</wp:posOffset>
                </wp:positionH>
                <wp:positionV relativeFrom="paragraph">
                  <wp:posOffset>11449</wp:posOffset>
                </wp:positionV>
                <wp:extent cx="3020060" cy="925195"/>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925195"/>
                        </a:xfrm>
                        <a:prstGeom prst="rect">
                          <a:avLst/>
                        </a:prstGeom>
                        <a:noFill/>
                        <a:ln w="9525">
                          <a:noFill/>
                          <a:miter lim="800000"/>
                          <a:headEnd/>
                          <a:tailEnd/>
                        </a:ln>
                      </wps:spPr>
                      <wps:txbx>
                        <w:txbxContent>
                          <w:p w14:paraId="4FE26CF0" w14:textId="77777777" w:rsidR="00777EE0" w:rsidRPr="003F58EA" w:rsidRDefault="00777EE0" w:rsidP="00A64E15">
                            <w:pPr>
                              <w:rPr>
                                <w:b/>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A1637" id="_x0000_s1069" type="#_x0000_t202" style="position:absolute;margin-left:238.55pt;margin-top:.9pt;width:237.8pt;height:72.85pt;z-index:25198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C5DgIAAPwDAAAOAAAAZHJzL2Uyb0RvYy54bWysU9uO0zAQfUfiHyy/06ShhW3UdLXsUoS0&#10;XKRdPmDqOI2F7TG222T5esZOt1TwhshDZHs8Z+acM15fj0azo/RBoW34fFZyJq3AVtl9w789bl9d&#10;cRYi2BY0WtnwJxn49ebli/Xgallhj7qVnhGIDfXgGt7H6OqiCKKXBsIMnbQU7NAbiLT1+6L1MBC6&#10;0UVVlm+KAX3rPAoZAp3eTUG+yfhdJ0X80nVBRqYbTr3F/Pf5v0v/YrOGeu/B9Uqc2oB/6MKAslT0&#10;DHUHEdjBq7+gjBIeA3ZxJtAU2HVKyMyB2MzLP9g89OBk5kLiBHeWKfw/WPH5+NUz1Ta8WpBVFgyZ&#10;9CjHyN7hyKqkz+BCTdceHF2MIx2Tz5lrcPcovgdm8bYHu5c33uPQS2ipv3nKLC5SJ5yQQHbDJ2yp&#10;DBwiZqCx8yaJR3IwQiefns7epFYEHb4uk90UEhRbVcv5aplLQP2c7XyIHyQalhYN9+R9RofjfYip&#10;G6ifr6RiFrdK6+y/tmwg0GW1zAkXEaMijadWpuFXZfqmgUkk39s2J0dQelpTAW1PrBPRiXIcd2MW&#10;eHFWc4ftE+ngcRpHej606NH/5GygUWx4+HEALznTHy1puZovFml282axfFvRxl9GdpcRsIKgGh45&#10;m5a3Mc974hzcDWm+VVmOZM7UyalnGrGs0uk5pBm+3Odbvx/t5hcAAAD//wMAUEsDBBQABgAIAAAA&#10;IQDxZEVs3AAAAAkBAAAPAAAAZHJzL2Rvd25yZXYueG1sTI/NTsMwEITvSLyDtUjcqNOoxTSNU1Wo&#10;LUdKiTi7sUki4rVlu2l4e5YTHEffaH7KzWQHNpoQe4cS5rMMmMHG6R5bCfX7/uEJWEwKtRocGgnf&#10;JsKmur0pVaHdFd/MeEotoxCMhZLQpeQLzmPTGavizHmDxD5dsCqRDC3XQV0p3A48z7JHblWP1NAp&#10;b54703ydLlaCT/4gXsLrcbvbj1n9cajzvt1JeX83bdfAkpnSnxl+59N0qGjT2V1QRzZIWAgxJysB&#10;ekB8tcwFsDPphVgCr0r+/0H1AwAA//8DAFBLAQItABQABgAIAAAAIQC2gziS/gAAAOEBAAATAAAA&#10;AAAAAAAAAAAAAAAAAABbQ29udGVudF9UeXBlc10ueG1sUEsBAi0AFAAGAAgAAAAhADj9If/WAAAA&#10;lAEAAAsAAAAAAAAAAAAAAAAALwEAAF9yZWxzLy5yZWxzUEsBAi0AFAAGAAgAAAAhAKtpILkOAgAA&#10;/AMAAA4AAAAAAAAAAAAAAAAALgIAAGRycy9lMm9Eb2MueG1sUEsBAi0AFAAGAAgAAAAhAPFkRWzc&#10;AAAACQEAAA8AAAAAAAAAAAAAAAAAaAQAAGRycy9kb3ducmV2LnhtbFBLBQYAAAAABAAEAPMAAABx&#10;BQAAAAA=&#10;" filled="f" stroked="f">
                <v:textbox style="mso-fit-shape-to-text:t">
                  <w:txbxContent>
                    <w:p w14:paraId="4FE26CF0" w14:textId="77777777" w:rsidR="00777EE0" w:rsidRPr="003F58EA" w:rsidRDefault="00777EE0" w:rsidP="00A64E15">
                      <w:pPr>
                        <w:rPr>
                          <w:b/>
                          <w:sz w:val="20"/>
                          <w:szCs w:val="20"/>
                        </w:rPr>
                      </w:pPr>
                    </w:p>
                  </w:txbxContent>
                </v:textbox>
              </v:shape>
            </w:pict>
          </mc:Fallback>
        </mc:AlternateContent>
      </w:r>
    </w:p>
    <w:p w14:paraId="3BEDE6D1" w14:textId="48F5B494" w:rsidR="00A64E15" w:rsidRPr="0093534E" w:rsidRDefault="00A64E15" w:rsidP="00A64E15">
      <w:pPr>
        <w:pStyle w:val="Heading3"/>
        <w:spacing w:before="200" w:after="0" w:afterAutospacing="0" w:line="480" w:lineRule="auto"/>
        <w:rPr>
          <w:lang w:val="en-US"/>
        </w:rPr>
      </w:pPr>
      <w:bookmarkStart w:id="197" w:name="_Toc9182869"/>
      <w:bookmarkStart w:id="198" w:name="_Toc35892542"/>
      <w:r>
        <w:t>Mortality and age</w:t>
      </w:r>
      <w:bookmarkEnd w:id="197"/>
      <w:bookmarkEnd w:id="198"/>
      <w:r>
        <w:t xml:space="preserve"> </w:t>
      </w:r>
    </w:p>
    <w:p w14:paraId="30BCA72F" w14:textId="07AB605D" w:rsidR="00A64E15" w:rsidRPr="00A17501" w:rsidRDefault="00A64E15" w:rsidP="00A17501">
      <w:pPr>
        <w:widowControl w:val="0"/>
        <w:autoSpaceDE w:val="0"/>
        <w:autoSpaceDN w:val="0"/>
        <w:adjustRightInd w:val="0"/>
        <w:spacing w:line="480" w:lineRule="auto"/>
        <w:rPr>
          <w:szCs w:val="24"/>
          <w:lang w:val="en-US"/>
        </w:rPr>
      </w:pPr>
      <w:r w:rsidRPr="00A17501">
        <w:rPr>
          <w:szCs w:val="24"/>
          <w:lang w:val="en-US"/>
        </w:rPr>
        <w:t xml:space="preserve">When mortality data is separated into younger and older age groups based on the information available from the ONS it becomes clear that the impact of heroin is considerably greater in the deaths of those aged 30 and above compared to those under the age of 30 (see </w:t>
      </w:r>
      <w:r w:rsidR="00311FB4">
        <w:rPr>
          <w:szCs w:val="24"/>
          <w:lang w:val="en-US"/>
        </w:rPr>
        <w:t>F</w:t>
      </w:r>
      <w:r w:rsidRPr="00A17501">
        <w:rPr>
          <w:szCs w:val="24"/>
          <w:lang w:val="en-US"/>
        </w:rPr>
        <w:t xml:space="preserve">igures </w:t>
      </w:r>
      <w:r w:rsidR="005E3022">
        <w:rPr>
          <w:szCs w:val="24"/>
          <w:lang w:val="en-US"/>
        </w:rPr>
        <w:t>2-</w:t>
      </w:r>
      <w:r w:rsidRPr="00A17501">
        <w:rPr>
          <w:szCs w:val="24"/>
          <w:lang w:val="en-US"/>
        </w:rPr>
        <w:t xml:space="preserve">30 and </w:t>
      </w:r>
      <w:r w:rsidR="005E3022">
        <w:rPr>
          <w:szCs w:val="24"/>
          <w:lang w:val="en-US"/>
        </w:rPr>
        <w:t>2-</w:t>
      </w:r>
      <w:r w:rsidRPr="00A17501">
        <w:rPr>
          <w:szCs w:val="24"/>
          <w:lang w:val="en-US"/>
        </w:rPr>
        <w:t>31). The differing mortality profile of younger and older drug users suggests that in general, younger users may be using drugs, including NPS, in different ways and for different reasons compared to older users. The studies on NPS reviewed in the literature indicate that young people typically use NPS drugs for recreational purposes (Butler and Sheridan, 2009</w:t>
      </w:r>
      <w:r w:rsidR="00714DF0" w:rsidRPr="00A17501">
        <w:rPr>
          <w:szCs w:val="24"/>
          <w:lang w:val="en-US"/>
        </w:rPr>
        <w:t>; Drugscope, 2014</w:t>
      </w:r>
      <w:r w:rsidR="00714DF0">
        <w:rPr>
          <w:szCs w:val="24"/>
          <w:lang w:val="en-US"/>
        </w:rPr>
        <w:t xml:space="preserve">; </w:t>
      </w:r>
      <w:r w:rsidRPr="00A17501">
        <w:rPr>
          <w:szCs w:val="24"/>
          <w:lang w:val="en-US"/>
        </w:rPr>
        <w:t>Kelleher et. al., 2011; Winstock et. al., 2010). In contrast, problem drug use and dependency are more common in older age groups. A review by the ACMD (2016) concluded that the substantial increases in opioid deaths in recent years are explained an ag</w:t>
      </w:r>
      <w:r w:rsidR="00072EBE">
        <w:rPr>
          <w:szCs w:val="24"/>
          <w:lang w:val="en-US"/>
        </w:rPr>
        <w:t>e</w:t>
      </w:r>
      <w:r w:rsidRPr="00A17501">
        <w:rPr>
          <w:szCs w:val="24"/>
          <w:lang w:val="en-US"/>
        </w:rPr>
        <w:t>ing profile of heroin users with increasingly complex health and social needs combining with greater availability of heroin, deepening socio-economic deprivation and changes to drug treatment and commissioning practices (ACMD, 2016). According to the Office of National Statistics (2018)</w:t>
      </w:r>
      <w:r w:rsidR="00072EBE">
        <w:rPr>
          <w:szCs w:val="24"/>
          <w:lang w:val="en-US"/>
        </w:rPr>
        <w:t>,</w:t>
      </w:r>
      <w:r w:rsidRPr="00A17501">
        <w:rPr>
          <w:szCs w:val="24"/>
          <w:lang w:val="en-US"/>
        </w:rPr>
        <w:t xml:space="preserve"> there has been a 24% rise in deaths of homeless people in the last 5 years, of which about 32% are drug</w:t>
      </w:r>
      <w:r w:rsidR="00072EBE">
        <w:rPr>
          <w:szCs w:val="24"/>
          <w:lang w:val="en-US"/>
        </w:rPr>
        <w:t>-</w:t>
      </w:r>
      <w:r w:rsidRPr="00A17501">
        <w:rPr>
          <w:szCs w:val="24"/>
          <w:lang w:val="en-US"/>
        </w:rPr>
        <w:t xml:space="preserve">related. </w:t>
      </w:r>
    </w:p>
    <w:p w14:paraId="506685F2" w14:textId="41D5F26F" w:rsidR="00A64E15" w:rsidRPr="005C40C3" w:rsidRDefault="00A64E15" w:rsidP="005C40C3">
      <w:pPr>
        <w:pStyle w:val="Heading3"/>
      </w:pPr>
      <w:bookmarkStart w:id="199" w:name="_Toc9182870"/>
      <w:bookmarkStart w:id="200" w:name="_Toc35892543"/>
      <w:r w:rsidRPr="005C40C3">
        <w:t>Summary of harms</w:t>
      </w:r>
      <w:bookmarkEnd w:id="199"/>
      <w:bookmarkEnd w:id="200"/>
    </w:p>
    <w:p w14:paraId="082D86E2" w14:textId="1B82268C" w:rsidR="00A64E15" w:rsidRDefault="00A64E15" w:rsidP="00A64E15">
      <w:pPr>
        <w:spacing w:line="480" w:lineRule="auto"/>
        <w:rPr>
          <w:szCs w:val="24"/>
        </w:rPr>
      </w:pPr>
      <w:r w:rsidRPr="00EE5F3A">
        <w:rPr>
          <w:szCs w:val="24"/>
        </w:rPr>
        <w:t>With direct laboratory testing of the effects of novel substances untenable, and precise identification of ingested substances in those admitted to hospitals and treatment centres impractical, establishing a clear evidence base for NPS related harms remains challenging.</w:t>
      </w:r>
      <w:r>
        <w:rPr>
          <w:szCs w:val="24"/>
        </w:rPr>
        <w:t xml:space="preserve"> </w:t>
      </w:r>
      <w:r w:rsidRPr="00EE5F3A">
        <w:rPr>
          <w:szCs w:val="24"/>
        </w:rPr>
        <w:t>While identification and reporting of NPS use for those admitted for treatment at drug centres and hospitals is particularly problematic, post-mortem investigations provide somewhat more reliable information on substances consumed before death. Although there are several reasons that mortality figures must be treated with caution, mortality rates indicate that harms associated with NPS are relatively low</w:t>
      </w:r>
      <w:r>
        <w:rPr>
          <w:szCs w:val="24"/>
        </w:rPr>
        <w:t xml:space="preserve">, </w:t>
      </w:r>
      <w:r w:rsidRPr="00EE5F3A">
        <w:rPr>
          <w:szCs w:val="24"/>
        </w:rPr>
        <w:t xml:space="preserve">comparable </w:t>
      </w:r>
      <w:r w:rsidR="00072EBE">
        <w:rPr>
          <w:szCs w:val="24"/>
        </w:rPr>
        <w:t>to that of</w:t>
      </w:r>
      <w:r w:rsidRPr="00EE5F3A">
        <w:rPr>
          <w:szCs w:val="24"/>
        </w:rPr>
        <w:t xml:space="preserve"> drugs such as cannabis</w:t>
      </w:r>
      <w:r w:rsidR="00072EBE">
        <w:rPr>
          <w:szCs w:val="24"/>
        </w:rPr>
        <w:t xml:space="preserve">, </w:t>
      </w:r>
      <w:r w:rsidRPr="00EE5F3A">
        <w:rPr>
          <w:szCs w:val="24"/>
        </w:rPr>
        <w:t>ecstasy and amphetamines</w:t>
      </w:r>
      <w:r w:rsidR="00072EBE">
        <w:rPr>
          <w:szCs w:val="24"/>
        </w:rPr>
        <w:t>,</w:t>
      </w:r>
      <w:r w:rsidRPr="00EE5F3A">
        <w:rPr>
          <w:szCs w:val="24"/>
        </w:rPr>
        <w:t xml:space="preserve"> </w:t>
      </w:r>
      <w:r>
        <w:rPr>
          <w:szCs w:val="24"/>
        </w:rPr>
        <w:t>rather t</w:t>
      </w:r>
      <w:r w:rsidRPr="00EE5F3A">
        <w:rPr>
          <w:szCs w:val="24"/>
        </w:rPr>
        <w:t>han highly dangerous drugs such as crack cocaine and heroin.</w:t>
      </w:r>
    </w:p>
    <w:p w14:paraId="559C4A24" w14:textId="15EC11F3" w:rsidR="00A64E15" w:rsidRDefault="00A64E15" w:rsidP="00A64E15">
      <w:pPr>
        <w:spacing w:line="480" w:lineRule="auto"/>
        <w:rPr>
          <w:szCs w:val="24"/>
        </w:rPr>
      </w:pPr>
      <w:r w:rsidRPr="00EE5F3A">
        <w:rPr>
          <w:szCs w:val="24"/>
        </w:rPr>
        <w:t xml:space="preserve">Although data on admissions to health services </w:t>
      </w:r>
      <w:r>
        <w:rPr>
          <w:szCs w:val="24"/>
        </w:rPr>
        <w:t>provide</w:t>
      </w:r>
      <w:r w:rsidRPr="00EE5F3A">
        <w:rPr>
          <w:szCs w:val="24"/>
        </w:rPr>
        <w:t xml:space="preserve"> less comparative information, NPS related harms can to some extent be inferred from trends over time. Hospital admissions, treatment service entry and mortality statistics all converge upon a picture showing considerable reductions in drug</w:t>
      </w:r>
      <w:r w:rsidR="00072EBE">
        <w:rPr>
          <w:szCs w:val="24"/>
        </w:rPr>
        <w:t>-</w:t>
      </w:r>
      <w:r w:rsidRPr="00EE5F3A">
        <w:rPr>
          <w:szCs w:val="24"/>
        </w:rPr>
        <w:t xml:space="preserve">related harms during 2016/17 following several years of rising harms. Hospital admissions for drug poisonings and mental health </w:t>
      </w:r>
      <w:r>
        <w:rPr>
          <w:szCs w:val="24"/>
        </w:rPr>
        <w:t>/</w:t>
      </w:r>
      <w:r w:rsidRPr="00EE5F3A">
        <w:rPr>
          <w:szCs w:val="24"/>
        </w:rPr>
        <w:t xml:space="preserve"> behavioural disorders have shown reductions of around 7-12% in 2016/17</w:t>
      </w:r>
      <w:r>
        <w:rPr>
          <w:szCs w:val="24"/>
        </w:rPr>
        <w:t>. A</w:t>
      </w:r>
      <w:r w:rsidRPr="00EE5F3A">
        <w:rPr>
          <w:szCs w:val="24"/>
        </w:rPr>
        <w:t xml:space="preserve">lthough the contribution of NPS to hospital admissions cannot be reliably isolated, admissions to drugs misuse treatment services </w:t>
      </w:r>
      <w:r w:rsidR="00072EBE">
        <w:rPr>
          <w:szCs w:val="24"/>
        </w:rPr>
        <w:t>indicate</w:t>
      </w:r>
      <w:r w:rsidRPr="00EE5F3A">
        <w:rPr>
          <w:szCs w:val="24"/>
        </w:rPr>
        <w:t xml:space="preserve"> that the reductions may be due to falls in the use of NPS. Entries to drugs misuse treatment services report a 45% drop in patients citing use of NPS during 2016/17 compared to 2015/16. Mortality data further supports a picture of reduc</w:t>
      </w:r>
      <w:r>
        <w:rPr>
          <w:szCs w:val="24"/>
        </w:rPr>
        <w:t xml:space="preserve">ed </w:t>
      </w:r>
      <w:r w:rsidRPr="00EE5F3A">
        <w:rPr>
          <w:szCs w:val="24"/>
        </w:rPr>
        <w:t xml:space="preserve">NPS related harms in 2016/17 with the number of registered deaths citing NPS on the death certificate </w:t>
      </w:r>
      <w:r>
        <w:rPr>
          <w:szCs w:val="24"/>
        </w:rPr>
        <w:t xml:space="preserve">showing </w:t>
      </w:r>
      <w:r w:rsidRPr="00EE5F3A">
        <w:rPr>
          <w:szCs w:val="24"/>
        </w:rPr>
        <w:t>drop</w:t>
      </w:r>
      <w:r>
        <w:rPr>
          <w:szCs w:val="24"/>
        </w:rPr>
        <w:t>s of</w:t>
      </w:r>
      <w:r w:rsidRPr="00EE5F3A">
        <w:rPr>
          <w:szCs w:val="24"/>
        </w:rPr>
        <w:t xml:space="preserve"> </w:t>
      </w:r>
      <w:r>
        <w:rPr>
          <w:szCs w:val="24"/>
        </w:rPr>
        <w:t>around</w:t>
      </w:r>
      <w:r w:rsidRPr="00EE5F3A">
        <w:rPr>
          <w:szCs w:val="24"/>
        </w:rPr>
        <w:t xml:space="preserve"> 50% compared to 2015/16. </w:t>
      </w:r>
    </w:p>
    <w:p w14:paraId="67D53033" w14:textId="77777777" w:rsidR="00A64E15" w:rsidRDefault="00A64E15" w:rsidP="00A64E15">
      <w:pPr>
        <w:spacing w:line="480" w:lineRule="auto"/>
        <w:rPr>
          <w:szCs w:val="24"/>
        </w:rPr>
      </w:pPr>
      <w:r w:rsidRPr="00EE5F3A">
        <w:rPr>
          <w:szCs w:val="24"/>
        </w:rPr>
        <w:t>The apparent drop in NPS related harms in 2016/17</w:t>
      </w:r>
      <w:r>
        <w:rPr>
          <w:szCs w:val="24"/>
        </w:rPr>
        <w:t xml:space="preserve"> </w:t>
      </w:r>
      <w:r w:rsidRPr="00EE5F3A">
        <w:rPr>
          <w:szCs w:val="24"/>
        </w:rPr>
        <w:t>suggest early indications are that implementation of the PS Act in 2016 may have positively impacted health harms resulting from use of NPS. Although the Government review of the PS Act point toward these trends</w:t>
      </w:r>
      <w:r>
        <w:rPr>
          <w:szCs w:val="24"/>
        </w:rPr>
        <w:t xml:space="preserve"> </w:t>
      </w:r>
      <w:r w:rsidRPr="00EE5F3A">
        <w:rPr>
          <w:szCs w:val="24"/>
        </w:rPr>
        <w:t>in support of their claim that the major aims of the Act have been successfully achieved, such a conclusion might be premature</w:t>
      </w:r>
      <w:r>
        <w:rPr>
          <w:szCs w:val="24"/>
        </w:rPr>
        <w:t xml:space="preserve"> based on the use of short term data and other possible confounding factors.</w:t>
      </w:r>
    </w:p>
    <w:p w14:paraId="78A70EA8" w14:textId="1C794B35" w:rsidR="00A64E15" w:rsidRDefault="00A64E15" w:rsidP="00A64E15">
      <w:pPr>
        <w:spacing w:line="480" w:lineRule="auto"/>
        <w:rPr>
          <w:szCs w:val="24"/>
        </w:rPr>
      </w:pPr>
      <w:r w:rsidRPr="00EE5F3A">
        <w:rPr>
          <w:szCs w:val="24"/>
        </w:rPr>
        <w:t xml:space="preserve">Several confounding factors limit the reliability of the harms data presented, and conclusions must be drawn with caution. Firstly, each of the measures relied upon to determine the effects of NPS use on people’s health are indirect measures and may be strongly affected </w:t>
      </w:r>
      <w:r>
        <w:rPr>
          <w:szCs w:val="24"/>
        </w:rPr>
        <w:t xml:space="preserve">by </w:t>
      </w:r>
      <w:r w:rsidRPr="00EE5F3A">
        <w:rPr>
          <w:szCs w:val="24"/>
        </w:rPr>
        <w:t xml:space="preserve">influences other than NPS consumption. Hospital admission data rests on clinical coding of patient’s ailments which currently exclude NPS as a category of drugs so </w:t>
      </w:r>
      <w:r>
        <w:rPr>
          <w:szCs w:val="24"/>
        </w:rPr>
        <w:t xml:space="preserve">therefore </w:t>
      </w:r>
      <w:r w:rsidRPr="00EE5F3A">
        <w:rPr>
          <w:szCs w:val="24"/>
        </w:rPr>
        <w:t xml:space="preserve">the effects of NPS use cannot be distinguished from </w:t>
      </w:r>
      <w:r w:rsidR="00072EBE">
        <w:rPr>
          <w:szCs w:val="24"/>
        </w:rPr>
        <w:t xml:space="preserve">the </w:t>
      </w:r>
      <w:r w:rsidRPr="00EE5F3A">
        <w:rPr>
          <w:szCs w:val="24"/>
        </w:rPr>
        <w:t xml:space="preserve">use of other drugs. Admission of use of NPS in drug treatment services is not only dependent on patient’s willingness to seek help and </w:t>
      </w:r>
      <w:r>
        <w:rPr>
          <w:szCs w:val="24"/>
        </w:rPr>
        <w:t>reveal</w:t>
      </w:r>
      <w:r w:rsidRPr="00EE5F3A">
        <w:rPr>
          <w:szCs w:val="24"/>
        </w:rPr>
        <w:t xml:space="preserve"> use of illicit substances, but also entry criteria and service funding, all factors which may have been affected by implementation of the Act in various ways. Mortality data is based upon coroner’s likelihood of testing for and reporting of NPS use, as well as being affected by the time-lags of post-mortem inquests.</w:t>
      </w:r>
    </w:p>
    <w:p w14:paraId="3BEA4615" w14:textId="2C00F7EC" w:rsidR="00A64E15" w:rsidRPr="00EE5F3A" w:rsidRDefault="00A64E15" w:rsidP="00A64E15">
      <w:pPr>
        <w:spacing w:line="480" w:lineRule="auto"/>
        <w:rPr>
          <w:szCs w:val="24"/>
        </w:rPr>
      </w:pPr>
      <w:r w:rsidRPr="00EE5F3A">
        <w:rPr>
          <w:szCs w:val="24"/>
        </w:rPr>
        <w:t>Secondly, drug harms and related deaths are strongly influenced by polydrug use, which means the effects of NPS cannot be isolated from the impacts of other drugs, particularly the dominant influence of heroin, the harm potential of which is intimately tied to the drug market and law enforcement dynamics which drive</w:t>
      </w:r>
      <w:r>
        <w:rPr>
          <w:szCs w:val="24"/>
        </w:rPr>
        <w:t xml:space="preserve"> the</w:t>
      </w:r>
      <w:r w:rsidRPr="00EE5F3A">
        <w:rPr>
          <w:szCs w:val="24"/>
        </w:rPr>
        <w:t xml:space="preserve"> availability and potency</w:t>
      </w:r>
      <w:r>
        <w:rPr>
          <w:szCs w:val="24"/>
        </w:rPr>
        <w:t xml:space="preserve"> of drugs</w:t>
      </w:r>
      <w:r w:rsidRPr="00EE5F3A">
        <w:rPr>
          <w:szCs w:val="24"/>
        </w:rPr>
        <w:t xml:space="preserve">. While </w:t>
      </w:r>
      <w:r w:rsidR="00072EBE">
        <w:rPr>
          <w:szCs w:val="24"/>
        </w:rPr>
        <w:t xml:space="preserve">the </w:t>
      </w:r>
      <w:r w:rsidRPr="00EE5F3A">
        <w:rPr>
          <w:szCs w:val="24"/>
        </w:rPr>
        <w:t>growth of the NPS market has been linked with decline</w:t>
      </w:r>
      <w:r>
        <w:rPr>
          <w:szCs w:val="24"/>
        </w:rPr>
        <w:t>s in the</w:t>
      </w:r>
      <w:r w:rsidRPr="00EE5F3A">
        <w:rPr>
          <w:szCs w:val="24"/>
        </w:rPr>
        <w:t xml:space="preserve"> purity</w:t>
      </w:r>
      <w:r>
        <w:rPr>
          <w:szCs w:val="24"/>
        </w:rPr>
        <w:t xml:space="preserve"> of</w:t>
      </w:r>
      <w:r w:rsidRPr="00EE5F3A">
        <w:rPr>
          <w:szCs w:val="24"/>
        </w:rPr>
        <w:t xml:space="preserve"> heroin, cocaine and ecstasy following substantial seizures around a decade ago, so too might declines in use of NPS be influenced by the rises in purity and availability of these substances in recent years. Although polydrug use </w:t>
      </w:r>
      <w:r>
        <w:rPr>
          <w:szCs w:val="24"/>
        </w:rPr>
        <w:t>limits the</w:t>
      </w:r>
      <w:r w:rsidRPr="00EE5F3A">
        <w:rPr>
          <w:szCs w:val="24"/>
        </w:rPr>
        <w:t xml:space="preserve"> </w:t>
      </w:r>
      <w:r>
        <w:rPr>
          <w:szCs w:val="24"/>
        </w:rPr>
        <w:t>extent to which</w:t>
      </w:r>
      <w:r w:rsidR="00072EBE">
        <w:rPr>
          <w:szCs w:val="24"/>
        </w:rPr>
        <w:t xml:space="preserve"> the</w:t>
      </w:r>
      <w:r>
        <w:rPr>
          <w:szCs w:val="24"/>
        </w:rPr>
        <w:t xml:space="preserve"> </w:t>
      </w:r>
      <w:r w:rsidRPr="00EE5F3A">
        <w:rPr>
          <w:szCs w:val="24"/>
        </w:rPr>
        <w:t>independent effects</w:t>
      </w:r>
      <w:r>
        <w:rPr>
          <w:szCs w:val="24"/>
        </w:rPr>
        <w:t xml:space="preserve"> of</w:t>
      </w:r>
      <w:r w:rsidRPr="00EE5F3A">
        <w:rPr>
          <w:szCs w:val="24"/>
        </w:rPr>
        <w:t xml:space="preserve"> NPS </w:t>
      </w:r>
      <w:r>
        <w:rPr>
          <w:szCs w:val="24"/>
        </w:rPr>
        <w:t xml:space="preserve">can be </w:t>
      </w:r>
      <w:r w:rsidRPr="00EE5F3A">
        <w:rPr>
          <w:szCs w:val="24"/>
        </w:rPr>
        <w:t xml:space="preserve">distinguished </w:t>
      </w:r>
      <w:r>
        <w:rPr>
          <w:szCs w:val="24"/>
        </w:rPr>
        <w:t xml:space="preserve">from </w:t>
      </w:r>
      <w:r w:rsidRPr="00EE5F3A">
        <w:rPr>
          <w:szCs w:val="24"/>
        </w:rPr>
        <w:t xml:space="preserve">wider </w:t>
      </w:r>
      <w:r>
        <w:rPr>
          <w:szCs w:val="24"/>
        </w:rPr>
        <w:t xml:space="preserve">factors affecting </w:t>
      </w:r>
      <w:r w:rsidRPr="00EE5F3A">
        <w:rPr>
          <w:szCs w:val="24"/>
        </w:rPr>
        <w:t>other substances, it also draws attention to interaction effects and the possibility that dangerous interactions between NPS and heroin may have contributed to</w:t>
      </w:r>
      <w:r>
        <w:rPr>
          <w:szCs w:val="24"/>
        </w:rPr>
        <w:t xml:space="preserve"> </w:t>
      </w:r>
      <w:r w:rsidRPr="00EE5F3A">
        <w:rPr>
          <w:szCs w:val="24"/>
        </w:rPr>
        <w:t>sharp increases in drug-misuse death</w:t>
      </w:r>
      <w:r>
        <w:rPr>
          <w:szCs w:val="24"/>
        </w:rPr>
        <w:t>s</w:t>
      </w:r>
      <w:r w:rsidRPr="00EE5F3A">
        <w:rPr>
          <w:szCs w:val="24"/>
        </w:rPr>
        <w:t>. However, examination of age difference</w:t>
      </w:r>
      <w:r>
        <w:rPr>
          <w:szCs w:val="24"/>
        </w:rPr>
        <w:t>s</w:t>
      </w:r>
      <w:r w:rsidRPr="00EE5F3A">
        <w:rPr>
          <w:szCs w:val="24"/>
        </w:rPr>
        <w:t xml:space="preserve"> in drug-</w:t>
      </w:r>
      <w:r>
        <w:rPr>
          <w:szCs w:val="24"/>
        </w:rPr>
        <w:t xml:space="preserve">misuse deaths </w:t>
      </w:r>
      <w:r w:rsidRPr="00EE5F3A">
        <w:rPr>
          <w:szCs w:val="24"/>
        </w:rPr>
        <w:t xml:space="preserve">reveals that while </w:t>
      </w:r>
      <w:r>
        <w:rPr>
          <w:szCs w:val="24"/>
        </w:rPr>
        <w:t xml:space="preserve">dangerous </w:t>
      </w:r>
      <w:r w:rsidRPr="00EE5F3A">
        <w:rPr>
          <w:szCs w:val="24"/>
        </w:rPr>
        <w:t xml:space="preserve">interactions </w:t>
      </w:r>
      <w:r>
        <w:rPr>
          <w:szCs w:val="24"/>
        </w:rPr>
        <w:t xml:space="preserve">between heroin and NPS </w:t>
      </w:r>
      <w:r w:rsidRPr="00EE5F3A">
        <w:rPr>
          <w:szCs w:val="24"/>
        </w:rPr>
        <w:t xml:space="preserve">may be </w:t>
      </w:r>
      <w:r>
        <w:rPr>
          <w:szCs w:val="24"/>
        </w:rPr>
        <w:t>significantly affecting</w:t>
      </w:r>
      <w:r w:rsidRPr="00EE5F3A">
        <w:rPr>
          <w:szCs w:val="24"/>
        </w:rPr>
        <w:t xml:space="preserve"> </w:t>
      </w:r>
      <w:r>
        <w:rPr>
          <w:szCs w:val="24"/>
        </w:rPr>
        <w:t>the</w:t>
      </w:r>
      <w:r w:rsidRPr="00EE5F3A">
        <w:rPr>
          <w:szCs w:val="24"/>
        </w:rPr>
        <w:t xml:space="preserve"> older</w:t>
      </w:r>
      <w:r>
        <w:rPr>
          <w:szCs w:val="24"/>
        </w:rPr>
        <w:t xml:space="preserve"> cohort of problem </w:t>
      </w:r>
      <w:r w:rsidRPr="00EE5F3A">
        <w:rPr>
          <w:szCs w:val="24"/>
        </w:rPr>
        <w:t>drug user</w:t>
      </w:r>
      <w:r>
        <w:rPr>
          <w:szCs w:val="24"/>
        </w:rPr>
        <w:t>s</w:t>
      </w:r>
      <w:r w:rsidRPr="00EE5F3A">
        <w:rPr>
          <w:szCs w:val="24"/>
        </w:rPr>
        <w:t xml:space="preserve">, young people appear less affected which suggests they may generally </w:t>
      </w:r>
      <w:r>
        <w:rPr>
          <w:szCs w:val="24"/>
        </w:rPr>
        <w:t xml:space="preserve">be </w:t>
      </w:r>
      <w:r w:rsidRPr="00EE5F3A">
        <w:rPr>
          <w:szCs w:val="24"/>
        </w:rPr>
        <w:t>us</w:t>
      </w:r>
      <w:r>
        <w:rPr>
          <w:szCs w:val="24"/>
        </w:rPr>
        <w:t>ing</w:t>
      </w:r>
      <w:r w:rsidRPr="00EE5F3A">
        <w:rPr>
          <w:szCs w:val="24"/>
        </w:rPr>
        <w:t xml:space="preserve"> NPS in different ways and for different reasons.  </w:t>
      </w:r>
    </w:p>
    <w:p w14:paraId="258F61A2" w14:textId="77777777" w:rsidR="00A64E15" w:rsidRPr="00463171" w:rsidRDefault="00A64E15" w:rsidP="00A64E15">
      <w:pPr>
        <w:spacing w:line="480" w:lineRule="auto"/>
        <w:rPr>
          <w:szCs w:val="24"/>
        </w:rPr>
      </w:pPr>
      <w:r w:rsidRPr="00EE5F3A">
        <w:rPr>
          <w:szCs w:val="24"/>
        </w:rPr>
        <w:t xml:space="preserve">In conclusion, although it appears </w:t>
      </w:r>
      <w:r>
        <w:rPr>
          <w:szCs w:val="24"/>
        </w:rPr>
        <w:t xml:space="preserve">plausible that </w:t>
      </w:r>
      <w:r w:rsidRPr="00EE5F3A">
        <w:rPr>
          <w:szCs w:val="24"/>
        </w:rPr>
        <w:t xml:space="preserve">the Act </w:t>
      </w:r>
      <w:r>
        <w:rPr>
          <w:szCs w:val="24"/>
        </w:rPr>
        <w:t xml:space="preserve">has had a positive impact on </w:t>
      </w:r>
      <w:r w:rsidRPr="00EE5F3A">
        <w:rPr>
          <w:szCs w:val="24"/>
        </w:rPr>
        <w:t xml:space="preserve">health harms associated with NPS, the </w:t>
      </w:r>
      <w:r>
        <w:rPr>
          <w:szCs w:val="24"/>
        </w:rPr>
        <w:t>effects</w:t>
      </w:r>
      <w:r w:rsidRPr="00EE5F3A">
        <w:rPr>
          <w:szCs w:val="24"/>
        </w:rPr>
        <w:t xml:space="preserve"> </w:t>
      </w:r>
      <w:r>
        <w:rPr>
          <w:szCs w:val="24"/>
        </w:rPr>
        <w:t>are</w:t>
      </w:r>
      <w:r w:rsidRPr="00EE5F3A">
        <w:rPr>
          <w:szCs w:val="24"/>
        </w:rPr>
        <w:t xml:space="preserve"> likely to be overemphasised when relying on post-ban data from a single year</w:t>
      </w:r>
      <w:r>
        <w:rPr>
          <w:szCs w:val="24"/>
        </w:rPr>
        <w:t>.</w:t>
      </w:r>
      <w:r w:rsidRPr="00EE5F3A">
        <w:rPr>
          <w:szCs w:val="24"/>
        </w:rPr>
        <w:t xml:space="preserve"> </w:t>
      </w:r>
      <w:r>
        <w:rPr>
          <w:szCs w:val="24"/>
        </w:rPr>
        <w:t>T</w:t>
      </w:r>
      <w:r w:rsidRPr="00EE5F3A">
        <w:rPr>
          <w:szCs w:val="24"/>
        </w:rPr>
        <w:t>he true impact of the ban</w:t>
      </w:r>
      <w:r>
        <w:rPr>
          <w:szCs w:val="24"/>
        </w:rPr>
        <w:t xml:space="preserve"> is not likely to</w:t>
      </w:r>
      <w:r w:rsidRPr="00EE5F3A">
        <w:rPr>
          <w:szCs w:val="24"/>
        </w:rPr>
        <w:t xml:space="preserve"> be </w:t>
      </w:r>
      <w:r>
        <w:rPr>
          <w:szCs w:val="24"/>
        </w:rPr>
        <w:t>confirmed</w:t>
      </w:r>
      <w:r w:rsidRPr="00EE5F3A">
        <w:rPr>
          <w:szCs w:val="24"/>
        </w:rPr>
        <w:t xml:space="preserve"> before trend</w:t>
      </w:r>
      <w:r>
        <w:rPr>
          <w:szCs w:val="24"/>
        </w:rPr>
        <w:t xml:space="preserve"> data for </w:t>
      </w:r>
      <w:r w:rsidRPr="00EE5F3A">
        <w:rPr>
          <w:szCs w:val="24"/>
        </w:rPr>
        <w:t>several years can be analysed. In addition, the effects of NPS cannot, nor should not, be viewed in isolation from other substances of abuse</w:t>
      </w:r>
      <w:r>
        <w:rPr>
          <w:szCs w:val="24"/>
        </w:rPr>
        <w:t>. I</w:t>
      </w:r>
      <w:r w:rsidRPr="00EE5F3A">
        <w:rPr>
          <w:szCs w:val="24"/>
        </w:rPr>
        <w:t>t is vital to understand not just the</w:t>
      </w:r>
      <w:r>
        <w:rPr>
          <w:szCs w:val="24"/>
        </w:rPr>
        <w:t xml:space="preserve"> dangerous</w:t>
      </w:r>
      <w:r w:rsidRPr="00EE5F3A">
        <w:rPr>
          <w:szCs w:val="24"/>
        </w:rPr>
        <w:t xml:space="preserve"> effects of drug interactions </w:t>
      </w:r>
      <w:r>
        <w:rPr>
          <w:szCs w:val="24"/>
        </w:rPr>
        <w:t>brought about by</w:t>
      </w:r>
      <w:r w:rsidRPr="00EE5F3A">
        <w:rPr>
          <w:szCs w:val="24"/>
        </w:rPr>
        <w:t xml:space="preserve"> polydrug use, but</w:t>
      </w:r>
      <w:r>
        <w:rPr>
          <w:szCs w:val="24"/>
        </w:rPr>
        <w:t xml:space="preserve"> also the</w:t>
      </w:r>
      <w:r w:rsidRPr="00EE5F3A">
        <w:rPr>
          <w:szCs w:val="24"/>
        </w:rPr>
        <w:t xml:space="preserve"> processes of displacement </w:t>
      </w:r>
      <w:r>
        <w:rPr>
          <w:szCs w:val="24"/>
        </w:rPr>
        <w:t xml:space="preserve">within the drug market as </w:t>
      </w:r>
      <w:r w:rsidRPr="00EE5F3A">
        <w:rPr>
          <w:szCs w:val="24"/>
        </w:rPr>
        <w:t xml:space="preserve">reductions in NPS use are compensated for by </w:t>
      </w:r>
      <w:r>
        <w:rPr>
          <w:szCs w:val="24"/>
        </w:rPr>
        <w:t>consumption</w:t>
      </w:r>
      <w:r w:rsidRPr="00EE5F3A">
        <w:rPr>
          <w:szCs w:val="24"/>
        </w:rPr>
        <w:t xml:space="preserve"> of other drugs.</w:t>
      </w:r>
    </w:p>
    <w:p w14:paraId="08A13AB4" w14:textId="07930AA4" w:rsidR="00A64E15" w:rsidRPr="006874B2" w:rsidRDefault="00A64E15" w:rsidP="006874B2">
      <w:pPr>
        <w:pStyle w:val="Heading2"/>
      </w:pPr>
      <w:bookmarkStart w:id="201" w:name="_Toc9182871"/>
      <w:bookmarkStart w:id="202" w:name="_Toc35892544"/>
      <w:r w:rsidRPr="006874B2">
        <w:t>Chapter summary</w:t>
      </w:r>
      <w:bookmarkEnd w:id="201"/>
      <w:bookmarkEnd w:id="202"/>
      <w:r w:rsidRPr="006874B2">
        <w:t xml:space="preserve"> </w:t>
      </w:r>
    </w:p>
    <w:p w14:paraId="2C55BD5F" w14:textId="77777777" w:rsidR="00A64E15" w:rsidRDefault="00A64E15" w:rsidP="00A64E15">
      <w:pPr>
        <w:spacing w:line="480" w:lineRule="auto"/>
      </w:pPr>
      <w:r>
        <w:t xml:space="preserve">The diversity of NPS and their rapid emergence onto the recreational drug market represent significant changes to the UK drugs market that challenge existing approaches to drug control and intervention. Until a decade ago, recreational drugs were typically one of about six well-known substances but with the proliferation of around 670 novel substances onto the market, young people encountering drugs will be increasingly likely to come across products containing inconsistent and unknown ingredients. Despite being a diverse group of drugs, NPS can usefully be understood according to their psychoactive effects and functional similarity to the traditional substances they emulate. It is especially important that NPS are not viewed in isolation but instead considered with the wider system of the interactive and adaptive drug markets in which they exist. </w:t>
      </w:r>
    </w:p>
    <w:p w14:paraId="704E9EE7" w14:textId="77777777" w:rsidR="00A64E15" w:rsidRPr="00670E8B" w:rsidRDefault="00A64E15" w:rsidP="00A64E15">
      <w:pPr>
        <w:spacing w:line="480" w:lineRule="auto"/>
        <w:rPr>
          <w:szCs w:val="24"/>
        </w:rPr>
      </w:pPr>
      <w:r>
        <w:t xml:space="preserve">It was through failing to consider the systemic and dynamic nature of recreational drug markets that the UK Government inadvertently contributed to the exacerbation of the problem that NPS present. In seeking to control individual substances without taking the time to consider the wider context and differences in relative harm potential, authorities drew producers into the cat and mouse game that led to the creation of a more diverse, complex and ultimately, more dangerous market. </w:t>
      </w:r>
    </w:p>
    <w:p w14:paraId="1333095E" w14:textId="3C33E9F5" w:rsidR="00A64E15" w:rsidRDefault="00A64E15" w:rsidP="00A64E15">
      <w:pPr>
        <w:spacing w:line="480" w:lineRule="auto"/>
      </w:pPr>
      <w:r>
        <w:t>Although the PS Act attempts to bring an end to the cat and mouse game, the proliferation that has already occurred rema</w:t>
      </w:r>
      <w:r w:rsidR="00072EBE">
        <w:t>i</w:t>
      </w:r>
      <w:r>
        <w:t>ns problematic due to the continued availability of at least 400 novel, potentially harmful substances, about which very little is known. Furthermore, without addressing the technological innovation and advances that made the cat and mouse game possible in the first place, the problem of NPS is unlikely to go away. That problem is a lack of information about rapidly changing drug products and the inability of both users and authorities to be able to identify substances and accurately assess the risks of use. It is a problem which particularly affects users, as the variability of ingredients of unpredictable potency within drug products sold with no accompanying information exposes people encountering drugs to considerably greater risks than ever before.</w:t>
      </w:r>
    </w:p>
    <w:p w14:paraId="27FB21F5" w14:textId="77777777" w:rsidR="00A64E15" w:rsidRDefault="00A64E15" w:rsidP="00A64E15">
      <w:pPr>
        <w:spacing w:line="480" w:lineRule="auto"/>
      </w:pPr>
      <w:r>
        <w:t xml:space="preserve">The implementation of the PS Act was intended to reduce the level of harms resulting from use of NPS following the logic that changing their legal status would send a health message to users and eliminate open sales by vendors which would lead to a corresponding reduction in NPS-related harms. Although the PS Act appears to have successfully prevented open sales of NPS and the initial signs are that prevalence of NPS use in the general population may have declined, it also appears the Act may also be resulting in several unintended negative consequences. Evidence suggests that sales of NPS have not been prevented, but instead have shifted onto the black market where early reports indicate that the harm potential and cost of substances have increased, with vulnerable users being impacted most heavily. For those no longer using NPS, there is evidence to suggest that some users may be switching to use of traditional illicit drugs, but it is unknown to what extent this shift represents existing drug users returning to previously used substances or NPS users without a history of prior drug use taking up use of illicit drugs. Furthermore, with some former legal highs evolving into more highly addictive forms, it is a concern that users of NPS may be at risk of developing drug dependency and problematic use of harmful substances.  </w:t>
      </w:r>
    </w:p>
    <w:p w14:paraId="6852806E" w14:textId="77777777" w:rsidR="00A64E15" w:rsidRDefault="00A64E15" w:rsidP="00A64E15">
      <w:pPr>
        <w:spacing w:line="480" w:lineRule="auto"/>
      </w:pPr>
      <w:r>
        <w:t xml:space="preserve">From the perspective of considering health inequalities, the possibility that the apparent success of the PS Act based on data from the general population might come at the cost of more vulnerable or marginalised groups is concerning. The exacerbation of health inequalities becomes possible when the interventions such as the PS Act are considered within too narrow a focus and insufficient attention is given to the complexity of the situation. In this case, a diverse range of substances, being used by different types of users in a variety of contexts has generally been treated as a single population using one type of drug. However, evidence indicates that user types and drug types are distinct, interacting in different ways which are likely to incur differential risks.  </w:t>
      </w:r>
    </w:p>
    <w:p w14:paraId="4015E04A" w14:textId="2EA331F3" w:rsidR="00A64E15" w:rsidRDefault="00A64E15" w:rsidP="00A64E15">
      <w:pPr>
        <w:spacing w:line="480" w:lineRule="auto"/>
      </w:pPr>
      <w:r>
        <w:t xml:space="preserve">Currently, the tendency to conflate populations seems to have led to a situation where the disproportionate representation of a small, but especially vulnerable population of high-risk drug users, is not being sufficiently accounted for in </w:t>
      </w:r>
      <w:r w:rsidR="00072EBE">
        <w:t xml:space="preserve">the </w:t>
      </w:r>
      <w:r>
        <w:t xml:space="preserve">assessment of NPS harms.  As a result, harm statistics which largely represent the complex needs and high-risk practices of a minority of NPS users are being generalised to what is likely to be a much larger group of users with very different consumption patterns and motivations for drug use. For example, while opiate users who take NPS in the context of polydrug use make up the majority of those in drug treatment and mortality figures, younger users of NPS show low usage of opiates and patterns of consumption more in line with recreational use of club drugs. </w:t>
      </w:r>
    </w:p>
    <w:p w14:paraId="224A590A" w14:textId="45BFF7DE" w:rsidR="00A64E15" w:rsidRDefault="00A64E15" w:rsidP="00A64E15">
      <w:pPr>
        <w:spacing w:line="480" w:lineRule="auto"/>
      </w:pPr>
      <w:r>
        <w:t>Until the effects of NPS can be reliably isolated in measures of harm, NPS harm statistics are likely to be heavily confounded by factors affecting the opiate market. Given that the purity of heroin, the most commonly used opiate, has been observed to drop at about the same time as the Act was introduced, there is a possibility that any resultant reductions in harms stemming from the reduced harm potential of heroin may be inappropriately attributed to changes in legislation. To make matters worse, the negative impact of the Act on the harm potential of the very drugs it sought to control may also be obscured by overreliance on data based on the general population which systematically exclude marginalised and hard to reach populations. Yet it is these marginalised populations and subgroups of users who are now exposed to greater risk due to the increased harm potential of on NPS.</w:t>
      </w:r>
    </w:p>
    <w:p w14:paraId="68239AC0" w14:textId="47791338" w:rsidR="006874B2" w:rsidRDefault="00A64E15" w:rsidP="000427F1">
      <w:pPr>
        <w:spacing w:line="480" w:lineRule="auto"/>
      </w:pPr>
      <w:r>
        <w:t>If we are to develop interventions to help young people exposed to the risks of NPS use it is vitally important to improve our understanding of their relationship with these substances and how they might differ to other cohorts of drug users. We need to understand why young people use, or do not use NPS, the choices they are presented with when they encounter these drugs and what motivates their behaviour. In addition, if we are to better understand how the PS Act has affected young people, we need to improve our understanding of how implementation of the ban has impacted the choices, attitudes and beliefs around NPS which underpins their behaviour.</w:t>
      </w:r>
    </w:p>
    <w:p w14:paraId="7AF29633" w14:textId="268063C3" w:rsidR="00F457D8" w:rsidRDefault="00F457D8">
      <w:r>
        <w:br w:type="page"/>
      </w:r>
    </w:p>
    <w:p w14:paraId="445917B9" w14:textId="77777777" w:rsidR="00F457D8" w:rsidRDefault="00F457D8" w:rsidP="00F457D8">
      <w:pPr>
        <w:jc w:val="center"/>
        <w:rPr>
          <w:rFonts w:cs="Arial"/>
          <w:b/>
          <w:bCs/>
          <w:sz w:val="28"/>
          <w:szCs w:val="28"/>
        </w:rPr>
      </w:pPr>
    </w:p>
    <w:p w14:paraId="28EFEFD9" w14:textId="77777777" w:rsidR="00F457D8" w:rsidRDefault="00F457D8" w:rsidP="00F457D8">
      <w:pPr>
        <w:jc w:val="center"/>
        <w:rPr>
          <w:rFonts w:cs="Arial"/>
          <w:b/>
          <w:bCs/>
          <w:sz w:val="28"/>
          <w:szCs w:val="28"/>
        </w:rPr>
      </w:pPr>
    </w:p>
    <w:p w14:paraId="17D110EE" w14:textId="77777777" w:rsidR="00F457D8" w:rsidRDefault="00F457D8" w:rsidP="00F457D8">
      <w:pPr>
        <w:jc w:val="center"/>
        <w:rPr>
          <w:rFonts w:cs="Arial"/>
          <w:b/>
          <w:bCs/>
          <w:sz w:val="28"/>
          <w:szCs w:val="28"/>
        </w:rPr>
      </w:pPr>
    </w:p>
    <w:p w14:paraId="4A833DAC" w14:textId="77777777" w:rsidR="00F457D8" w:rsidRDefault="00F457D8" w:rsidP="00F457D8">
      <w:pPr>
        <w:jc w:val="center"/>
        <w:rPr>
          <w:rFonts w:cs="Arial"/>
          <w:b/>
          <w:bCs/>
          <w:sz w:val="28"/>
          <w:szCs w:val="28"/>
        </w:rPr>
      </w:pPr>
    </w:p>
    <w:p w14:paraId="27E1C6B4" w14:textId="77777777" w:rsidR="00F457D8" w:rsidRDefault="00F457D8" w:rsidP="00F457D8">
      <w:pPr>
        <w:jc w:val="center"/>
        <w:rPr>
          <w:rFonts w:cs="Arial"/>
          <w:b/>
          <w:bCs/>
          <w:sz w:val="28"/>
          <w:szCs w:val="28"/>
        </w:rPr>
      </w:pPr>
    </w:p>
    <w:p w14:paraId="1B90AB5A" w14:textId="77777777" w:rsidR="00F457D8" w:rsidRDefault="00F457D8" w:rsidP="00F457D8">
      <w:pPr>
        <w:jc w:val="center"/>
        <w:rPr>
          <w:rFonts w:cs="Arial"/>
          <w:b/>
          <w:bCs/>
          <w:sz w:val="28"/>
          <w:szCs w:val="28"/>
        </w:rPr>
      </w:pPr>
    </w:p>
    <w:p w14:paraId="180A6BDF" w14:textId="77777777" w:rsidR="00F457D8" w:rsidRDefault="00F457D8" w:rsidP="00F457D8">
      <w:pPr>
        <w:jc w:val="center"/>
        <w:rPr>
          <w:rFonts w:cs="Arial"/>
          <w:b/>
          <w:bCs/>
          <w:sz w:val="28"/>
          <w:szCs w:val="28"/>
        </w:rPr>
      </w:pPr>
    </w:p>
    <w:p w14:paraId="62D90B1F" w14:textId="77777777" w:rsidR="00F457D8" w:rsidRDefault="00F457D8" w:rsidP="00F457D8">
      <w:pPr>
        <w:jc w:val="center"/>
      </w:pPr>
      <w:r w:rsidRPr="005A7BA5">
        <w:t>[This page intentionally blank]</w:t>
      </w:r>
    </w:p>
    <w:p w14:paraId="268009C1" w14:textId="77777777" w:rsidR="006874B2" w:rsidRDefault="006874B2"/>
    <w:p w14:paraId="18192748" w14:textId="77777777" w:rsidR="007B6EA9" w:rsidRDefault="007B6EA9" w:rsidP="000427F1">
      <w:pPr>
        <w:spacing w:line="480" w:lineRule="auto"/>
        <w:sectPr w:rsidR="007B6EA9" w:rsidSect="000427F1">
          <w:headerReference w:type="default" r:id="rId51"/>
          <w:headerReference w:type="first" r:id="rId52"/>
          <w:footerReference w:type="first" r:id="rId53"/>
          <w:pgSz w:w="11900" w:h="16840"/>
          <w:pgMar w:top="1418" w:right="1418" w:bottom="1418" w:left="1418" w:header="709" w:footer="709" w:gutter="0"/>
          <w:cols w:space="708"/>
          <w:docGrid w:linePitch="360"/>
        </w:sectPr>
      </w:pPr>
    </w:p>
    <w:p w14:paraId="25E85C74" w14:textId="03EA8480" w:rsidR="006874B2" w:rsidRPr="0040349F" w:rsidRDefault="006874B2" w:rsidP="00673744">
      <w:pPr>
        <w:pStyle w:val="Heading1"/>
        <w:ind w:left="-142"/>
      </w:pPr>
      <w:bookmarkStart w:id="203" w:name="_Toc35892545"/>
      <w:bookmarkStart w:id="204" w:name="_Hlk5900148"/>
      <w:r w:rsidRPr="0040349F">
        <w:t xml:space="preserve">Literature review of drug prevention </w:t>
      </w:r>
      <w:r w:rsidR="00754761">
        <w:t>guidelines</w:t>
      </w:r>
      <w:bookmarkEnd w:id="203"/>
    </w:p>
    <w:p w14:paraId="63802E8C" w14:textId="77777777" w:rsidR="006874B2" w:rsidRDefault="006874B2" w:rsidP="006874B2"/>
    <w:p w14:paraId="64F60ED3" w14:textId="5E2F9BFD" w:rsidR="007B6EA9" w:rsidRPr="0040349F" w:rsidRDefault="007B6EA9" w:rsidP="0040349F">
      <w:pPr>
        <w:pStyle w:val="Heading2"/>
      </w:pPr>
      <w:bookmarkStart w:id="205" w:name="_Toc35892546"/>
      <w:r w:rsidRPr="0040349F">
        <w:t>Introduction</w:t>
      </w:r>
      <w:bookmarkEnd w:id="205"/>
      <w:r w:rsidRPr="0040349F">
        <w:t xml:space="preserve"> </w:t>
      </w:r>
      <w:bookmarkStart w:id="206" w:name="_Hlk5713807"/>
      <w:bookmarkEnd w:id="204"/>
    </w:p>
    <w:p w14:paraId="4EA3B262" w14:textId="7094C927" w:rsidR="007B6EA9" w:rsidRDefault="007B6EA9" w:rsidP="007B6EA9">
      <w:pPr>
        <w:spacing w:line="480" w:lineRule="auto"/>
        <w:rPr>
          <w:szCs w:val="24"/>
        </w:rPr>
      </w:pPr>
      <w:r>
        <w:t xml:space="preserve">Chapter 2 </w:t>
      </w:r>
      <w:r w:rsidR="00E53078">
        <w:t>highlighted</w:t>
      </w:r>
      <w:r>
        <w:t xml:space="preserve"> NPS </w:t>
      </w:r>
      <w:r w:rsidR="00E53078">
        <w:t>as</w:t>
      </w:r>
      <w:r>
        <w:t xml:space="preserve"> a serious health risk that disproportionately affects young people. In this chapter</w:t>
      </w:r>
      <w:r w:rsidR="00072EBE">
        <w:t>,</w:t>
      </w:r>
      <w:r>
        <w:t xml:space="preserve"> </w:t>
      </w:r>
      <w:r w:rsidRPr="001E6E57">
        <w:t xml:space="preserve">attention turns to what action can be taken by those wanting to intervene to address the risk presented to young people by NPS. </w:t>
      </w:r>
      <w:bookmarkEnd w:id="206"/>
      <w:r w:rsidRPr="001E6E57">
        <w:rPr>
          <w:szCs w:val="24"/>
        </w:rPr>
        <w:t>As the most effective interventions are based on scientific evidence of what works</w:t>
      </w:r>
      <w:r>
        <w:rPr>
          <w:szCs w:val="24"/>
        </w:rPr>
        <w:t xml:space="preserve"> (</w:t>
      </w:r>
      <w:r w:rsidR="00D40BCF">
        <w:rPr>
          <w:szCs w:val="24"/>
        </w:rPr>
        <w:t>EMCDDA, 2011; NICE, 2007</w:t>
      </w:r>
      <w:r>
        <w:rPr>
          <w:szCs w:val="24"/>
        </w:rPr>
        <w:t xml:space="preserve">), a review of relevant </w:t>
      </w:r>
      <w:r w:rsidRPr="001E6E57">
        <w:rPr>
          <w:szCs w:val="24"/>
        </w:rPr>
        <w:t>empirical studies</w:t>
      </w:r>
      <w:r>
        <w:rPr>
          <w:szCs w:val="24"/>
        </w:rPr>
        <w:t xml:space="preserve"> was undertaken to establish what evidence is available that can u</w:t>
      </w:r>
      <w:r w:rsidRPr="00841D76">
        <w:rPr>
          <w:szCs w:val="24"/>
        </w:rPr>
        <w:t>sefully inform the development of NPS-focused interventions</w:t>
      </w:r>
      <w:r>
        <w:rPr>
          <w:szCs w:val="24"/>
        </w:rPr>
        <w:t xml:space="preserve">, and what gaps in the literature need to be addressed. This chapter presents the findings from the review of the empirical evidence base. </w:t>
      </w:r>
    </w:p>
    <w:p w14:paraId="78FF2B7F" w14:textId="210B1E5F" w:rsidR="007B6EA9" w:rsidRDefault="007B6EA9" w:rsidP="007B6EA9">
      <w:pPr>
        <w:spacing w:line="480" w:lineRule="auto"/>
      </w:pPr>
      <w:r w:rsidRPr="00651066">
        <w:t xml:space="preserve">Despite the burgeoning field of scientific inquiry around NPS brought about by extensive media and political attention, </w:t>
      </w:r>
      <w:r>
        <w:t>an initial scoping</w:t>
      </w:r>
      <w:r w:rsidRPr="00651066">
        <w:t xml:space="preserve"> search revealed no studies </w:t>
      </w:r>
      <w:r>
        <w:t>on</w:t>
      </w:r>
      <w:r w:rsidRPr="00651066">
        <w:t xml:space="preserve"> the effectiveness of interventions to prevent or reduce NPS use. </w:t>
      </w:r>
      <w:r>
        <w:t>M</w:t>
      </w:r>
      <w:r w:rsidRPr="00651066">
        <w:t xml:space="preserve">ost studies in the </w:t>
      </w:r>
      <w:r>
        <w:t xml:space="preserve">NPS evidence base have </w:t>
      </w:r>
      <w:r w:rsidRPr="00651066">
        <w:t>focus</w:t>
      </w:r>
      <w:r>
        <w:t>ed</w:t>
      </w:r>
      <w:r w:rsidRPr="00651066">
        <w:t xml:space="preserve"> on issues of toxicology, pharmacology and identification</w:t>
      </w:r>
      <w:r>
        <w:t xml:space="preserve"> and therefore have little direct relevance to this project. Nevertheless, the initial scoping search did </w:t>
      </w:r>
      <w:r w:rsidRPr="00651066">
        <w:t xml:space="preserve">reveal </w:t>
      </w:r>
      <w:r w:rsidR="00545318">
        <w:t xml:space="preserve">a </w:t>
      </w:r>
      <w:r>
        <w:t>sufficient quantity</w:t>
      </w:r>
      <w:r w:rsidRPr="00651066">
        <w:t xml:space="preserve"> of studies </w:t>
      </w:r>
      <w:r>
        <w:t>examining</w:t>
      </w:r>
      <w:r w:rsidRPr="00651066">
        <w:t xml:space="preserve"> </w:t>
      </w:r>
      <w:r w:rsidR="00545318">
        <w:t xml:space="preserve">the </w:t>
      </w:r>
      <w:r w:rsidRPr="00651066">
        <w:t xml:space="preserve">social and psychological aspects of NPS use </w:t>
      </w:r>
      <w:r>
        <w:t>to warrant further analysis.</w:t>
      </w:r>
    </w:p>
    <w:p w14:paraId="7034956E" w14:textId="5159796F" w:rsidR="007B6EA9" w:rsidRPr="002E06FF" w:rsidRDefault="007B6EA9" w:rsidP="007B6EA9">
      <w:pPr>
        <w:spacing w:line="480" w:lineRule="auto"/>
      </w:pPr>
      <w:r>
        <w:t xml:space="preserve">In addition, however, there was also a need to consult the evidence base on illicit drug interventions, as, </w:t>
      </w:r>
      <w:r w:rsidRPr="00651066">
        <w:t xml:space="preserve">in the absence of an evidence base for NPS-specific interventions, drug </w:t>
      </w:r>
      <w:r>
        <w:t xml:space="preserve">use </w:t>
      </w:r>
      <w:r w:rsidRPr="00651066">
        <w:t>prevention guidelines recommend that NPS</w:t>
      </w:r>
      <w:r>
        <w:t xml:space="preserve">-focused </w:t>
      </w:r>
      <w:r w:rsidRPr="00651066">
        <w:t xml:space="preserve">interventions should be based on those </w:t>
      </w:r>
      <w:r>
        <w:t>developed for addressing use of</w:t>
      </w:r>
      <w:r w:rsidRPr="00651066">
        <w:t xml:space="preserve"> traditional illicit drugs (HM Government, 2010; NICE, 2017</w:t>
      </w:r>
      <w:r>
        <w:t xml:space="preserve">). </w:t>
      </w:r>
      <w:r w:rsidRPr="00651066">
        <w:t xml:space="preserve">Consequently, the literature review </w:t>
      </w:r>
      <w:r>
        <w:t xml:space="preserve">was conducted </w:t>
      </w:r>
      <w:r w:rsidRPr="00651066">
        <w:t>in two parts</w:t>
      </w:r>
      <w:r>
        <w:t>.</w:t>
      </w:r>
      <w:r w:rsidRPr="00651066">
        <w:t xml:space="preserve"> Part I </w:t>
      </w:r>
      <w:r>
        <w:t xml:space="preserve">presents the findings of a review </w:t>
      </w:r>
      <w:r w:rsidR="00E53078">
        <w:t>of key drug prevention guidelines and the evidence on which they are based</w:t>
      </w:r>
      <w:r w:rsidR="00754761">
        <w:t xml:space="preserve"> (Chapter 3)</w:t>
      </w:r>
      <w:r w:rsidRPr="00651066">
        <w:t xml:space="preserve">; and Part II </w:t>
      </w:r>
      <w:r>
        <w:t>presents the findings of a systematic review that explored the available evidence-base for evidence on</w:t>
      </w:r>
      <w:r w:rsidRPr="00651066">
        <w:t xml:space="preserve"> users</w:t>
      </w:r>
      <w:r>
        <w:t>’,</w:t>
      </w:r>
      <w:r w:rsidRPr="00651066">
        <w:t xml:space="preserve"> and potential users</w:t>
      </w:r>
      <w:r>
        <w:t>’,</w:t>
      </w:r>
      <w:r w:rsidRPr="00651066">
        <w:t xml:space="preserve"> reasons for using NPS</w:t>
      </w:r>
      <w:r w:rsidR="00754761">
        <w:t xml:space="preserve"> (Chapter 4)</w:t>
      </w:r>
      <w:r w:rsidRPr="00651066">
        <w:t xml:space="preserve">. </w:t>
      </w:r>
    </w:p>
    <w:p w14:paraId="3BEC5C0B" w14:textId="2E9720D5" w:rsidR="007B6EA9" w:rsidRPr="0040349F" w:rsidRDefault="00754761" w:rsidP="0040349F">
      <w:pPr>
        <w:pStyle w:val="Heading2"/>
      </w:pPr>
      <w:bookmarkStart w:id="207" w:name="_Toc35892547"/>
      <w:r>
        <w:t>Part I Drug prevention guidelines</w:t>
      </w:r>
      <w:bookmarkEnd w:id="207"/>
    </w:p>
    <w:p w14:paraId="7593E4A4" w14:textId="7E0B08EC" w:rsidR="007B6EA9" w:rsidRDefault="007B6EA9" w:rsidP="007B6EA9">
      <w:pPr>
        <w:spacing w:line="480" w:lineRule="auto"/>
      </w:pPr>
      <w:r>
        <w:t xml:space="preserve">The purpose of Part I of the review is to examine </w:t>
      </w:r>
      <w:r w:rsidR="00545318">
        <w:t xml:space="preserve">the </w:t>
      </w:r>
      <w:r w:rsidR="00754761">
        <w:t>literature</w:t>
      </w:r>
      <w:r>
        <w:t xml:space="preserve"> on </w:t>
      </w:r>
      <w:r w:rsidR="00754761">
        <w:t xml:space="preserve">recommendations for, and </w:t>
      </w:r>
      <w:r>
        <w:t>effectiveness of</w:t>
      </w:r>
      <w:r w:rsidR="00754761">
        <w:t>,</w:t>
      </w:r>
      <w:r>
        <w:t xml:space="preserve"> drug prevention interventions in order </w:t>
      </w:r>
      <w:r w:rsidR="00545318">
        <w:t xml:space="preserve">to </w:t>
      </w:r>
      <w:r>
        <w:t xml:space="preserve">provide a basis for the development of NPS-focused interventions. As interventions which resonate with guideline recommendations are more likely to be commissioned and supported (NICE, 2007; 2017), this review utilised a pragmatic approach that took as a starting point key guidelines and strategic documents which provide expert recommendations on intervention development and guide commissioning in the area of drug prevention. The evidence base underpinning the selected guidelines was reviewed to provide an overview of the types of drug interventions described, reported evidence of their effectiveness and recommendations for their use. </w:t>
      </w:r>
    </w:p>
    <w:p w14:paraId="45B74ED4" w14:textId="1D6202FF" w:rsidR="007B6EA9" w:rsidRPr="004A75F8" w:rsidRDefault="007B6EA9" w:rsidP="007B6EA9">
      <w:pPr>
        <w:pStyle w:val="Heading3"/>
      </w:pPr>
      <w:bookmarkStart w:id="208" w:name="_Toc302555115"/>
      <w:bookmarkStart w:id="209" w:name="_Toc365537955"/>
      <w:bookmarkStart w:id="210" w:name="_Toc35892548"/>
      <w:r w:rsidRPr="004A75F8">
        <w:t>Review objectives</w:t>
      </w:r>
      <w:bookmarkEnd w:id="208"/>
      <w:bookmarkEnd w:id="209"/>
      <w:bookmarkEnd w:id="210"/>
    </w:p>
    <w:p w14:paraId="2458008C" w14:textId="77777777" w:rsidR="007B6EA9" w:rsidRDefault="007B6EA9" w:rsidP="00C92BD2">
      <w:pPr>
        <w:pStyle w:val="ListParagraph"/>
        <w:numPr>
          <w:ilvl w:val="0"/>
          <w:numId w:val="7"/>
        </w:numPr>
        <w:spacing w:after="100" w:afterAutospacing="1" w:line="480" w:lineRule="auto"/>
      </w:pPr>
      <w:r>
        <w:t xml:space="preserve">Provide an overview and summary of intervention types included in key guidelines for drug prevention intervention development  </w:t>
      </w:r>
    </w:p>
    <w:p w14:paraId="5F19B30E" w14:textId="77777777" w:rsidR="007B6EA9" w:rsidRDefault="007B6EA9" w:rsidP="00C92BD2">
      <w:pPr>
        <w:pStyle w:val="ListParagraph"/>
        <w:numPr>
          <w:ilvl w:val="0"/>
          <w:numId w:val="7"/>
        </w:numPr>
        <w:spacing w:after="100" w:afterAutospacing="1" w:line="480" w:lineRule="auto"/>
      </w:pPr>
      <w:r>
        <w:t>M</w:t>
      </w:r>
      <w:r w:rsidRPr="00A4292D">
        <w:t xml:space="preserve">ap </w:t>
      </w:r>
      <w:r>
        <w:t>the core elements of the interventions described</w:t>
      </w:r>
    </w:p>
    <w:p w14:paraId="77F702C3" w14:textId="77777777" w:rsidR="007B6EA9" w:rsidRDefault="007B6EA9" w:rsidP="007B01B4">
      <w:pPr>
        <w:pStyle w:val="ListParagraph"/>
        <w:numPr>
          <w:ilvl w:val="0"/>
          <w:numId w:val="7"/>
        </w:numPr>
        <w:spacing w:after="100" w:afterAutospacing="1" w:line="480" w:lineRule="auto"/>
      </w:pPr>
      <w:r>
        <w:t xml:space="preserve">Evaluate the reported evidence on effectiveness for each element </w:t>
      </w:r>
    </w:p>
    <w:p w14:paraId="5A31FB82" w14:textId="77777777" w:rsidR="007B6EA9" w:rsidRDefault="007B6EA9" w:rsidP="00C92BD2">
      <w:pPr>
        <w:pStyle w:val="ListParagraph"/>
        <w:numPr>
          <w:ilvl w:val="0"/>
          <w:numId w:val="7"/>
        </w:numPr>
        <w:spacing w:after="100" w:afterAutospacing="1" w:line="480" w:lineRule="auto"/>
      </w:pPr>
      <w:r>
        <w:t xml:space="preserve">Map the recommendations of key organisations for each element </w:t>
      </w:r>
    </w:p>
    <w:p w14:paraId="4A8A900E" w14:textId="59EB349D" w:rsidR="007B6EA9" w:rsidRDefault="007B6EA9" w:rsidP="007B6EA9">
      <w:pPr>
        <w:pStyle w:val="Heading2"/>
      </w:pPr>
      <w:bookmarkStart w:id="211" w:name="_Toc35892549"/>
      <w:r>
        <w:t>Method</w:t>
      </w:r>
      <w:bookmarkEnd w:id="211"/>
      <w:r>
        <w:t xml:space="preserve"> </w:t>
      </w:r>
    </w:p>
    <w:p w14:paraId="2403FB5C" w14:textId="77777777" w:rsidR="007E7BB9" w:rsidRDefault="007B6EA9" w:rsidP="007B6EA9">
      <w:pPr>
        <w:spacing w:line="480" w:lineRule="auto"/>
      </w:pPr>
      <w:r>
        <w:t xml:space="preserve">Starting with high-level UK drugs strategy, </w:t>
      </w:r>
      <w:r w:rsidR="005A67DB">
        <w:t>key guidelines were assessed to</w:t>
      </w:r>
      <w:r>
        <w:t xml:space="preserve"> identify relevant evidence suitable for inclusion in this review, in addition to </w:t>
      </w:r>
      <w:r w:rsidR="005A67DB">
        <w:t>further</w:t>
      </w:r>
      <w:r>
        <w:t xml:space="preserve"> guidelines for the development of drug interventions. Each set of guidelines was also </w:t>
      </w:r>
      <w:r w:rsidR="005A67DB">
        <w:t>examined</w:t>
      </w:r>
      <w:r>
        <w:t xml:space="preserve"> for additional </w:t>
      </w:r>
    </w:p>
    <w:p w14:paraId="40C53D28" w14:textId="086238E7" w:rsidR="007B6EA9" w:rsidRDefault="007B6EA9" w:rsidP="007B6EA9">
      <w:pPr>
        <w:spacing w:line="480" w:lineRule="auto"/>
      </w:pPr>
      <w:r>
        <w:t>sources of evidence and further guidelines.  In this way</w:t>
      </w:r>
      <w:r w:rsidR="00545318">
        <w:t>,</w:t>
      </w:r>
      <w:r>
        <w:t xml:space="preserve"> an evidence base was collated that comprised much of the evidence-base interventionists would be expected to consult in the development of their drug-focused interventions. Given the recommendation that NPS interventions should be based on interventions developed for traditional drugs, it was anticipated that the approach adopted in this review would identify those drug interventions which are most likely to be applied to young people’s NPS use in the UK.</w:t>
      </w:r>
    </w:p>
    <w:p w14:paraId="69C7F9BA" w14:textId="677F1265" w:rsidR="007B6EA9" w:rsidRPr="00651066" w:rsidRDefault="007B6EA9" w:rsidP="007B6EA9">
      <w:pPr>
        <w:pStyle w:val="Heading3"/>
      </w:pPr>
      <w:bookmarkStart w:id="212" w:name="_Toc35892550"/>
      <w:r>
        <w:t>National and local d</w:t>
      </w:r>
      <w:r w:rsidRPr="00651066">
        <w:t>rug strategy</w:t>
      </w:r>
      <w:bookmarkEnd w:id="212"/>
    </w:p>
    <w:p w14:paraId="37C43860" w14:textId="77777777" w:rsidR="007B6EA9" w:rsidRDefault="007B6EA9" w:rsidP="007B6EA9">
      <w:pPr>
        <w:spacing w:line="480" w:lineRule="auto"/>
      </w:pPr>
      <w:r>
        <w:t xml:space="preserve">The drug strategy published by the </w:t>
      </w:r>
      <w:r w:rsidRPr="00086E33">
        <w:t xml:space="preserve">Government </w:t>
      </w:r>
      <w:r>
        <w:t>sets out the overall approach to drug use prevention activities in the UK (HM Government, 2017). Published in 2017, current drug strategy is built on evidence provided by the Advisory Council for the Misuse of Drugs in their report on the prevention of drug and alcohol dependency (ACMD, 2015). While the UK drugs strategy prescribes actions needed at national and local levels, responsibility is also devolved to local councils who are expected to produce their own drug strategy, albeit in line with national strategy. Consequently, local drug strategy published by Sheffield Council in 2017 is also considered in this review. While evidence on intervention effectiveness is only presented within the ACMD report, all three bodies; the Government, ACMD and Sheffield council each make recommendations on the suitability of drug prevention approaches.</w:t>
      </w:r>
    </w:p>
    <w:p w14:paraId="7DB3929D" w14:textId="09CB70AE" w:rsidR="007B6EA9" w:rsidRDefault="007B6EA9" w:rsidP="007B6EA9">
      <w:pPr>
        <w:pStyle w:val="Heading3"/>
      </w:pPr>
      <w:bookmarkStart w:id="213" w:name="_Toc35892551"/>
      <w:r>
        <w:t>Intervention guidelines and quality standards</w:t>
      </w:r>
      <w:bookmarkEnd w:id="213"/>
    </w:p>
    <w:p w14:paraId="6D0C85C5" w14:textId="77777777" w:rsidR="007B6EA9" w:rsidRDefault="007B6EA9" w:rsidP="007B6EA9">
      <w:pPr>
        <w:spacing w:line="480" w:lineRule="auto"/>
      </w:pPr>
      <w:r w:rsidRPr="00367CF8">
        <w:t xml:space="preserve">National drugs policy </w:t>
      </w:r>
      <w:r>
        <w:t>(</w:t>
      </w:r>
      <w:r w:rsidRPr="00367CF8">
        <w:t>2017</w:t>
      </w:r>
      <w:r>
        <w:t>)</w:t>
      </w:r>
      <w:r w:rsidRPr="00367CF8">
        <w:t xml:space="preserve"> advocates the use of drug prevention guidelines produced by the Department of Health, </w:t>
      </w:r>
      <w:r>
        <w:t>Department of Education</w:t>
      </w:r>
      <w:r w:rsidRPr="00367CF8">
        <w:t xml:space="preserve"> and the E</w:t>
      </w:r>
      <w:r>
        <w:t xml:space="preserve">uropean </w:t>
      </w:r>
      <w:r w:rsidRPr="00367CF8">
        <w:t>M</w:t>
      </w:r>
      <w:r>
        <w:t xml:space="preserve">onitoring </w:t>
      </w:r>
      <w:r w:rsidRPr="00367CF8">
        <w:t>C</w:t>
      </w:r>
      <w:r>
        <w:t xml:space="preserve">entre for </w:t>
      </w:r>
      <w:r w:rsidRPr="00367CF8">
        <w:t>D</w:t>
      </w:r>
      <w:r>
        <w:t xml:space="preserve">rugs and </w:t>
      </w:r>
      <w:r w:rsidRPr="00367CF8">
        <w:t>D</w:t>
      </w:r>
      <w:r>
        <w:t xml:space="preserve">rug </w:t>
      </w:r>
      <w:r w:rsidRPr="00367CF8">
        <w:t>A</w:t>
      </w:r>
      <w:r>
        <w:t>ddiction (EMCDDA).</w:t>
      </w:r>
      <w:r w:rsidRPr="009F7180">
        <w:t xml:space="preserve"> </w:t>
      </w:r>
      <w:r>
        <w:t xml:space="preserve">The primary drug prevention guidelines commissioned by the Department of Health are produced by National Institute for Health and Clinical Excellence (NICE) and Public Health England (PHE), while the primary drug prevention guidelines commissioned by the Department of Education are produced by Mentor-APEPIS. </w:t>
      </w:r>
    </w:p>
    <w:p w14:paraId="1474D6C6" w14:textId="3235B943" w:rsidR="007B6EA9" w:rsidRDefault="007B6EA9" w:rsidP="007B6EA9">
      <w:pPr>
        <w:pStyle w:val="Heading3"/>
      </w:pPr>
      <w:bookmarkStart w:id="214" w:name="_Toc35892552"/>
      <w:r>
        <w:t>ACMD drug prevention review and recommendations</w:t>
      </w:r>
      <w:bookmarkEnd w:id="214"/>
    </w:p>
    <w:p w14:paraId="61601550" w14:textId="3B2DB070" w:rsidR="007B6EA9" w:rsidRPr="0004754B" w:rsidRDefault="007B6EA9" w:rsidP="007B6EA9">
      <w:pPr>
        <w:pStyle w:val="NormalWeb"/>
        <w:spacing w:before="0" w:beforeAutospacing="0" w:after="0" w:afterAutospacing="0"/>
        <w:rPr>
          <w:lang w:eastAsia="en-GB"/>
        </w:rPr>
      </w:pPr>
      <w:r>
        <w:t xml:space="preserve">In 2015 the ACMD published a briefing paper to support policymakers, commissioners and practitioners working in prevention. The paper presents scientific research on the effectiveness of drug prevention interventions and sets out recommendations for those working in the prevention field. The evidence presented in the report was informed by the findings of research </w:t>
      </w:r>
      <w:r w:rsidRPr="0004754B">
        <w:t>commissioned as part of the E</w:t>
      </w:r>
      <w:r>
        <w:t xml:space="preserve">uropean Commission </w:t>
      </w:r>
      <w:r w:rsidRPr="0004754B">
        <w:t>funded ALICE-RAP project</w:t>
      </w:r>
      <w:r>
        <w:t xml:space="preserve"> which</w:t>
      </w:r>
      <w:r w:rsidRPr="0004754B">
        <w:t xml:space="preserve"> </w:t>
      </w:r>
      <w:r>
        <w:t xml:space="preserve">was set up to </w:t>
      </w:r>
      <w:r w:rsidRPr="0004754B">
        <w:t>evaluat</w:t>
      </w:r>
      <w:r>
        <w:t>e</w:t>
      </w:r>
      <w:r w:rsidRPr="0004754B">
        <w:t xml:space="preserve"> the effectiveness of policies designed to address young people’s addictive behaviours</w:t>
      </w:r>
      <w:r>
        <w:t>, including illicit drugs. The relevant findings of a systematic review of reviews delivered by the ALICE-RAP project on the effectiveness of interventions are included in this literature review (Brotherhood</w:t>
      </w:r>
      <w:r>
        <w:rPr>
          <w:lang w:eastAsia="en-GB"/>
        </w:rPr>
        <w:t xml:space="preserve">, </w:t>
      </w:r>
      <w:r w:rsidRPr="0004754B">
        <w:rPr>
          <w:lang w:eastAsia="en-GB"/>
        </w:rPr>
        <w:t xml:space="preserve">Atkinson, Bates, </w:t>
      </w:r>
      <w:r>
        <w:rPr>
          <w:lang w:eastAsia="en-GB"/>
        </w:rPr>
        <w:t xml:space="preserve">&amp; </w:t>
      </w:r>
      <w:r w:rsidRPr="0004754B">
        <w:rPr>
          <w:lang w:eastAsia="en-GB"/>
        </w:rPr>
        <w:t>Sumnall,</w:t>
      </w:r>
      <w:r>
        <w:rPr>
          <w:lang w:eastAsia="en-GB"/>
        </w:rPr>
        <w:t xml:space="preserve"> 2013).</w:t>
      </w:r>
    </w:p>
    <w:p w14:paraId="3E1E7E6C" w14:textId="7FBCB17D" w:rsidR="007B6EA9" w:rsidRDefault="007B6EA9" w:rsidP="007B6EA9">
      <w:pPr>
        <w:pStyle w:val="Heading3"/>
      </w:pPr>
      <w:bookmarkStart w:id="215" w:name="_Toc35892553"/>
      <w:r>
        <w:t>NICE drug prevention guidelines</w:t>
      </w:r>
      <w:bookmarkEnd w:id="215"/>
      <w:r>
        <w:t xml:space="preserve"> </w:t>
      </w:r>
    </w:p>
    <w:p w14:paraId="32E4BF57" w14:textId="62D68D34" w:rsidR="007B6EA9" w:rsidRDefault="007B6EA9" w:rsidP="007B6EA9">
      <w:pPr>
        <w:spacing w:line="480" w:lineRule="auto"/>
      </w:pPr>
      <w:r>
        <w:t>In 2017, NICE published recommendations on targeted interventions for drug misuse following instruction from the Department of Health. The NICE guidelines are intended to support health and social care commissioners, providers and practitioners developing targeted interventions for the prevention of drugs misuse. The NICE recommendations were supported by a set of reviews commissioned for the purpose. The relevant findings of the NICE review on the effectiveness of interventions are included in this literature review (</w:t>
      </w:r>
      <w:r w:rsidRPr="00206A34">
        <w:t>Novakovi</w:t>
      </w:r>
      <w:r>
        <w:t>c</w:t>
      </w:r>
      <w:r w:rsidRPr="00206A34">
        <w:t>, Rutter, Ainsworth, Hudson, Cullum</w:t>
      </w:r>
      <w:r>
        <w:t>,</w:t>
      </w:r>
      <w:r w:rsidRPr="00206A34">
        <w:t xml:space="preserve"> Canning, &amp; McSloy</w:t>
      </w:r>
      <w:r>
        <w:t xml:space="preserve">, 2016). </w:t>
      </w:r>
    </w:p>
    <w:p w14:paraId="0C8D38BC" w14:textId="4E5565D2" w:rsidR="007B6EA9" w:rsidRDefault="007B6EA9" w:rsidP="007B6EA9">
      <w:pPr>
        <w:pStyle w:val="Heading3"/>
      </w:pPr>
      <w:bookmarkStart w:id="216" w:name="_Toc35892554"/>
      <w:r>
        <w:t>EMCDDA European drug prevention quality standards (EDPQS)</w:t>
      </w:r>
      <w:bookmarkEnd w:id="216"/>
    </w:p>
    <w:p w14:paraId="60DBAEBF" w14:textId="3AACE5A2" w:rsidR="007E7BB9" w:rsidRDefault="007B6EA9" w:rsidP="007B6EA9">
      <w:pPr>
        <w:spacing w:line="480" w:lineRule="auto"/>
      </w:pPr>
      <w:r>
        <w:t>The EMCDDA ha</w:t>
      </w:r>
      <w:r w:rsidR="00545318">
        <w:t>s</w:t>
      </w:r>
      <w:r>
        <w:t xml:space="preserve"> produced the European drug prevention quality standards (EPDQS; </w:t>
      </w:r>
    </w:p>
    <w:p w14:paraId="20C64CC1" w14:textId="3C0231A1" w:rsidR="007B6EA9" w:rsidRDefault="007B6EA9" w:rsidP="007B6EA9">
      <w:pPr>
        <w:spacing w:line="480" w:lineRule="auto"/>
      </w:pPr>
      <w:r>
        <w:t xml:space="preserve">Brotherhood &amp; Sumnall, 2011). Developed through the synthesises of 19 </w:t>
      </w:r>
      <w:r w:rsidRPr="00647A8E">
        <w:t>international drug prevention quality standards</w:t>
      </w:r>
      <w:r>
        <w:t>,</w:t>
      </w:r>
      <w:r w:rsidRPr="00647A8E">
        <w:t xml:space="preserve"> </w:t>
      </w:r>
      <w:r>
        <w:t>the EDPQS offer</w:t>
      </w:r>
      <w:r w:rsidR="00545318">
        <w:t>s</w:t>
      </w:r>
      <w:r>
        <w:t xml:space="preserve"> a comprehensive set of guidelines for the development of high</w:t>
      </w:r>
      <w:r w:rsidR="00545318">
        <w:t>-</w:t>
      </w:r>
      <w:r>
        <w:t xml:space="preserve">quality drug prevention interventions. The standards are intended to be of interest to </w:t>
      </w:r>
      <w:r w:rsidRPr="00647A8E">
        <w:t>all professionals who directly or indirectly contribute to drug prevention</w:t>
      </w:r>
      <w:r>
        <w:t>.  The EDPQS were reviewed for suitable references, in addition to a search of the Best Practice Portal, an online database on intervention effectiveness created by the EMCDDA to complement the EDPQS. The relevant findings accessible through the Best Practice Portal are included in this literature review. The EDPQS promote the use of</w:t>
      </w:r>
      <w:r w:rsidRPr="00736610">
        <w:t xml:space="preserve"> </w:t>
      </w:r>
      <w:r>
        <w:t>several international quality standards which were also assessed for suitability for use in this literature review. The international standards on drug use prevention published by the United Nations Office on Drugs and Crime in partnership with the World Health Organisation were deemed suitable for use and appropriate references reviewed and included (UNODC &amp; WHO, 2013; 2018). However, the recommendations of the national/regional Canadian, American and Asian/South Pacific standards were assessed as unsuitable due to their focus on their local contexts.</w:t>
      </w:r>
    </w:p>
    <w:p w14:paraId="727B5463" w14:textId="09897400" w:rsidR="007B6EA9" w:rsidRDefault="007B6EA9" w:rsidP="007B6EA9">
      <w:pPr>
        <w:pStyle w:val="Heading3"/>
      </w:pPr>
      <w:bookmarkStart w:id="217" w:name="_Toc35892555"/>
      <w:r>
        <w:t>UNODC International standards on drug use prevention</w:t>
      </w:r>
      <w:bookmarkEnd w:id="217"/>
      <w:r>
        <w:t xml:space="preserve"> </w:t>
      </w:r>
    </w:p>
    <w:p w14:paraId="006156BA" w14:textId="3B36BC77" w:rsidR="007B6EA9" w:rsidRPr="00DD303E" w:rsidRDefault="007B6EA9" w:rsidP="007B6EA9">
      <w:pPr>
        <w:spacing w:line="480" w:lineRule="auto"/>
      </w:pPr>
      <w:r>
        <w:t xml:space="preserve">The International standards on drug use prevention (UNODC &amp; WHO; 2018) present a summary of international evidence on drug use prevention with the intention of supporting policymakers and other stakeholders working in drug prevention to develop effective evidence-based interventions. Recommendations for intervention development are presented in the standards together with the findings of a review of reviews undertaken by the UNODC staff and </w:t>
      </w:r>
      <w:r w:rsidRPr="00C53C94">
        <w:t xml:space="preserve">Group of Experts </w:t>
      </w:r>
      <w:r>
        <w:t xml:space="preserve">who collaborated to produce the standards. The relevant findings of the review of reviews presented in the standards are included here. </w:t>
      </w:r>
    </w:p>
    <w:p w14:paraId="3148BB51" w14:textId="1B232A04" w:rsidR="007B6EA9" w:rsidRPr="003E546D" w:rsidRDefault="007B6EA9" w:rsidP="007B6EA9">
      <w:pPr>
        <w:pStyle w:val="Heading3"/>
      </w:pPr>
      <w:bookmarkStart w:id="218" w:name="_Toc35892556"/>
      <w:r>
        <w:t>Mentor-ADEPIS Quality standards for effective alcohol and drug education</w:t>
      </w:r>
      <w:bookmarkEnd w:id="218"/>
    </w:p>
    <w:p w14:paraId="4E46F089" w14:textId="5B11928A" w:rsidR="007B6EA9" w:rsidRDefault="007B6EA9" w:rsidP="007B6EA9">
      <w:pPr>
        <w:spacing w:line="480" w:lineRule="auto"/>
      </w:pPr>
      <w:r>
        <w:t xml:space="preserve">Mentor-ADEPIS is a collaboration between </w:t>
      </w:r>
      <w:r w:rsidRPr="004B0299">
        <w:t>The Alcohol and Drug Education and Prevention Information Service (ADEPIS)</w:t>
      </w:r>
      <w:r>
        <w:t xml:space="preserve">, </w:t>
      </w:r>
      <w:r w:rsidR="00714DF0">
        <w:t xml:space="preserve">Adfam, DrugScope and </w:t>
      </w:r>
      <w:r>
        <w:t>Mentor.</w:t>
      </w:r>
      <w:r w:rsidRPr="004B0299">
        <w:t xml:space="preserve"> </w:t>
      </w:r>
      <w:r>
        <w:t>Commissioned through the Department of Education, Mentor-ADEPIS have produced quality standards for effective alcohol and drug education (Mentor-ADEPIS, 2014) to provide evidence and recommendations to health and education practitioners developing and implementing prevention interventions. The evidence presented in the Mentor-ADEPIS quality standards was provided by a review of intervention effectiveness conducted by Mentor (James, 2011). Although the findings in the Mentor review include those of an earlier version of the International quality standards</w:t>
      </w:r>
      <w:r w:rsidRPr="006F444B">
        <w:t xml:space="preserve"> </w:t>
      </w:r>
      <w:r>
        <w:t xml:space="preserve">on drug use prevention (UNODC, 2013), the review was not limited to the evidence collated by UNODC, but also considered the findings of several other reviews. Consequently, the relevant findings of the Mentor report are included here. </w:t>
      </w:r>
    </w:p>
    <w:p w14:paraId="1286A565" w14:textId="1D2644C0" w:rsidR="007B6EA9" w:rsidRDefault="007B6EA9" w:rsidP="007B6EA9">
      <w:pPr>
        <w:pStyle w:val="Heading3"/>
      </w:pPr>
      <w:bookmarkStart w:id="219" w:name="_Toc35892557"/>
      <w:r>
        <w:t>PHE International evidence on drug prevention</w:t>
      </w:r>
      <w:bookmarkEnd w:id="219"/>
      <w:r>
        <w:t xml:space="preserve"> </w:t>
      </w:r>
    </w:p>
    <w:p w14:paraId="5283BD33" w14:textId="3BC33ECE" w:rsidR="007B6EA9" w:rsidRDefault="007B6EA9" w:rsidP="00D378FB">
      <w:pPr>
        <w:spacing w:line="480" w:lineRule="auto"/>
        <w:rPr>
          <w:szCs w:val="24"/>
        </w:rPr>
      </w:pPr>
      <w:r w:rsidRPr="000D52E7">
        <w:t xml:space="preserve">In 2015, Public Health England published a summary of the evidence on the prevention of drug and alcohol use. </w:t>
      </w:r>
      <w:r>
        <w:t xml:space="preserve">However, the findings are not included in this review as the summary </w:t>
      </w:r>
      <w:r w:rsidRPr="00EE6855">
        <w:rPr>
          <w:szCs w:val="24"/>
        </w:rPr>
        <w:t>was limited to the evidence and recommendations presented in the International quality standards on drug use prevention</w:t>
      </w:r>
      <w:r>
        <w:rPr>
          <w:szCs w:val="24"/>
        </w:rPr>
        <w:t xml:space="preserve"> which are already included here</w:t>
      </w:r>
      <w:r w:rsidRPr="00EE6855">
        <w:rPr>
          <w:szCs w:val="24"/>
        </w:rPr>
        <w:t xml:space="preserve"> (UNODC, 2013).</w:t>
      </w:r>
    </w:p>
    <w:p w14:paraId="4C4D3CF4" w14:textId="08517324" w:rsidR="005965E4" w:rsidRPr="00B12818" w:rsidRDefault="005965E4" w:rsidP="00B12818">
      <w:pPr>
        <w:pStyle w:val="Heading3"/>
      </w:pPr>
      <w:bookmarkStart w:id="220" w:name="_Toc35892558"/>
      <w:r w:rsidRPr="00B12818">
        <w:t xml:space="preserve">Sources of </w:t>
      </w:r>
      <w:r w:rsidR="00B12818" w:rsidRPr="00B12818">
        <w:t xml:space="preserve">intervention </w:t>
      </w:r>
      <w:r w:rsidR="00AD2A43" w:rsidRPr="00B12818">
        <w:t>g</w:t>
      </w:r>
      <w:r w:rsidRPr="00B12818">
        <w:t xml:space="preserve">uidelines and accompanying </w:t>
      </w:r>
      <w:r w:rsidR="00AD2A43" w:rsidRPr="00B12818">
        <w:t>e</w:t>
      </w:r>
      <w:r w:rsidRPr="00B12818">
        <w:t xml:space="preserve">vidence </w:t>
      </w:r>
      <w:r w:rsidR="00AD2A43" w:rsidRPr="00B12818">
        <w:t>b</w:t>
      </w:r>
      <w:r w:rsidRPr="00B12818">
        <w:t>ase</w:t>
      </w:r>
      <w:r w:rsidR="00AD2A43" w:rsidRPr="00B12818">
        <w:t>s</w:t>
      </w:r>
      <w:bookmarkEnd w:id="220"/>
    </w:p>
    <w:p w14:paraId="581183FC" w14:textId="02B40742" w:rsidR="00AD2A43" w:rsidRDefault="00AD2A43" w:rsidP="00B12818">
      <w:pPr>
        <w:spacing w:line="480" w:lineRule="auto"/>
      </w:pPr>
      <w:r>
        <w:t>Table 3-1 sets out the sources used for guidelines and assessment of the accompanying evidence bases</w:t>
      </w:r>
      <w:r w:rsidR="00B12818">
        <w:t xml:space="preserve"> as described above.</w:t>
      </w:r>
    </w:p>
    <w:p w14:paraId="4E43ED0A" w14:textId="77777777" w:rsidR="00AD2A43" w:rsidRDefault="00AD2A43" w:rsidP="00B12818">
      <w:pPr>
        <w:pStyle w:val="Heading3"/>
      </w:pPr>
      <w:r>
        <w:br w:type="page"/>
      </w:r>
    </w:p>
    <w:p w14:paraId="4999048B" w14:textId="679C4E64" w:rsidR="00AD2A43" w:rsidRDefault="00AD2A43" w:rsidP="00AD2A43">
      <w:pPr>
        <w:pStyle w:val="TableHeader"/>
        <w:rPr>
          <w:b/>
        </w:rPr>
      </w:pPr>
      <w:bookmarkStart w:id="221" w:name="_Toc9509032"/>
      <w:r w:rsidRPr="00AD2A43">
        <w:rPr>
          <w:b/>
        </w:rPr>
        <w:t xml:space="preserve">Table 3-1 Sources of </w:t>
      </w:r>
      <w:r w:rsidR="00B12818">
        <w:rPr>
          <w:b/>
        </w:rPr>
        <w:t>intervention g</w:t>
      </w:r>
      <w:r w:rsidRPr="00AD2A43">
        <w:rPr>
          <w:b/>
        </w:rPr>
        <w:t xml:space="preserve">uidelines and their accompanying </w:t>
      </w:r>
      <w:r w:rsidR="00B12818">
        <w:rPr>
          <w:b/>
        </w:rPr>
        <w:t>e</w:t>
      </w:r>
      <w:r w:rsidRPr="00AD2A43">
        <w:rPr>
          <w:b/>
        </w:rPr>
        <w:t xml:space="preserve">vidence </w:t>
      </w:r>
      <w:r w:rsidR="00B12818">
        <w:rPr>
          <w:b/>
        </w:rPr>
        <w:t>b</w:t>
      </w:r>
      <w:r w:rsidRPr="00AD2A43">
        <w:rPr>
          <w:b/>
        </w:rPr>
        <w:t>ases</w:t>
      </w:r>
      <w:bookmarkEnd w:id="221"/>
    </w:p>
    <w:tbl>
      <w:tblPr>
        <w:tblW w:w="9039" w:type="dxa"/>
        <w:tblLayout w:type="fixed"/>
        <w:tblLook w:val="00A0" w:firstRow="1" w:lastRow="0" w:firstColumn="1" w:lastColumn="0" w:noHBand="0" w:noVBand="0"/>
      </w:tblPr>
      <w:tblGrid>
        <w:gridCol w:w="675"/>
        <w:gridCol w:w="3402"/>
        <w:gridCol w:w="4962"/>
      </w:tblGrid>
      <w:tr w:rsidR="00FC1DE2" w:rsidRPr="006A3339" w14:paraId="5C74D2BA" w14:textId="77777777" w:rsidTr="00975283">
        <w:trPr>
          <w:trHeight w:hRule="exact" w:val="406"/>
        </w:trPr>
        <w:tc>
          <w:tcPr>
            <w:tcW w:w="675" w:type="dxa"/>
            <w:tcBorders>
              <w:top w:val="single" w:sz="4" w:space="0" w:color="auto"/>
              <w:bottom w:val="single" w:sz="4" w:space="0" w:color="auto"/>
            </w:tcBorders>
            <w:shd w:val="clear" w:color="auto" w:fill="auto"/>
          </w:tcPr>
          <w:p w14:paraId="4666D0D4" w14:textId="77777777" w:rsidR="00FC1DE2" w:rsidRPr="006A3339" w:rsidRDefault="00FC1DE2" w:rsidP="00FB7B83">
            <w:pPr>
              <w:rPr>
                <w:b/>
                <w:bCs/>
                <w:szCs w:val="20"/>
              </w:rPr>
            </w:pPr>
          </w:p>
        </w:tc>
        <w:tc>
          <w:tcPr>
            <w:tcW w:w="3402" w:type="dxa"/>
            <w:tcBorders>
              <w:top w:val="single" w:sz="4" w:space="0" w:color="auto"/>
              <w:bottom w:val="single" w:sz="4" w:space="0" w:color="auto"/>
            </w:tcBorders>
            <w:shd w:val="clear" w:color="auto" w:fill="auto"/>
          </w:tcPr>
          <w:p w14:paraId="71663C0A" w14:textId="77777777" w:rsidR="00FC1DE2" w:rsidRPr="006A3339" w:rsidRDefault="00FC1DE2" w:rsidP="00FB7B83">
            <w:pPr>
              <w:rPr>
                <w:b/>
                <w:bCs/>
                <w:szCs w:val="20"/>
              </w:rPr>
            </w:pPr>
            <w:r>
              <w:rPr>
                <w:b/>
                <w:bCs/>
                <w:szCs w:val="20"/>
              </w:rPr>
              <w:t xml:space="preserve">Guideline </w:t>
            </w:r>
            <w:r w:rsidRPr="006A3339">
              <w:rPr>
                <w:b/>
                <w:bCs/>
                <w:szCs w:val="20"/>
              </w:rPr>
              <w:t xml:space="preserve"> </w:t>
            </w:r>
          </w:p>
        </w:tc>
        <w:tc>
          <w:tcPr>
            <w:tcW w:w="4962" w:type="dxa"/>
            <w:tcBorders>
              <w:top w:val="single" w:sz="4" w:space="0" w:color="auto"/>
              <w:bottom w:val="single" w:sz="4" w:space="0" w:color="auto"/>
            </w:tcBorders>
            <w:shd w:val="clear" w:color="auto" w:fill="auto"/>
          </w:tcPr>
          <w:p w14:paraId="7A1A4277" w14:textId="77777777" w:rsidR="00FC1DE2" w:rsidRPr="006A3339" w:rsidRDefault="00FC1DE2" w:rsidP="00FB7B83">
            <w:pPr>
              <w:rPr>
                <w:b/>
                <w:bCs/>
                <w:szCs w:val="20"/>
              </w:rPr>
            </w:pPr>
            <w:r>
              <w:rPr>
                <w:b/>
                <w:bCs/>
                <w:szCs w:val="20"/>
              </w:rPr>
              <w:t>Evidence base</w:t>
            </w:r>
          </w:p>
        </w:tc>
      </w:tr>
      <w:tr w:rsidR="00FC1DE2" w:rsidRPr="006A3339" w14:paraId="4F78A5C2" w14:textId="77777777" w:rsidTr="00FB7B83">
        <w:trPr>
          <w:trHeight w:hRule="exact" w:val="164"/>
        </w:trPr>
        <w:tc>
          <w:tcPr>
            <w:tcW w:w="675" w:type="dxa"/>
            <w:tcBorders>
              <w:top w:val="single" w:sz="4" w:space="0" w:color="auto"/>
            </w:tcBorders>
            <w:shd w:val="clear" w:color="auto" w:fill="auto"/>
            <w:vAlign w:val="bottom"/>
          </w:tcPr>
          <w:p w14:paraId="08C52162" w14:textId="77777777" w:rsidR="00FC1DE2" w:rsidRPr="006A3339" w:rsidRDefault="00FC1DE2" w:rsidP="00FB7B83">
            <w:pPr>
              <w:rPr>
                <w:b/>
                <w:bCs/>
                <w:szCs w:val="20"/>
              </w:rPr>
            </w:pPr>
          </w:p>
        </w:tc>
        <w:tc>
          <w:tcPr>
            <w:tcW w:w="3402" w:type="dxa"/>
            <w:tcBorders>
              <w:top w:val="single" w:sz="4" w:space="0" w:color="auto"/>
            </w:tcBorders>
            <w:shd w:val="clear" w:color="auto" w:fill="auto"/>
            <w:vAlign w:val="bottom"/>
          </w:tcPr>
          <w:p w14:paraId="0D9E7117" w14:textId="77777777" w:rsidR="00FC1DE2" w:rsidRPr="006A3339" w:rsidRDefault="00FC1DE2" w:rsidP="00FB7B83">
            <w:pPr>
              <w:rPr>
                <w:b/>
                <w:bCs/>
                <w:szCs w:val="20"/>
              </w:rPr>
            </w:pPr>
          </w:p>
        </w:tc>
        <w:tc>
          <w:tcPr>
            <w:tcW w:w="4962" w:type="dxa"/>
            <w:tcBorders>
              <w:top w:val="single" w:sz="4" w:space="0" w:color="auto"/>
            </w:tcBorders>
            <w:shd w:val="clear" w:color="auto" w:fill="auto"/>
            <w:vAlign w:val="bottom"/>
          </w:tcPr>
          <w:p w14:paraId="12653395" w14:textId="77777777" w:rsidR="00FC1DE2" w:rsidRPr="006A3339" w:rsidRDefault="00FC1DE2" w:rsidP="00FB7B83">
            <w:pPr>
              <w:rPr>
                <w:b/>
                <w:bCs/>
                <w:szCs w:val="20"/>
              </w:rPr>
            </w:pPr>
          </w:p>
        </w:tc>
      </w:tr>
      <w:tr w:rsidR="00FC1DE2" w:rsidRPr="006A3339" w14:paraId="2C250D43" w14:textId="77777777" w:rsidTr="00FB7B83">
        <w:trPr>
          <w:trHeight w:val="1533"/>
        </w:trPr>
        <w:tc>
          <w:tcPr>
            <w:tcW w:w="675" w:type="dxa"/>
            <w:shd w:val="clear" w:color="auto" w:fill="auto"/>
          </w:tcPr>
          <w:p w14:paraId="627BDA04" w14:textId="77777777" w:rsidR="00FC1DE2" w:rsidRPr="00173323" w:rsidRDefault="00FC1DE2" w:rsidP="00FB7B83">
            <w:pPr>
              <w:spacing w:line="360" w:lineRule="auto"/>
              <w:rPr>
                <w:b/>
                <w:bCs/>
                <w:szCs w:val="20"/>
              </w:rPr>
            </w:pPr>
            <w:r>
              <w:rPr>
                <w:b/>
                <w:bCs/>
                <w:szCs w:val="20"/>
              </w:rPr>
              <w:t>A.</w:t>
            </w:r>
          </w:p>
        </w:tc>
        <w:tc>
          <w:tcPr>
            <w:tcW w:w="3402" w:type="dxa"/>
            <w:shd w:val="clear" w:color="auto" w:fill="auto"/>
          </w:tcPr>
          <w:p w14:paraId="4467C3CA" w14:textId="77777777" w:rsidR="00FC1DE2" w:rsidRPr="006A3339" w:rsidRDefault="00FC1DE2" w:rsidP="00FB7B83">
            <w:pPr>
              <w:spacing w:line="360" w:lineRule="auto"/>
              <w:rPr>
                <w:szCs w:val="20"/>
              </w:rPr>
            </w:pPr>
            <w:r>
              <w:rPr>
                <w:szCs w:val="20"/>
              </w:rPr>
              <w:t>ACMD (2015)</w:t>
            </w:r>
            <w:r>
              <w:rPr>
                <w:szCs w:val="20"/>
              </w:rPr>
              <w:br/>
              <w:t xml:space="preserve">Prevention of alcohol and dependence </w:t>
            </w:r>
          </w:p>
        </w:tc>
        <w:tc>
          <w:tcPr>
            <w:tcW w:w="4962" w:type="dxa"/>
            <w:shd w:val="clear" w:color="auto" w:fill="auto"/>
          </w:tcPr>
          <w:p w14:paraId="5BCEEB48" w14:textId="77777777" w:rsidR="00FC1DE2" w:rsidRPr="006A3339" w:rsidRDefault="00FC1DE2" w:rsidP="00FB7B83">
            <w:pPr>
              <w:spacing w:line="360" w:lineRule="auto"/>
              <w:rPr>
                <w:szCs w:val="20"/>
              </w:rPr>
            </w:pPr>
            <w:r w:rsidRPr="00A9492A">
              <w:t>Brotherhood</w:t>
            </w:r>
            <w:r>
              <w:t>,</w:t>
            </w:r>
            <w:r w:rsidRPr="00A9492A">
              <w:t xml:space="preserve"> A</w:t>
            </w:r>
            <w:r>
              <w:t>.</w:t>
            </w:r>
            <w:r w:rsidRPr="00A9492A">
              <w:t>, Atkinson</w:t>
            </w:r>
            <w:r>
              <w:t>,</w:t>
            </w:r>
            <w:r w:rsidRPr="00A9492A">
              <w:t xml:space="preserve"> A</w:t>
            </w:r>
            <w:r>
              <w:t>.</w:t>
            </w:r>
            <w:r w:rsidRPr="00A9492A">
              <w:t>M</w:t>
            </w:r>
            <w:r>
              <w:t>.</w:t>
            </w:r>
            <w:r w:rsidRPr="00A9492A">
              <w:t>, Bates</w:t>
            </w:r>
            <w:r>
              <w:t>,</w:t>
            </w:r>
            <w:r w:rsidRPr="00A9492A">
              <w:t xml:space="preserve"> G</w:t>
            </w:r>
            <w:r>
              <w:t>.</w:t>
            </w:r>
            <w:r w:rsidRPr="00A9492A">
              <w:t>,</w:t>
            </w:r>
            <w:r>
              <w:t xml:space="preserve"> &amp;</w:t>
            </w:r>
            <w:r w:rsidRPr="00A9492A">
              <w:t xml:space="preserve"> Sumnall</w:t>
            </w:r>
            <w:r>
              <w:t>,</w:t>
            </w:r>
            <w:r w:rsidRPr="00A9492A">
              <w:t xml:space="preserve"> H</w:t>
            </w:r>
            <w:r>
              <w:t>.</w:t>
            </w:r>
            <w:r w:rsidRPr="00A9492A">
              <w:t>R</w:t>
            </w:r>
            <w:r>
              <w:t>.</w:t>
            </w:r>
            <w:r w:rsidRPr="00A9492A">
              <w:t xml:space="preserve"> (2013) Adolescents as customers of addiction. ALICE RAP Deliverable 16.1, Work Package 16. Liverpool: Centre for Public Health.</w:t>
            </w:r>
          </w:p>
        </w:tc>
      </w:tr>
      <w:tr w:rsidR="00FC1DE2" w:rsidRPr="006A3339" w14:paraId="62339B6F" w14:textId="77777777" w:rsidTr="00FB7B83">
        <w:trPr>
          <w:trHeight w:val="1397"/>
        </w:trPr>
        <w:tc>
          <w:tcPr>
            <w:tcW w:w="675" w:type="dxa"/>
            <w:shd w:val="clear" w:color="auto" w:fill="auto"/>
          </w:tcPr>
          <w:p w14:paraId="247A9098" w14:textId="77777777" w:rsidR="00FC1DE2" w:rsidRPr="00173323" w:rsidRDefault="00FC1DE2" w:rsidP="00FB7B83">
            <w:pPr>
              <w:spacing w:line="360" w:lineRule="auto"/>
              <w:rPr>
                <w:b/>
                <w:bCs/>
                <w:szCs w:val="20"/>
              </w:rPr>
            </w:pPr>
            <w:r>
              <w:rPr>
                <w:b/>
                <w:bCs/>
                <w:szCs w:val="20"/>
              </w:rPr>
              <w:t>B.</w:t>
            </w:r>
          </w:p>
        </w:tc>
        <w:tc>
          <w:tcPr>
            <w:tcW w:w="3402" w:type="dxa"/>
            <w:shd w:val="clear" w:color="auto" w:fill="auto"/>
          </w:tcPr>
          <w:p w14:paraId="0D09D51D" w14:textId="77777777" w:rsidR="00FC1DE2" w:rsidRPr="006A3339" w:rsidRDefault="00FC1DE2" w:rsidP="00FB7B83">
            <w:pPr>
              <w:spacing w:line="360" w:lineRule="auto"/>
              <w:rPr>
                <w:szCs w:val="20"/>
              </w:rPr>
            </w:pPr>
            <w:r>
              <w:t>EMCDDA (2011)</w:t>
            </w:r>
            <w:r>
              <w:br/>
              <w:t xml:space="preserve">European drug prevention quality standards </w:t>
            </w:r>
          </w:p>
        </w:tc>
        <w:tc>
          <w:tcPr>
            <w:tcW w:w="4962" w:type="dxa"/>
            <w:shd w:val="clear" w:color="auto" w:fill="auto"/>
          </w:tcPr>
          <w:p w14:paraId="4D416E5C" w14:textId="0DAC1863" w:rsidR="00FC1DE2" w:rsidRPr="006A3339" w:rsidRDefault="00FC1DE2" w:rsidP="00FB7B83">
            <w:pPr>
              <w:spacing w:line="360" w:lineRule="auto"/>
              <w:rPr>
                <w:szCs w:val="20"/>
              </w:rPr>
            </w:pPr>
            <w:r>
              <w:t xml:space="preserve">EMCDDA European Monitoring Centre for Drugs and Drug Addiction (ongoing), Best practice portal. Available from: </w:t>
            </w:r>
            <w:r w:rsidRPr="00B12818">
              <w:t>http://www.emcdda.europa.eu/best-practice</w:t>
            </w:r>
          </w:p>
        </w:tc>
      </w:tr>
      <w:tr w:rsidR="00FC1DE2" w:rsidRPr="006A3339" w14:paraId="613C88D6" w14:textId="77777777" w:rsidTr="00FB7B83">
        <w:trPr>
          <w:trHeight w:val="2088"/>
        </w:trPr>
        <w:tc>
          <w:tcPr>
            <w:tcW w:w="675" w:type="dxa"/>
            <w:shd w:val="clear" w:color="auto" w:fill="auto"/>
          </w:tcPr>
          <w:p w14:paraId="70DECD42" w14:textId="77777777" w:rsidR="00FC1DE2" w:rsidRPr="00173323" w:rsidRDefault="00FC1DE2" w:rsidP="00FB7B83">
            <w:pPr>
              <w:spacing w:line="360" w:lineRule="auto"/>
              <w:rPr>
                <w:b/>
                <w:bCs/>
                <w:szCs w:val="20"/>
              </w:rPr>
            </w:pPr>
            <w:r>
              <w:rPr>
                <w:b/>
                <w:bCs/>
                <w:szCs w:val="20"/>
              </w:rPr>
              <w:t>C.</w:t>
            </w:r>
          </w:p>
        </w:tc>
        <w:tc>
          <w:tcPr>
            <w:tcW w:w="3402" w:type="dxa"/>
            <w:shd w:val="clear" w:color="auto" w:fill="auto"/>
          </w:tcPr>
          <w:p w14:paraId="2E75584F" w14:textId="77777777" w:rsidR="00FC1DE2" w:rsidRPr="006A3339" w:rsidRDefault="00FC1DE2" w:rsidP="00FB7B83">
            <w:pPr>
              <w:spacing w:line="360" w:lineRule="auto"/>
              <w:rPr>
                <w:szCs w:val="20"/>
              </w:rPr>
            </w:pPr>
            <w:r>
              <w:rPr>
                <w:szCs w:val="20"/>
              </w:rPr>
              <w:t>Mentor-ADEPIS (2014)</w:t>
            </w:r>
            <w:r>
              <w:rPr>
                <w:szCs w:val="20"/>
              </w:rPr>
              <w:br/>
              <w:t>Quality standards for effective alcohol and drug education</w:t>
            </w:r>
            <w:r>
              <w:rPr>
                <w:szCs w:val="20"/>
              </w:rPr>
              <w:br/>
            </w:r>
            <w:r>
              <w:rPr>
                <w:szCs w:val="20"/>
              </w:rPr>
              <w:br/>
            </w:r>
          </w:p>
        </w:tc>
        <w:tc>
          <w:tcPr>
            <w:tcW w:w="4962" w:type="dxa"/>
            <w:shd w:val="clear" w:color="auto" w:fill="auto"/>
          </w:tcPr>
          <w:p w14:paraId="66C9A7F0" w14:textId="3B59E896" w:rsidR="00FC1DE2" w:rsidRPr="00920B47" w:rsidRDefault="00FC1DE2" w:rsidP="00FB7B83">
            <w:pPr>
              <w:spacing w:line="360" w:lineRule="auto"/>
            </w:pPr>
            <w:r>
              <w:t>James, C.</w:t>
            </w:r>
            <w:r w:rsidRPr="00231A62">
              <w:t xml:space="preserve"> Drug prevention programmes in schools: What is the evidence</w:t>
            </w:r>
            <w:r>
              <w:t xml:space="preserve">? (2011) London: Mentor, from </w:t>
            </w:r>
            <w:r w:rsidRPr="00B12818">
              <w:t>http://www.mentoruk.org.uk/2011/11/drug-prevention-programmes-in-schools- what-is-the-evidence/</w:t>
            </w:r>
          </w:p>
        </w:tc>
      </w:tr>
      <w:tr w:rsidR="00FC1DE2" w:rsidRPr="006A3339" w14:paraId="726C3D82" w14:textId="77777777" w:rsidTr="00FB7B83">
        <w:trPr>
          <w:trHeight w:val="2256"/>
        </w:trPr>
        <w:tc>
          <w:tcPr>
            <w:tcW w:w="675" w:type="dxa"/>
            <w:shd w:val="clear" w:color="auto" w:fill="auto"/>
          </w:tcPr>
          <w:p w14:paraId="6A5A7419" w14:textId="77777777" w:rsidR="00FC1DE2" w:rsidRDefault="00FC1DE2" w:rsidP="00FB7B83">
            <w:pPr>
              <w:spacing w:line="360" w:lineRule="auto"/>
              <w:rPr>
                <w:b/>
                <w:bCs/>
                <w:szCs w:val="20"/>
              </w:rPr>
            </w:pPr>
            <w:r>
              <w:rPr>
                <w:b/>
                <w:bCs/>
                <w:szCs w:val="20"/>
              </w:rPr>
              <w:t>D.</w:t>
            </w:r>
          </w:p>
        </w:tc>
        <w:tc>
          <w:tcPr>
            <w:tcW w:w="3402" w:type="dxa"/>
            <w:shd w:val="clear" w:color="auto" w:fill="auto"/>
          </w:tcPr>
          <w:p w14:paraId="2B24D4AD" w14:textId="77777777" w:rsidR="00FC1DE2" w:rsidRDefault="00FC1DE2" w:rsidP="00FB7B83">
            <w:pPr>
              <w:spacing w:line="360" w:lineRule="auto"/>
              <w:rPr>
                <w:szCs w:val="20"/>
              </w:rPr>
            </w:pPr>
            <w:r>
              <w:rPr>
                <w:szCs w:val="20"/>
              </w:rPr>
              <w:t>NICE (2017)</w:t>
            </w:r>
            <w:r>
              <w:rPr>
                <w:szCs w:val="20"/>
              </w:rPr>
              <w:br/>
              <w:t xml:space="preserve">Drug misuse targeted interventions </w:t>
            </w:r>
          </w:p>
        </w:tc>
        <w:tc>
          <w:tcPr>
            <w:tcW w:w="4962" w:type="dxa"/>
            <w:shd w:val="clear" w:color="auto" w:fill="auto"/>
          </w:tcPr>
          <w:p w14:paraId="3EFFB269" w14:textId="475779C6" w:rsidR="00FC1DE2" w:rsidRDefault="00FC1DE2" w:rsidP="00FB7B83">
            <w:pPr>
              <w:spacing w:line="360" w:lineRule="auto"/>
            </w:pPr>
            <w:r w:rsidRPr="00206A34">
              <w:t>Novakovic,E., Rutter, L., Ainsworth, N., Hudson, T., Cullum, A., Canning, U., &amp; McSloy, A.</w:t>
            </w:r>
            <w:r>
              <w:t xml:space="preserve"> (2016) </w:t>
            </w:r>
            <w:r w:rsidRPr="00206A34">
              <w:t>Drug misuse prevention: targeted interventions</w:t>
            </w:r>
            <w:r>
              <w:t>.</w:t>
            </w:r>
            <w:r w:rsidRPr="00206A34">
              <w:t xml:space="preserve"> Evidence review 1</w:t>
            </w:r>
            <w:r>
              <w:t xml:space="preserve">. </w:t>
            </w:r>
            <w:r w:rsidRPr="00206A34">
              <w:t>National Institute for Health and Care Excellence</w:t>
            </w:r>
            <w:r>
              <w:t xml:space="preserve"> (NICE). London: NICE, from </w:t>
            </w:r>
            <w:r w:rsidRPr="00B12818">
              <w:t>https://www.nice.org.uk/guidance/ng64/evidence</w:t>
            </w:r>
          </w:p>
        </w:tc>
      </w:tr>
      <w:tr w:rsidR="00FC1DE2" w:rsidRPr="006A3339" w14:paraId="03421A22" w14:textId="77777777" w:rsidTr="00FB7B83">
        <w:trPr>
          <w:trHeight w:val="80"/>
        </w:trPr>
        <w:tc>
          <w:tcPr>
            <w:tcW w:w="675" w:type="dxa"/>
            <w:tcBorders>
              <w:bottom w:val="single" w:sz="4" w:space="0" w:color="auto"/>
            </w:tcBorders>
            <w:shd w:val="clear" w:color="auto" w:fill="auto"/>
          </w:tcPr>
          <w:p w14:paraId="3D809C7D" w14:textId="77777777" w:rsidR="00FC1DE2" w:rsidRPr="00173323" w:rsidRDefault="00FC1DE2" w:rsidP="00FB7B83">
            <w:pPr>
              <w:spacing w:line="360" w:lineRule="auto"/>
              <w:rPr>
                <w:b/>
                <w:bCs/>
                <w:szCs w:val="20"/>
              </w:rPr>
            </w:pPr>
            <w:r>
              <w:rPr>
                <w:b/>
                <w:bCs/>
                <w:szCs w:val="20"/>
              </w:rPr>
              <w:t>E.</w:t>
            </w:r>
          </w:p>
        </w:tc>
        <w:tc>
          <w:tcPr>
            <w:tcW w:w="3402" w:type="dxa"/>
            <w:tcBorders>
              <w:bottom w:val="single" w:sz="4" w:space="0" w:color="auto"/>
            </w:tcBorders>
            <w:shd w:val="clear" w:color="auto" w:fill="auto"/>
          </w:tcPr>
          <w:p w14:paraId="0A002F6B" w14:textId="77777777" w:rsidR="00FC1DE2" w:rsidRDefault="00FC1DE2" w:rsidP="00FB7B83">
            <w:pPr>
              <w:spacing w:after="0" w:line="360" w:lineRule="auto"/>
              <w:rPr>
                <w:szCs w:val="20"/>
                <w:lang w:val="en-US"/>
              </w:rPr>
            </w:pPr>
            <w:r>
              <w:rPr>
                <w:szCs w:val="20"/>
                <w:lang w:val="en-US"/>
              </w:rPr>
              <w:t>UNODC (2018)</w:t>
            </w:r>
          </w:p>
          <w:p w14:paraId="4427E4B4" w14:textId="77777777" w:rsidR="00FC1DE2" w:rsidRDefault="00FC1DE2" w:rsidP="00FB7B83">
            <w:pPr>
              <w:spacing w:after="0" w:line="360" w:lineRule="auto"/>
              <w:rPr>
                <w:szCs w:val="20"/>
                <w:lang w:val="en-US"/>
              </w:rPr>
            </w:pPr>
            <w:r>
              <w:rPr>
                <w:szCs w:val="20"/>
                <w:lang w:val="en-US"/>
              </w:rPr>
              <w:t xml:space="preserve">International standards on drug use prevention </w:t>
            </w:r>
          </w:p>
          <w:p w14:paraId="497D9625" w14:textId="77777777" w:rsidR="00FC1DE2" w:rsidRPr="00585660" w:rsidRDefault="00FC1DE2" w:rsidP="00FB7B83">
            <w:pPr>
              <w:spacing w:after="0" w:line="360" w:lineRule="auto"/>
              <w:rPr>
                <w:szCs w:val="20"/>
                <w:lang w:val="en-US"/>
              </w:rPr>
            </w:pPr>
          </w:p>
        </w:tc>
        <w:tc>
          <w:tcPr>
            <w:tcW w:w="4962" w:type="dxa"/>
            <w:tcBorders>
              <w:bottom w:val="single" w:sz="4" w:space="0" w:color="auto"/>
            </w:tcBorders>
            <w:shd w:val="clear" w:color="auto" w:fill="auto"/>
          </w:tcPr>
          <w:p w14:paraId="71F5F197" w14:textId="2A57A97B" w:rsidR="00FC1DE2" w:rsidRPr="00920B47" w:rsidRDefault="00FC1DE2" w:rsidP="00FB7B83">
            <w:pPr>
              <w:spacing w:line="360" w:lineRule="auto"/>
            </w:pPr>
            <w:r>
              <w:t xml:space="preserve">UNODC United Nations Office on Drugs and Crime (2018) International Standards on Drug Use Prevention. Vienna: UNODC, from </w:t>
            </w:r>
            <w:r w:rsidRPr="00B12818">
              <w:t>https://www.unodc.org/unodc/en/prevention/prevention-standards.html</w:t>
            </w:r>
          </w:p>
        </w:tc>
      </w:tr>
    </w:tbl>
    <w:p w14:paraId="19F12999" w14:textId="77777777" w:rsidR="00FC1DE2" w:rsidRDefault="00FC1DE2" w:rsidP="00FC1DE2"/>
    <w:p w14:paraId="22FE3F7F" w14:textId="43360725" w:rsidR="007B6EA9" w:rsidRDefault="007B6EA9" w:rsidP="007B6EA9">
      <w:pPr>
        <w:pStyle w:val="Heading3"/>
      </w:pPr>
      <w:bookmarkStart w:id="222" w:name="_Toc35892559"/>
      <w:r w:rsidRPr="00B175CB">
        <w:t>Inclusion criteria</w:t>
      </w:r>
      <w:r>
        <w:t>: Evidence statements</w:t>
      </w:r>
      <w:bookmarkEnd w:id="222"/>
      <w:r>
        <w:t xml:space="preserve"> </w:t>
      </w:r>
    </w:p>
    <w:p w14:paraId="638F9DA4" w14:textId="25FB52D7" w:rsidR="00DF26B0" w:rsidRPr="0026579C" w:rsidRDefault="00DF26B0" w:rsidP="00DF26B0">
      <w:pPr>
        <w:spacing w:line="480" w:lineRule="auto"/>
      </w:pPr>
      <w:r w:rsidRPr="0026579C">
        <w:t>This review takes as a starting point evidence and guidelines relating to interventions developed for traditional illicit drugs. In the absence of evidence specifically relating to NPS, this evidence base is not only the best evidence currently available</w:t>
      </w:r>
      <w:r w:rsidR="00545318" w:rsidRPr="0026579C">
        <w:t>,</w:t>
      </w:r>
      <w:r w:rsidRPr="0026579C">
        <w:t xml:space="preserve"> but also relates to the interventions most likely to be applied to the issue of NPS.  </w:t>
      </w:r>
    </w:p>
    <w:p w14:paraId="179F991D" w14:textId="77777777" w:rsidR="00DF26B0" w:rsidRPr="0026579C" w:rsidRDefault="00DF26B0" w:rsidP="00DF26B0">
      <w:pPr>
        <w:spacing w:line="480" w:lineRule="auto"/>
      </w:pPr>
      <w:r w:rsidRPr="0026579C">
        <w:t xml:space="preserve">Although the resources identified for inclusion within this review were sourced via agencies that explicitly aim to support drug prevention activities for young people, not all the evidence and recommendations presented are pertinent to the aims of this analysis. Therefore, a set of inclusion criteria were developed for the extraction of evidence statements relevant to this review (see Table 3-2). </w:t>
      </w:r>
    </w:p>
    <w:p w14:paraId="60C19CAA" w14:textId="37108173" w:rsidR="00DF26B0" w:rsidRPr="0026579C" w:rsidRDefault="00DF26B0" w:rsidP="00DF26B0">
      <w:pPr>
        <w:spacing w:line="480" w:lineRule="auto"/>
      </w:pPr>
      <w:r w:rsidRPr="0026579C">
        <w:t>For example, while some sources focus on drug use exclusively, others also include information on alcohol and/or tobacco interventions. Developmental approaches in particular often target multiple substances as many of the risk factors underlying substance use are shared (e.g. impulsiveness, impaired social skills, poor mental health) (ACMD, 2015). Consequently, the lack of specificity in some intervention programmes is typically reflective of interventions that target general skills development such as self-esteem, social skills and pro-social behaviour (UNDOC, 2018). Interventions targeting general skills do not need to be substance</w:t>
      </w:r>
      <w:r w:rsidR="00545318" w:rsidRPr="0026579C">
        <w:t>-</w:t>
      </w:r>
      <w:r w:rsidRPr="0026579C">
        <w:t>specific and are often implemented prior to typical ages of initiation (UNDOC, 2018)</w:t>
      </w:r>
      <w:r w:rsidR="00545318" w:rsidRPr="0026579C">
        <w:t>,</w:t>
      </w:r>
      <w:r w:rsidRPr="0026579C">
        <w:t xml:space="preserve"> general approaches have the advantage that substances do not need to be specifically mentioned, thus avoiding the risk of inadvertently increasing substance use through raising children’s awareness of psychoactive substances.       </w:t>
      </w:r>
    </w:p>
    <w:p w14:paraId="7EA40942" w14:textId="336405B3" w:rsidR="00DF26B0" w:rsidRPr="0026579C" w:rsidRDefault="00DF26B0" w:rsidP="00DF26B0">
      <w:pPr>
        <w:spacing w:line="480" w:lineRule="auto"/>
      </w:pPr>
      <w:r w:rsidRPr="0026579C">
        <w:t>In contrast, interventions targeting specific substances are more likely to be implemented after typical ages of initiation (UNDOC, 2018). These interventions are therefore more likely to focus on the risk and protective factors unique to each substance. As noted previously, the risk and protective factors associated with regulated psychoactive substances (i.e. alcohol and tobacco) may differ in important ways from those associated with unregulated substances (i.e. NPS and illicit drugs) and</w:t>
      </w:r>
      <w:r w:rsidR="00545318" w:rsidRPr="0026579C">
        <w:t xml:space="preserve"> therefore</w:t>
      </w:r>
      <w:r w:rsidRPr="0026579C">
        <w:t xml:space="preserve"> interventions designed for use with one</w:t>
      </w:r>
      <w:r w:rsidR="00545318" w:rsidRPr="0026579C">
        <w:t>,</w:t>
      </w:r>
      <w:r w:rsidRPr="0026579C">
        <w:t xml:space="preserve"> when used with the other</w:t>
      </w:r>
      <w:r w:rsidR="00545318" w:rsidRPr="0026579C">
        <w:t>,</w:t>
      </w:r>
      <w:r w:rsidRPr="0026579C">
        <w:t xml:space="preserve"> may be ineffective at best and harmful at worst. Consequently, where interventions in the evidence base were identified being solely based on alcohol or tobacco they were not included in this review.</w:t>
      </w:r>
    </w:p>
    <w:p w14:paraId="77DFA990" w14:textId="77777777" w:rsidR="00FB7B83" w:rsidRDefault="00FB7B83">
      <w:pPr>
        <w:rPr>
          <w:b/>
        </w:rPr>
      </w:pPr>
      <w:r>
        <w:rPr>
          <w:b/>
        </w:rPr>
        <w:br w:type="page"/>
      </w:r>
    </w:p>
    <w:p w14:paraId="7EE7349D" w14:textId="611B1C11" w:rsidR="003171C5" w:rsidRPr="003171C5" w:rsidRDefault="003171C5" w:rsidP="003171C5">
      <w:pPr>
        <w:pStyle w:val="TableHeader"/>
        <w:rPr>
          <w:b/>
        </w:rPr>
      </w:pPr>
      <w:bookmarkStart w:id="223" w:name="_Toc9509033"/>
      <w:r w:rsidRPr="003171C5">
        <w:rPr>
          <w:b/>
        </w:rPr>
        <w:t xml:space="preserve">Table </w:t>
      </w:r>
      <w:r>
        <w:rPr>
          <w:b/>
        </w:rPr>
        <w:t>3-</w:t>
      </w:r>
      <w:r w:rsidR="00FC1DE2">
        <w:rPr>
          <w:b/>
        </w:rPr>
        <w:t>2</w:t>
      </w:r>
      <w:r w:rsidRPr="003171C5">
        <w:rPr>
          <w:b/>
        </w:rPr>
        <w:t>. Inclusion and Exclusion criteria for evidence statements</w:t>
      </w:r>
      <w:bookmarkEnd w:id="223"/>
    </w:p>
    <w:tbl>
      <w:tblPr>
        <w:tblW w:w="9039" w:type="dxa"/>
        <w:tblLayout w:type="fixed"/>
        <w:tblLook w:val="00A0" w:firstRow="1" w:lastRow="0" w:firstColumn="1" w:lastColumn="0" w:noHBand="0" w:noVBand="0"/>
      </w:tblPr>
      <w:tblGrid>
        <w:gridCol w:w="675"/>
        <w:gridCol w:w="4253"/>
        <w:gridCol w:w="4111"/>
      </w:tblGrid>
      <w:tr w:rsidR="007B6EA9" w:rsidRPr="006A3339" w14:paraId="4DA6EB5B" w14:textId="77777777" w:rsidTr="007B6EA9">
        <w:trPr>
          <w:trHeight w:hRule="exact" w:val="368"/>
        </w:trPr>
        <w:tc>
          <w:tcPr>
            <w:tcW w:w="4928" w:type="dxa"/>
            <w:gridSpan w:val="2"/>
            <w:tcBorders>
              <w:top w:val="single" w:sz="4" w:space="0" w:color="auto"/>
            </w:tcBorders>
            <w:shd w:val="clear" w:color="auto" w:fill="auto"/>
            <w:vAlign w:val="bottom"/>
          </w:tcPr>
          <w:p w14:paraId="181396E8" w14:textId="77777777" w:rsidR="007B6EA9" w:rsidRPr="006A3339" w:rsidRDefault="007B6EA9" w:rsidP="007B6EA9">
            <w:pPr>
              <w:rPr>
                <w:b/>
                <w:bCs/>
                <w:szCs w:val="20"/>
              </w:rPr>
            </w:pPr>
            <w:r w:rsidRPr="006A3339">
              <w:rPr>
                <w:b/>
                <w:bCs/>
                <w:szCs w:val="20"/>
              </w:rPr>
              <w:t>Criteria</w:t>
            </w:r>
          </w:p>
        </w:tc>
        <w:tc>
          <w:tcPr>
            <w:tcW w:w="4111" w:type="dxa"/>
            <w:tcBorders>
              <w:top w:val="single" w:sz="4" w:space="0" w:color="auto"/>
            </w:tcBorders>
            <w:shd w:val="clear" w:color="auto" w:fill="auto"/>
            <w:vAlign w:val="bottom"/>
          </w:tcPr>
          <w:p w14:paraId="4290F229" w14:textId="77777777" w:rsidR="007B6EA9" w:rsidRPr="006A3339" w:rsidRDefault="007B6EA9" w:rsidP="007B6EA9">
            <w:pPr>
              <w:rPr>
                <w:b/>
                <w:bCs/>
                <w:szCs w:val="20"/>
              </w:rPr>
            </w:pPr>
          </w:p>
        </w:tc>
      </w:tr>
      <w:tr w:rsidR="007B6EA9" w:rsidRPr="006A3339" w14:paraId="2AB9662C" w14:textId="77777777" w:rsidTr="007B6EA9">
        <w:trPr>
          <w:trHeight w:hRule="exact" w:val="406"/>
        </w:trPr>
        <w:tc>
          <w:tcPr>
            <w:tcW w:w="675" w:type="dxa"/>
            <w:tcBorders>
              <w:bottom w:val="single" w:sz="4" w:space="0" w:color="auto"/>
            </w:tcBorders>
            <w:shd w:val="clear" w:color="auto" w:fill="auto"/>
          </w:tcPr>
          <w:p w14:paraId="179FE172" w14:textId="77777777" w:rsidR="007B6EA9" w:rsidRPr="006A3339" w:rsidRDefault="007B6EA9" w:rsidP="007B6EA9">
            <w:pPr>
              <w:rPr>
                <w:b/>
                <w:bCs/>
                <w:szCs w:val="20"/>
              </w:rPr>
            </w:pPr>
          </w:p>
        </w:tc>
        <w:tc>
          <w:tcPr>
            <w:tcW w:w="4253" w:type="dxa"/>
            <w:tcBorders>
              <w:bottom w:val="single" w:sz="4" w:space="0" w:color="auto"/>
            </w:tcBorders>
            <w:shd w:val="clear" w:color="auto" w:fill="auto"/>
          </w:tcPr>
          <w:p w14:paraId="6B988EA7" w14:textId="77777777" w:rsidR="007B6EA9" w:rsidRPr="006A3339" w:rsidRDefault="007B6EA9" w:rsidP="007B6EA9">
            <w:pPr>
              <w:rPr>
                <w:b/>
                <w:bCs/>
                <w:szCs w:val="20"/>
              </w:rPr>
            </w:pPr>
            <w:r w:rsidRPr="006A3339">
              <w:rPr>
                <w:b/>
                <w:bCs/>
                <w:szCs w:val="20"/>
              </w:rPr>
              <w:t xml:space="preserve">Inclusion </w:t>
            </w:r>
          </w:p>
        </w:tc>
        <w:tc>
          <w:tcPr>
            <w:tcW w:w="4111" w:type="dxa"/>
            <w:tcBorders>
              <w:bottom w:val="single" w:sz="4" w:space="0" w:color="auto"/>
            </w:tcBorders>
            <w:shd w:val="clear" w:color="auto" w:fill="auto"/>
          </w:tcPr>
          <w:p w14:paraId="56A59E5E" w14:textId="77777777" w:rsidR="007B6EA9" w:rsidRPr="006A3339" w:rsidRDefault="007B6EA9" w:rsidP="007B6EA9">
            <w:pPr>
              <w:rPr>
                <w:b/>
                <w:bCs/>
                <w:szCs w:val="20"/>
              </w:rPr>
            </w:pPr>
            <w:r w:rsidRPr="006A3339">
              <w:rPr>
                <w:b/>
                <w:bCs/>
                <w:szCs w:val="20"/>
              </w:rPr>
              <w:t>Exclusion</w:t>
            </w:r>
          </w:p>
        </w:tc>
      </w:tr>
      <w:tr w:rsidR="007B6EA9" w:rsidRPr="006A3339" w14:paraId="211204F4" w14:textId="77777777" w:rsidTr="007B6EA9">
        <w:trPr>
          <w:trHeight w:hRule="exact" w:val="164"/>
        </w:trPr>
        <w:tc>
          <w:tcPr>
            <w:tcW w:w="675" w:type="dxa"/>
            <w:tcBorders>
              <w:top w:val="single" w:sz="4" w:space="0" w:color="auto"/>
            </w:tcBorders>
            <w:shd w:val="clear" w:color="auto" w:fill="auto"/>
            <w:vAlign w:val="bottom"/>
          </w:tcPr>
          <w:p w14:paraId="259180A6" w14:textId="77777777" w:rsidR="007B6EA9" w:rsidRPr="006A3339" w:rsidRDefault="007B6EA9" w:rsidP="007B6EA9">
            <w:pPr>
              <w:rPr>
                <w:b/>
                <w:bCs/>
                <w:szCs w:val="20"/>
              </w:rPr>
            </w:pPr>
          </w:p>
        </w:tc>
        <w:tc>
          <w:tcPr>
            <w:tcW w:w="4253" w:type="dxa"/>
            <w:tcBorders>
              <w:top w:val="single" w:sz="4" w:space="0" w:color="auto"/>
            </w:tcBorders>
            <w:shd w:val="clear" w:color="auto" w:fill="auto"/>
            <w:vAlign w:val="bottom"/>
          </w:tcPr>
          <w:p w14:paraId="5A0131E6" w14:textId="77777777" w:rsidR="007B6EA9" w:rsidRPr="006A3339" w:rsidRDefault="007B6EA9" w:rsidP="007B6EA9">
            <w:pPr>
              <w:rPr>
                <w:b/>
                <w:bCs/>
                <w:szCs w:val="20"/>
              </w:rPr>
            </w:pPr>
          </w:p>
        </w:tc>
        <w:tc>
          <w:tcPr>
            <w:tcW w:w="4111" w:type="dxa"/>
            <w:tcBorders>
              <w:top w:val="single" w:sz="4" w:space="0" w:color="auto"/>
            </w:tcBorders>
            <w:shd w:val="clear" w:color="auto" w:fill="auto"/>
            <w:vAlign w:val="bottom"/>
          </w:tcPr>
          <w:p w14:paraId="7AE43D56" w14:textId="77777777" w:rsidR="007B6EA9" w:rsidRPr="006A3339" w:rsidRDefault="007B6EA9" w:rsidP="007B6EA9">
            <w:pPr>
              <w:rPr>
                <w:b/>
                <w:bCs/>
                <w:szCs w:val="20"/>
              </w:rPr>
            </w:pPr>
          </w:p>
        </w:tc>
      </w:tr>
      <w:tr w:rsidR="007B6EA9" w:rsidRPr="006A3339" w14:paraId="46CA8512" w14:textId="77777777" w:rsidTr="007B6EA9">
        <w:trPr>
          <w:trHeight w:val="2410"/>
        </w:trPr>
        <w:tc>
          <w:tcPr>
            <w:tcW w:w="675" w:type="dxa"/>
            <w:shd w:val="clear" w:color="auto" w:fill="auto"/>
          </w:tcPr>
          <w:p w14:paraId="4B54D018" w14:textId="77777777" w:rsidR="007B6EA9" w:rsidRPr="00173323" w:rsidRDefault="007B6EA9" w:rsidP="007B6EA9">
            <w:pPr>
              <w:spacing w:line="360" w:lineRule="auto"/>
              <w:rPr>
                <w:b/>
                <w:bCs/>
                <w:szCs w:val="20"/>
              </w:rPr>
            </w:pPr>
            <w:r w:rsidRPr="00173323">
              <w:rPr>
                <w:b/>
                <w:bCs/>
                <w:szCs w:val="20"/>
              </w:rPr>
              <w:t>1</w:t>
            </w:r>
            <w:r>
              <w:rPr>
                <w:b/>
                <w:bCs/>
                <w:szCs w:val="20"/>
              </w:rPr>
              <w:t>.</w:t>
            </w:r>
          </w:p>
        </w:tc>
        <w:tc>
          <w:tcPr>
            <w:tcW w:w="4253" w:type="dxa"/>
            <w:shd w:val="clear" w:color="auto" w:fill="auto"/>
          </w:tcPr>
          <w:p w14:paraId="0FBFFF30" w14:textId="77777777" w:rsidR="007B6EA9" w:rsidRPr="006A3339" w:rsidRDefault="007B6EA9" w:rsidP="007B6EA9">
            <w:pPr>
              <w:spacing w:line="360" w:lineRule="auto"/>
              <w:rPr>
                <w:szCs w:val="20"/>
              </w:rPr>
            </w:pPr>
            <w:r>
              <w:rPr>
                <w:szCs w:val="20"/>
              </w:rPr>
              <w:t xml:space="preserve">Primary evidence derived from </w:t>
            </w:r>
            <w:r w:rsidRPr="006A3339">
              <w:rPr>
                <w:szCs w:val="20"/>
              </w:rPr>
              <w:t>peer</w:t>
            </w:r>
            <w:r>
              <w:rPr>
                <w:szCs w:val="20"/>
              </w:rPr>
              <w:t>-</w:t>
            </w:r>
            <w:r w:rsidRPr="006A3339">
              <w:rPr>
                <w:szCs w:val="20"/>
              </w:rPr>
              <w:t xml:space="preserve">reviewed </w:t>
            </w:r>
            <w:r>
              <w:rPr>
                <w:szCs w:val="20"/>
              </w:rPr>
              <w:t>e</w:t>
            </w:r>
            <w:r w:rsidRPr="006A3339">
              <w:rPr>
                <w:szCs w:val="20"/>
              </w:rPr>
              <w:t>mpirical</w:t>
            </w:r>
            <w:r>
              <w:rPr>
                <w:szCs w:val="20"/>
              </w:rPr>
              <w:t xml:space="preserve"> </w:t>
            </w:r>
            <w:r w:rsidRPr="006A3339">
              <w:rPr>
                <w:szCs w:val="20"/>
              </w:rPr>
              <w:t>studies</w:t>
            </w:r>
            <w:r>
              <w:rPr>
                <w:szCs w:val="20"/>
              </w:rPr>
              <w:t xml:space="preserve"> or evaluations by a reputable organisation (e.g. charity or health service)</w:t>
            </w:r>
            <w:r>
              <w:rPr>
                <w:szCs w:val="20"/>
              </w:rPr>
              <w:br/>
            </w:r>
            <w:r>
              <w:rPr>
                <w:szCs w:val="20"/>
              </w:rPr>
              <w:br/>
              <w:t>AND</w:t>
            </w:r>
          </w:p>
        </w:tc>
        <w:tc>
          <w:tcPr>
            <w:tcW w:w="4111" w:type="dxa"/>
            <w:shd w:val="clear" w:color="auto" w:fill="auto"/>
          </w:tcPr>
          <w:p w14:paraId="53AD9F71" w14:textId="77777777" w:rsidR="007B6EA9" w:rsidRPr="006A3339" w:rsidRDefault="007B6EA9" w:rsidP="007B6EA9">
            <w:pPr>
              <w:spacing w:line="360" w:lineRule="auto"/>
              <w:rPr>
                <w:szCs w:val="20"/>
              </w:rPr>
            </w:pPr>
            <w:r>
              <w:rPr>
                <w:szCs w:val="20"/>
              </w:rPr>
              <w:t xml:space="preserve">Evidence stated without reference to an original source. Evaluative statements based on conventions or common practice with no evidence of scientific basis.  </w:t>
            </w:r>
            <w:r>
              <w:rPr>
                <w:szCs w:val="20"/>
              </w:rPr>
              <w:br/>
              <w:t>OR</w:t>
            </w:r>
          </w:p>
        </w:tc>
      </w:tr>
      <w:tr w:rsidR="007B6EA9" w:rsidRPr="006A3339" w14:paraId="5D4CB142" w14:textId="77777777" w:rsidTr="007B6EA9">
        <w:trPr>
          <w:trHeight w:val="1397"/>
        </w:trPr>
        <w:tc>
          <w:tcPr>
            <w:tcW w:w="675" w:type="dxa"/>
            <w:shd w:val="clear" w:color="auto" w:fill="auto"/>
          </w:tcPr>
          <w:p w14:paraId="625FE744" w14:textId="77777777" w:rsidR="007B6EA9" w:rsidRPr="00173323" w:rsidRDefault="007B6EA9" w:rsidP="007B6EA9">
            <w:pPr>
              <w:spacing w:line="360" w:lineRule="auto"/>
              <w:rPr>
                <w:b/>
                <w:bCs/>
                <w:szCs w:val="20"/>
              </w:rPr>
            </w:pPr>
            <w:r w:rsidRPr="00173323">
              <w:rPr>
                <w:b/>
                <w:bCs/>
                <w:szCs w:val="20"/>
              </w:rPr>
              <w:t>2</w:t>
            </w:r>
            <w:r>
              <w:rPr>
                <w:b/>
                <w:bCs/>
                <w:szCs w:val="20"/>
              </w:rPr>
              <w:t>.</w:t>
            </w:r>
          </w:p>
        </w:tc>
        <w:tc>
          <w:tcPr>
            <w:tcW w:w="4253" w:type="dxa"/>
            <w:shd w:val="clear" w:color="auto" w:fill="auto"/>
          </w:tcPr>
          <w:p w14:paraId="143812D8" w14:textId="17D8E810" w:rsidR="007B6EA9" w:rsidRPr="006A3339" w:rsidRDefault="007B6EA9" w:rsidP="007B6EA9">
            <w:pPr>
              <w:spacing w:line="360" w:lineRule="auto"/>
              <w:rPr>
                <w:szCs w:val="20"/>
              </w:rPr>
            </w:pPr>
            <w:r>
              <w:t>A</w:t>
            </w:r>
            <w:r w:rsidRPr="00BB638E">
              <w:t xml:space="preserve"> focus on substance use</w:t>
            </w:r>
            <w:r w:rsidR="00545318">
              <w:t xml:space="preserve"> </w:t>
            </w:r>
            <w:r w:rsidRPr="00BB638E">
              <w:t>intervention</w:t>
            </w:r>
            <w:r w:rsidR="00545318">
              <w:t xml:space="preserve">/ </w:t>
            </w:r>
            <w:r>
              <w:t>prevention in the general population or at-risk groups, with data relevant to illicit drug use.</w:t>
            </w:r>
            <w:r>
              <w:rPr>
                <w:szCs w:val="20"/>
              </w:rPr>
              <w:br/>
            </w:r>
            <w:r>
              <w:rPr>
                <w:szCs w:val="20"/>
              </w:rPr>
              <w:br/>
              <w:t>AND</w:t>
            </w:r>
          </w:p>
        </w:tc>
        <w:tc>
          <w:tcPr>
            <w:tcW w:w="4111" w:type="dxa"/>
            <w:shd w:val="clear" w:color="auto" w:fill="auto"/>
          </w:tcPr>
          <w:p w14:paraId="4637949A" w14:textId="77777777" w:rsidR="007B6EA9" w:rsidRPr="006A3339" w:rsidRDefault="007B6EA9" w:rsidP="007B6EA9">
            <w:pPr>
              <w:spacing w:line="360" w:lineRule="auto"/>
              <w:rPr>
                <w:szCs w:val="20"/>
              </w:rPr>
            </w:pPr>
            <w:r>
              <w:rPr>
                <w:szCs w:val="20"/>
              </w:rPr>
              <w:t xml:space="preserve">Studies evaluating risk and protective factors of use, drug treatment, drug misuse disorders, drug prevalence, </w:t>
            </w:r>
            <w:r w:rsidRPr="00404EAF">
              <w:t>social consequences of drug use</w:t>
            </w:r>
            <w:r>
              <w:t>,</w:t>
            </w:r>
            <w:r w:rsidRPr="00404EAF">
              <w:t xml:space="preserve"> </w:t>
            </w:r>
            <w:r>
              <w:t>or</w:t>
            </w:r>
            <w:r w:rsidRPr="00404EAF">
              <w:t xml:space="preserve"> </w:t>
            </w:r>
            <w:r>
              <w:t>general health and well-being.</w:t>
            </w:r>
            <w:r>
              <w:rPr>
                <w:szCs w:val="20"/>
              </w:rPr>
              <w:br/>
              <w:t>OR</w:t>
            </w:r>
          </w:p>
        </w:tc>
      </w:tr>
      <w:tr w:rsidR="007B6EA9" w:rsidRPr="006A3339" w14:paraId="449F73DE" w14:textId="77777777" w:rsidTr="007B6EA9">
        <w:trPr>
          <w:trHeight w:val="2256"/>
        </w:trPr>
        <w:tc>
          <w:tcPr>
            <w:tcW w:w="675" w:type="dxa"/>
            <w:shd w:val="clear" w:color="auto" w:fill="auto"/>
          </w:tcPr>
          <w:p w14:paraId="62391E98" w14:textId="77777777" w:rsidR="007B6EA9" w:rsidRPr="00173323" w:rsidRDefault="007B6EA9" w:rsidP="007B6EA9">
            <w:pPr>
              <w:spacing w:line="360" w:lineRule="auto"/>
              <w:rPr>
                <w:b/>
                <w:bCs/>
                <w:szCs w:val="20"/>
              </w:rPr>
            </w:pPr>
            <w:r w:rsidRPr="00173323">
              <w:rPr>
                <w:b/>
                <w:bCs/>
                <w:szCs w:val="20"/>
              </w:rPr>
              <w:t>3</w:t>
            </w:r>
            <w:r>
              <w:rPr>
                <w:b/>
                <w:bCs/>
                <w:szCs w:val="20"/>
              </w:rPr>
              <w:t>.</w:t>
            </w:r>
          </w:p>
        </w:tc>
        <w:tc>
          <w:tcPr>
            <w:tcW w:w="4253" w:type="dxa"/>
            <w:shd w:val="clear" w:color="auto" w:fill="auto"/>
          </w:tcPr>
          <w:p w14:paraId="2D3D3BEE" w14:textId="77777777" w:rsidR="005A67DB" w:rsidRDefault="007B6EA9" w:rsidP="007B6EA9">
            <w:pPr>
              <w:spacing w:line="360" w:lineRule="auto"/>
              <w:rPr>
                <w:szCs w:val="20"/>
              </w:rPr>
            </w:pPr>
            <w:r>
              <w:rPr>
                <w:szCs w:val="20"/>
              </w:rPr>
              <w:t>Outcomes based on primary outcomes of prevention or proximal mediating factors: delayed initiation; prevention; reduction; or cessation of use or intention to use</w:t>
            </w:r>
            <w:r w:rsidR="005A67DB">
              <w:rPr>
                <w:szCs w:val="20"/>
              </w:rPr>
              <w:t>.</w:t>
            </w:r>
            <w:r>
              <w:rPr>
                <w:szCs w:val="20"/>
              </w:rPr>
              <w:t>.</w:t>
            </w:r>
            <w:r>
              <w:rPr>
                <w:szCs w:val="20"/>
              </w:rPr>
              <w:br/>
            </w:r>
          </w:p>
          <w:p w14:paraId="6A9FC8EC" w14:textId="77777777" w:rsidR="005A67DB" w:rsidRDefault="005A67DB" w:rsidP="007B6EA9">
            <w:pPr>
              <w:spacing w:line="360" w:lineRule="auto"/>
              <w:rPr>
                <w:szCs w:val="20"/>
              </w:rPr>
            </w:pPr>
          </w:p>
          <w:p w14:paraId="4457A375" w14:textId="2130DD20" w:rsidR="007B6EA9" w:rsidRPr="006A3339" w:rsidRDefault="007B6EA9" w:rsidP="007B6EA9">
            <w:pPr>
              <w:spacing w:line="360" w:lineRule="auto"/>
              <w:rPr>
                <w:szCs w:val="20"/>
              </w:rPr>
            </w:pPr>
            <w:r>
              <w:rPr>
                <w:szCs w:val="20"/>
              </w:rPr>
              <w:t>AND</w:t>
            </w:r>
          </w:p>
        </w:tc>
        <w:tc>
          <w:tcPr>
            <w:tcW w:w="4111" w:type="dxa"/>
            <w:shd w:val="clear" w:color="auto" w:fill="auto"/>
          </w:tcPr>
          <w:p w14:paraId="71268B1B" w14:textId="77777777" w:rsidR="007B6EA9" w:rsidRDefault="007B6EA9" w:rsidP="007B6EA9">
            <w:pPr>
              <w:spacing w:after="0" w:line="360" w:lineRule="auto"/>
              <w:rPr>
                <w:szCs w:val="20"/>
              </w:rPr>
            </w:pPr>
            <w:r>
              <w:rPr>
                <w:szCs w:val="20"/>
              </w:rPr>
              <w:t>Outcomes based on general health and well-being outcomes, tobacco or alcohol use only; risk and protective factors; mediating factors with the exception of intentions, attitudes and drug-knowledge.</w:t>
            </w:r>
          </w:p>
          <w:p w14:paraId="6EB36F36" w14:textId="77777777" w:rsidR="007B6EA9" w:rsidRDefault="007B6EA9" w:rsidP="007B6EA9">
            <w:pPr>
              <w:spacing w:after="0" w:line="360" w:lineRule="auto"/>
              <w:rPr>
                <w:szCs w:val="20"/>
              </w:rPr>
            </w:pPr>
          </w:p>
          <w:p w14:paraId="74BE53BD" w14:textId="77777777" w:rsidR="007B6EA9" w:rsidRPr="006A3339" w:rsidRDefault="007B6EA9" w:rsidP="007B6EA9">
            <w:pPr>
              <w:spacing w:after="0" w:line="360" w:lineRule="auto"/>
              <w:rPr>
                <w:szCs w:val="20"/>
              </w:rPr>
            </w:pPr>
            <w:r>
              <w:rPr>
                <w:szCs w:val="20"/>
              </w:rPr>
              <w:t>OR</w:t>
            </w:r>
          </w:p>
        </w:tc>
      </w:tr>
      <w:tr w:rsidR="007B6EA9" w:rsidRPr="006A3339" w14:paraId="23B7B9CF" w14:textId="77777777" w:rsidTr="007B6EA9">
        <w:trPr>
          <w:trHeight w:val="984"/>
        </w:trPr>
        <w:tc>
          <w:tcPr>
            <w:tcW w:w="675" w:type="dxa"/>
            <w:tcBorders>
              <w:bottom w:val="single" w:sz="4" w:space="0" w:color="auto"/>
            </w:tcBorders>
            <w:shd w:val="clear" w:color="auto" w:fill="auto"/>
          </w:tcPr>
          <w:p w14:paraId="342CEF61" w14:textId="77777777" w:rsidR="007B6EA9" w:rsidRPr="00173323" w:rsidRDefault="007B6EA9" w:rsidP="007B6EA9">
            <w:pPr>
              <w:spacing w:line="360" w:lineRule="auto"/>
              <w:rPr>
                <w:b/>
                <w:bCs/>
                <w:szCs w:val="20"/>
              </w:rPr>
            </w:pPr>
            <w:r w:rsidRPr="00173323">
              <w:rPr>
                <w:b/>
                <w:bCs/>
                <w:szCs w:val="20"/>
              </w:rPr>
              <w:t>4</w:t>
            </w:r>
            <w:r>
              <w:rPr>
                <w:b/>
                <w:bCs/>
                <w:szCs w:val="20"/>
              </w:rPr>
              <w:t>.</w:t>
            </w:r>
          </w:p>
        </w:tc>
        <w:tc>
          <w:tcPr>
            <w:tcW w:w="4253" w:type="dxa"/>
            <w:tcBorders>
              <w:bottom w:val="single" w:sz="4" w:space="0" w:color="auto"/>
            </w:tcBorders>
            <w:shd w:val="clear" w:color="auto" w:fill="auto"/>
          </w:tcPr>
          <w:p w14:paraId="3AE82D03" w14:textId="77777777" w:rsidR="007B6EA9" w:rsidRPr="00585660" w:rsidRDefault="007B6EA9" w:rsidP="007B6EA9">
            <w:pPr>
              <w:spacing w:after="0" w:line="360" w:lineRule="auto"/>
              <w:rPr>
                <w:szCs w:val="20"/>
                <w:lang w:val="en-US"/>
              </w:rPr>
            </w:pPr>
            <w:r>
              <w:rPr>
                <w:szCs w:val="20"/>
                <w:lang w:val="en-US"/>
              </w:rPr>
              <w:t xml:space="preserve">Interventions targeting psycho-social factors within the outcome population, or aspects of the communities or environments with which they directly interact.  </w:t>
            </w:r>
          </w:p>
        </w:tc>
        <w:tc>
          <w:tcPr>
            <w:tcW w:w="4111" w:type="dxa"/>
            <w:tcBorders>
              <w:bottom w:val="single" w:sz="4" w:space="0" w:color="auto"/>
            </w:tcBorders>
            <w:shd w:val="clear" w:color="auto" w:fill="auto"/>
          </w:tcPr>
          <w:p w14:paraId="78139E95" w14:textId="4DAC689D" w:rsidR="007B6EA9" w:rsidRPr="006A3339" w:rsidRDefault="007B6EA9" w:rsidP="007B6EA9">
            <w:pPr>
              <w:spacing w:after="0" w:line="360" w:lineRule="auto"/>
              <w:rPr>
                <w:szCs w:val="20"/>
              </w:rPr>
            </w:pPr>
            <w:r>
              <w:rPr>
                <w:szCs w:val="20"/>
                <w:lang w:val="en-US"/>
              </w:rPr>
              <w:t>Interventions primarily targeting psycho-social factors of parents, teachers, professionals or organisational staff without also engaging the outcome population. Interventions primarily targeting higher</w:t>
            </w:r>
            <w:r w:rsidR="00545318">
              <w:rPr>
                <w:szCs w:val="20"/>
                <w:lang w:val="en-US"/>
              </w:rPr>
              <w:t>-</w:t>
            </w:r>
            <w:r>
              <w:rPr>
                <w:szCs w:val="20"/>
                <w:lang w:val="en-US"/>
              </w:rPr>
              <w:t>level factors and policy without also engaging with the outcome population.</w:t>
            </w:r>
          </w:p>
        </w:tc>
      </w:tr>
    </w:tbl>
    <w:p w14:paraId="0B4F15D8" w14:textId="5F5CC9FF" w:rsidR="007B6EA9" w:rsidRDefault="005A67DB" w:rsidP="007B6EA9">
      <w:pPr>
        <w:spacing w:line="480" w:lineRule="auto"/>
      </w:pPr>
      <w:r>
        <w:t xml:space="preserve">Although it is acknowledged that effective interventions are not limited to individual-level factors within the outcome population, the current research has a primary interest in interventions which engage with outcome population directly. Therefore, this review aims to assess the evidence for behaviour change interventions which include component/s aimed at individuals within the outcome population and their immediate environment. </w:t>
      </w:r>
      <w:r w:rsidR="007B6EA9">
        <w:t xml:space="preserve">While this project is interested in drug-focused interventions which target young people, the evidence considered by this review was not strictly limited to illicit drug use or those ages 16-24. This was for pragmatic reasons, as sources did not always differentiate between common psychoactive substances or specify the age-range of the participants involved. </w:t>
      </w:r>
    </w:p>
    <w:p w14:paraId="7405BD82" w14:textId="1776ACC0" w:rsidR="007B6EA9" w:rsidRDefault="007B6EA9" w:rsidP="007B6EA9">
      <w:pPr>
        <w:spacing w:line="480" w:lineRule="auto"/>
      </w:pPr>
      <w:r>
        <w:t xml:space="preserve">In recognition of the common risk factors underlying use of illicit drugs, tobacco and alcohol (ACMD, 2015), interventions often target more than one substance or </w:t>
      </w:r>
      <w:r w:rsidR="00545318">
        <w:t>take</w:t>
      </w:r>
      <w:r>
        <w:t xml:space="preserve"> interventions for any one of these substances </w:t>
      </w:r>
      <w:r w:rsidR="00545318">
        <w:t>to be</w:t>
      </w:r>
      <w:r>
        <w:t xml:space="preserve"> interchangeable</w:t>
      </w:r>
      <w:r w:rsidR="00545318">
        <w:t xml:space="preserve"> with the others</w:t>
      </w:r>
      <w:r>
        <w:t xml:space="preserve">. Although evidence was only included in this review if it was explicitly presented as relevant to drug use, inevitably a proportion of the evidence will be based on evaluation of interventions targeting drinking and smoking. Where evidence was clearly derived from interventions targeting tobacco or alcohol, but not illicit drugs, it was not included in this review. </w:t>
      </w:r>
    </w:p>
    <w:p w14:paraId="1B440D5B" w14:textId="77777777" w:rsidR="007B6EA9" w:rsidRPr="002952D6" w:rsidRDefault="007B6EA9" w:rsidP="007B6EA9">
      <w:pPr>
        <w:spacing w:line="480" w:lineRule="auto"/>
        <w:rPr>
          <w:rStyle w:val="Heading4Char"/>
          <w:b w:val="0"/>
          <w:bCs w:val="0"/>
          <w:iCs w:val="0"/>
        </w:rPr>
      </w:pPr>
      <w:r>
        <w:t>Although participant ages were not always provided, the general age range was usually apparent (pre-school, primary school, secondary school, adolescent, adult) and the majority of sources were predominantly concerned with young people. Where it appeared that interventions were targeted at pre-school, primary school or limited to secondary school ages only, the evidence was not included in this review.</w:t>
      </w:r>
    </w:p>
    <w:p w14:paraId="1CC1098B" w14:textId="2DB45491" w:rsidR="007B6EA9" w:rsidRDefault="007B6EA9" w:rsidP="007B6EA9">
      <w:pPr>
        <w:pStyle w:val="Heading3"/>
      </w:pPr>
      <w:bookmarkStart w:id="224" w:name="_Toc35892560"/>
      <w:r>
        <w:t>Extracting evidence statements and recommendations</w:t>
      </w:r>
      <w:bookmarkEnd w:id="224"/>
      <w:r>
        <w:t xml:space="preserve"> </w:t>
      </w:r>
    </w:p>
    <w:p w14:paraId="33CDFF0A" w14:textId="7D5F8E16" w:rsidR="007E7BB9" w:rsidRDefault="007B6EA9" w:rsidP="007B6EA9">
      <w:pPr>
        <w:spacing w:line="480" w:lineRule="auto"/>
      </w:pPr>
      <w:r>
        <w:t>Each of the resources identified for inclusion w</w:t>
      </w:r>
      <w:r w:rsidR="00545318">
        <w:t>as</w:t>
      </w:r>
      <w:r>
        <w:t xml:space="preserve"> assessed for evidence relating to the effectiveness of interventions described as targeting drug use. The evidence statements were </w:t>
      </w:r>
    </w:p>
    <w:p w14:paraId="3497D6CA" w14:textId="66CBCEEB" w:rsidR="007B6EA9" w:rsidRDefault="007B6EA9" w:rsidP="007B6EA9">
      <w:pPr>
        <w:spacing w:line="480" w:lineRule="auto"/>
      </w:pPr>
      <w:r>
        <w:t>extracted and recorded in a spreadsheet. Once all resources had been reviewed, the statements were collated and analysed to establish the core components covered by the evaluations (e.g.</w:t>
      </w:r>
      <w:r w:rsidRPr="00A64C10">
        <w:t xml:space="preserve"> </w:t>
      </w:r>
      <w:r>
        <w:t>scope, function, delivery method, setting, population). The outcome of the intervention mapping is presented in Table 2 in the results section.</w:t>
      </w:r>
    </w:p>
    <w:p w14:paraId="4017CD30" w14:textId="2D93D033" w:rsidR="007B6EA9" w:rsidRDefault="007B6EA9" w:rsidP="007B6EA9">
      <w:pPr>
        <w:spacing w:line="480" w:lineRule="auto"/>
      </w:pPr>
      <w:r>
        <w:t xml:space="preserve">Each evidence statement was assessed as demonstrating evidence of an intervention component being </w:t>
      </w:r>
      <w:r w:rsidRPr="008A44F6">
        <w:rPr>
          <w:i/>
        </w:rPr>
        <w:t>effective</w:t>
      </w:r>
      <w:r>
        <w:t xml:space="preserve">, </w:t>
      </w:r>
      <w:r w:rsidRPr="008A44F6">
        <w:rPr>
          <w:i/>
        </w:rPr>
        <w:t>ineffective</w:t>
      </w:r>
      <w:r>
        <w:t xml:space="preserve"> or </w:t>
      </w:r>
      <w:r w:rsidRPr="008A44F6">
        <w:rPr>
          <w:i/>
        </w:rPr>
        <w:t>harmful</w:t>
      </w:r>
      <w:r>
        <w:t xml:space="preserve">. Where a paucity of research was explicitly associated with a specific intervention component within the evidence base it was described as having </w:t>
      </w:r>
      <w:r w:rsidRPr="008A44F6">
        <w:rPr>
          <w:i/>
        </w:rPr>
        <w:t>limited evidence</w:t>
      </w:r>
      <w:r>
        <w:t xml:space="preserve"> or </w:t>
      </w:r>
      <w:r w:rsidRPr="008A44F6">
        <w:rPr>
          <w:i/>
        </w:rPr>
        <w:t>no evidence</w:t>
      </w:r>
      <w:r>
        <w:t>. The guidelines were then assessed for recommendations relevant to the intervention components</w:t>
      </w:r>
      <w:r w:rsidRPr="0040439D">
        <w:t xml:space="preserve"> </w:t>
      </w:r>
      <w:r>
        <w:t xml:space="preserve">identified. The extracted recommendations were mapped onto the intervention components under the description </w:t>
      </w:r>
      <w:r w:rsidR="0054216C" w:rsidRPr="008A44F6">
        <w:rPr>
          <w:i/>
        </w:rPr>
        <w:t>recommended</w:t>
      </w:r>
      <w:r>
        <w:t xml:space="preserve"> or </w:t>
      </w:r>
      <w:r w:rsidRPr="008A44F6">
        <w:rPr>
          <w:i/>
        </w:rPr>
        <w:t>not recommended</w:t>
      </w:r>
      <w:r>
        <w:t>.  The outcome of the evidence and recommendation mapping for each intervention component are presented as Tables in the results section below.</w:t>
      </w:r>
    </w:p>
    <w:p w14:paraId="6C27810D" w14:textId="5181C85A" w:rsidR="007B6EA9" w:rsidRDefault="007B6EA9" w:rsidP="007B6EA9">
      <w:pPr>
        <w:pStyle w:val="Heading2"/>
      </w:pPr>
      <w:bookmarkStart w:id="225" w:name="_Toc35892561"/>
      <w:r>
        <w:t>Results</w:t>
      </w:r>
      <w:bookmarkEnd w:id="225"/>
      <w:r>
        <w:t xml:space="preserve"> </w:t>
      </w:r>
    </w:p>
    <w:p w14:paraId="428ECF07" w14:textId="5A5EEA59" w:rsidR="007B6EA9" w:rsidRPr="00444E62" w:rsidRDefault="007B6EA9" w:rsidP="007B6EA9">
      <w:pPr>
        <w:pStyle w:val="Heading3"/>
      </w:pPr>
      <w:bookmarkStart w:id="226" w:name="_Toc35892562"/>
      <w:r>
        <w:t>Intervention type and function</w:t>
      </w:r>
      <w:bookmarkEnd w:id="226"/>
    </w:p>
    <w:p w14:paraId="7BA90A65" w14:textId="45F84C4F" w:rsidR="007B6EA9" w:rsidRDefault="007B6EA9" w:rsidP="007B6EA9">
      <w:pPr>
        <w:spacing w:line="480" w:lineRule="auto"/>
      </w:pPr>
      <w:r>
        <w:t xml:space="preserve">The range of interventions covered in the guidelines and their accompanying evidence base are shown in Table </w:t>
      </w:r>
      <w:r w:rsidR="005F58B6">
        <w:t>3-</w:t>
      </w:r>
      <w:r w:rsidR="00FC1DE2">
        <w:t>3</w:t>
      </w:r>
      <w:r>
        <w:t xml:space="preserve">. </w:t>
      </w:r>
    </w:p>
    <w:p w14:paraId="1F00B024" w14:textId="77777777" w:rsidR="007B6EA9" w:rsidRDefault="007B6EA9" w:rsidP="007B6EA9">
      <w:pPr>
        <w:spacing w:line="480" w:lineRule="auto"/>
      </w:pPr>
    </w:p>
    <w:p w14:paraId="318BEE6A" w14:textId="77777777" w:rsidR="005A67DB" w:rsidRDefault="005A67DB">
      <w:pPr>
        <w:rPr>
          <w:b/>
        </w:rPr>
      </w:pPr>
      <w:r>
        <w:rPr>
          <w:b/>
        </w:rPr>
        <w:br w:type="page"/>
      </w:r>
    </w:p>
    <w:p w14:paraId="4C7C61B4" w14:textId="14319A50" w:rsidR="007B6EA9" w:rsidRPr="003171C5" w:rsidRDefault="007B6EA9" w:rsidP="003171C5">
      <w:pPr>
        <w:pStyle w:val="TableHeader"/>
        <w:rPr>
          <w:b/>
        </w:rPr>
      </w:pPr>
      <w:bookmarkStart w:id="227" w:name="_Toc9509034"/>
      <w:r w:rsidRPr="003171C5">
        <w:rPr>
          <w:b/>
        </w:rPr>
        <w:t xml:space="preserve">Table </w:t>
      </w:r>
      <w:r w:rsidR="003171C5">
        <w:rPr>
          <w:b/>
        </w:rPr>
        <w:t>3-</w:t>
      </w:r>
      <w:r w:rsidR="00FC1DE2">
        <w:rPr>
          <w:b/>
        </w:rPr>
        <w:t>3</w:t>
      </w:r>
      <w:r w:rsidRPr="003171C5">
        <w:rPr>
          <w:b/>
        </w:rPr>
        <w:t>. Types of drug prevention interventions referenced in the key guidelines</w:t>
      </w:r>
      <w:bookmarkEnd w:id="227"/>
    </w:p>
    <w:tbl>
      <w:tblPr>
        <w:tblStyle w:val="TableGrid"/>
        <w:tblW w:w="9180" w:type="dxa"/>
        <w:tblLook w:val="04A0" w:firstRow="1" w:lastRow="0" w:firstColumn="1" w:lastColumn="0" w:noHBand="0" w:noVBand="1"/>
      </w:tblPr>
      <w:tblGrid>
        <w:gridCol w:w="1668"/>
        <w:gridCol w:w="283"/>
        <w:gridCol w:w="1742"/>
        <w:gridCol w:w="951"/>
        <w:gridCol w:w="2410"/>
        <w:gridCol w:w="2126"/>
      </w:tblGrid>
      <w:tr w:rsidR="007B6EA9" w:rsidRPr="00D621BE" w14:paraId="0CB8128B" w14:textId="77777777" w:rsidTr="007B6EA9">
        <w:trPr>
          <w:trHeight w:val="430"/>
        </w:trPr>
        <w:tc>
          <w:tcPr>
            <w:tcW w:w="1951" w:type="dxa"/>
            <w:gridSpan w:val="2"/>
            <w:tcBorders>
              <w:top w:val="single" w:sz="4" w:space="0" w:color="auto"/>
              <w:left w:val="nil"/>
              <w:bottom w:val="single" w:sz="4" w:space="0" w:color="auto"/>
              <w:right w:val="nil"/>
            </w:tcBorders>
            <w:vAlign w:val="center"/>
          </w:tcPr>
          <w:p w14:paraId="5ABD07D6" w14:textId="77777777" w:rsidR="007B6EA9" w:rsidRPr="00D621BE" w:rsidRDefault="007B6EA9" w:rsidP="007B6EA9">
            <w:pPr>
              <w:rPr>
                <w:b/>
                <w:szCs w:val="24"/>
              </w:rPr>
            </w:pPr>
            <w:r w:rsidRPr="00D621BE">
              <w:rPr>
                <w:b/>
                <w:color w:val="000000" w:themeColor="text1"/>
                <w:szCs w:val="24"/>
              </w:rPr>
              <w:t>Type / content</w:t>
            </w:r>
          </w:p>
        </w:tc>
        <w:tc>
          <w:tcPr>
            <w:tcW w:w="2693" w:type="dxa"/>
            <w:gridSpan w:val="2"/>
            <w:tcBorders>
              <w:top w:val="single" w:sz="4" w:space="0" w:color="auto"/>
              <w:left w:val="nil"/>
              <w:bottom w:val="single" w:sz="4" w:space="0" w:color="auto"/>
              <w:right w:val="nil"/>
            </w:tcBorders>
            <w:vAlign w:val="center"/>
          </w:tcPr>
          <w:p w14:paraId="20E28798" w14:textId="77777777" w:rsidR="007B6EA9" w:rsidRPr="00D621BE" w:rsidRDefault="007B6EA9" w:rsidP="007B6EA9">
            <w:pPr>
              <w:rPr>
                <w:b/>
                <w:szCs w:val="24"/>
              </w:rPr>
            </w:pPr>
            <w:r w:rsidRPr="00D621BE">
              <w:rPr>
                <w:b/>
                <w:color w:val="000000" w:themeColor="text1"/>
                <w:szCs w:val="24"/>
              </w:rPr>
              <w:t>Delivery</w:t>
            </w:r>
          </w:p>
        </w:tc>
        <w:tc>
          <w:tcPr>
            <w:tcW w:w="2410" w:type="dxa"/>
            <w:tcBorders>
              <w:top w:val="single" w:sz="4" w:space="0" w:color="auto"/>
              <w:left w:val="nil"/>
              <w:bottom w:val="single" w:sz="4" w:space="0" w:color="auto"/>
              <w:right w:val="nil"/>
            </w:tcBorders>
            <w:vAlign w:val="center"/>
          </w:tcPr>
          <w:p w14:paraId="2D788672" w14:textId="77777777" w:rsidR="007B6EA9" w:rsidRPr="00D621BE" w:rsidRDefault="007B6EA9" w:rsidP="007B6EA9">
            <w:pPr>
              <w:rPr>
                <w:b/>
                <w:szCs w:val="24"/>
              </w:rPr>
            </w:pPr>
            <w:r w:rsidRPr="00D621BE">
              <w:rPr>
                <w:b/>
                <w:color w:val="000000" w:themeColor="text1"/>
                <w:szCs w:val="24"/>
              </w:rPr>
              <w:t>Setting</w:t>
            </w:r>
          </w:p>
        </w:tc>
        <w:tc>
          <w:tcPr>
            <w:tcW w:w="2126" w:type="dxa"/>
            <w:tcBorders>
              <w:top w:val="single" w:sz="4" w:space="0" w:color="auto"/>
              <w:left w:val="nil"/>
              <w:bottom w:val="single" w:sz="4" w:space="0" w:color="auto"/>
              <w:right w:val="nil"/>
            </w:tcBorders>
            <w:vAlign w:val="center"/>
          </w:tcPr>
          <w:p w14:paraId="03CA8E0C" w14:textId="77777777" w:rsidR="007B6EA9" w:rsidRPr="00D621BE" w:rsidRDefault="007B6EA9" w:rsidP="007B6EA9">
            <w:pPr>
              <w:rPr>
                <w:b/>
                <w:szCs w:val="24"/>
              </w:rPr>
            </w:pPr>
            <w:r w:rsidRPr="00D621BE">
              <w:rPr>
                <w:b/>
                <w:szCs w:val="24"/>
              </w:rPr>
              <w:t>Population</w:t>
            </w:r>
            <w:r>
              <w:rPr>
                <w:b/>
                <w:szCs w:val="24"/>
              </w:rPr>
              <w:t xml:space="preserve"> / scope</w:t>
            </w:r>
          </w:p>
        </w:tc>
      </w:tr>
      <w:tr w:rsidR="007B6EA9" w:rsidRPr="00540696" w14:paraId="2582382D" w14:textId="77777777" w:rsidTr="007B6EA9">
        <w:trPr>
          <w:trHeight w:val="430"/>
        </w:trPr>
        <w:tc>
          <w:tcPr>
            <w:tcW w:w="1668" w:type="dxa"/>
            <w:tcBorders>
              <w:top w:val="single" w:sz="4" w:space="0" w:color="auto"/>
              <w:left w:val="nil"/>
              <w:bottom w:val="single" w:sz="4" w:space="0" w:color="auto"/>
              <w:right w:val="nil"/>
            </w:tcBorders>
            <w:vAlign w:val="center"/>
          </w:tcPr>
          <w:p w14:paraId="0CAC0A1C" w14:textId="77777777" w:rsidR="007B6EA9" w:rsidRPr="00540696" w:rsidRDefault="007B6EA9" w:rsidP="007B6EA9">
            <w:pPr>
              <w:rPr>
                <w:b/>
                <w:sz w:val="22"/>
                <w:szCs w:val="24"/>
              </w:rPr>
            </w:pPr>
            <w:r>
              <w:rPr>
                <w:b/>
                <w:sz w:val="22"/>
                <w:szCs w:val="24"/>
              </w:rPr>
              <w:t xml:space="preserve">Informational </w:t>
            </w:r>
          </w:p>
        </w:tc>
        <w:tc>
          <w:tcPr>
            <w:tcW w:w="2025" w:type="dxa"/>
            <w:gridSpan w:val="2"/>
            <w:tcBorders>
              <w:top w:val="single" w:sz="4" w:space="0" w:color="auto"/>
              <w:left w:val="nil"/>
              <w:bottom w:val="single" w:sz="4" w:space="0" w:color="auto"/>
              <w:right w:val="nil"/>
            </w:tcBorders>
            <w:vAlign w:val="center"/>
          </w:tcPr>
          <w:p w14:paraId="3F0C7CB5" w14:textId="77777777" w:rsidR="007B6EA9" w:rsidRPr="00540696" w:rsidRDefault="007B6EA9" w:rsidP="007B6EA9">
            <w:pPr>
              <w:rPr>
                <w:b/>
                <w:sz w:val="22"/>
                <w:szCs w:val="24"/>
              </w:rPr>
            </w:pPr>
          </w:p>
        </w:tc>
        <w:tc>
          <w:tcPr>
            <w:tcW w:w="5487" w:type="dxa"/>
            <w:gridSpan w:val="3"/>
            <w:tcBorders>
              <w:top w:val="single" w:sz="4" w:space="0" w:color="auto"/>
              <w:left w:val="nil"/>
              <w:bottom w:val="single" w:sz="4" w:space="0" w:color="auto"/>
              <w:right w:val="nil"/>
            </w:tcBorders>
            <w:vAlign w:val="center"/>
          </w:tcPr>
          <w:p w14:paraId="5D190FDB" w14:textId="77777777" w:rsidR="007B6EA9" w:rsidRPr="00540696" w:rsidRDefault="007B6EA9" w:rsidP="007B6EA9">
            <w:pPr>
              <w:rPr>
                <w:b/>
                <w:sz w:val="22"/>
                <w:szCs w:val="24"/>
              </w:rPr>
            </w:pPr>
          </w:p>
        </w:tc>
      </w:tr>
      <w:tr w:rsidR="007B6EA9" w:rsidRPr="00783116" w14:paraId="6954ED5C" w14:textId="77777777" w:rsidTr="005A67DB">
        <w:trPr>
          <w:trHeight w:val="3168"/>
        </w:trPr>
        <w:tc>
          <w:tcPr>
            <w:tcW w:w="1951" w:type="dxa"/>
            <w:gridSpan w:val="2"/>
            <w:tcBorders>
              <w:top w:val="single" w:sz="4" w:space="0" w:color="auto"/>
              <w:left w:val="nil"/>
              <w:bottom w:val="single" w:sz="4" w:space="0" w:color="auto"/>
              <w:right w:val="nil"/>
            </w:tcBorders>
          </w:tcPr>
          <w:p w14:paraId="0FB1D43E" w14:textId="77777777" w:rsidR="007B6EA9" w:rsidRPr="00783116" w:rsidRDefault="007B6EA9" w:rsidP="007B6EA9">
            <w:pPr>
              <w:pStyle w:val="Notesstructure"/>
              <w:spacing w:line="360" w:lineRule="auto"/>
              <w:rPr>
                <w:color w:val="000000" w:themeColor="text1"/>
                <w:sz w:val="22"/>
              </w:rPr>
            </w:pPr>
            <w:r>
              <w:rPr>
                <w:color w:val="000000" w:themeColor="text1"/>
                <w:sz w:val="22"/>
              </w:rPr>
              <w:t xml:space="preserve">Drug knowledge </w:t>
            </w:r>
            <w:r>
              <w:rPr>
                <w:color w:val="000000" w:themeColor="text1"/>
                <w:sz w:val="22"/>
              </w:rPr>
              <w:br/>
              <w:t>Risks of use</w:t>
            </w:r>
            <w:r>
              <w:rPr>
                <w:color w:val="000000" w:themeColor="text1"/>
                <w:sz w:val="22"/>
              </w:rPr>
              <w:br/>
              <w:t>Social norms</w:t>
            </w:r>
          </w:p>
        </w:tc>
        <w:tc>
          <w:tcPr>
            <w:tcW w:w="2693" w:type="dxa"/>
            <w:gridSpan w:val="2"/>
            <w:tcBorders>
              <w:top w:val="single" w:sz="4" w:space="0" w:color="auto"/>
              <w:left w:val="nil"/>
              <w:bottom w:val="single" w:sz="4" w:space="0" w:color="auto"/>
              <w:right w:val="nil"/>
            </w:tcBorders>
          </w:tcPr>
          <w:p w14:paraId="34280359" w14:textId="73FF1068" w:rsidR="007B6EA9" w:rsidRPr="00783116" w:rsidRDefault="007B6EA9" w:rsidP="007B6EA9">
            <w:pPr>
              <w:pStyle w:val="Notesstructure"/>
              <w:spacing w:line="360" w:lineRule="auto"/>
              <w:rPr>
                <w:color w:val="000000" w:themeColor="text1"/>
                <w:sz w:val="22"/>
              </w:rPr>
            </w:pPr>
            <w:r w:rsidRPr="00783116">
              <w:rPr>
                <w:color w:val="000000" w:themeColor="text1"/>
                <w:sz w:val="22"/>
              </w:rPr>
              <w:t xml:space="preserve">Ex-user led </w:t>
            </w:r>
            <w:r w:rsidRPr="00783116">
              <w:rPr>
                <w:color w:val="000000" w:themeColor="text1"/>
                <w:sz w:val="22"/>
              </w:rPr>
              <w:br/>
              <w:t xml:space="preserve">Peer-led </w:t>
            </w:r>
            <w:r>
              <w:rPr>
                <w:color w:val="000000" w:themeColor="text1"/>
                <w:sz w:val="22"/>
              </w:rPr>
              <w:br/>
              <w:t>Trained professionals</w:t>
            </w:r>
            <w:r w:rsidRPr="00783116">
              <w:rPr>
                <w:color w:val="000000" w:themeColor="text1"/>
                <w:sz w:val="22"/>
              </w:rPr>
              <w:t xml:space="preserve"> </w:t>
            </w:r>
            <w:r>
              <w:rPr>
                <w:color w:val="000000" w:themeColor="text1"/>
                <w:sz w:val="22"/>
              </w:rPr>
              <w:br/>
              <w:t>Web-based</w:t>
            </w:r>
            <w:r>
              <w:rPr>
                <w:color w:val="000000" w:themeColor="text1"/>
                <w:sz w:val="22"/>
              </w:rPr>
              <w:br/>
              <w:t>Mass media</w:t>
            </w:r>
            <w:r>
              <w:rPr>
                <w:color w:val="000000" w:themeColor="text1"/>
                <w:sz w:val="22"/>
              </w:rPr>
              <w:br/>
            </w:r>
            <w:r w:rsidRPr="00783116">
              <w:rPr>
                <w:color w:val="000000" w:themeColor="text1"/>
                <w:sz w:val="22"/>
              </w:rPr>
              <w:t>Multi-component</w:t>
            </w:r>
            <w:r>
              <w:rPr>
                <w:color w:val="000000" w:themeColor="text1"/>
                <w:sz w:val="22"/>
              </w:rPr>
              <w:br/>
              <w:t>Non-judgmental approach</w:t>
            </w:r>
            <w:r>
              <w:rPr>
                <w:color w:val="000000" w:themeColor="text1"/>
                <w:sz w:val="22"/>
              </w:rPr>
              <w:br/>
            </w:r>
            <w:r w:rsidRPr="00783116">
              <w:rPr>
                <w:color w:val="000000" w:themeColor="text1"/>
                <w:sz w:val="22"/>
              </w:rPr>
              <w:t>Interactive program</w:t>
            </w:r>
            <w:r>
              <w:rPr>
                <w:color w:val="000000" w:themeColor="text1"/>
                <w:sz w:val="22"/>
              </w:rPr>
              <w:t>me</w:t>
            </w:r>
            <w:r>
              <w:rPr>
                <w:color w:val="000000" w:themeColor="text1"/>
                <w:sz w:val="22"/>
              </w:rPr>
              <w:br/>
              <w:t>Fear appeals</w:t>
            </w:r>
          </w:p>
        </w:tc>
        <w:tc>
          <w:tcPr>
            <w:tcW w:w="2410" w:type="dxa"/>
            <w:tcBorders>
              <w:top w:val="single" w:sz="4" w:space="0" w:color="auto"/>
              <w:left w:val="nil"/>
              <w:bottom w:val="single" w:sz="4" w:space="0" w:color="auto"/>
              <w:right w:val="nil"/>
            </w:tcBorders>
          </w:tcPr>
          <w:p w14:paraId="7E154957" w14:textId="77777777" w:rsidR="007B6EA9" w:rsidRDefault="007B6EA9" w:rsidP="007B6EA9">
            <w:pPr>
              <w:pStyle w:val="Notesstructure"/>
              <w:spacing w:line="360" w:lineRule="auto"/>
              <w:rPr>
                <w:color w:val="000000" w:themeColor="text1"/>
                <w:sz w:val="22"/>
              </w:rPr>
            </w:pPr>
            <w:r w:rsidRPr="00DE0058">
              <w:rPr>
                <w:b/>
                <w:color w:val="000000" w:themeColor="text1"/>
                <w:sz w:val="22"/>
              </w:rPr>
              <w:t>Universal:</w:t>
            </w:r>
            <w:r>
              <w:rPr>
                <w:color w:val="000000" w:themeColor="text1"/>
                <w:sz w:val="22"/>
              </w:rPr>
              <w:br/>
              <w:t>School</w:t>
            </w:r>
          </w:p>
          <w:p w14:paraId="11AB90E9" w14:textId="2FAC7CF5" w:rsidR="007B6EA9" w:rsidRPr="00783116" w:rsidRDefault="007B6EA9" w:rsidP="007B6EA9">
            <w:pPr>
              <w:pStyle w:val="Notesstructure"/>
              <w:spacing w:line="360" w:lineRule="auto"/>
              <w:rPr>
                <w:color w:val="000000" w:themeColor="text1"/>
                <w:sz w:val="22"/>
              </w:rPr>
            </w:pPr>
            <w:r>
              <w:rPr>
                <w:b/>
                <w:color w:val="000000" w:themeColor="text1"/>
                <w:sz w:val="22"/>
              </w:rPr>
              <w:br/>
            </w:r>
            <w:r w:rsidRPr="00DE0058">
              <w:rPr>
                <w:b/>
                <w:color w:val="000000" w:themeColor="text1"/>
                <w:sz w:val="22"/>
              </w:rPr>
              <w:t>Selective:</w:t>
            </w:r>
            <w:r>
              <w:rPr>
                <w:color w:val="000000" w:themeColor="text1"/>
                <w:sz w:val="22"/>
              </w:rPr>
              <w:br/>
            </w:r>
            <w:r w:rsidRPr="00783116">
              <w:rPr>
                <w:color w:val="000000" w:themeColor="text1"/>
                <w:sz w:val="22"/>
              </w:rPr>
              <w:t xml:space="preserve">Family settings </w:t>
            </w:r>
            <w:r w:rsidRPr="00783116">
              <w:rPr>
                <w:color w:val="000000" w:themeColor="text1"/>
                <w:sz w:val="22"/>
              </w:rPr>
              <w:br/>
            </w:r>
            <w:r>
              <w:rPr>
                <w:color w:val="000000" w:themeColor="text1"/>
                <w:sz w:val="22"/>
              </w:rPr>
              <w:t>H</w:t>
            </w:r>
            <w:r w:rsidRPr="00783116">
              <w:rPr>
                <w:color w:val="000000" w:themeColor="text1"/>
                <w:sz w:val="22"/>
              </w:rPr>
              <w:t xml:space="preserve">ealth settings </w:t>
            </w:r>
            <w:r w:rsidRPr="00783116">
              <w:rPr>
                <w:color w:val="000000" w:themeColor="text1"/>
                <w:sz w:val="22"/>
              </w:rPr>
              <w:br/>
              <w:t>Nightlife venues</w:t>
            </w:r>
            <w:r w:rsidRPr="00783116">
              <w:rPr>
                <w:color w:val="000000" w:themeColor="text1"/>
                <w:sz w:val="22"/>
              </w:rPr>
              <w:br/>
              <w:t>Sexual health clinics</w:t>
            </w:r>
          </w:p>
        </w:tc>
        <w:tc>
          <w:tcPr>
            <w:tcW w:w="2126" w:type="dxa"/>
            <w:tcBorders>
              <w:top w:val="single" w:sz="4" w:space="0" w:color="auto"/>
              <w:left w:val="nil"/>
              <w:bottom w:val="single" w:sz="4" w:space="0" w:color="auto"/>
              <w:right w:val="nil"/>
            </w:tcBorders>
          </w:tcPr>
          <w:p w14:paraId="7DE2E952" w14:textId="77777777" w:rsidR="007B6EA9" w:rsidRDefault="007B6EA9" w:rsidP="007B6EA9">
            <w:pPr>
              <w:pStyle w:val="Notesstructure"/>
              <w:spacing w:line="360" w:lineRule="auto"/>
              <w:rPr>
                <w:color w:val="000000" w:themeColor="text1"/>
                <w:sz w:val="22"/>
              </w:rPr>
            </w:pPr>
            <w:r w:rsidRPr="00F62806">
              <w:rPr>
                <w:b/>
                <w:color w:val="000000" w:themeColor="text1"/>
                <w:sz w:val="22"/>
              </w:rPr>
              <w:t>Universal:</w:t>
            </w:r>
            <w:r>
              <w:rPr>
                <w:color w:val="000000" w:themeColor="text1"/>
                <w:sz w:val="22"/>
              </w:rPr>
              <w:br/>
              <w:t>School pupils</w:t>
            </w:r>
            <w:r>
              <w:rPr>
                <w:color w:val="000000" w:themeColor="text1"/>
                <w:sz w:val="22"/>
              </w:rPr>
              <w:br/>
            </w:r>
            <w:r w:rsidRPr="00783116">
              <w:rPr>
                <w:color w:val="000000" w:themeColor="text1"/>
                <w:sz w:val="22"/>
              </w:rPr>
              <w:t>Young people</w:t>
            </w:r>
          </w:p>
          <w:p w14:paraId="051DF537" w14:textId="07428D7D" w:rsidR="007B6EA9" w:rsidRPr="00783116" w:rsidRDefault="007B6EA9" w:rsidP="007B6EA9">
            <w:pPr>
              <w:pStyle w:val="Notesstructure"/>
              <w:spacing w:line="360" w:lineRule="auto"/>
              <w:rPr>
                <w:color w:val="000000" w:themeColor="text1"/>
                <w:sz w:val="22"/>
              </w:rPr>
            </w:pPr>
            <w:r w:rsidRPr="00F62806">
              <w:rPr>
                <w:b/>
                <w:color w:val="000000" w:themeColor="text1"/>
                <w:sz w:val="22"/>
              </w:rPr>
              <w:t>Selective:</w:t>
            </w:r>
            <w:r>
              <w:rPr>
                <w:color w:val="000000" w:themeColor="text1"/>
                <w:sz w:val="22"/>
              </w:rPr>
              <w:br/>
              <w:t xml:space="preserve">At-risk youth </w:t>
            </w:r>
            <w:r w:rsidRPr="00783116">
              <w:rPr>
                <w:color w:val="000000" w:themeColor="text1"/>
                <w:sz w:val="22"/>
              </w:rPr>
              <w:t xml:space="preserve">Children of users Clubbers </w:t>
            </w:r>
            <w:r w:rsidRPr="00783116">
              <w:rPr>
                <w:color w:val="000000" w:themeColor="text1"/>
                <w:sz w:val="22"/>
              </w:rPr>
              <w:br/>
              <w:t>LGBT+</w:t>
            </w:r>
          </w:p>
        </w:tc>
      </w:tr>
      <w:tr w:rsidR="007B6EA9" w:rsidRPr="00540696" w14:paraId="0AA4FE00" w14:textId="77777777" w:rsidTr="007B6EA9">
        <w:trPr>
          <w:trHeight w:val="430"/>
        </w:trPr>
        <w:tc>
          <w:tcPr>
            <w:tcW w:w="1668" w:type="dxa"/>
            <w:tcBorders>
              <w:top w:val="single" w:sz="4" w:space="0" w:color="auto"/>
              <w:left w:val="nil"/>
              <w:bottom w:val="single" w:sz="4" w:space="0" w:color="auto"/>
              <w:right w:val="nil"/>
            </w:tcBorders>
            <w:vAlign w:val="center"/>
          </w:tcPr>
          <w:p w14:paraId="7A22CCF7" w14:textId="77777777" w:rsidR="007B6EA9" w:rsidRPr="00540696" w:rsidRDefault="007B6EA9" w:rsidP="007B6EA9">
            <w:pPr>
              <w:rPr>
                <w:b/>
                <w:sz w:val="22"/>
                <w:szCs w:val="24"/>
              </w:rPr>
            </w:pPr>
            <w:r w:rsidRPr="00540696">
              <w:rPr>
                <w:b/>
                <w:sz w:val="22"/>
                <w:szCs w:val="24"/>
              </w:rPr>
              <w:t>Developmental</w:t>
            </w:r>
          </w:p>
        </w:tc>
        <w:tc>
          <w:tcPr>
            <w:tcW w:w="2025" w:type="dxa"/>
            <w:gridSpan w:val="2"/>
            <w:tcBorders>
              <w:top w:val="single" w:sz="4" w:space="0" w:color="auto"/>
              <w:left w:val="nil"/>
              <w:bottom w:val="single" w:sz="4" w:space="0" w:color="auto"/>
              <w:right w:val="nil"/>
            </w:tcBorders>
            <w:vAlign w:val="center"/>
          </w:tcPr>
          <w:p w14:paraId="241E2B2D" w14:textId="77777777" w:rsidR="007B6EA9" w:rsidRPr="00540696" w:rsidRDefault="007B6EA9" w:rsidP="007B6EA9">
            <w:pPr>
              <w:rPr>
                <w:b/>
                <w:sz w:val="22"/>
                <w:szCs w:val="24"/>
              </w:rPr>
            </w:pPr>
          </w:p>
        </w:tc>
        <w:tc>
          <w:tcPr>
            <w:tcW w:w="5487" w:type="dxa"/>
            <w:gridSpan w:val="3"/>
            <w:tcBorders>
              <w:top w:val="single" w:sz="4" w:space="0" w:color="auto"/>
              <w:left w:val="nil"/>
              <w:bottom w:val="single" w:sz="4" w:space="0" w:color="auto"/>
              <w:right w:val="nil"/>
            </w:tcBorders>
            <w:vAlign w:val="center"/>
          </w:tcPr>
          <w:p w14:paraId="346B122C" w14:textId="77777777" w:rsidR="007B6EA9" w:rsidRPr="00540696" w:rsidRDefault="007B6EA9" w:rsidP="007B6EA9">
            <w:pPr>
              <w:rPr>
                <w:b/>
                <w:sz w:val="22"/>
                <w:szCs w:val="24"/>
              </w:rPr>
            </w:pPr>
          </w:p>
        </w:tc>
      </w:tr>
      <w:tr w:rsidR="007B6EA9" w:rsidRPr="00783116" w14:paraId="2D975349" w14:textId="77777777" w:rsidTr="007B6EA9">
        <w:trPr>
          <w:trHeight w:val="3973"/>
        </w:trPr>
        <w:tc>
          <w:tcPr>
            <w:tcW w:w="1951" w:type="dxa"/>
            <w:gridSpan w:val="2"/>
            <w:tcBorders>
              <w:top w:val="single" w:sz="4" w:space="0" w:color="auto"/>
              <w:left w:val="nil"/>
              <w:bottom w:val="single" w:sz="4" w:space="0" w:color="auto"/>
              <w:right w:val="nil"/>
            </w:tcBorders>
          </w:tcPr>
          <w:p w14:paraId="76B0FB92" w14:textId="77777777" w:rsidR="007B6EA9" w:rsidRPr="00783116" w:rsidRDefault="007B6EA9" w:rsidP="007B6EA9">
            <w:pPr>
              <w:pStyle w:val="Notesstructure"/>
              <w:spacing w:line="360" w:lineRule="auto"/>
              <w:rPr>
                <w:color w:val="000000" w:themeColor="text1"/>
                <w:sz w:val="22"/>
              </w:rPr>
            </w:pPr>
            <w:r>
              <w:rPr>
                <w:color w:val="000000" w:themeColor="text1"/>
                <w:sz w:val="22"/>
              </w:rPr>
              <w:t>Life skills</w:t>
            </w:r>
            <w:r>
              <w:rPr>
                <w:color w:val="000000" w:themeColor="text1"/>
                <w:sz w:val="22"/>
              </w:rPr>
              <w:br/>
              <w:t>Personal skills</w:t>
            </w:r>
            <w:r>
              <w:rPr>
                <w:color w:val="000000" w:themeColor="text1"/>
                <w:sz w:val="22"/>
              </w:rPr>
              <w:br/>
              <w:t>Social skills</w:t>
            </w:r>
            <w:r>
              <w:rPr>
                <w:color w:val="000000" w:themeColor="text1"/>
                <w:sz w:val="22"/>
              </w:rPr>
              <w:br/>
              <w:t>Affective skills</w:t>
            </w:r>
          </w:p>
        </w:tc>
        <w:tc>
          <w:tcPr>
            <w:tcW w:w="2693" w:type="dxa"/>
            <w:gridSpan w:val="2"/>
            <w:tcBorders>
              <w:top w:val="single" w:sz="4" w:space="0" w:color="auto"/>
              <w:left w:val="nil"/>
              <w:bottom w:val="single" w:sz="4" w:space="0" w:color="auto"/>
              <w:right w:val="nil"/>
            </w:tcBorders>
          </w:tcPr>
          <w:p w14:paraId="7EB00B5E" w14:textId="77777777" w:rsidR="007B6EA9" w:rsidRPr="00783116" w:rsidRDefault="007B6EA9" w:rsidP="007B6EA9">
            <w:pPr>
              <w:pStyle w:val="Notesstructure"/>
              <w:spacing w:line="360" w:lineRule="auto"/>
              <w:rPr>
                <w:color w:val="000000" w:themeColor="text1"/>
                <w:sz w:val="22"/>
              </w:rPr>
            </w:pPr>
            <w:r w:rsidRPr="00783116">
              <w:rPr>
                <w:color w:val="000000" w:themeColor="text1"/>
                <w:sz w:val="22"/>
              </w:rPr>
              <w:t>Mass media campaigns</w:t>
            </w:r>
            <w:r w:rsidRPr="00783116">
              <w:rPr>
                <w:color w:val="000000" w:themeColor="text1"/>
                <w:sz w:val="22"/>
              </w:rPr>
              <w:br/>
            </w:r>
            <w:r>
              <w:rPr>
                <w:color w:val="000000" w:themeColor="text1"/>
                <w:sz w:val="22"/>
              </w:rPr>
              <w:t xml:space="preserve">Web-based </w:t>
            </w:r>
            <w:r w:rsidRPr="00783116">
              <w:rPr>
                <w:color w:val="000000" w:themeColor="text1"/>
                <w:sz w:val="22"/>
              </w:rPr>
              <w:br/>
              <w:t xml:space="preserve">Peer-led </w:t>
            </w:r>
            <w:r w:rsidRPr="00783116">
              <w:rPr>
                <w:color w:val="000000" w:themeColor="text1"/>
                <w:sz w:val="22"/>
              </w:rPr>
              <w:br/>
              <w:t xml:space="preserve">Police-led </w:t>
            </w:r>
            <w:r>
              <w:rPr>
                <w:color w:val="000000" w:themeColor="text1"/>
                <w:sz w:val="22"/>
              </w:rPr>
              <w:br/>
            </w:r>
            <w:r w:rsidRPr="00783116">
              <w:rPr>
                <w:color w:val="000000" w:themeColor="text1"/>
                <w:sz w:val="22"/>
              </w:rPr>
              <w:t>Ex-user led</w:t>
            </w:r>
            <w:r>
              <w:rPr>
                <w:color w:val="000000" w:themeColor="text1"/>
                <w:sz w:val="22"/>
              </w:rPr>
              <w:br/>
              <w:t>Trained professionals</w:t>
            </w:r>
            <w:r>
              <w:rPr>
                <w:color w:val="000000" w:themeColor="text1"/>
                <w:sz w:val="22"/>
              </w:rPr>
              <w:br/>
              <w:t>Structured course</w:t>
            </w:r>
            <w:r>
              <w:rPr>
                <w:color w:val="000000" w:themeColor="text1"/>
                <w:sz w:val="22"/>
              </w:rPr>
              <w:br/>
              <w:t>Non-judgmental approach</w:t>
            </w:r>
            <w:r>
              <w:rPr>
                <w:color w:val="000000" w:themeColor="text1"/>
                <w:sz w:val="22"/>
              </w:rPr>
              <w:br/>
            </w:r>
            <w:r w:rsidRPr="00783116">
              <w:rPr>
                <w:color w:val="000000" w:themeColor="text1"/>
                <w:sz w:val="22"/>
              </w:rPr>
              <w:t>Interactive programme</w:t>
            </w:r>
            <w:r>
              <w:rPr>
                <w:color w:val="000000" w:themeColor="text1"/>
                <w:sz w:val="22"/>
              </w:rPr>
              <w:br/>
            </w:r>
            <w:r w:rsidRPr="00783116">
              <w:rPr>
                <w:color w:val="000000" w:themeColor="text1"/>
                <w:sz w:val="22"/>
              </w:rPr>
              <w:t>Multi-component</w:t>
            </w:r>
          </w:p>
        </w:tc>
        <w:tc>
          <w:tcPr>
            <w:tcW w:w="2410" w:type="dxa"/>
            <w:tcBorders>
              <w:top w:val="single" w:sz="4" w:space="0" w:color="auto"/>
              <w:left w:val="nil"/>
              <w:bottom w:val="single" w:sz="4" w:space="0" w:color="auto"/>
              <w:right w:val="nil"/>
            </w:tcBorders>
          </w:tcPr>
          <w:p w14:paraId="42B114C0" w14:textId="77777777" w:rsidR="007B6EA9" w:rsidRPr="00783116" w:rsidRDefault="007B6EA9" w:rsidP="007B6EA9">
            <w:pPr>
              <w:pStyle w:val="Notesstructure"/>
              <w:spacing w:line="360" w:lineRule="auto"/>
              <w:rPr>
                <w:color w:val="000000" w:themeColor="text1"/>
                <w:sz w:val="22"/>
              </w:rPr>
            </w:pPr>
            <w:r w:rsidRPr="00DE0058">
              <w:rPr>
                <w:b/>
                <w:color w:val="000000" w:themeColor="text1"/>
                <w:sz w:val="22"/>
              </w:rPr>
              <w:t>Universal:</w:t>
            </w:r>
            <w:r>
              <w:rPr>
                <w:color w:val="000000" w:themeColor="text1"/>
                <w:sz w:val="22"/>
              </w:rPr>
              <w:br/>
            </w:r>
            <w:r w:rsidRPr="00783116">
              <w:rPr>
                <w:color w:val="000000" w:themeColor="text1"/>
                <w:sz w:val="22"/>
              </w:rPr>
              <w:t>School</w:t>
            </w:r>
            <w:r>
              <w:rPr>
                <w:color w:val="000000" w:themeColor="text1"/>
                <w:sz w:val="22"/>
              </w:rPr>
              <w:t>s</w:t>
            </w:r>
            <w:r w:rsidRPr="00783116">
              <w:rPr>
                <w:color w:val="000000" w:themeColor="text1"/>
                <w:sz w:val="22"/>
              </w:rPr>
              <w:t xml:space="preserve"> </w:t>
            </w:r>
            <w:r>
              <w:rPr>
                <w:color w:val="000000" w:themeColor="text1"/>
                <w:sz w:val="22"/>
              </w:rPr>
              <w:br/>
            </w:r>
            <w:r>
              <w:rPr>
                <w:color w:val="000000" w:themeColor="text1"/>
                <w:sz w:val="22"/>
              </w:rPr>
              <w:br/>
            </w:r>
            <w:r>
              <w:rPr>
                <w:b/>
                <w:color w:val="000000" w:themeColor="text1"/>
                <w:sz w:val="22"/>
              </w:rPr>
              <w:br/>
            </w:r>
            <w:r w:rsidRPr="00DE0058">
              <w:rPr>
                <w:b/>
                <w:color w:val="000000" w:themeColor="text1"/>
                <w:sz w:val="22"/>
              </w:rPr>
              <w:t>Selective:</w:t>
            </w:r>
            <w:r>
              <w:rPr>
                <w:color w:val="000000" w:themeColor="text1"/>
                <w:sz w:val="22"/>
              </w:rPr>
              <w:br/>
              <w:t>Family-based</w:t>
            </w:r>
            <w:r>
              <w:rPr>
                <w:color w:val="000000" w:themeColor="text1"/>
                <w:sz w:val="22"/>
              </w:rPr>
              <w:br/>
              <w:t>Youth groups</w:t>
            </w:r>
          </w:p>
        </w:tc>
        <w:tc>
          <w:tcPr>
            <w:tcW w:w="2126" w:type="dxa"/>
            <w:tcBorders>
              <w:top w:val="single" w:sz="4" w:space="0" w:color="auto"/>
              <w:left w:val="nil"/>
              <w:bottom w:val="single" w:sz="4" w:space="0" w:color="auto"/>
              <w:right w:val="nil"/>
            </w:tcBorders>
          </w:tcPr>
          <w:p w14:paraId="1E75F07B" w14:textId="77777777" w:rsidR="007B6EA9" w:rsidRPr="00783116" w:rsidRDefault="007B6EA9" w:rsidP="007B6EA9">
            <w:pPr>
              <w:pStyle w:val="Notesstructure"/>
              <w:spacing w:line="360" w:lineRule="auto"/>
              <w:rPr>
                <w:color w:val="000000" w:themeColor="text1"/>
                <w:sz w:val="22"/>
              </w:rPr>
            </w:pPr>
            <w:r w:rsidRPr="00F62806">
              <w:rPr>
                <w:b/>
                <w:color w:val="000000" w:themeColor="text1"/>
                <w:sz w:val="22"/>
              </w:rPr>
              <w:t>Universal:</w:t>
            </w:r>
            <w:r>
              <w:rPr>
                <w:color w:val="000000" w:themeColor="text1"/>
                <w:sz w:val="22"/>
              </w:rPr>
              <w:br/>
              <w:t>School pupils</w:t>
            </w:r>
            <w:r>
              <w:rPr>
                <w:color w:val="000000" w:themeColor="text1"/>
                <w:sz w:val="22"/>
              </w:rPr>
              <w:br/>
              <w:t>Young people</w:t>
            </w:r>
            <w:r>
              <w:rPr>
                <w:color w:val="000000" w:themeColor="text1"/>
                <w:sz w:val="22"/>
              </w:rPr>
              <w:br/>
            </w:r>
            <w:r>
              <w:rPr>
                <w:color w:val="000000" w:themeColor="text1"/>
                <w:sz w:val="22"/>
              </w:rPr>
              <w:br/>
            </w:r>
            <w:r w:rsidRPr="00F62806">
              <w:rPr>
                <w:b/>
                <w:color w:val="000000" w:themeColor="text1"/>
                <w:sz w:val="22"/>
              </w:rPr>
              <w:t>Selective:</w:t>
            </w:r>
            <w:r>
              <w:rPr>
                <w:color w:val="000000" w:themeColor="text1"/>
                <w:sz w:val="22"/>
              </w:rPr>
              <w:br/>
              <w:t xml:space="preserve">At-risk youth </w:t>
            </w:r>
            <w:r>
              <w:rPr>
                <w:color w:val="000000" w:themeColor="text1"/>
                <w:sz w:val="22"/>
              </w:rPr>
              <w:br/>
            </w:r>
          </w:p>
        </w:tc>
      </w:tr>
      <w:tr w:rsidR="007B6EA9" w:rsidRPr="00540696" w14:paraId="4FF97FB4" w14:textId="77777777" w:rsidTr="007B6EA9">
        <w:trPr>
          <w:trHeight w:val="430"/>
        </w:trPr>
        <w:tc>
          <w:tcPr>
            <w:tcW w:w="1668" w:type="dxa"/>
            <w:tcBorders>
              <w:top w:val="single" w:sz="4" w:space="0" w:color="auto"/>
              <w:left w:val="nil"/>
              <w:bottom w:val="single" w:sz="4" w:space="0" w:color="auto"/>
              <w:right w:val="nil"/>
            </w:tcBorders>
            <w:vAlign w:val="center"/>
          </w:tcPr>
          <w:p w14:paraId="2162DEA1" w14:textId="77777777" w:rsidR="007B6EA9" w:rsidRPr="007B14D4" w:rsidRDefault="007B6EA9" w:rsidP="007B6EA9">
            <w:pPr>
              <w:rPr>
                <w:b/>
                <w:sz w:val="22"/>
                <w:szCs w:val="24"/>
              </w:rPr>
            </w:pPr>
            <w:r w:rsidRPr="007B14D4">
              <w:rPr>
                <w:b/>
                <w:color w:val="000000" w:themeColor="text1"/>
                <w:sz w:val="22"/>
              </w:rPr>
              <w:t>Environmental</w:t>
            </w:r>
          </w:p>
        </w:tc>
        <w:tc>
          <w:tcPr>
            <w:tcW w:w="2025" w:type="dxa"/>
            <w:gridSpan w:val="2"/>
            <w:tcBorders>
              <w:top w:val="single" w:sz="4" w:space="0" w:color="auto"/>
              <w:left w:val="nil"/>
              <w:bottom w:val="single" w:sz="4" w:space="0" w:color="auto"/>
              <w:right w:val="nil"/>
            </w:tcBorders>
            <w:vAlign w:val="center"/>
          </w:tcPr>
          <w:p w14:paraId="6903886C" w14:textId="77777777" w:rsidR="007B6EA9" w:rsidRPr="00540696" w:rsidRDefault="007B6EA9" w:rsidP="007B6EA9">
            <w:pPr>
              <w:rPr>
                <w:b/>
                <w:sz w:val="22"/>
                <w:szCs w:val="24"/>
              </w:rPr>
            </w:pPr>
          </w:p>
        </w:tc>
        <w:tc>
          <w:tcPr>
            <w:tcW w:w="5487" w:type="dxa"/>
            <w:gridSpan w:val="3"/>
            <w:tcBorders>
              <w:top w:val="single" w:sz="4" w:space="0" w:color="auto"/>
              <w:left w:val="nil"/>
              <w:bottom w:val="single" w:sz="4" w:space="0" w:color="auto"/>
              <w:right w:val="nil"/>
            </w:tcBorders>
            <w:vAlign w:val="center"/>
          </w:tcPr>
          <w:p w14:paraId="47959171" w14:textId="77777777" w:rsidR="007B6EA9" w:rsidRPr="00540696" w:rsidRDefault="007B6EA9" w:rsidP="007B6EA9">
            <w:pPr>
              <w:rPr>
                <w:b/>
                <w:sz w:val="22"/>
                <w:szCs w:val="24"/>
              </w:rPr>
            </w:pPr>
          </w:p>
        </w:tc>
      </w:tr>
      <w:tr w:rsidR="007B6EA9" w:rsidRPr="00783116" w14:paraId="43CDB209" w14:textId="77777777" w:rsidTr="005A67DB">
        <w:trPr>
          <w:trHeight w:val="70"/>
        </w:trPr>
        <w:tc>
          <w:tcPr>
            <w:tcW w:w="1951" w:type="dxa"/>
            <w:gridSpan w:val="2"/>
            <w:tcBorders>
              <w:top w:val="single" w:sz="4" w:space="0" w:color="auto"/>
              <w:left w:val="nil"/>
              <w:bottom w:val="single" w:sz="8" w:space="0" w:color="auto"/>
              <w:right w:val="nil"/>
            </w:tcBorders>
          </w:tcPr>
          <w:p w14:paraId="31A50C8F" w14:textId="77777777" w:rsidR="007B6EA9" w:rsidRPr="00783116" w:rsidRDefault="007B6EA9" w:rsidP="007B6EA9">
            <w:pPr>
              <w:pStyle w:val="Notesstructure"/>
              <w:spacing w:line="360" w:lineRule="auto"/>
              <w:rPr>
                <w:color w:val="000000" w:themeColor="text1"/>
                <w:sz w:val="22"/>
              </w:rPr>
            </w:pPr>
            <w:r>
              <w:rPr>
                <w:color w:val="000000" w:themeColor="text1"/>
                <w:sz w:val="22"/>
              </w:rPr>
              <w:t>Whole-school approach</w:t>
            </w:r>
            <w:r>
              <w:rPr>
                <w:color w:val="000000" w:themeColor="text1"/>
                <w:sz w:val="22"/>
              </w:rPr>
              <w:br/>
              <w:t xml:space="preserve">Drug testing </w:t>
            </w:r>
            <w:r>
              <w:rPr>
                <w:color w:val="000000" w:themeColor="text1"/>
                <w:sz w:val="22"/>
              </w:rPr>
              <w:br/>
              <w:t>Safe spaces</w:t>
            </w:r>
          </w:p>
        </w:tc>
        <w:tc>
          <w:tcPr>
            <w:tcW w:w="2693" w:type="dxa"/>
            <w:gridSpan w:val="2"/>
            <w:tcBorders>
              <w:top w:val="single" w:sz="4" w:space="0" w:color="auto"/>
              <w:left w:val="nil"/>
              <w:bottom w:val="single" w:sz="8" w:space="0" w:color="auto"/>
              <w:right w:val="nil"/>
            </w:tcBorders>
          </w:tcPr>
          <w:p w14:paraId="23DFA092" w14:textId="77777777" w:rsidR="007B6EA9" w:rsidRPr="00783116" w:rsidRDefault="007B6EA9" w:rsidP="007B6EA9">
            <w:pPr>
              <w:pStyle w:val="Notesstructure"/>
              <w:spacing w:line="360" w:lineRule="auto"/>
              <w:rPr>
                <w:color w:val="000000" w:themeColor="text1"/>
                <w:sz w:val="22"/>
              </w:rPr>
            </w:pPr>
            <w:r>
              <w:rPr>
                <w:color w:val="000000" w:themeColor="text1"/>
                <w:sz w:val="22"/>
              </w:rPr>
              <w:t>Services</w:t>
            </w:r>
            <w:r>
              <w:rPr>
                <w:color w:val="000000" w:themeColor="text1"/>
                <w:sz w:val="22"/>
              </w:rPr>
              <w:br/>
              <w:t>T</w:t>
            </w:r>
            <w:r w:rsidRPr="00783116">
              <w:rPr>
                <w:color w:val="000000" w:themeColor="text1"/>
                <w:sz w:val="22"/>
              </w:rPr>
              <w:t>rain</w:t>
            </w:r>
            <w:r>
              <w:rPr>
                <w:color w:val="000000" w:themeColor="text1"/>
                <w:sz w:val="22"/>
              </w:rPr>
              <w:t>ed</w:t>
            </w:r>
            <w:r w:rsidRPr="00783116">
              <w:rPr>
                <w:color w:val="000000" w:themeColor="text1"/>
                <w:sz w:val="22"/>
              </w:rPr>
              <w:t xml:space="preserve"> </w:t>
            </w:r>
            <w:r>
              <w:rPr>
                <w:color w:val="000000" w:themeColor="text1"/>
                <w:sz w:val="22"/>
              </w:rPr>
              <w:t>s</w:t>
            </w:r>
            <w:r w:rsidRPr="00783116">
              <w:rPr>
                <w:color w:val="000000" w:themeColor="text1"/>
                <w:sz w:val="22"/>
              </w:rPr>
              <w:t>taff</w:t>
            </w:r>
            <w:r w:rsidRPr="00783116">
              <w:rPr>
                <w:color w:val="000000" w:themeColor="text1"/>
                <w:sz w:val="22"/>
              </w:rPr>
              <w:br/>
              <w:t xml:space="preserve">Policy development </w:t>
            </w:r>
            <w:r w:rsidRPr="00783116">
              <w:rPr>
                <w:color w:val="000000" w:themeColor="text1"/>
                <w:sz w:val="22"/>
              </w:rPr>
              <w:br/>
              <w:t xml:space="preserve">Multi-component </w:t>
            </w:r>
            <w:r>
              <w:rPr>
                <w:color w:val="000000" w:themeColor="text1"/>
                <w:sz w:val="22"/>
              </w:rPr>
              <w:br/>
              <w:t>Non-judgmental approach</w:t>
            </w:r>
          </w:p>
        </w:tc>
        <w:tc>
          <w:tcPr>
            <w:tcW w:w="2410" w:type="dxa"/>
            <w:tcBorders>
              <w:top w:val="single" w:sz="4" w:space="0" w:color="auto"/>
              <w:left w:val="nil"/>
              <w:bottom w:val="single" w:sz="8" w:space="0" w:color="auto"/>
              <w:right w:val="nil"/>
            </w:tcBorders>
          </w:tcPr>
          <w:p w14:paraId="551FB39D" w14:textId="77777777" w:rsidR="007B6EA9" w:rsidRDefault="007B6EA9" w:rsidP="007B6EA9">
            <w:pPr>
              <w:pStyle w:val="Notesstructure"/>
              <w:spacing w:line="360" w:lineRule="auto"/>
              <w:rPr>
                <w:color w:val="000000" w:themeColor="text1"/>
                <w:sz w:val="22"/>
              </w:rPr>
            </w:pPr>
            <w:r w:rsidRPr="00DE0058">
              <w:rPr>
                <w:b/>
                <w:color w:val="000000" w:themeColor="text1"/>
                <w:sz w:val="22"/>
              </w:rPr>
              <w:t>Universal:</w:t>
            </w:r>
            <w:r>
              <w:rPr>
                <w:color w:val="000000" w:themeColor="text1"/>
                <w:sz w:val="22"/>
              </w:rPr>
              <w:br/>
              <w:t>School</w:t>
            </w:r>
            <w:r>
              <w:rPr>
                <w:color w:val="000000" w:themeColor="text1"/>
                <w:sz w:val="22"/>
              </w:rPr>
              <w:br/>
            </w:r>
            <w:r w:rsidRPr="00783116">
              <w:rPr>
                <w:color w:val="000000" w:themeColor="text1"/>
                <w:sz w:val="22"/>
              </w:rPr>
              <w:t>Communities</w:t>
            </w:r>
          </w:p>
          <w:p w14:paraId="3C3A7F2D" w14:textId="77777777" w:rsidR="007B6EA9" w:rsidRPr="00783116" w:rsidRDefault="007B6EA9" w:rsidP="007B6EA9">
            <w:pPr>
              <w:pStyle w:val="Notesstructure"/>
              <w:spacing w:line="360" w:lineRule="auto"/>
              <w:rPr>
                <w:color w:val="000000" w:themeColor="text1"/>
                <w:sz w:val="22"/>
              </w:rPr>
            </w:pPr>
            <w:r w:rsidRPr="00DE0058">
              <w:rPr>
                <w:b/>
                <w:color w:val="000000" w:themeColor="text1"/>
                <w:sz w:val="22"/>
              </w:rPr>
              <w:t>Selective:</w:t>
            </w:r>
            <w:r>
              <w:rPr>
                <w:color w:val="000000" w:themeColor="text1"/>
                <w:sz w:val="22"/>
              </w:rPr>
              <w:br/>
            </w:r>
            <w:r w:rsidRPr="00783116">
              <w:rPr>
                <w:color w:val="000000" w:themeColor="text1"/>
                <w:sz w:val="22"/>
              </w:rPr>
              <w:t>Nightlife venues</w:t>
            </w:r>
            <w:r>
              <w:rPr>
                <w:color w:val="000000" w:themeColor="text1"/>
                <w:sz w:val="22"/>
              </w:rPr>
              <w:br/>
              <w:t>H</w:t>
            </w:r>
            <w:r w:rsidRPr="00783116">
              <w:rPr>
                <w:color w:val="000000" w:themeColor="text1"/>
                <w:sz w:val="22"/>
              </w:rPr>
              <w:t>ealth settings</w:t>
            </w:r>
            <w:r>
              <w:rPr>
                <w:color w:val="000000" w:themeColor="text1"/>
                <w:sz w:val="22"/>
              </w:rPr>
              <w:br/>
            </w:r>
            <w:r w:rsidRPr="00783116">
              <w:rPr>
                <w:color w:val="000000" w:themeColor="text1"/>
                <w:sz w:val="22"/>
              </w:rPr>
              <w:t>Sexual health clinics</w:t>
            </w:r>
            <w:r w:rsidRPr="00783116">
              <w:rPr>
                <w:color w:val="000000" w:themeColor="text1"/>
                <w:sz w:val="22"/>
              </w:rPr>
              <w:br/>
            </w:r>
          </w:p>
        </w:tc>
        <w:tc>
          <w:tcPr>
            <w:tcW w:w="2126" w:type="dxa"/>
            <w:tcBorders>
              <w:top w:val="single" w:sz="4" w:space="0" w:color="auto"/>
              <w:left w:val="nil"/>
              <w:bottom w:val="single" w:sz="8" w:space="0" w:color="auto"/>
              <w:right w:val="nil"/>
            </w:tcBorders>
          </w:tcPr>
          <w:p w14:paraId="2B2DC5D4" w14:textId="77777777" w:rsidR="007B6EA9" w:rsidRDefault="007B6EA9" w:rsidP="007B6EA9">
            <w:pPr>
              <w:pStyle w:val="Notesstructure"/>
              <w:spacing w:line="360" w:lineRule="auto"/>
              <w:rPr>
                <w:color w:val="000000" w:themeColor="text1"/>
                <w:sz w:val="22"/>
              </w:rPr>
            </w:pPr>
            <w:r>
              <w:rPr>
                <w:b/>
                <w:color w:val="000000" w:themeColor="text1"/>
                <w:sz w:val="22"/>
              </w:rPr>
              <w:t>Universal</w:t>
            </w:r>
            <w:r w:rsidRPr="00F62806">
              <w:rPr>
                <w:b/>
                <w:color w:val="000000" w:themeColor="text1"/>
                <w:sz w:val="22"/>
              </w:rPr>
              <w:t>:</w:t>
            </w:r>
            <w:r>
              <w:rPr>
                <w:color w:val="000000" w:themeColor="text1"/>
                <w:sz w:val="22"/>
              </w:rPr>
              <w:br/>
              <w:t>School pupils</w:t>
            </w:r>
            <w:r>
              <w:rPr>
                <w:color w:val="000000" w:themeColor="text1"/>
                <w:sz w:val="22"/>
              </w:rPr>
              <w:br/>
            </w:r>
            <w:r w:rsidRPr="00783116">
              <w:rPr>
                <w:color w:val="000000" w:themeColor="text1"/>
                <w:sz w:val="22"/>
              </w:rPr>
              <w:t>Young people</w:t>
            </w:r>
          </w:p>
          <w:p w14:paraId="160B1FBF" w14:textId="77777777" w:rsidR="007B6EA9" w:rsidRPr="00783116" w:rsidRDefault="007B6EA9" w:rsidP="007B6EA9">
            <w:pPr>
              <w:pStyle w:val="Notesstructure"/>
              <w:spacing w:line="360" w:lineRule="auto"/>
              <w:rPr>
                <w:color w:val="000000" w:themeColor="text1"/>
                <w:sz w:val="22"/>
              </w:rPr>
            </w:pPr>
            <w:r w:rsidRPr="00DE0058">
              <w:rPr>
                <w:b/>
                <w:color w:val="000000" w:themeColor="text1"/>
                <w:sz w:val="22"/>
              </w:rPr>
              <w:t>Selective:</w:t>
            </w:r>
            <w:r>
              <w:rPr>
                <w:color w:val="000000" w:themeColor="text1"/>
                <w:sz w:val="22"/>
              </w:rPr>
              <w:br/>
              <w:t>At-risk youth</w:t>
            </w:r>
            <w:r>
              <w:rPr>
                <w:color w:val="000000" w:themeColor="text1"/>
                <w:sz w:val="22"/>
              </w:rPr>
              <w:br/>
            </w:r>
            <w:r w:rsidRPr="00783116">
              <w:rPr>
                <w:color w:val="000000" w:themeColor="text1"/>
                <w:sz w:val="22"/>
              </w:rPr>
              <w:t>Clubbers</w:t>
            </w:r>
            <w:r>
              <w:rPr>
                <w:color w:val="000000" w:themeColor="text1"/>
                <w:sz w:val="22"/>
              </w:rPr>
              <w:br/>
            </w:r>
            <w:r w:rsidRPr="00783116">
              <w:rPr>
                <w:color w:val="000000" w:themeColor="text1"/>
                <w:sz w:val="22"/>
              </w:rPr>
              <w:t>MSM</w:t>
            </w:r>
            <w:r>
              <w:rPr>
                <w:color w:val="000000" w:themeColor="text1"/>
                <w:sz w:val="22"/>
              </w:rPr>
              <w:br/>
            </w:r>
            <w:r w:rsidRPr="00783116">
              <w:rPr>
                <w:color w:val="000000" w:themeColor="text1"/>
                <w:sz w:val="22"/>
              </w:rPr>
              <w:t>LGBT+</w:t>
            </w:r>
          </w:p>
        </w:tc>
      </w:tr>
    </w:tbl>
    <w:p w14:paraId="60F9A8F3" w14:textId="77777777" w:rsidR="005A67DB" w:rsidRDefault="005A67DB" w:rsidP="007B6EA9">
      <w:pPr>
        <w:spacing w:line="480" w:lineRule="auto"/>
      </w:pPr>
    </w:p>
    <w:p w14:paraId="7231E748" w14:textId="0253B955" w:rsidR="007B6EA9" w:rsidRDefault="007B6EA9" w:rsidP="007B6EA9">
      <w:pPr>
        <w:spacing w:line="480" w:lineRule="auto"/>
        <w:rPr>
          <w:color w:val="000000" w:themeColor="text1"/>
        </w:rPr>
      </w:pPr>
      <w:r>
        <w:t xml:space="preserve">The interventions are categorised by scope, according to the conventions of the Institute of Medicine model of prevention (IoM Model) promoted by the EMCDDA </w:t>
      </w:r>
      <w:r>
        <w:rPr>
          <w:color w:val="000000" w:themeColor="text1"/>
        </w:rPr>
        <w:t xml:space="preserve">(2011; Mrazek &amp; Haggerty, 1994), and by function, </w:t>
      </w:r>
      <w:r>
        <w:rPr>
          <w:color w:val="000000"/>
        </w:rPr>
        <w:t xml:space="preserve">according to the classification suggested by Foxcroft as an extension of The </w:t>
      </w:r>
      <w:r>
        <w:t>IoM Model</w:t>
      </w:r>
      <w:r>
        <w:rPr>
          <w:color w:val="000000"/>
        </w:rPr>
        <w:t xml:space="preserve"> (Foxcroft, 2013).</w:t>
      </w:r>
    </w:p>
    <w:p w14:paraId="7F829D27" w14:textId="77777777" w:rsidR="007B6EA9" w:rsidRDefault="007B6EA9" w:rsidP="007B6EA9">
      <w:pPr>
        <w:spacing w:line="480" w:lineRule="auto"/>
        <w:rPr>
          <w:color w:val="000000" w:themeColor="text1"/>
        </w:rPr>
      </w:pPr>
      <w:r>
        <w:rPr>
          <w:color w:val="000000" w:themeColor="text1"/>
        </w:rPr>
        <w:t xml:space="preserve">The scope of a prevention intervention is described as </w:t>
      </w:r>
      <w:r w:rsidRPr="002D3D7D">
        <w:rPr>
          <w:i/>
          <w:color w:val="000000" w:themeColor="text1"/>
        </w:rPr>
        <w:t>universal</w:t>
      </w:r>
      <w:r>
        <w:rPr>
          <w:color w:val="000000" w:themeColor="text1"/>
        </w:rPr>
        <w:t xml:space="preserve">, </w:t>
      </w:r>
      <w:r w:rsidRPr="002D3D7D">
        <w:rPr>
          <w:i/>
          <w:color w:val="000000" w:themeColor="text1"/>
        </w:rPr>
        <w:t>selective</w:t>
      </w:r>
      <w:r>
        <w:rPr>
          <w:i/>
          <w:color w:val="000000" w:themeColor="text1"/>
        </w:rPr>
        <w:t>,</w:t>
      </w:r>
      <w:r>
        <w:rPr>
          <w:color w:val="000000" w:themeColor="text1"/>
        </w:rPr>
        <w:t xml:space="preserve"> or </w:t>
      </w:r>
      <w:r w:rsidRPr="002D3D7D">
        <w:rPr>
          <w:i/>
          <w:color w:val="000000" w:themeColor="text1"/>
        </w:rPr>
        <w:t>indicated</w:t>
      </w:r>
      <w:r>
        <w:rPr>
          <w:color w:val="000000" w:themeColor="text1"/>
        </w:rPr>
        <w:t xml:space="preserve">. </w:t>
      </w:r>
      <w:r w:rsidRPr="00CB02A1">
        <w:rPr>
          <w:color w:val="000000" w:themeColor="text1"/>
        </w:rPr>
        <w:t>Universal drug prevention interventions target whole populations</w:t>
      </w:r>
      <w:r>
        <w:rPr>
          <w:color w:val="000000" w:themeColor="text1"/>
        </w:rPr>
        <w:t xml:space="preserve"> without accounting for differential vulnerability to risk</w:t>
      </w:r>
      <w:r w:rsidRPr="00CB02A1">
        <w:rPr>
          <w:color w:val="000000" w:themeColor="text1"/>
        </w:rPr>
        <w:t>, selected prevention target subpopulations</w:t>
      </w:r>
      <w:r>
        <w:rPr>
          <w:color w:val="000000" w:themeColor="text1"/>
        </w:rPr>
        <w:t xml:space="preserve"> </w:t>
      </w:r>
      <w:r w:rsidRPr="00CB02A1">
        <w:rPr>
          <w:color w:val="000000" w:themeColor="text1"/>
        </w:rPr>
        <w:t>considered to be at</w:t>
      </w:r>
      <w:r>
        <w:rPr>
          <w:color w:val="000000" w:themeColor="text1"/>
        </w:rPr>
        <w:t xml:space="preserve"> greater</w:t>
      </w:r>
      <w:r w:rsidRPr="00CB02A1">
        <w:rPr>
          <w:color w:val="000000" w:themeColor="text1"/>
        </w:rPr>
        <w:t xml:space="preserve"> </w:t>
      </w:r>
      <w:r>
        <w:rPr>
          <w:color w:val="000000" w:themeColor="text1"/>
        </w:rPr>
        <w:t xml:space="preserve">than average </w:t>
      </w:r>
      <w:r w:rsidRPr="00CB02A1">
        <w:rPr>
          <w:color w:val="000000" w:themeColor="text1"/>
        </w:rPr>
        <w:t>risk</w:t>
      </w:r>
      <w:r>
        <w:rPr>
          <w:color w:val="000000" w:themeColor="text1"/>
        </w:rPr>
        <w:t xml:space="preserve"> of drug use,</w:t>
      </w:r>
      <w:r w:rsidRPr="00CB02A1">
        <w:rPr>
          <w:color w:val="000000" w:themeColor="text1"/>
        </w:rPr>
        <w:t xml:space="preserve"> </w:t>
      </w:r>
      <w:r>
        <w:rPr>
          <w:color w:val="000000" w:themeColor="text1"/>
        </w:rPr>
        <w:t>while</w:t>
      </w:r>
      <w:r w:rsidRPr="00CB02A1">
        <w:rPr>
          <w:color w:val="000000" w:themeColor="text1"/>
        </w:rPr>
        <w:t xml:space="preserve"> indicated interventions target vulnerable individuals</w:t>
      </w:r>
      <w:r>
        <w:rPr>
          <w:color w:val="000000" w:themeColor="text1"/>
        </w:rPr>
        <w:t xml:space="preserve"> at relatively high risk of drug use or related harms</w:t>
      </w:r>
      <w:r w:rsidRPr="00CB02A1">
        <w:rPr>
          <w:color w:val="000000" w:themeColor="text1"/>
        </w:rPr>
        <w:t xml:space="preserve">. </w:t>
      </w:r>
    </w:p>
    <w:p w14:paraId="50D3E5DE" w14:textId="070A6CB0" w:rsidR="007B6EA9" w:rsidRPr="005B170C" w:rsidRDefault="007B6EA9" w:rsidP="007B6EA9">
      <w:pPr>
        <w:spacing w:line="480" w:lineRule="auto"/>
        <w:rPr>
          <w:color w:val="000000"/>
        </w:rPr>
      </w:pPr>
      <w:r>
        <w:rPr>
          <w:color w:val="000000"/>
        </w:rPr>
        <w:t xml:space="preserve">The functional aspect of intervention components is described as </w:t>
      </w:r>
      <w:r w:rsidRPr="002D3D7D">
        <w:rPr>
          <w:i/>
          <w:color w:val="000000"/>
        </w:rPr>
        <w:t>developmental</w:t>
      </w:r>
      <w:r>
        <w:rPr>
          <w:i/>
          <w:color w:val="000000"/>
        </w:rPr>
        <w:t>,</w:t>
      </w:r>
      <w:r>
        <w:rPr>
          <w:color w:val="000000"/>
        </w:rPr>
        <w:t xml:space="preserve"> </w:t>
      </w:r>
      <w:r w:rsidRPr="002D3D7D">
        <w:rPr>
          <w:i/>
          <w:color w:val="000000"/>
        </w:rPr>
        <w:t>informational</w:t>
      </w:r>
      <w:r>
        <w:rPr>
          <w:color w:val="000000"/>
        </w:rPr>
        <w:t xml:space="preserve">, or </w:t>
      </w:r>
      <w:r w:rsidRPr="002D3D7D">
        <w:rPr>
          <w:i/>
          <w:color w:val="000000"/>
        </w:rPr>
        <w:t>environmental</w:t>
      </w:r>
      <w:r>
        <w:rPr>
          <w:i/>
          <w:color w:val="000000"/>
        </w:rPr>
        <w:t>.</w:t>
      </w:r>
      <w:r>
        <w:rPr>
          <w:color w:val="000000"/>
        </w:rPr>
        <w:t xml:space="preserve"> Developmental components focus on the </w:t>
      </w:r>
      <w:r w:rsidRPr="00A376DF">
        <w:t>development of cognitive and social skills, build resilience</w:t>
      </w:r>
      <w:r>
        <w:t xml:space="preserve"> </w:t>
      </w:r>
      <w:r w:rsidRPr="00A376DF">
        <w:t>and support healthy development in general</w:t>
      </w:r>
      <w:r>
        <w:t>. I</w:t>
      </w:r>
      <w:r>
        <w:rPr>
          <w:color w:val="000000"/>
        </w:rPr>
        <w:t xml:space="preserve">nformational components aim to improve people’s drug-knowledge and raise awareness of risks. </w:t>
      </w:r>
      <w:r w:rsidRPr="00A529A5">
        <w:t xml:space="preserve">Environmental prevention activities target the social and environmental background of people’s drug use by altering aspects of common drug-use settings or addressing wider societal factors </w:t>
      </w:r>
      <w:r>
        <w:t>such as social norms or regulation or by</w:t>
      </w:r>
      <w:r w:rsidRPr="00A529A5">
        <w:t xml:space="preserve"> address</w:t>
      </w:r>
      <w:r>
        <w:t xml:space="preserve">ing </w:t>
      </w:r>
      <w:r w:rsidRPr="00A529A5">
        <w:t>conditions of adversity</w:t>
      </w:r>
      <w:r>
        <w:t xml:space="preserve"> </w:t>
      </w:r>
      <w:r w:rsidRPr="009A3198">
        <w:rPr>
          <w:color w:val="000000" w:themeColor="text1"/>
        </w:rPr>
        <w:t>(ACMD, 2015</w:t>
      </w:r>
      <w:r>
        <w:rPr>
          <w:color w:val="000000" w:themeColor="text1"/>
        </w:rPr>
        <w:t>;</w:t>
      </w:r>
      <w:r w:rsidR="005A67DB">
        <w:rPr>
          <w:color w:val="000000" w:themeColor="text1"/>
        </w:rPr>
        <w:t xml:space="preserve"> </w:t>
      </w:r>
      <w:r w:rsidRPr="009A3198">
        <w:rPr>
          <w:color w:val="000000" w:themeColor="text1"/>
        </w:rPr>
        <w:t>EMCDDA, 2011</w:t>
      </w:r>
      <w:r>
        <w:rPr>
          <w:color w:val="000000" w:themeColor="text1"/>
        </w:rPr>
        <w:t>; Fletcher</w:t>
      </w:r>
      <w:r w:rsidR="005A67DB" w:rsidRPr="005A67DB">
        <w:rPr>
          <w:color w:val="000000" w:themeColor="text1"/>
        </w:rPr>
        <w:t xml:space="preserve"> </w:t>
      </w:r>
      <w:r w:rsidR="005A67DB">
        <w:rPr>
          <w:color w:val="000000" w:themeColor="text1"/>
        </w:rPr>
        <w:t>Calafat, Pirona &amp; Olszewski, 2010</w:t>
      </w:r>
      <w:r w:rsidRPr="00A1511D">
        <w:rPr>
          <w:color w:val="000000" w:themeColor="text1"/>
        </w:rPr>
        <w:t xml:space="preserve">). </w:t>
      </w:r>
    </w:p>
    <w:p w14:paraId="6C26437F" w14:textId="77777777" w:rsidR="007B6EA9" w:rsidRDefault="007B6EA9" w:rsidP="007B6EA9">
      <w:pPr>
        <w:spacing w:line="480" w:lineRule="auto"/>
      </w:pPr>
      <w:r w:rsidRPr="00D67D86">
        <w:t xml:space="preserve">Although some indicated interventions were covered </w:t>
      </w:r>
      <w:r>
        <w:t>withi</w:t>
      </w:r>
      <w:r w:rsidRPr="00D67D86">
        <w:t xml:space="preserve">n the guidelines and evidence base, universal and selective approaches received the greatest attention. However, as the indicated interventions were generally one-to-one interventions targeting drug users with heavy or problematic drug use, they are not included in this </w:t>
      </w:r>
      <w:r>
        <w:t xml:space="preserve">literature </w:t>
      </w:r>
      <w:r w:rsidRPr="00D67D86">
        <w:t xml:space="preserve">review.  </w:t>
      </w:r>
    </w:p>
    <w:p w14:paraId="10F37D82" w14:textId="77DC1513" w:rsidR="007E7BB9" w:rsidRDefault="007B6EA9" w:rsidP="007B6EA9">
      <w:pPr>
        <w:spacing w:line="480" w:lineRule="auto"/>
      </w:pPr>
      <w:r>
        <w:t>Although overall, interventions attempted to influence a range of factors (including risk perceptions, social norms, skills, service provision and policies), individual</w:t>
      </w:r>
      <w:r w:rsidR="00545318">
        <w:t>-</w:t>
      </w:r>
      <w:r>
        <w:t>level psycho-social factors were the most frequent targets of the studies reviewed. To some extent</w:t>
      </w:r>
      <w:r w:rsidR="00545318">
        <w:t>,</w:t>
      </w:r>
      <w:r>
        <w:t xml:space="preserve"> this may </w:t>
      </w:r>
    </w:p>
    <w:p w14:paraId="12F854C7" w14:textId="00BDEB2B" w:rsidR="007B6EA9" w:rsidRDefault="007B6EA9" w:rsidP="007B6EA9">
      <w:pPr>
        <w:spacing w:line="480" w:lineRule="auto"/>
      </w:pPr>
      <w:r>
        <w:t xml:space="preserve">be an artefact of reporting, as psycho-social targets were the most clearly described. For example, while whole-school environmental approaches were reported to show positive effects on drug use, some sources did not specify the mechanism by which a whole-school approach was thought to impact behaviour, while others referred to multiple factors, (e.g. increasing </w:t>
      </w:r>
      <w:r w:rsidRPr="00AB7F51">
        <w:t>peer bonding and reduc</w:t>
      </w:r>
      <w:r>
        <w:t>ing</w:t>
      </w:r>
      <w:r w:rsidRPr="00AB7F51">
        <w:t xml:space="preserve"> truancy</w:t>
      </w:r>
      <w:r>
        <w:t xml:space="preserve">) some of which could be quite vague (e.g. promoting a </w:t>
      </w:r>
      <w:r w:rsidRPr="00AB7F51">
        <w:t>positive school environment</w:t>
      </w:r>
      <w:r>
        <w:t>).</w:t>
      </w:r>
      <w:r w:rsidRPr="00AB7F51">
        <w:t xml:space="preserve"> </w:t>
      </w:r>
    </w:p>
    <w:p w14:paraId="5BD910A9" w14:textId="77777777" w:rsidR="007B6EA9" w:rsidRDefault="007B6EA9" w:rsidP="007B6EA9">
      <w:pPr>
        <w:spacing w:line="480" w:lineRule="auto"/>
      </w:pPr>
      <w:r>
        <w:t>The evidence and recommendations for each intervention component are presented in Tables 3 to 19 together with a short description of how the component was typically implemented. Following the complete set of evidence tables, the principal findings are summarised before being discussed in more depth.</w:t>
      </w:r>
    </w:p>
    <w:p w14:paraId="31611057" w14:textId="176CBD9F" w:rsidR="007B6EA9" w:rsidRDefault="007B6EA9" w:rsidP="007B6EA9">
      <w:pPr>
        <w:pStyle w:val="Heading2"/>
      </w:pPr>
      <w:bookmarkStart w:id="228" w:name="_Toc35892563"/>
      <w:r>
        <w:t>Intervention components: Evidence and recommendations</w:t>
      </w:r>
      <w:bookmarkEnd w:id="228"/>
    </w:p>
    <w:p w14:paraId="73BCB77D" w14:textId="2470CC41" w:rsidR="007B6EA9" w:rsidRPr="0017166B" w:rsidRDefault="007B6EA9" w:rsidP="007B6EA9">
      <w:pPr>
        <w:spacing w:line="480" w:lineRule="auto"/>
      </w:pPr>
      <w:r w:rsidRPr="0017166B">
        <w:rPr>
          <w:color w:val="000000"/>
          <w:szCs w:val="24"/>
          <w:lang w:eastAsia="en-GB"/>
        </w:rPr>
        <w:t xml:space="preserve">Skills-based interventions received a great deal of attention </w:t>
      </w:r>
      <w:r>
        <w:t xml:space="preserve">within the evidence base and guidelines, with skills-based components the predominant focus of psycho-social approaches. As skills-based approaches are based on the premise that healthy development will reduce the likelihood of drug use, they do not necessarily incorporate an explicit focus on drug use and are commonly aimed at populations prior to an age when they are considered at risk of encountering or using drugs. </w:t>
      </w:r>
    </w:p>
    <w:p w14:paraId="29D8271B" w14:textId="51215EC1" w:rsidR="007B6EA9" w:rsidRDefault="007B6EA9" w:rsidP="007B6EA9">
      <w:pPr>
        <w:spacing w:line="480" w:lineRule="auto"/>
      </w:pPr>
      <w:r w:rsidRPr="0017166B">
        <w:t>Although several sources referred to skills generally (see Table 3</w:t>
      </w:r>
      <w:r w:rsidR="00714DF0">
        <w:t>-3</w:t>
      </w:r>
      <w:r w:rsidRPr="0017166B">
        <w:t>), others were more specific, and consequently</w:t>
      </w:r>
      <w:r w:rsidR="00545318">
        <w:t>,</w:t>
      </w:r>
      <w:r w:rsidRPr="0017166B">
        <w:t xml:space="preserve"> the efficacy of interventions focussing on general /personal skills, affective skills and social skills could also be presented separately (see Tables </w:t>
      </w:r>
      <w:r w:rsidR="00714DF0">
        <w:t>3-</w:t>
      </w:r>
      <w:r w:rsidRPr="0017166B">
        <w:t xml:space="preserve">4 to </w:t>
      </w:r>
      <w:r w:rsidR="00714DF0">
        <w:t>3-</w:t>
      </w:r>
      <w:r w:rsidRPr="0017166B">
        <w:t>7). However, it should be noted that skills-based program</w:t>
      </w:r>
      <w:r>
        <w:t>me</w:t>
      </w:r>
      <w:r w:rsidRPr="0017166B">
        <w:t>s commonly combine elements, and some skills draw on similar or overlapping competencies.</w:t>
      </w:r>
    </w:p>
    <w:p w14:paraId="6460F17A" w14:textId="083CFED7" w:rsidR="007B6EA9" w:rsidRPr="0017166B" w:rsidRDefault="007B6EA9" w:rsidP="007B6EA9">
      <w:pPr>
        <w:pStyle w:val="Heading3"/>
      </w:pPr>
      <w:bookmarkStart w:id="229" w:name="_Toc35892564"/>
      <w:r>
        <w:t>General/personal skills</w:t>
      </w:r>
      <w:bookmarkEnd w:id="229"/>
      <w:r>
        <w:t xml:space="preserve"> </w:t>
      </w:r>
    </w:p>
    <w:p w14:paraId="761CB7C6" w14:textId="12B73DEF" w:rsidR="007B6EA9" w:rsidRDefault="007B6EA9" w:rsidP="007B6EA9">
      <w:pPr>
        <w:spacing w:line="480" w:lineRule="auto"/>
      </w:pPr>
      <w:r w:rsidRPr="0017166B">
        <w:t>The skills-based program</w:t>
      </w:r>
      <w:r>
        <w:t>me</w:t>
      </w:r>
      <w:r w:rsidRPr="0017166B">
        <w:t>s referred to in the evidence base and guidelines were based almost exclusively in school settings and generally received strong support from UK-based agencies, including the UK Government</w:t>
      </w:r>
      <w:r w:rsidR="00747168">
        <w:t xml:space="preserve"> (see Table 3</w:t>
      </w:r>
      <w:r w:rsidR="00FC1DE2">
        <w:t>-4</w:t>
      </w:r>
      <w:r w:rsidR="00747168">
        <w:t>)</w:t>
      </w:r>
      <w:r w:rsidRPr="0017166B">
        <w:t xml:space="preserve"> General </w:t>
      </w:r>
      <w:r w:rsidR="001746A4" w:rsidRPr="0017166B">
        <w:t>skills-based</w:t>
      </w:r>
      <w:r w:rsidRPr="0017166B">
        <w:t xml:space="preserve"> approaches aim to increase young people</w:t>
      </w:r>
      <w:r>
        <w:t>’</w:t>
      </w:r>
      <w:r w:rsidRPr="0017166B">
        <w:t>s confidence, resilience, decision-making and problem</w:t>
      </w:r>
      <w:r w:rsidR="00545318">
        <w:t>-</w:t>
      </w:r>
      <w:r w:rsidRPr="0017166B">
        <w:t>solving skills. Although the evidence for general /personal skills is mixed, ineffective and counterproductive effects were quite clearly linked to approaches focused on ethical</w:t>
      </w:r>
      <w:r w:rsidR="00545318">
        <w:t>/</w:t>
      </w:r>
      <w:r w:rsidRPr="0017166B">
        <w:t>moral decision-making and stand-alone esteem</w:t>
      </w:r>
      <w:r w:rsidR="00545318">
        <w:t>/</w:t>
      </w:r>
      <w:r w:rsidRPr="0017166B">
        <w:t>confidence building inventions. The lack of effectiveness of these elements was largely reflected in recommendations, with the exception of UK policy, which places a strong focus on approaches which emphasise building confidence. Otherwise, there was clear support for skills</w:t>
      </w:r>
      <w:r w:rsidR="00545318">
        <w:t>-</w:t>
      </w:r>
      <w:r w:rsidRPr="0017166B">
        <w:t>based elements associated with positive outcomes, particularly as part of multi-component and whole-school approaches. Although several studies reported positive skill-based intervention outcomes, generally the effects were considered to be fairly weak</w:t>
      </w:r>
      <w:r w:rsidR="00747168">
        <w:t>.</w:t>
      </w:r>
      <w:r w:rsidRPr="0017166B">
        <w:t xml:space="preserve"> </w:t>
      </w:r>
    </w:p>
    <w:p w14:paraId="46C31AB2" w14:textId="774DE184" w:rsidR="007B6EA9" w:rsidRPr="007B6EA9" w:rsidRDefault="007B6EA9" w:rsidP="007B6EA9">
      <w:pPr>
        <w:pStyle w:val="Heading3"/>
      </w:pPr>
      <w:bookmarkStart w:id="230" w:name="_Toc35892565"/>
      <w:r w:rsidRPr="007B6EA9">
        <w:t>Social skills</w:t>
      </w:r>
      <w:bookmarkEnd w:id="230"/>
      <w:r w:rsidRPr="007B6EA9">
        <w:t xml:space="preserve"> </w:t>
      </w:r>
    </w:p>
    <w:p w14:paraId="45E3EA91" w14:textId="715680C2" w:rsidR="007B6EA9" w:rsidRPr="007D6C16" w:rsidRDefault="007B6EA9" w:rsidP="00D378FB">
      <w:pPr>
        <w:spacing w:line="480" w:lineRule="auto"/>
      </w:pPr>
      <w:r w:rsidRPr="00D14D36">
        <w:t>Social skill</w:t>
      </w:r>
      <w:r>
        <w:t>s-based a</w:t>
      </w:r>
      <w:r w:rsidRPr="00236D19">
        <w:t>pproaches support the development of</w:t>
      </w:r>
      <w:r>
        <w:t xml:space="preserve"> people’s</w:t>
      </w:r>
      <w:r w:rsidRPr="00236D19">
        <w:t xml:space="preserve"> social competenc</w:t>
      </w:r>
      <w:r>
        <w:t>ies</w:t>
      </w:r>
      <w:r w:rsidRPr="00236D19">
        <w:t xml:space="preserve"> and communication skills</w:t>
      </w:r>
      <w:r>
        <w:t>. These</w:t>
      </w:r>
      <w:r w:rsidRPr="00236D19">
        <w:t xml:space="preserve"> approach</w:t>
      </w:r>
      <w:r>
        <w:t>es</w:t>
      </w:r>
      <w:r w:rsidRPr="00236D19">
        <w:t xml:space="preserve"> </w:t>
      </w:r>
      <w:r>
        <w:t>are</w:t>
      </w:r>
      <w:r w:rsidRPr="00236D19">
        <w:t xml:space="preserve"> based on </w:t>
      </w:r>
      <w:r>
        <w:t>an</w:t>
      </w:r>
      <w:r w:rsidRPr="00236D19">
        <w:t xml:space="preserve"> assumption that drug use is </w:t>
      </w:r>
      <w:r>
        <w:t>related to</w:t>
      </w:r>
      <w:r w:rsidRPr="00236D19">
        <w:t xml:space="preserve"> </w:t>
      </w:r>
      <w:r>
        <w:t>young people</w:t>
      </w:r>
      <w:r w:rsidRPr="00236D19">
        <w:t xml:space="preserve"> overestimati</w:t>
      </w:r>
      <w:r>
        <w:t xml:space="preserve">ng the extent </w:t>
      </w:r>
      <w:r w:rsidRPr="00236D19">
        <w:t xml:space="preserve">of drug use among </w:t>
      </w:r>
      <w:r>
        <w:t xml:space="preserve">their </w:t>
      </w:r>
      <w:r w:rsidRPr="00236D19">
        <w:t>peers</w:t>
      </w:r>
      <w:r>
        <w:t>,</w:t>
      </w:r>
      <w:r w:rsidRPr="00236D19">
        <w:t xml:space="preserve"> </w:t>
      </w:r>
      <w:r>
        <w:t>together with</w:t>
      </w:r>
      <w:r w:rsidRPr="00236D19">
        <w:t xml:space="preserve"> </w:t>
      </w:r>
      <w:r w:rsidRPr="00D14D36">
        <w:t xml:space="preserve">deficiencies in </w:t>
      </w:r>
      <w:r>
        <w:t>their</w:t>
      </w:r>
      <w:r w:rsidRPr="00D14D36">
        <w:t xml:space="preserve"> social awareness and</w:t>
      </w:r>
      <w:r>
        <w:t xml:space="preserve"> drug</w:t>
      </w:r>
      <w:r w:rsidRPr="00D14D36">
        <w:t xml:space="preserve"> refusal skills</w:t>
      </w:r>
      <w:r>
        <w:t>.</w:t>
      </w:r>
      <w:r w:rsidRPr="00D14D36">
        <w:t xml:space="preserve"> Social influence approaches use normative education methods and resistance skills training </w:t>
      </w:r>
      <w:r>
        <w:t xml:space="preserve">to </w:t>
      </w:r>
      <w:r w:rsidRPr="00D14D36">
        <w:t>help people recognise high-risk situations, increase awareness of media, peer, and family influences</w:t>
      </w:r>
      <w:r>
        <w:t xml:space="preserve"> and</w:t>
      </w:r>
      <w:r w:rsidRPr="00D14D36">
        <w:t xml:space="preserve"> build refusal skills</w:t>
      </w:r>
      <w:r>
        <w:t xml:space="preserve">. </w:t>
      </w:r>
      <w:r w:rsidRPr="00400613">
        <w:t xml:space="preserve">Although evidence on the </w:t>
      </w:r>
      <w:r w:rsidRPr="0017166B">
        <w:t xml:space="preserve">effectiveness of social skills approaches is mixed, the weight of the evidence is </w:t>
      </w:r>
      <w:r w:rsidR="00747168">
        <w:t>positive</w:t>
      </w:r>
      <w:r w:rsidRPr="0017166B">
        <w:t>, with the exception of high</w:t>
      </w:r>
      <w:r w:rsidR="00545318">
        <w:t>-</w:t>
      </w:r>
      <w:r w:rsidRPr="0017166B">
        <w:t xml:space="preserve">risk groups </w:t>
      </w:r>
      <w:r>
        <w:t>where this approach</w:t>
      </w:r>
      <w:r w:rsidRPr="0017166B">
        <w:t xml:space="preserve"> can have counterproductive effects. Social influence approaches appear to be in fairly common use and are largely recommended, except with high</w:t>
      </w:r>
      <w:r w:rsidR="00545318">
        <w:t>-</w:t>
      </w:r>
      <w:r w:rsidRPr="0017166B">
        <w:t>risk groups</w:t>
      </w:r>
      <w:r w:rsidR="00747168">
        <w:t xml:space="preserve"> (see Table 3</w:t>
      </w:r>
      <w:r w:rsidR="00FC1DE2">
        <w:t>-5</w:t>
      </w:r>
      <w:r w:rsidR="00747168">
        <w:t>)</w:t>
      </w:r>
      <w:r w:rsidRPr="0017166B">
        <w:t>.</w:t>
      </w:r>
      <w:r>
        <w:rPr>
          <w:b/>
        </w:rPr>
        <w:br w:type="page"/>
      </w:r>
    </w:p>
    <w:p w14:paraId="53AA9697" w14:textId="6B1DD9AE" w:rsidR="007B6EA9" w:rsidRPr="009E41B3" w:rsidRDefault="007B6EA9" w:rsidP="00747168">
      <w:pPr>
        <w:pStyle w:val="TableHeader"/>
        <w:spacing w:line="240" w:lineRule="auto"/>
        <w:rPr>
          <w:b/>
        </w:rPr>
      </w:pPr>
      <w:bookmarkStart w:id="231" w:name="_Toc9509035"/>
      <w:r w:rsidRPr="009E41B3">
        <w:rPr>
          <w:b/>
        </w:rPr>
        <w:t xml:space="preserve">Table </w:t>
      </w:r>
      <w:r w:rsidR="003171C5" w:rsidRPr="009E41B3">
        <w:rPr>
          <w:b/>
        </w:rPr>
        <w:t>3-</w:t>
      </w:r>
      <w:r w:rsidR="00FC1DE2">
        <w:rPr>
          <w:b/>
        </w:rPr>
        <w:t>4</w:t>
      </w:r>
      <w:r w:rsidRPr="009E41B3">
        <w:rPr>
          <w:b/>
        </w:rPr>
        <w:t>. Evidence of effectiveness and recommendations for the use of general skills</w:t>
      </w:r>
      <w:bookmarkEnd w:id="231"/>
    </w:p>
    <w:tbl>
      <w:tblPr>
        <w:tblStyle w:val="TableGrid"/>
        <w:tblW w:w="9464" w:type="dxa"/>
        <w:tblLook w:val="04A0" w:firstRow="1" w:lastRow="0" w:firstColumn="1" w:lastColumn="0" w:noHBand="0" w:noVBand="1"/>
      </w:tblPr>
      <w:tblGrid>
        <w:gridCol w:w="2855"/>
        <w:gridCol w:w="1789"/>
        <w:gridCol w:w="4678"/>
        <w:gridCol w:w="142"/>
      </w:tblGrid>
      <w:tr w:rsidR="007B6EA9" w:rsidRPr="00F9373F" w14:paraId="00319C63" w14:textId="77777777" w:rsidTr="009E41B3">
        <w:trPr>
          <w:trHeight w:val="430"/>
        </w:trPr>
        <w:tc>
          <w:tcPr>
            <w:tcW w:w="2855" w:type="dxa"/>
            <w:tcBorders>
              <w:top w:val="single" w:sz="8" w:space="0" w:color="auto"/>
              <w:left w:val="nil"/>
              <w:bottom w:val="single" w:sz="8" w:space="0" w:color="auto"/>
              <w:right w:val="nil"/>
            </w:tcBorders>
            <w:vAlign w:val="center"/>
          </w:tcPr>
          <w:p w14:paraId="525FF77F" w14:textId="77777777" w:rsidR="007B6EA9" w:rsidRPr="00F9373F" w:rsidRDefault="007B6EA9" w:rsidP="007B6EA9">
            <w:pPr>
              <w:rPr>
                <w:b/>
                <w:szCs w:val="24"/>
              </w:rPr>
            </w:pPr>
            <w:r>
              <w:rPr>
                <w:b/>
                <w:szCs w:val="24"/>
              </w:rPr>
              <w:t>General / personal skills</w:t>
            </w:r>
          </w:p>
        </w:tc>
        <w:tc>
          <w:tcPr>
            <w:tcW w:w="6609" w:type="dxa"/>
            <w:gridSpan w:val="3"/>
            <w:tcBorders>
              <w:top w:val="single" w:sz="8" w:space="0" w:color="auto"/>
              <w:left w:val="nil"/>
              <w:bottom w:val="single" w:sz="8" w:space="0" w:color="auto"/>
              <w:right w:val="nil"/>
            </w:tcBorders>
            <w:vAlign w:val="center"/>
          </w:tcPr>
          <w:p w14:paraId="46A69868" w14:textId="77777777" w:rsidR="007B6EA9" w:rsidRPr="00F9373F" w:rsidRDefault="007B6EA9" w:rsidP="007B6EA9">
            <w:pPr>
              <w:rPr>
                <w:b/>
                <w:szCs w:val="24"/>
              </w:rPr>
            </w:pPr>
          </w:p>
        </w:tc>
      </w:tr>
      <w:tr w:rsidR="007B6EA9" w:rsidRPr="003F76C9" w14:paraId="42173DE2"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70"/>
        </w:trPr>
        <w:tc>
          <w:tcPr>
            <w:tcW w:w="4644" w:type="dxa"/>
            <w:gridSpan w:val="2"/>
            <w:tcBorders>
              <w:top w:val="single" w:sz="8" w:space="0" w:color="auto"/>
            </w:tcBorders>
          </w:tcPr>
          <w:p w14:paraId="0A4923D6" w14:textId="77777777" w:rsidR="007B6EA9" w:rsidRPr="001D0827" w:rsidRDefault="007B6EA9" w:rsidP="007B6EA9">
            <w:pPr>
              <w:pStyle w:val="Notesstructure"/>
              <w:rPr>
                <w:b/>
                <w:color w:val="auto"/>
                <w:sz w:val="22"/>
              </w:rPr>
            </w:pPr>
            <w:r w:rsidRPr="001D0827">
              <w:rPr>
                <w:b/>
                <w:color w:val="auto"/>
                <w:sz w:val="22"/>
              </w:rPr>
              <w:t>Effective:</w:t>
            </w:r>
          </w:p>
          <w:p w14:paraId="32F0801E" w14:textId="77777777" w:rsidR="007B6EA9" w:rsidRPr="001D5C2D" w:rsidRDefault="007B6EA9" w:rsidP="00C92BD2">
            <w:pPr>
              <w:pStyle w:val="Notesstructure"/>
              <w:numPr>
                <w:ilvl w:val="0"/>
                <w:numId w:val="5"/>
              </w:numPr>
              <w:spacing w:line="360" w:lineRule="auto"/>
              <w:ind w:left="714" w:hanging="357"/>
              <w:rPr>
                <w:color w:val="auto"/>
                <w:sz w:val="22"/>
              </w:rPr>
            </w:pPr>
            <w:r>
              <w:rPr>
                <w:color w:val="auto"/>
                <w:sz w:val="22"/>
              </w:rPr>
              <w:t>Skills-based programmes have been shown to have</w:t>
            </w:r>
            <w:r w:rsidRPr="003F76C9">
              <w:rPr>
                <w:color w:val="auto"/>
                <w:sz w:val="22"/>
              </w:rPr>
              <w:t xml:space="preserve"> consistent long-term</w:t>
            </w:r>
            <w:r>
              <w:rPr>
                <w:color w:val="auto"/>
                <w:sz w:val="22"/>
              </w:rPr>
              <w:t xml:space="preserve"> effects </w:t>
            </w:r>
            <w:r w:rsidRPr="007424B4">
              <w:rPr>
                <w:color w:val="auto"/>
                <w:sz w:val="22"/>
                <w:vertAlign w:val="superscript"/>
              </w:rPr>
              <w:t>[C]</w:t>
            </w:r>
            <w:r>
              <w:rPr>
                <w:color w:val="auto"/>
                <w:sz w:val="22"/>
                <w:vertAlign w:val="superscript"/>
              </w:rPr>
              <w:t>[E]</w:t>
            </w:r>
            <w:r>
              <w:rPr>
                <w:color w:val="auto"/>
                <w:sz w:val="22"/>
              </w:rPr>
              <w:t xml:space="preserve">. </w:t>
            </w:r>
            <w:r w:rsidRPr="001D5C2D">
              <w:rPr>
                <w:color w:val="auto"/>
                <w:sz w:val="22"/>
              </w:rPr>
              <w:t>Positive results are associated with:</w:t>
            </w:r>
          </w:p>
          <w:p w14:paraId="4F6FC9AB" w14:textId="77777777" w:rsidR="007B6EA9" w:rsidRPr="00C852BE" w:rsidRDefault="007B6EA9" w:rsidP="00C92BD2">
            <w:pPr>
              <w:pStyle w:val="Notesstructure"/>
              <w:numPr>
                <w:ilvl w:val="1"/>
                <w:numId w:val="5"/>
              </w:numPr>
              <w:spacing w:line="360" w:lineRule="auto"/>
              <w:rPr>
                <w:color w:val="auto"/>
                <w:sz w:val="22"/>
              </w:rPr>
            </w:pPr>
            <w:r>
              <w:rPr>
                <w:color w:val="auto"/>
                <w:sz w:val="22"/>
              </w:rPr>
              <w:t>Use in s</w:t>
            </w:r>
            <w:r w:rsidRPr="003F76C9">
              <w:rPr>
                <w:color w:val="auto"/>
                <w:sz w:val="22"/>
              </w:rPr>
              <w:t xml:space="preserve">chools </w:t>
            </w:r>
            <w:r w:rsidRPr="003F76C9">
              <w:rPr>
                <w:color w:val="auto"/>
                <w:sz w:val="22"/>
                <w:vertAlign w:val="superscript"/>
              </w:rPr>
              <w:t>[</w:t>
            </w:r>
            <w:r>
              <w:rPr>
                <w:color w:val="auto"/>
                <w:sz w:val="22"/>
                <w:vertAlign w:val="superscript"/>
              </w:rPr>
              <w:t>A</w:t>
            </w:r>
            <w:r w:rsidRPr="003F76C9">
              <w:rPr>
                <w:color w:val="auto"/>
                <w:sz w:val="22"/>
                <w:vertAlign w:val="superscript"/>
              </w:rPr>
              <w:t>][</w:t>
            </w:r>
            <w:r>
              <w:rPr>
                <w:color w:val="auto"/>
                <w:sz w:val="22"/>
                <w:vertAlign w:val="superscript"/>
              </w:rPr>
              <w:t>E</w:t>
            </w:r>
            <w:r w:rsidRPr="003F76C9">
              <w:rPr>
                <w:color w:val="auto"/>
                <w:sz w:val="22"/>
                <w:vertAlign w:val="superscript"/>
              </w:rPr>
              <w:t>]</w:t>
            </w:r>
            <w:r w:rsidRPr="003F76C9">
              <w:rPr>
                <w:color w:val="auto"/>
                <w:sz w:val="22"/>
              </w:rPr>
              <w:t xml:space="preserve"> </w:t>
            </w:r>
          </w:p>
          <w:p w14:paraId="0E987A5B" w14:textId="77777777" w:rsidR="007B6EA9" w:rsidRPr="00B12F76" w:rsidRDefault="007B6EA9" w:rsidP="00C92BD2">
            <w:pPr>
              <w:pStyle w:val="Notesstructure"/>
              <w:numPr>
                <w:ilvl w:val="1"/>
                <w:numId w:val="5"/>
              </w:numPr>
              <w:spacing w:line="360" w:lineRule="auto"/>
              <w:rPr>
                <w:color w:val="auto"/>
                <w:sz w:val="22"/>
              </w:rPr>
            </w:pPr>
            <w:r>
              <w:rPr>
                <w:color w:val="auto"/>
                <w:sz w:val="22"/>
              </w:rPr>
              <w:t>A</w:t>
            </w:r>
            <w:r w:rsidRPr="003F76C9">
              <w:rPr>
                <w:color w:val="auto"/>
                <w:sz w:val="22"/>
              </w:rPr>
              <w:t xml:space="preserve">t-risk young people </w:t>
            </w:r>
            <w:r w:rsidRPr="003F76C9">
              <w:rPr>
                <w:color w:val="auto"/>
                <w:sz w:val="22"/>
                <w:vertAlign w:val="superscript"/>
              </w:rPr>
              <w:t>[</w:t>
            </w:r>
            <w:r>
              <w:rPr>
                <w:color w:val="auto"/>
                <w:sz w:val="22"/>
                <w:vertAlign w:val="superscript"/>
              </w:rPr>
              <w:t>E]</w:t>
            </w:r>
          </w:p>
          <w:p w14:paraId="0A9AACF5" w14:textId="77777777" w:rsidR="007B6EA9" w:rsidRPr="00525851" w:rsidRDefault="007B6EA9" w:rsidP="00C92BD2">
            <w:pPr>
              <w:pStyle w:val="Notesstructure"/>
              <w:numPr>
                <w:ilvl w:val="1"/>
                <w:numId w:val="5"/>
              </w:numPr>
              <w:spacing w:line="360" w:lineRule="auto"/>
              <w:rPr>
                <w:color w:val="auto"/>
                <w:sz w:val="22"/>
              </w:rPr>
            </w:pPr>
            <w:r>
              <w:rPr>
                <w:color w:val="auto"/>
                <w:sz w:val="22"/>
              </w:rPr>
              <w:t>C</w:t>
            </w:r>
            <w:r w:rsidRPr="003F76C9">
              <w:rPr>
                <w:color w:val="auto"/>
                <w:sz w:val="22"/>
              </w:rPr>
              <w:t xml:space="preserve">omputer-based programs </w:t>
            </w:r>
            <w:r w:rsidRPr="003F76C9">
              <w:rPr>
                <w:color w:val="auto"/>
                <w:sz w:val="22"/>
                <w:vertAlign w:val="superscript"/>
              </w:rPr>
              <w:t>[</w:t>
            </w:r>
            <w:r>
              <w:rPr>
                <w:color w:val="auto"/>
                <w:sz w:val="22"/>
                <w:vertAlign w:val="superscript"/>
              </w:rPr>
              <w:t>E]</w:t>
            </w:r>
          </w:p>
          <w:p w14:paraId="6AE9F9CF" w14:textId="77777777" w:rsidR="007B6EA9" w:rsidRPr="003B6F76" w:rsidRDefault="007B6EA9" w:rsidP="00C92BD2">
            <w:pPr>
              <w:pStyle w:val="Notesstructure"/>
              <w:numPr>
                <w:ilvl w:val="1"/>
                <w:numId w:val="5"/>
              </w:numPr>
              <w:spacing w:line="360" w:lineRule="auto"/>
              <w:rPr>
                <w:color w:val="auto"/>
                <w:sz w:val="22"/>
              </w:rPr>
            </w:pPr>
            <w:r>
              <w:rPr>
                <w:color w:val="auto"/>
                <w:sz w:val="22"/>
              </w:rPr>
              <w:t xml:space="preserve">Combined </w:t>
            </w:r>
            <w:r w:rsidRPr="003F76C9">
              <w:rPr>
                <w:color w:val="auto"/>
                <w:sz w:val="22"/>
              </w:rPr>
              <w:t>approaches</w:t>
            </w:r>
            <w:r>
              <w:rPr>
                <w:color w:val="auto"/>
                <w:sz w:val="22"/>
              </w:rPr>
              <w:t xml:space="preserve"> </w:t>
            </w:r>
            <w:r w:rsidRPr="007C2989">
              <w:rPr>
                <w:color w:val="auto"/>
                <w:sz w:val="22"/>
                <w:vertAlign w:val="superscript"/>
              </w:rPr>
              <w:t>[</w:t>
            </w:r>
            <w:r>
              <w:rPr>
                <w:color w:val="auto"/>
                <w:sz w:val="22"/>
                <w:vertAlign w:val="superscript"/>
              </w:rPr>
              <w:t>A</w:t>
            </w:r>
            <w:r w:rsidRPr="007C2989">
              <w:rPr>
                <w:color w:val="auto"/>
                <w:sz w:val="22"/>
                <w:vertAlign w:val="superscript"/>
              </w:rPr>
              <w:t>]</w:t>
            </w:r>
            <w:r>
              <w:rPr>
                <w:color w:val="auto"/>
                <w:sz w:val="22"/>
                <w:vertAlign w:val="superscript"/>
              </w:rPr>
              <w:t>[C]</w:t>
            </w:r>
          </w:p>
          <w:p w14:paraId="2D216CFE" w14:textId="77777777" w:rsidR="007B6EA9" w:rsidRDefault="007B6EA9" w:rsidP="00C92BD2">
            <w:pPr>
              <w:pStyle w:val="Notesstructure"/>
              <w:numPr>
                <w:ilvl w:val="0"/>
                <w:numId w:val="5"/>
              </w:numPr>
              <w:spacing w:line="360" w:lineRule="auto"/>
              <w:rPr>
                <w:color w:val="auto"/>
                <w:sz w:val="22"/>
              </w:rPr>
            </w:pPr>
            <w:r w:rsidRPr="00AF7BD0">
              <w:rPr>
                <w:color w:val="auto"/>
                <w:sz w:val="22"/>
              </w:rPr>
              <w:t>Program</w:t>
            </w:r>
            <w:r>
              <w:rPr>
                <w:color w:val="auto"/>
                <w:sz w:val="22"/>
              </w:rPr>
              <w:t>me</w:t>
            </w:r>
            <w:r w:rsidRPr="00AF7BD0">
              <w:rPr>
                <w:color w:val="auto"/>
                <w:sz w:val="22"/>
              </w:rPr>
              <w:t xml:space="preserve">s focusing on personal skills such as self- reflection have shown some positive effects </w:t>
            </w:r>
            <w:r w:rsidRPr="00AF7BD0">
              <w:rPr>
                <w:color w:val="auto"/>
                <w:sz w:val="22"/>
                <w:vertAlign w:val="superscript"/>
              </w:rPr>
              <w:t>[</w:t>
            </w:r>
            <w:r>
              <w:rPr>
                <w:color w:val="auto"/>
                <w:sz w:val="22"/>
                <w:vertAlign w:val="superscript"/>
              </w:rPr>
              <w:t>B</w:t>
            </w:r>
            <w:r w:rsidRPr="00AF7BD0">
              <w:rPr>
                <w:color w:val="auto"/>
                <w:sz w:val="22"/>
                <w:vertAlign w:val="superscript"/>
              </w:rPr>
              <w:t>]</w:t>
            </w:r>
            <w:r w:rsidRPr="00AF7BD0">
              <w:rPr>
                <w:color w:val="auto"/>
                <w:sz w:val="22"/>
              </w:rPr>
              <w:t xml:space="preserve">  </w:t>
            </w:r>
          </w:p>
          <w:p w14:paraId="765F0A3C" w14:textId="77777777" w:rsidR="007B6EA9" w:rsidRPr="003B6F76" w:rsidRDefault="007B6EA9" w:rsidP="00C92BD2">
            <w:pPr>
              <w:pStyle w:val="Notesstructure"/>
              <w:numPr>
                <w:ilvl w:val="0"/>
                <w:numId w:val="5"/>
              </w:numPr>
              <w:spacing w:line="360" w:lineRule="auto"/>
              <w:rPr>
                <w:color w:val="auto"/>
                <w:sz w:val="22"/>
              </w:rPr>
            </w:pPr>
            <w:r>
              <w:rPr>
                <w:color w:val="auto"/>
                <w:sz w:val="22"/>
              </w:rPr>
              <w:t xml:space="preserve">Interventions focused on decision making have been found to have </w:t>
            </w:r>
            <w:r w:rsidRPr="003F76C9">
              <w:rPr>
                <w:color w:val="auto"/>
                <w:sz w:val="22"/>
              </w:rPr>
              <w:t>positive effects on</w:t>
            </w:r>
            <w:r>
              <w:rPr>
                <w:color w:val="auto"/>
                <w:sz w:val="22"/>
              </w:rPr>
              <w:t xml:space="preserve"> drug use and </w:t>
            </w:r>
            <w:r w:rsidRPr="003F76C9">
              <w:rPr>
                <w:color w:val="auto"/>
                <w:sz w:val="22"/>
              </w:rPr>
              <w:t xml:space="preserve">intentions to use </w:t>
            </w:r>
            <w:r w:rsidRPr="001D5C2D">
              <w:rPr>
                <w:color w:val="auto"/>
                <w:sz w:val="22"/>
                <w:vertAlign w:val="superscript"/>
              </w:rPr>
              <w:t>[</w:t>
            </w:r>
            <w:r>
              <w:rPr>
                <w:color w:val="auto"/>
                <w:sz w:val="22"/>
                <w:vertAlign w:val="superscript"/>
              </w:rPr>
              <w:t>C</w:t>
            </w:r>
            <w:r w:rsidRPr="001D5C2D">
              <w:rPr>
                <w:color w:val="auto"/>
                <w:sz w:val="22"/>
                <w:vertAlign w:val="superscript"/>
              </w:rPr>
              <w:t>][</w:t>
            </w:r>
            <w:r>
              <w:rPr>
                <w:color w:val="auto"/>
                <w:sz w:val="22"/>
                <w:vertAlign w:val="superscript"/>
              </w:rPr>
              <w:t>D][E]</w:t>
            </w:r>
          </w:p>
          <w:p w14:paraId="3718A851" w14:textId="77777777" w:rsidR="007B6EA9" w:rsidRPr="003F76C9" w:rsidRDefault="007B6EA9" w:rsidP="007B6EA9">
            <w:pPr>
              <w:pStyle w:val="Notesstructure"/>
              <w:rPr>
                <w:b/>
                <w:color w:val="auto"/>
                <w:sz w:val="22"/>
              </w:rPr>
            </w:pPr>
            <w:r w:rsidRPr="003F76C9">
              <w:rPr>
                <w:b/>
                <w:color w:val="auto"/>
                <w:sz w:val="22"/>
              </w:rPr>
              <w:t>Ineffective:</w:t>
            </w:r>
          </w:p>
          <w:p w14:paraId="76D7D67A" w14:textId="0EB18F8D" w:rsidR="007B6EA9" w:rsidRPr="00190FBC" w:rsidRDefault="007B6EA9" w:rsidP="00C92BD2">
            <w:pPr>
              <w:pStyle w:val="Notesstructure"/>
              <w:numPr>
                <w:ilvl w:val="0"/>
                <w:numId w:val="5"/>
              </w:numPr>
              <w:spacing w:line="360" w:lineRule="auto"/>
              <w:rPr>
                <w:color w:val="auto"/>
                <w:sz w:val="22"/>
              </w:rPr>
            </w:pPr>
            <w:r w:rsidRPr="00E9084F">
              <w:rPr>
                <w:color w:val="auto"/>
                <w:sz w:val="22"/>
              </w:rPr>
              <w:t xml:space="preserve">Approaches addressing only ethical/moral </w:t>
            </w:r>
            <w:r>
              <w:rPr>
                <w:color w:val="auto"/>
                <w:sz w:val="22"/>
              </w:rPr>
              <w:t>decision making</w:t>
            </w:r>
            <w:r w:rsidR="00545318">
              <w:rPr>
                <w:color w:val="auto"/>
                <w:sz w:val="22"/>
              </w:rPr>
              <w:t>,</w:t>
            </w:r>
            <w:r w:rsidRPr="00E9084F">
              <w:rPr>
                <w:color w:val="auto"/>
                <w:sz w:val="22"/>
              </w:rPr>
              <w:t xml:space="preserve"> have been found to be ineffective </w:t>
            </w:r>
            <w:r w:rsidRPr="00E9084F">
              <w:rPr>
                <w:color w:val="auto"/>
                <w:sz w:val="22"/>
                <w:vertAlign w:val="superscript"/>
              </w:rPr>
              <w:t>[</w:t>
            </w:r>
            <w:r>
              <w:rPr>
                <w:color w:val="auto"/>
                <w:sz w:val="22"/>
                <w:vertAlign w:val="superscript"/>
              </w:rPr>
              <w:t>E</w:t>
            </w:r>
            <w:r w:rsidRPr="00E9084F">
              <w:rPr>
                <w:color w:val="auto"/>
                <w:sz w:val="22"/>
                <w:vertAlign w:val="superscript"/>
              </w:rPr>
              <w:t>]</w:t>
            </w:r>
          </w:p>
          <w:p w14:paraId="514BF5E3" w14:textId="1E967FCD" w:rsidR="007B6EA9" w:rsidRPr="00197206" w:rsidRDefault="007B6EA9" w:rsidP="00C92BD2">
            <w:pPr>
              <w:pStyle w:val="Notesstructure"/>
              <w:numPr>
                <w:ilvl w:val="0"/>
                <w:numId w:val="5"/>
              </w:numPr>
              <w:spacing w:line="360" w:lineRule="auto"/>
              <w:rPr>
                <w:color w:val="auto"/>
                <w:sz w:val="22"/>
              </w:rPr>
            </w:pPr>
            <w:r w:rsidRPr="00197206">
              <w:rPr>
                <w:color w:val="auto"/>
                <w:sz w:val="22"/>
              </w:rPr>
              <w:t xml:space="preserve">Approaches focusing only on </w:t>
            </w:r>
            <w:r>
              <w:rPr>
                <w:color w:val="auto"/>
                <w:sz w:val="22"/>
              </w:rPr>
              <w:t xml:space="preserve">building confidence and </w:t>
            </w:r>
            <w:r w:rsidRPr="00197206">
              <w:rPr>
                <w:color w:val="auto"/>
                <w:sz w:val="22"/>
              </w:rPr>
              <w:t>self-esteem</w:t>
            </w:r>
            <w:r>
              <w:rPr>
                <w:color w:val="auto"/>
                <w:sz w:val="22"/>
              </w:rPr>
              <w:t xml:space="preserve"> making</w:t>
            </w:r>
            <w:r w:rsidR="00545318">
              <w:rPr>
                <w:color w:val="auto"/>
                <w:sz w:val="22"/>
              </w:rPr>
              <w:t>,</w:t>
            </w:r>
            <w:r w:rsidRPr="00E9084F">
              <w:rPr>
                <w:color w:val="auto"/>
                <w:sz w:val="22"/>
              </w:rPr>
              <w:t xml:space="preserve"> have been found to be ineffective</w:t>
            </w:r>
            <w:r w:rsidRPr="00197206">
              <w:rPr>
                <w:color w:val="auto"/>
                <w:sz w:val="22"/>
              </w:rPr>
              <w:t xml:space="preserve"> </w:t>
            </w:r>
            <w:r w:rsidRPr="00197206">
              <w:rPr>
                <w:color w:val="auto"/>
                <w:sz w:val="22"/>
                <w:vertAlign w:val="superscript"/>
              </w:rPr>
              <w:t>[</w:t>
            </w:r>
            <w:r>
              <w:rPr>
                <w:color w:val="auto"/>
                <w:sz w:val="22"/>
                <w:vertAlign w:val="superscript"/>
              </w:rPr>
              <w:t>B</w:t>
            </w:r>
            <w:r w:rsidRPr="00197206">
              <w:rPr>
                <w:color w:val="auto"/>
                <w:sz w:val="22"/>
                <w:vertAlign w:val="superscript"/>
              </w:rPr>
              <w:t>][</w:t>
            </w:r>
            <w:r>
              <w:rPr>
                <w:color w:val="auto"/>
                <w:sz w:val="22"/>
                <w:vertAlign w:val="superscript"/>
              </w:rPr>
              <w:t>C</w:t>
            </w:r>
            <w:r w:rsidRPr="00197206">
              <w:rPr>
                <w:color w:val="auto"/>
                <w:sz w:val="22"/>
                <w:vertAlign w:val="superscript"/>
              </w:rPr>
              <w:t>][E]</w:t>
            </w:r>
          </w:p>
          <w:p w14:paraId="6A24F122" w14:textId="77777777" w:rsidR="007B6EA9" w:rsidRDefault="007B6EA9" w:rsidP="007B6EA9">
            <w:pPr>
              <w:pStyle w:val="Notesstructure"/>
              <w:rPr>
                <w:color w:val="auto"/>
                <w:sz w:val="22"/>
              </w:rPr>
            </w:pPr>
            <w:r w:rsidRPr="00AF7BD0">
              <w:rPr>
                <w:b/>
                <w:color w:val="auto"/>
                <w:sz w:val="22"/>
              </w:rPr>
              <w:t>Harmful:</w:t>
            </w:r>
            <w:r w:rsidRPr="00AF7BD0">
              <w:rPr>
                <w:color w:val="auto"/>
                <w:sz w:val="22"/>
              </w:rPr>
              <w:t xml:space="preserve"> </w:t>
            </w:r>
          </w:p>
          <w:p w14:paraId="2643A63B" w14:textId="77777777" w:rsidR="007B6EA9" w:rsidRPr="00190FBC" w:rsidRDefault="007B6EA9" w:rsidP="00C92BD2">
            <w:pPr>
              <w:pStyle w:val="Notesstructure"/>
              <w:numPr>
                <w:ilvl w:val="0"/>
                <w:numId w:val="31"/>
              </w:numPr>
              <w:rPr>
                <w:color w:val="auto"/>
                <w:sz w:val="22"/>
              </w:rPr>
            </w:pPr>
            <w:r w:rsidRPr="00AF7BD0">
              <w:rPr>
                <w:color w:val="auto"/>
                <w:sz w:val="22"/>
              </w:rPr>
              <w:t xml:space="preserve">Approaches focusing only on self-esteem </w:t>
            </w:r>
            <w:r w:rsidRPr="00AF7BD0">
              <w:rPr>
                <w:color w:val="auto"/>
                <w:sz w:val="22"/>
                <w:vertAlign w:val="superscript"/>
              </w:rPr>
              <w:t>[</w:t>
            </w:r>
            <w:r>
              <w:rPr>
                <w:color w:val="auto"/>
                <w:sz w:val="22"/>
                <w:vertAlign w:val="superscript"/>
              </w:rPr>
              <w:t>B</w:t>
            </w:r>
            <w:r w:rsidRPr="00AF7BD0">
              <w:rPr>
                <w:color w:val="auto"/>
                <w:sz w:val="22"/>
                <w:vertAlign w:val="superscript"/>
              </w:rPr>
              <w:t>][</w:t>
            </w:r>
            <w:r>
              <w:rPr>
                <w:color w:val="auto"/>
                <w:sz w:val="22"/>
                <w:vertAlign w:val="superscript"/>
              </w:rPr>
              <w:t>E</w:t>
            </w:r>
            <w:r w:rsidRPr="00AF7BD0">
              <w:rPr>
                <w:color w:val="auto"/>
                <w:sz w:val="22"/>
                <w:vertAlign w:val="superscript"/>
              </w:rPr>
              <w:t>]</w:t>
            </w:r>
          </w:p>
        </w:tc>
        <w:tc>
          <w:tcPr>
            <w:tcW w:w="4820" w:type="dxa"/>
            <w:gridSpan w:val="2"/>
            <w:tcBorders>
              <w:top w:val="single" w:sz="8" w:space="0" w:color="auto"/>
            </w:tcBorders>
          </w:tcPr>
          <w:p w14:paraId="0C4CE919" w14:textId="77777777" w:rsidR="007B6EA9" w:rsidRPr="00B12F76" w:rsidRDefault="007B6EA9" w:rsidP="007B6EA9">
            <w:pPr>
              <w:pStyle w:val="Notesstructure"/>
              <w:rPr>
                <w:b/>
                <w:color w:val="auto"/>
                <w:sz w:val="22"/>
              </w:rPr>
            </w:pPr>
            <w:r w:rsidRPr="00B12F76">
              <w:rPr>
                <w:b/>
                <w:color w:val="auto"/>
                <w:sz w:val="22"/>
              </w:rPr>
              <w:t>Recommended:</w:t>
            </w:r>
          </w:p>
          <w:p w14:paraId="7D971861" w14:textId="77777777" w:rsidR="007B6EA9" w:rsidRDefault="007B6EA9" w:rsidP="00C92BD2">
            <w:pPr>
              <w:pStyle w:val="Notesstructure"/>
              <w:numPr>
                <w:ilvl w:val="0"/>
                <w:numId w:val="13"/>
              </w:numPr>
              <w:spacing w:line="360" w:lineRule="auto"/>
              <w:ind w:left="714" w:hanging="357"/>
              <w:rPr>
                <w:color w:val="auto"/>
                <w:sz w:val="22"/>
              </w:rPr>
            </w:pPr>
            <w:r w:rsidRPr="003F76C9">
              <w:rPr>
                <w:color w:val="auto"/>
                <w:sz w:val="22"/>
              </w:rPr>
              <w:t>ACMD recommend the use of school-based skills-focused approaches</w:t>
            </w:r>
          </w:p>
          <w:p w14:paraId="288F3933" w14:textId="77777777" w:rsidR="007B6EA9" w:rsidRPr="003B6F76" w:rsidRDefault="007B6EA9" w:rsidP="00C92BD2">
            <w:pPr>
              <w:pStyle w:val="Notesstructure"/>
              <w:numPr>
                <w:ilvl w:val="0"/>
                <w:numId w:val="13"/>
              </w:numPr>
              <w:spacing w:line="360" w:lineRule="auto"/>
              <w:rPr>
                <w:color w:val="auto"/>
                <w:sz w:val="22"/>
              </w:rPr>
            </w:pPr>
            <w:r w:rsidRPr="003F76C9">
              <w:rPr>
                <w:color w:val="auto"/>
                <w:sz w:val="22"/>
              </w:rPr>
              <w:t xml:space="preserve">HM Government recommend approaches which build confidence </w:t>
            </w:r>
            <w:r>
              <w:rPr>
                <w:color w:val="auto"/>
                <w:sz w:val="22"/>
              </w:rPr>
              <w:t xml:space="preserve">and </w:t>
            </w:r>
            <w:r w:rsidRPr="003F76C9">
              <w:rPr>
                <w:color w:val="auto"/>
                <w:sz w:val="22"/>
              </w:rPr>
              <w:t>resilience</w:t>
            </w:r>
          </w:p>
          <w:p w14:paraId="19922C07" w14:textId="77777777" w:rsidR="007B6EA9" w:rsidRDefault="007B6EA9" w:rsidP="00C92BD2">
            <w:pPr>
              <w:pStyle w:val="Notesstructure"/>
              <w:numPr>
                <w:ilvl w:val="0"/>
                <w:numId w:val="13"/>
              </w:numPr>
              <w:spacing w:line="360" w:lineRule="auto"/>
              <w:rPr>
                <w:color w:val="auto"/>
                <w:sz w:val="22"/>
                <w:szCs w:val="22"/>
              </w:rPr>
            </w:pPr>
            <w:r>
              <w:rPr>
                <w:color w:val="auto"/>
                <w:sz w:val="22"/>
                <w:szCs w:val="22"/>
              </w:rPr>
              <w:t>Mentor-ADEPIS</w:t>
            </w:r>
            <w:r w:rsidRPr="00C11D82">
              <w:rPr>
                <w:color w:val="auto"/>
                <w:sz w:val="22"/>
                <w:szCs w:val="22"/>
              </w:rPr>
              <w:t xml:space="preserve"> recommend </w:t>
            </w:r>
            <w:r>
              <w:rPr>
                <w:color w:val="auto"/>
                <w:sz w:val="22"/>
                <w:szCs w:val="22"/>
              </w:rPr>
              <w:t>approaches that teach personal skills and decision-making skills</w:t>
            </w:r>
          </w:p>
          <w:p w14:paraId="17AFBB7F" w14:textId="77777777" w:rsidR="007B6EA9" w:rsidRDefault="007B6EA9" w:rsidP="00C92BD2">
            <w:pPr>
              <w:pStyle w:val="Notesstructure"/>
              <w:numPr>
                <w:ilvl w:val="0"/>
                <w:numId w:val="13"/>
              </w:numPr>
              <w:spacing w:line="360" w:lineRule="auto"/>
              <w:rPr>
                <w:color w:val="auto"/>
                <w:sz w:val="22"/>
              </w:rPr>
            </w:pPr>
            <w:r w:rsidRPr="003F76C9">
              <w:rPr>
                <w:color w:val="auto"/>
                <w:sz w:val="22"/>
              </w:rPr>
              <w:t xml:space="preserve">NICE recommended skills-based approaches are combined with skills training for carers </w:t>
            </w:r>
            <w:r>
              <w:rPr>
                <w:color w:val="auto"/>
                <w:sz w:val="22"/>
              </w:rPr>
              <w:t>/</w:t>
            </w:r>
            <w:r w:rsidRPr="003F76C9">
              <w:rPr>
                <w:color w:val="auto"/>
                <w:sz w:val="22"/>
              </w:rPr>
              <w:t xml:space="preserve"> families</w:t>
            </w:r>
          </w:p>
          <w:p w14:paraId="096CF892" w14:textId="77777777" w:rsidR="007B6EA9" w:rsidRPr="003B6F76" w:rsidRDefault="007B6EA9" w:rsidP="00C92BD2">
            <w:pPr>
              <w:pStyle w:val="Notesstructure"/>
              <w:numPr>
                <w:ilvl w:val="0"/>
                <w:numId w:val="13"/>
              </w:numPr>
              <w:spacing w:line="360" w:lineRule="auto"/>
              <w:rPr>
                <w:color w:val="auto"/>
                <w:sz w:val="22"/>
              </w:rPr>
            </w:pPr>
            <w:r w:rsidRPr="003F76C9">
              <w:rPr>
                <w:color w:val="auto"/>
                <w:sz w:val="22"/>
              </w:rPr>
              <w:t xml:space="preserve">UNDOC/WHO recommend </w:t>
            </w:r>
            <w:r>
              <w:rPr>
                <w:color w:val="auto"/>
                <w:sz w:val="22"/>
              </w:rPr>
              <w:t xml:space="preserve">combined </w:t>
            </w:r>
            <w:r w:rsidRPr="003F76C9">
              <w:rPr>
                <w:color w:val="auto"/>
                <w:sz w:val="22"/>
              </w:rPr>
              <w:t xml:space="preserve">skills approaches </w:t>
            </w:r>
            <w:r>
              <w:rPr>
                <w:color w:val="auto"/>
                <w:sz w:val="22"/>
              </w:rPr>
              <w:t>which include</w:t>
            </w:r>
            <w:r w:rsidRPr="003F76C9">
              <w:rPr>
                <w:color w:val="auto"/>
                <w:sz w:val="22"/>
              </w:rPr>
              <w:t xml:space="preserve"> decision making skills</w:t>
            </w:r>
          </w:p>
          <w:p w14:paraId="34889E48" w14:textId="77777777" w:rsidR="007B6EA9" w:rsidRPr="00B12F76" w:rsidRDefault="007B6EA9" w:rsidP="007B6EA9">
            <w:pPr>
              <w:pStyle w:val="Notesstructure"/>
              <w:rPr>
                <w:b/>
                <w:color w:val="auto"/>
                <w:sz w:val="22"/>
              </w:rPr>
            </w:pPr>
            <w:r w:rsidRPr="00B12F76">
              <w:rPr>
                <w:b/>
                <w:color w:val="auto"/>
                <w:sz w:val="22"/>
              </w:rPr>
              <w:t>Not recommended:</w:t>
            </w:r>
          </w:p>
          <w:p w14:paraId="782CEE32" w14:textId="77777777" w:rsidR="007B6EA9" w:rsidRPr="003F76C9" w:rsidRDefault="007B6EA9" w:rsidP="00C92BD2">
            <w:pPr>
              <w:pStyle w:val="Notesstructure"/>
              <w:numPr>
                <w:ilvl w:val="0"/>
                <w:numId w:val="13"/>
              </w:numPr>
              <w:spacing w:line="360" w:lineRule="auto"/>
              <w:ind w:left="714" w:hanging="357"/>
              <w:rPr>
                <w:color w:val="auto"/>
                <w:sz w:val="22"/>
              </w:rPr>
            </w:pPr>
            <w:r w:rsidRPr="003F76C9">
              <w:rPr>
                <w:color w:val="auto"/>
                <w:sz w:val="22"/>
              </w:rPr>
              <w:t xml:space="preserve">NICE </w:t>
            </w:r>
            <w:r>
              <w:rPr>
                <w:color w:val="auto"/>
                <w:sz w:val="22"/>
              </w:rPr>
              <w:t>do not recommend the use of</w:t>
            </w:r>
            <w:r w:rsidRPr="003F76C9">
              <w:rPr>
                <w:color w:val="auto"/>
                <w:sz w:val="22"/>
              </w:rPr>
              <w:t xml:space="preserve"> </w:t>
            </w:r>
            <w:r>
              <w:rPr>
                <w:color w:val="auto"/>
                <w:sz w:val="22"/>
              </w:rPr>
              <w:t>skill-</w:t>
            </w:r>
            <w:r w:rsidRPr="003F76C9">
              <w:rPr>
                <w:color w:val="auto"/>
                <w:sz w:val="22"/>
              </w:rPr>
              <w:t>based</w:t>
            </w:r>
            <w:r>
              <w:rPr>
                <w:color w:val="auto"/>
                <w:sz w:val="22"/>
              </w:rPr>
              <w:t xml:space="preserve"> </w:t>
            </w:r>
            <w:r w:rsidRPr="003F76C9">
              <w:rPr>
                <w:color w:val="auto"/>
                <w:sz w:val="22"/>
              </w:rPr>
              <w:t xml:space="preserve">approaches </w:t>
            </w:r>
            <w:r>
              <w:rPr>
                <w:color w:val="auto"/>
                <w:sz w:val="22"/>
              </w:rPr>
              <w:t>with</w:t>
            </w:r>
            <w:r w:rsidRPr="003F76C9">
              <w:rPr>
                <w:color w:val="auto"/>
                <w:sz w:val="22"/>
              </w:rPr>
              <w:t xml:space="preserve"> at-risk young people</w:t>
            </w:r>
          </w:p>
          <w:p w14:paraId="6EBADD49" w14:textId="77777777" w:rsidR="007B6EA9" w:rsidRDefault="007B6EA9" w:rsidP="00C92BD2">
            <w:pPr>
              <w:pStyle w:val="Notesstructure"/>
              <w:numPr>
                <w:ilvl w:val="0"/>
                <w:numId w:val="13"/>
              </w:numPr>
              <w:spacing w:line="360" w:lineRule="auto"/>
              <w:rPr>
                <w:color w:val="auto"/>
                <w:sz w:val="22"/>
                <w:szCs w:val="22"/>
              </w:rPr>
            </w:pPr>
            <w:r>
              <w:rPr>
                <w:color w:val="auto"/>
                <w:sz w:val="22"/>
                <w:szCs w:val="22"/>
              </w:rPr>
              <w:t>Mentor-ADEPIS</w:t>
            </w:r>
            <w:r w:rsidRPr="00C11D82">
              <w:rPr>
                <w:color w:val="auto"/>
                <w:sz w:val="22"/>
                <w:szCs w:val="22"/>
              </w:rPr>
              <w:t xml:space="preserve"> </w:t>
            </w:r>
            <w:r>
              <w:rPr>
                <w:color w:val="auto"/>
                <w:sz w:val="22"/>
                <w:szCs w:val="22"/>
              </w:rPr>
              <w:t>advise against approaches that focus only on self-esteem</w:t>
            </w:r>
          </w:p>
          <w:p w14:paraId="11C833BB" w14:textId="77777777" w:rsidR="007B6EA9" w:rsidRPr="001318E0" w:rsidRDefault="007B6EA9" w:rsidP="00C92BD2">
            <w:pPr>
              <w:pStyle w:val="Notesstructure"/>
              <w:numPr>
                <w:ilvl w:val="0"/>
                <w:numId w:val="13"/>
              </w:numPr>
              <w:spacing w:line="360" w:lineRule="auto"/>
              <w:rPr>
                <w:color w:val="auto"/>
                <w:sz w:val="22"/>
                <w:szCs w:val="22"/>
              </w:rPr>
            </w:pPr>
            <w:r>
              <w:rPr>
                <w:color w:val="auto"/>
                <w:sz w:val="22"/>
                <w:szCs w:val="22"/>
              </w:rPr>
              <w:t>Mentor-ADEPIS</w:t>
            </w:r>
            <w:r w:rsidRPr="00C11D82">
              <w:rPr>
                <w:color w:val="auto"/>
                <w:sz w:val="22"/>
                <w:szCs w:val="22"/>
              </w:rPr>
              <w:t xml:space="preserve"> </w:t>
            </w:r>
            <w:r>
              <w:rPr>
                <w:color w:val="auto"/>
                <w:sz w:val="22"/>
                <w:szCs w:val="22"/>
              </w:rPr>
              <w:t>advise against approaches that focus moral/ethical decision-making</w:t>
            </w:r>
          </w:p>
          <w:p w14:paraId="48754A4D" w14:textId="77777777" w:rsidR="007B6EA9" w:rsidRDefault="007B6EA9" w:rsidP="00C92BD2">
            <w:pPr>
              <w:pStyle w:val="Notesstructure"/>
              <w:numPr>
                <w:ilvl w:val="0"/>
                <w:numId w:val="13"/>
              </w:numPr>
              <w:spacing w:line="360" w:lineRule="auto"/>
              <w:rPr>
                <w:color w:val="auto"/>
                <w:sz w:val="22"/>
                <w:szCs w:val="22"/>
              </w:rPr>
            </w:pPr>
            <w:r w:rsidRPr="003F76C9">
              <w:rPr>
                <w:color w:val="auto"/>
                <w:sz w:val="22"/>
              </w:rPr>
              <w:t xml:space="preserve">UNDOC/WHO </w:t>
            </w:r>
            <w:r>
              <w:rPr>
                <w:color w:val="auto"/>
                <w:sz w:val="22"/>
                <w:szCs w:val="22"/>
              </w:rPr>
              <w:t>advise against approaches that focus only on self-esteem</w:t>
            </w:r>
          </w:p>
          <w:p w14:paraId="56B03CBF" w14:textId="77777777" w:rsidR="007B6EA9" w:rsidRPr="003B6F76" w:rsidRDefault="007B6EA9" w:rsidP="00C92BD2">
            <w:pPr>
              <w:pStyle w:val="Notesstructure"/>
              <w:numPr>
                <w:ilvl w:val="0"/>
                <w:numId w:val="13"/>
              </w:numPr>
              <w:spacing w:line="360" w:lineRule="auto"/>
              <w:rPr>
                <w:color w:val="auto"/>
                <w:sz w:val="22"/>
                <w:szCs w:val="22"/>
              </w:rPr>
            </w:pPr>
            <w:r>
              <w:rPr>
                <w:color w:val="auto"/>
                <w:sz w:val="22"/>
                <w:szCs w:val="22"/>
              </w:rPr>
              <w:t>UNODC/WHO advise against approaches that focus moral/ethical decision-making</w:t>
            </w:r>
          </w:p>
        </w:tc>
      </w:tr>
      <w:tr w:rsidR="007B6EA9" w:rsidRPr="003F76C9" w14:paraId="79873020"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113"/>
        </w:trPr>
        <w:tc>
          <w:tcPr>
            <w:tcW w:w="9322" w:type="dxa"/>
            <w:gridSpan w:val="3"/>
            <w:tcBorders>
              <w:top w:val="single" w:sz="4" w:space="0" w:color="auto"/>
            </w:tcBorders>
          </w:tcPr>
          <w:p w14:paraId="10ADE06B" w14:textId="77777777" w:rsidR="007B6EA9" w:rsidRPr="005135B8" w:rsidRDefault="007B6EA9" w:rsidP="007B6EA9">
            <w:pPr>
              <w:pStyle w:val="Notesstructure"/>
              <w:spacing w:line="360" w:lineRule="auto"/>
              <w:rPr>
                <w:b/>
                <w:color w:val="auto"/>
                <w:sz w:val="2"/>
              </w:rPr>
            </w:pPr>
          </w:p>
        </w:tc>
      </w:tr>
      <w:tr w:rsidR="007B6EA9" w:rsidRPr="003F76C9" w14:paraId="3409C69C"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284"/>
        </w:trPr>
        <w:tc>
          <w:tcPr>
            <w:tcW w:w="9322" w:type="dxa"/>
            <w:gridSpan w:val="3"/>
          </w:tcPr>
          <w:p w14:paraId="524E31DC"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1CDBB70A" w14:textId="77777777" w:rsidR="007B6EA9" w:rsidRPr="005135B8" w:rsidRDefault="007B6EA9" w:rsidP="007B6EA9">
            <w:pPr>
              <w:pStyle w:val="Notesstructure"/>
              <w:spacing w:line="360" w:lineRule="auto"/>
              <w:rPr>
                <w:b/>
                <w:color w:val="auto"/>
                <w:sz w:val="2"/>
              </w:rPr>
            </w:pPr>
          </w:p>
        </w:tc>
      </w:tr>
      <w:tr w:rsidR="009E41B3" w:rsidRPr="003F76C9" w14:paraId="02EE8FFF"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284"/>
        </w:trPr>
        <w:tc>
          <w:tcPr>
            <w:tcW w:w="9322" w:type="dxa"/>
            <w:gridSpan w:val="3"/>
          </w:tcPr>
          <w:p w14:paraId="271F6AE1" w14:textId="6A1849DB" w:rsidR="009E41B3" w:rsidRDefault="009E41B3" w:rsidP="007B6EA9">
            <w:pPr>
              <w:spacing w:line="480" w:lineRule="auto"/>
              <w:rPr>
                <w:sz w:val="22"/>
              </w:rPr>
            </w:pPr>
          </w:p>
          <w:p w14:paraId="40D658A3" w14:textId="77777777" w:rsidR="009E41B3" w:rsidRDefault="009E41B3" w:rsidP="007B6EA9">
            <w:pPr>
              <w:spacing w:line="480" w:lineRule="auto"/>
              <w:rPr>
                <w:sz w:val="22"/>
              </w:rPr>
            </w:pPr>
          </w:p>
          <w:p w14:paraId="08084F3A" w14:textId="41D41A3E" w:rsidR="009E41B3" w:rsidRDefault="009E41B3" w:rsidP="007B6EA9">
            <w:pPr>
              <w:spacing w:line="480" w:lineRule="auto"/>
              <w:rPr>
                <w:sz w:val="22"/>
              </w:rPr>
            </w:pPr>
          </w:p>
          <w:p w14:paraId="00FFA2E1" w14:textId="77777777" w:rsidR="009E41B3" w:rsidRDefault="009E41B3" w:rsidP="007B6EA9">
            <w:pPr>
              <w:spacing w:line="480" w:lineRule="auto"/>
              <w:rPr>
                <w:sz w:val="22"/>
              </w:rPr>
            </w:pPr>
          </w:p>
          <w:p w14:paraId="5F2A585B" w14:textId="77777777" w:rsidR="009E41B3" w:rsidRDefault="009E41B3" w:rsidP="007B6EA9">
            <w:pPr>
              <w:spacing w:line="480" w:lineRule="auto"/>
              <w:rPr>
                <w:sz w:val="22"/>
              </w:rPr>
            </w:pPr>
          </w:p>
          <w:p w14:paraId="586A593E" w14:textId="7B53F6A7" w:rsidR="009E41B3" w:rsidRPr="005135B8" w:rsidRDefault="009E41B3" w:rsidP="007B6EA9">
            <w:pPr>
              <w:spacing w:line="480" w:lineRule="auto"/>
              <w:rPr>
                <w:sz w:val="22"/>
              </w:rPr>
            </w:pPr>
          </w:p>
        </w:tc>
      </w:tr>
      <w:tr w:rsidR="0001645C" w:rsidRPr="003F76C9" w14:paraId="6B759752"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284"/>
        </w:trPr>
        <w:tc>
          <w:tcPr>
            <w:tcW w:w="9322" w:type="dxa"/>
            <w:gridSpan w:val="3"/>
          </w:tcPr>
          <w:p w14:paraId="3CE655C7" w14:textId="77777777" w:rsidR="0001645C" w:rsidRDefault="0001645C" w:rsidP="007B6EA9">
            <w:pPr>
              <w:spacing w:line="480" w:lineRule="auto"/>
              <w:rPr>
                <w:sz w:val="22"/>
              </w:rPr>
            </w:pPr>
          </w:p>
        </w:tc>
      </w:tr>
    </w:tbl>
    <w:p w14:paraId="7A0F8B6E" w14:textId="77777777" w:rsidR="0001645C" w:rsidRDefault="0001645C" w:rsidP="0001645C">
      <w:pPr>
        <w:pStyle w:val="TableHeader"/>
        <w:rPr>
          <w:b/>
        </w:rPr>
      </w:pPr>
    </w:p>
    <w:p w14:paraId="76BC061B" w14:textId="5987B53C" w:rsidR="0001645C" w:rsidRPr="0001645C" w:rsidRDefault="0001645C" w:rsidP="00747168">
      <w:pPr>
        <w:pStyle w:val="TableHeader"/>
        <w:spacing w:line="240" w:lineRule="auto"/>
        <w:rPr>
          <w:b/>
        </w:rPr>
      </w:pPr>
      <w:bookmarkStart w:id="232" w:name="_Toc9509036"/>
      <w:r w:rsidRPr="0001645C">
        <w:rPr>
          <w:b/>
        </w:rPr>
        <w:t xml:space="preserve">Table </w:t>
      </w:r>
      <w:r>
        <w:rPr>
          <w:b/>
        </w:rPr>
        <w:t>3-</w:t>
      </w:r>
      <w:r w:rsidR="00FC1DE2">
        <w:rPr>
          <w:b/>
        </w:rPr>
        <w:t>5</w:t>
      </w:r>
      <w:r w:rsidRPr="0001645C">
        <w:rPr>
          <w:b/>
        </w:rPr>
        <w:t>. Evidence of effectiveness and recommendations for the use of social skills</w:t>
      </w:r>
      <w:bookmarkEnd w:id="232"/>
    </w:p>
    <w:tbl>
      <w:tblPr>
        <w:tblStyle w:val="TableGrid"/>
        <w:tblW w:w="8897" w:type="dxa"/>
        <w:tblLook w:val="04A0" w:firstRow="1" w:lastRow="0" w:firstColumn="1" w:lastColumn="0" w:noHBand="0" w:noVBand="1"/>
      </w:tblPr>
      <w:tblGrid>
        <w:gridCol w:w="2802"/>
        <w:gridCol w:w="2126"/>
        <w:gridCol w:w="3969"/>
      </w:tblGrid>
      <w:tr w:rsidR="007B6EA9" w:rsidRPr="00F9373F" w14:paraId="6A3BD137" w14:textId="77777777" w:rsidTr="0001645C">
        <w:trPr>
          <w:trHeight w:val="430"/>
        </w:trPr>
        <w:tc>
          <w:tcPr>
            <w:tcW w:w="2802" w:type="dxa"/>
            <w:tcBorders>
              <w:top w:val="single" w:sz="8" w:space="0" w:color="auto"/>
              <w:left w:val="nil"/>
              <w:bottom w:val="single" w:sz="4" w:space="0" w:color="auto"/>
              <w:right w:val="nil"/>
            </w:tcBorders>
            <w:vAlign w:val="center"/>
          </w:tcPr>
          <w:p w14:paraId="25CE2F1B" w14:textId="77777777" w:rsidR="007B6EA9" w:rsidRPr="00F9373F" w:rsidRDefault="007B6EA9" w:rsidP="007B6EA9">
            <w:pPr>
              <w:rPr>
                <w:b/>
                <w:szCs w:val="24"/>
              </w:rPr>
            </w:pPr>
            <w:r>
              <w:rPr>
                <w:b/>
                <w:szCs w:val="24"/>
              </w:rPr>
              <w:t>Social skills</w:t>
            </w:r>
          </w:p>
        </w:tc>
        <w:tc>
          <w:tcPr>
            <w:tcW w:w="6095" w:type="dxa"/>
            <w:gridSpan w:val="2"/>
            <w:tcBorders>
              <w:top w:val="single" w:sz="8" w:space="0" w:color="auto"/>
              <w:left w:val="nil"/>
              <w:bottom w:val="single" w:sz="4" w:space="0" w:color="auto"/>
              <w:right w:val="nil"/>
            </w:tcBorders>
            <w:vAlign w:val="center"/>
          </w:tcPr>
          <w:p w14:paraId="71F1F473" w14:textId="77777777" w:rsidR="007B6EA9" w:rsidRPr="00F9373F" w:rsidRDefault="007B6EA9" w:rsidP="007B6EA9">
            <w:pPr>
              <w:rPr>
                <w:b/>
                <w:szCs w:val="24"/>
              </w:rPr>
            </w:pPr>
          </w:p>
        </w:tc>
      </w:tr>
      <w:tr w:rsidR="007B6EA9" w:rsidRPr="001D0827" w14:paraId="22962AC5" w14:textId="77777777" w:rsidTr="0001645C">
        <w:tc>
          <w:tcPr>
            <w:tcW w:w="4928" w:type="dxa"/>
            <w:gridSpan w:val="2"/>
            <w:tcBorders>
              <w:top w:val="single" w:sz="4" w:space="0" w:color="auto"/>
              <w:left w:val="nil"/>
              <w:bottom w:val="nil"/>
              <w:right w:val="nil"/>
            </w:tcBorders>
          </w:tcPr>
          <w:p w14:paraId="13D62B7C" w14:textId="77777777" w:rsidR="007B6EA9" w:rsidRPr="001D0827" w:rsidRDefault="007B6EA9" w:rsidP="007B6EA9">
            <w:pPr>
              <w:pStyle w:val="Notesstructure"/>
              <w:rPr>
                <w:b/>
                <w:color w:val="auto"/>
                <w:sz w:val="22"/>
              </w:rPr>
            </w:pPr>
            <w:r w:rsidRPr="001D0827">
              <w:rPr>
                <w:b/>
                <w:color w:val="auto"/>
                <w:sz w:val="22"/>
              </w:rPr>
              <w:t>Effective:</w:t>
            </w:r>
          </w:p>
          <w:p w14:paraId="1A4EFB3B" w14:textId="77777777" w:rsidR="007B6EA9" w:rsidRDefault="007B6EA9" w:rsidP="00C92BD2">
            <w:pPr>
              <w:pStyle w:val="Notesstructure"/>
              <w:numPr>
                <w:ilvl w:val="0"/>
                <w:numId w:val="5"/>
              </w:numPr>
              <w:spacing w:line="360" w:lineRule="auto"/>
              <w:ind w:left="714" w:hanging="357"/>
              <w:rPr>
                <w:color w:val="auto"/>
                <w:sz w:val="22"/>
              </w:rPr>
            </w:pPr>
            <w:r>
              <w:rPr>
                <w:color w:val="auto"/>
                <w:sz w:val="22"/>
              </w:rPr>
              <w:t>S</w:t>
            </w:r>
            <w:r w:rsidRPr="001D0827">
              <w:rPr>
                <w:color w:val="auto"/>
                <w:sz w:val="22"/>
              </w:rPr>
              <w:t>ocial influence-based</w:t>
            </w:r>
            <w:r>
              <w:rPr>
                <w:color w:val="auto"/>
                <w:sz w:val="22"/>
              </w:rPr>
              <w:t xml:space="preserve"> interventions</w:t>
            </w:r>
            <w:r w:rsidRPr="001D0827">
              <w:rPr>
                <w:color w:val="auto"/>
                <w:sz w:val="22"/>
              </w:rPr>
              <w:t xml:space="preserve"> </w:t>
            </w:r>
            <w:r>
              <w:rPr>
                <w:color w:val="auto"/>
                <w:sz w:val="22"/>
              </w:rPr>
              <w:t>demonstrate</w:t>
            </w:r>
            <w:r w:rsidRPr="001D0827">
              <w:rPr>
                <w:color w:val="auto"/>
                <w:sz w:val="22"/>
              </w:rPr>
              <w:t xml:space="preserve"> significant positive effects </w:t>
            </w:r>
            <w:r>
              <w:rPr>
                <w:color w:val="auto"/>
                <w:sz w:val="22"/>
              </w:rPr>
              <w:t xml:space="preserve">on drug use </w:t>
            </w:r>
            <w:r w:rsidRPr="001D0827">
              <w:rPr>
                <w:color w:val="auto"/>
                <w:sz w:val="22"/>
                <w:vertAlign w:val="superscript"/>
              </w:rPr>
              <w:t>[</w:t>
            </w:r>
            <w:r>
              <w:rPr>
                <w:color w:val="auto"/>
                <w:sz w:val="22"/>
                <w:vertAlign w:val="superscript"/>
              </w:rPr>
              <w:t>A</w:t>
            </w:r>
            <w:r w:rsidRPr="001D0827">
              <w:rPr>
                <w:color w:val="auto"/>
                <w:sz w:val="22"/>
                <w:vertAlign w:val="superscript"/>
              </w:rPr>
              <w:t>][</w:t>
            </w:r>
            <w:r>
              <w:rPr>
                <w:color w:val="auto"/>
                <w:sz w:val="22"/>
                <w:vertAlign w:val="superscript"/>
              </w:rPr>
              <w:t>B</w:t>
            </w:r>
            <w:r w:rsidRPr="001D0827">
              <w:rPr>
                <w:color w:val="auto"/>
                <w:sz w:val="22"/>
                <w:vertAlign w:val="superscript"/>
              </w:rPr>
              <w:t>]</w:t>
            </w:r>
            <w:r>
              <w:rPr>
                <w:color w:val="auto"/>
                <w:sz w:val="22"/>
                <w:vertAlign w:val="superscript"/>
              </w:rPr>
              <w:t>[C]</w:t>
            </w:r>
            <w:r w:rsidRPr="001D0827">
              <w:rPr>
                <w:color w:val="auto"/>
                <w:sz w:val="22"/>
              </w:rPr>
              <w:t xml:space="preserve"> </w:t>
            </w:r>
            <w:r>
              <w:rPr>
                <w:color w:val="auto"/>
                <w:sz w:val="22"/>
              </w:rPr>
              <w:t xml:space="preserve">and </w:t>
            </w:r>
            <w:r w:rsidRPr="003F76C9">
              <w:rPr>
                <w:color w:val="auto"/>
                <w:sz w:val="22"/>
              </w:rPr>
              <w:t xml:space="preserve">intentions to use drugs </w:t>
            </w:r>
            <w:r w:rsidRPr="003F76C9">
              <w:rPr>
                <w:color w:val="auto"/>
                <w:sz w:val="22"/>
                <w:vertAlign w:val="superscript"/>
              </w:rPr>
              <w:t>[</w:t>
            </w:r>
            <w:r>
              <w:rPr>
                <w:color w:val="auto"/>
                <w:sz w:val="22"/>
                <w:vertAlign w:val="superscript"/>
              </w:rPr>
              <w:t>D</w:t>
            </w:r>
            <w:r w:rsidRPr="003F76C9">
              <w:rPr>
                <w:color w:val="auto"/>
                <w:sz w:val="22"/>
                <w:vertAlign w:val="superscript"/>
              </w:rPr>
              <w:t>]</w:t>
            </w:r>
            <w:r>
              <w:rPr>
                <w:color w:val="auto"/>
                <w:sz w:val="22"/>
              </w:rPr>
              <w:t>. Positive effects are associated with:</w:t>
            </w:r>
          </w:p>
          <w:p w14:paraId="6308CF56" w14:textId="77777777" w:rsidR="007B6EA9" w:rsidRPr="00AF7BD0" w:rsidRDefault="007B6EA9" w:rsidP="00C92BD2">
            <w:pPr>
              <w:pStyle w:val="Notesstructure"/>
              <w:numPr>
                <w:ilvl w:val="1"/>
                <w:numId w:val="5"/>
              </w:numPr>
              <w:spacing w:line="360" w:lineRule="auto"/>
              <w:rPr>
                <w:color w:val="auto"/>
                <w:sz w:val="22"/>
              </w:rPr>
            </w:pPr>
            <w:r>
              <w:rPr>
                <w:color w:val="auto"/>
                <w:sz w:val="22"/>
              </w:rPr>
              <w:t>D</w:t>
            </w:r>
            <w:r w:rsidRPr="00AF7BD0">
              <w:rPr>
                <w:color w:val="auto"/>
                <w:sz w:val="22"/>
              </w:rPr>
              <w:t xml:space="preserve">rug refusal skills </w:t>
            </w:r>
            <w:r w:rsidRPr="00AF7BD0">
              <w:rPr>
                <w:color w:val="auto"/>
                <w:sz w:val="22"/>
                <w:vertAlign w:val="superscript"/>
              </w:rPr>
              <w:t>[</w:t>
            </w:r>
            <w:r>
              <w:rPr>
                <w:color w:val="auto"/>
                <w:sz w:val="22"/>
                <w:vertAlign w:val="superscript"/>
              </w:rPr>
              <w:t>A</w:t>
            </w:r>
            <w:r w:rsidRPr="00AF7BD0">
              <w:rPr>
                <w:color w:val="auto"/>
                <w:sz w:val="22"/>
                <w:vertAlign w:val="superscript"/>
              </w:rPr>
              <w:t>]</w:t>
            </w:r>
            <w:r>
              <w:rPr>
                <w:color w:val="auto"/>
                <w:sz w:val="22"/>
                <w:vertAlign w:val="superscript"/>
              </w:rPr>
              <w:t>[C]</w:t>
            </w:r>
            <w:r w:rsidRPr="007C2989">
              <w:rPr>
                <w:color w:val="auto"/>
                <w:sz w:val="22"/>
                <w:vertAlign w:val="superscript"/>
              </w:rPr>
              <w:t>[</w:t>
            </w:r>
            <w:r>
              <w:rPr>
                <w:color w:val="auto"/>
                <w:sz w:val="22"/>
                <w:vertAlign w:val="superscript"/>
              </w:rPr>
              <w:t>D</w:t>
            </w:r>
            <w:r w:rsidRPr="007C2989">
              <w:rPr>
                <w:color w:val="auto"/>
                <w:sz w:val="22"/>
                <w:vertAlign w:val="superscript"/>
              </w:rPr>
              <w:t>]</w:t>
            </w:r>
            <w:r>
              <w:rPr>
                <w:color w:val="auto"/>
                <w:sz w:val="22"/>
                <w:vertAlign w:val="superscript"/>
              </w:rPr>
              <w:t>[E]</w:t>
            </w:r>
          </w:p>
          <w:p w14:paraId="64070C54" w14:textId="77777777" w:rsidR="007B6EA9" w:rsidRPr="00E9084F" w:rsidRDefault="007B6EA9" w:rsidP="00C92BD2">
            <w:pPr>
              <w:pStyle w:val="Notesstructure"/>
              <w:numPr>
                <w:ilvl w:val="1"/>
                <w:numId w:val="5"/>
              </w:numPr>
              <w:spacing w:line="360" w:lineRule="auto"/>
              <w:rPr>
                <w:color w:val="auto"/>
                <w:sz w:val="22"/>
              </w:rPr>
            </w:pPr>
            <w:r>
              <w:rPr>
                <w:color w:val="auto"/>
                <w:sz w:val="22"/>
              </w:rPr>
              <w:t>C</w:t>
            </w:r>
            <w:r w:rsidRPr="001D0827">
              <w:rPr>
                <w:color w:val="auto"/>
                <w:sz w:val="22"/>
              </w:rPr>
              <w:t>ombin</w:t>
            </w:r>
            <w:r>
              <w:rPr>
                <w:color w:val="auto"/>
                <w:sz w:val="22"/>
              </w:rPr>
              <w:t>ation</w:t>
            </w:r>
            <w:r w:rsidRPr="001D0827">
              <w:rPr>
                <w:color w:val="auto"/>
                <w:sz w:val="22"/>
              </w:rPr>
              <w:t xml:space="preserve"> with social competence approaches </w:t>
            </w:r>
            <w:r w:rsidRPr="001D0827">
              <w:rPr>
                <w:color w:val="auto"/>
                <w:sz w:val="22"/>
                <w:vertAlign w:val="superscript"/>
              </w:rPr>
              <w:t>[</w:t>
            </w:r>
            <w:r>
              <w:rPr>
                <w:color w:val="auto"/>
                <w:sz w:val="22"/>
                <w:vertAlign w:val="superscript"/>
              </w:rPr>
              <w:t>A]</w:t>
            </w:r>
            <w:r w:rsidRPr="003F76C9">
              <w:rPr>
                <w:color w:val="auto"/>
                <w:sz w:val="22"/>
                <w:vertAlign w:val="superscript"/>
              </w:rPr>
              <w:t>[</w:t>
            </w:r>
            <w:r>
              <w:rPr>
                <w:color w:val="auto"/>
                <w:sz w:val="22"/>
                <w:vertAlign w:val="superscript"/>
              </w:rPr>
              <w:t>C</w:t>
            </w:r>
            <w:r w:rsidRPr="003F76C9">
              <w:rPr>
                <w:color w:val="auto"/>
                <w:sz w:val="22"/>
                <w:vertAlign w:val="superscript"/>
              </w:rPr>
              <w:t>]</w:t>
            </w:r>
            <w:r>
              <w:rPr>
                <w:color w:val="auto"/>
                <w:sz w:val="22"/>
                <w:vertAlign w:val="superscript"/>
              </w:rPr>
              <w:t>[E]</w:t>
            </w:r>
          </w:p>
          <w:p w14:paraId="7D70D68B" w14:textId="77777777" w:rsidR="007B6EA9" w:rsidRDefault="007B6EA9" w:rsidP="00C92BD2">
            <w:pPr>
              <w:pStyle w:val="Notesstructure"/>
              <w:numPr>
                <w:ilvl w:val="1"/>
                <w:numId w:val="5"/>
              </w:numPr>
              <w:spacing w:line="360" w:lineRule="auto"/>
              <w:rPr>
                <w:color w:val="auto"/>
                <w:sz w:val="22"/>
              </w:rPr>
            </w:pPr>
            <w:r>
              <w:rPr>
                <w:color w:val="auto"/>
                <w:sz w:val="22"/>
              </w:rPr>
              <w:t>I</w:t>
            </w:r>
            <w:r w:rsidRPr="001D0827">
              <w:rPr>
                <w:color w:val="auto"/>
                <w:sz w:val="22"/>
              </w:rPr>
              <w:t>nteractive approach</w:t>
            </w:r>
            <w:r>
              <w:rPr>
                <w:color w:val="auto"/>
                <w:sz w:val="22"/>
              </w:rPr>
              <w:t>es</w:t>
            </w:r>
            <w:r w:rsidRPr="001D0827">
              <w:rPr>
                <w:color w:val="auto"/>
                <w:sz w:val="22"/>
              </w:rPr>
              <w:t xml:space="preserve"> </w:t>
            </w:r>
            <w:r w:rsidRPr="001D0827">
              <w:rPr>
                <w:color w:val="auto"/>
                <w:sz w:val="22"/>
                <w:vertAlign w:val="superscript"/>
              </w:rPr>
              <w:t>[</w:t>
            </w:r>
            <w:r>
              <w:rPr>
                <w:color w:val="auto"/>
                <w:sz w:val="22"/>
                <w:vertAlign w:val="superscript"/>
              </w:rPr>
              <w:t>A</w:t>
            </w:r>
            <w:r w:rsidRPr="001D0827">
              <w:rPr>
                <w:color w:val="auto"/>
                <w:sz w:val="22"/>
                <w:vertAlign w:val="superscript"/>
              </w:rPr>
              <w:t>]</w:t>
            </w:r>
            <w:r>
              <w:rPr>
                <w:color w:val="auto"/>
                <w:sz w:val="22"/>
                <w:vertAlign w:val="superscript"/>
              </w:rPr>
              <w:t>[C][E]</w:t>
            </w:r>
          </w:p>
          <w:p w14:paraId="6CE37F24" w14:textId="77777777" w:rsidR="007B6EA9" w:rsidRDefault="007B6EA9" w:rsidP="00C92BD2">
            <w:pPr>
              <w:pStyle w:val="Notesstructure"/>
              <w:numPr>
                <w:ilvl w:val="1"/>
                <w:numId w:val="5"/>
              </w:numPr>
              <w:spacing w:line="360" w:lineRule="auto"/>
              <w:rPr>
                <w:color w:val="auto"/>
                <w:sz w:val="22"/>
              </w:rPr>
            </w:pPr>
            <w:r>
              <w:rPr>
                <w:color w:val="auto"/>
                <w:sz w:val="22"/>
              </w:rPr>
              <w:t>S</w:t>
            </w:r>
            <w:r w:rsidRPr="001D0827">
              <w:rPr>
                <w:color w:val="auto"/>
                <w:sz w:val="22"/>
              </w:rPr>
              <w:t xml:space="preserve">chools-based programmes </w:t>
            </w:r>
            <w:r w:rsidRPr="001D0827">
              <w:rPr>
                <w:color w:val="auto"/>
                <w:sz w:val="22"/>
                <w:vertAlign w:val="superscript"/>
              </w:rPr>
              <w:t>[</w:t>
            </w:r>
            <w:r>
              <w:rPr>
                <w:color w:val="auto"/>
                <w:sz w:val="22"/>
                <w:vertAlign w:val="superscript"/>
              </w:rPr>
              <w:t>A</w:t>
            </w:r>
            <w:r w:rsidRPr="001D0827">
              <w:rPr>
                <w:color w:val="auto"/>
                <w:sz w:val="22"/>
                <w:vertAlign w:val="superscript"/>
              </w:rPr>
              <w:t>]</w:t>
            </w:r>
            <w:r>
              <w:rPr>
                <w:color w:val="auto"/>
                <w:sz w:val="22"/>
                <w:vertAlign w:val="superscript"/>
              </w:rPr>
              <w:t>[C][E]</w:t>
            </w:r>
          </w:p>
          <w:p w14:paraId="6E91709A" w14:textId="77777777" w:rsidR="007B6EA9" w:rsidRPr="00197206" w:rsidRDefault="007B6EA9" w:rsidP="00C92BD2">
            <w:pPr>
              <w:pStyle w:val="Notesstructure"/>
              <w:numPr>
                <w:ilvl w:val="1"/>
                <w:numId w:val="5"/>
              </w:numPr>
              <w:spacing w:line="360" w:lineRule="auto"/>
              <w:rPr>
                <w:color w:val="auto"/>
                <w:sz w:val="22"/>
              </w:rPr>
            </w:pPr>
            <w:r>
              <w:rPr>
                <w:color w:val="auto"/>
                <w:sz w:val="22"/>
              </w:rPr>
              <w:t>U</w:t>
            </w:r>
            <w:r w:rsidRPr="001D0827">
              <w:rPr>
                <w:color w:val="auto"/>
                <w:sz w:val="22"/>
              </w:rPr>
              <w:t>s</w:t>
            </w:r>
            <w:r>
              <w:rPr>
                <w:color w:val="auto"/>
                <w:sz w:val="22"/>
              </w:rPr>
              <w:t>e of</w:t>
            </w:r>
            <w:r w:rsidRPr="001D0827">
              <w:rPr>
                <w:color w:val="auto"/>
                <w:sz w:val="22"/>
              </w:rPr>
              <w:t xml:space="preserve"> peer educators </w:t>
            </w:r>
            <w:r w:rsidRPr="001D0827">
              <w:rPr>
                <w:color w:val="auto"/>
                <w:sz w:val="22"/>
                <w:vertAlign w:val="superscript"/>
              </w:rPr>
              <w:t>[</w:t>
            </w:r>
            <w:r>
              <w:rPr>
                <w:color w:val="auto"/>
                <w:sz w:val="22"/>
                <w:vertAlign w:val="superscript"/>
              </w:rPr>
              <w:t>A</w:t>
            </w:r>
            <w:r w:rsidRPr="001D0827">
              <w:rPr>
                <w:color w:val="auto"/>
                <w:sz w:val="22"/>
                <w:vertAlign w:val="superscript"/>
              </w:rPr>
              <w:t>]</w:t>
            </w:r>
            <w:r>
              <w:rPr>
                <w:color w:val="auto"/>
                <w:sz w:val="22"/>
                <w:vertAlign w:val="superscript"/>
              </w:rPr>
              <w:t>[C][E]</w:t>
            </w:r>
          </w:p>
          <w:p w14:paraId="5C99ACC5" w14:textId="77777777" w:rsidR="007B6EA9" w:rsidRPr="005A1588" w:rsidRDefault="007B6EA9" w:rsidP="00C92BD2">
            <w:pPr>
              <w:pStyle w:val="Notesstructure"/>
              <w:numPr>
                <w:ilvl w:val="0"/>
                <w:numId w:val="5"/>
              </w:numPr>
              <w:spacing w:line="360" w:lineRule="auto"/>
              <w:rPr>
                <w:color w:val="auto"/>
                <w:sz w:val="22"/>
              </w:rPr>
            </w:pPr>
            <w:r w:rsidRPr="00197206">
              <w:rPr>
                <w:color w:val="auto"/>
                <w:sz w:val="22"/>
              </w:rPr>
              <w:t>Normative approaches have been found to be more effective than resistance skill training</w:t>
            </w:r>
            <w:r>
              <w:rPr>
                <w:color w:val="auto"/>
                <w:sz w:val="22"/>
                <w:vertAlign w:val="superscript"/>
              </w:rPr>
              <w:t xml:space="preserve"> </w:t>
            </w:r>
            <w:r w:rsidRPr="00B71F3E">
              <w:rPr>
                <w:color w:val="auto"/>
                <w:sz w:val="22"/>
              </w:rPr>
              <w:t>and</w:t>
            </w:r>
            <w:r>
              <w:rPr>
                <w:color w:val="auto"/>
                <w:sz w:val="22"/>
                <w:vertAlign w:val="superscript"/>
              </w:rPr>
              <w:t xml:space="preserve"> </w:t>
            </w:r>
            <w:r>
              <w:rPr>
                <w:color w:val="auto"/>
                <w:sz w:val="22"/>
              </w:rPr>
              <w:t xml:space="preserve">personal skills training </w:t>
            </w:r>
            <w:r w:rsidRPr="00B71F3E">
              <w:rPr>
                <w:color w:val="auto"/>
                <w:sz w:val="22"/>
                <w:vertAlign w:val="superscript"/>
              </w:rPr>
              <w:t>[C]</w:t>
            </w:r>
          </w:p>
          <w:p w14:paraId="0E85DFE8" w14:textId="77777777" w:rsidR="007B6EA9" w:rsidRPr="005A1588" w:rsidRDefault="007B6EA9" w:rsidP="00C92BD2">
            <w:pPr>
              <w:pStyle w:val="Notesstructure"/>
              <w:numPr>
                <w:ilvl w:val="0"/>
                <w:numId w:val="5"/>
              </w:numPr>
              <w:spacing w:line="360" w:lineRule="auto"/>
              <w:rPr>
                <w:color w:val="auto"/>
                <w:sz w:val="22"/>
              </w:rPr>
            </w:pPr>
            <w:r>
              <w:rPr>
                <w:color w:val="auto"/>
                <w:sz w:val="22"/>
              </w:rPr>
              <w:t xml:space="preserve">Approaches focusing on interpersonal communication skills have shown </w:t>
            </w:r>
            <w:r w:rsidRPr="003F76C9">
              <w:rPr>
                <w:color w:val="auto"/>
                <w:sz w:val="22"/>
              </w:rPr>
              <w:t>evidence of positive effects</w:t>
            </w:r>
            <w:r>
              <w:rPr>
                <w:color w:val="auto"/>
                <w:sz w:val="22"/>
              </w:rPr>
              <w:t xml:space="preserve"> in several studies </w:t>
            </w:r>
            <w:r w:rsidRPr="003F76C9">
              <w:rPr>
                <w:color w:val="auto"/>
                <w:sz w:val="22"/>
                <w:vertAlign w:val="superscript"/>
              </w:rPr>
              <w:t>[</w:t>
            </w:r>
            <w:r>
              <w:rPr>
                <w:color w:val="auto"/>
                <w:sz w:val="22"/>
                <w:vertAlign w:val="superscript"/>
              </w:rPr>
              <w:t>B</w:t>
            </w:r>
            <w:r w:rsidRPr="003F76C9">
              <w:rPr>
                <w:color w:val="auto"/>
                <w:sz w:val="22"/>
                <w:vertAlign w:val="superscript"/>
              </w:rPr>
              <w:t>]</w:t>
            </w:r>
            <w:r>
              <w:rPr>
                <w:color w:val="auto"/>
                <w:sz w:val="22"/>
                <w:vertAlign w:val="superscript"/>
              </w:rPr>
              <w:t>[C][D]</w:t>
            </w:r>
          </w:p>
          <w:p w14:paraId="40EB6EB2" w14:textId="77777777" w:rsidR="007B6EA9" w:rsidRPr="001D0827" w:rsidRDefault="007B6EA9" w:rsidP="007B6EA9">
            <w:pPr>
              <w:pStyle w:val="Notesstructure"/>
              <w:rPr>
                <w:color w:val="auto"/>
                <w:sz w:val="22"/>
              </w:rPr>
            </w:pPr>
            <w:r w:rsidRPr="001D0827">
              <w:rPr>
                <w:b/>
                <w:color w:val="auto"/>
                <w:sz w:val="22"/>
              </w:rPr>
              <w:t>Ineffective:</w:t>
            </w:r>
          </w:p>
          <w:p w14:paraId="23026AF9" w14:textId="77777777" w:rsidR="007B6EA9" w:rsidRPr="00783116" w:rsidRDefault="007B6EA9" w:rsidP="00C92BD2">
            <w:pPr>
              <w:pStyle w:val="Notesstructure"/>
              <w:numPr>
                <w:ilvl w:val="0"/>
                <w:numId w:val="5"/>
              </w:numPr>
              <w:spacing w:line="360" w:lineRule="auto"/>
              <w:ind w:left="714" w:hanging="357"/>
              <w:rPr>
                <w:color w:val="auto"/>
                <w:sz w:val="22"/>
              </w:rPr>
            </w:pPr>
            <w:r>
              <w:rPr>
                <w:color w:val="auto"/>
                <w:sz w:val="22"/>
              </w:rPr>
              <w:t>Some s</w:t>
            </w:r>
            <w:r w:rsidRPr="001D0827">
              <w:rPr>
                <w:color w:val="auto"/>
                <w:sz w:val="22"/>
              </w:rPr>
              <w:t>ocial influence</w:t>
            </w:r>
            <w:r>
              <w:rPr>
                <w:color w:val="auto"/>
                <w:sz w:val="22"/>
              </w:rPr>
              <w:t xml:space="preserve"> programmes show inconsistent or </w:t>
            </w:r>
            <w:r w:rsidRPr="001D0827">
              <w:rPr>
                <w:color w:val="auto"/>
                <w:sz w:val="22"/>
              </w:rPr>
              <w:t>no effects</w:t>
            </w:r>
            <w:r>
              <w:rPr>
                <w:color w:val="auto"/>
                <w:sz w:val="22"/>
              </w:rPr>
              <w:t xml:space="preserve"> on drug use</w:t>
            </w:r>
            <w:r w:rsidRPr="001D0827">
              <w:rPr>
                <w:color w:val="auto"/>
                <w:sz w:val="22"/>
              </w:rPr>
              <w:t xml:space="preserve"> </w:t>
            </w:r>
            <w:r w:rsidRPr="001D0827">
              <w:rPr>
                <w:color w:val="auto"/>
                <w:sz w:val="22"/>
                <w:vertAlign w:val="superscript"/>
              </w:rPr>
              <w:t>[</w:t>
            </w:r>
            <w:r>
              <w:rPr>
                <w:color w:val="auto"/>
                <w:sz w:val="22"/>
                <w:vertAlign w:val="superscript"/>
              </w:rPr>
              <w:t>D</w:t>
            </w:r>
            <w:r w:rsidRPr="001D0827">
              <w:rPr>
                <w:color w:val="auto"/>
                <w:sz w:val="22"/>
                <w:vertAlign w:val="superscript"/>
              </w:rPr>
              <w:t>]</w:t>
            </w:r>
            <w:r>
              <w:rPr>
                <w:color w:val="auto"/>
                <w:sz w:val="22"/>
                <w:vertAlign w:val="superscript"/>
              </w:rPr>
              <w:t>[E]</w:t>
            </w:r>
          </w:p>
          <w:p w14:paraId="2ECE90CC" w14:textId="77777777" w:rsidR="007B6EA9" w:rsidRPr="00783116" w:rsidRDefault="007B6EA9" w:rsidP="00C92BD2">
            <w:pPr>
              <w:pStyle w:val="Notesstructure"/>
              <w:numPr>
                <w:ilvl w:val="0"/>
                <w:numId w:val="5"/>
              </w:numPr>
              <w:spacing w:line="360" w:lineRule="auto"/>
              <w:rPr>
                <w:color w:val="auto"/>
                <w:sz w:val="22"/>
              </w:rPr>
            </w:pPr>
            <w:r>
              <w:rPr>
                <w:color w:val="auto"/>
                <w:sz w:val="22"/>
              </w:rPr>
              <w:t>T</w:t>
            </w:r>
            <w:r w:rsidRPr="003F76C9">
              <w:rPr>
                <w:color w:val="auto"/>
                <w:sz w:val="22"/>
              </w:rPr>
              <w:t>eaching</w:t>
            </w:r>
            <w:r>
              <w:rPr>
                <w:color w:val="auto"/>
                <w:sz w:val="22"/>
              </w:rPr>
              <w:t xml:space="preserve"> drug</w:t>
            </w:r>
            <w:r w:rsidRPr="003F76C9">
              <w:rPr>
                <w:color w:val="auto"/>
                <w:sz w:val="22"/>
              </w:rPr>
              <w:t xml:space="preserve"> refusal skills</w:t>
            </w:r>
            <w:r>
              <w:rPr>
                <w:color w:val="auto"/>
                <w:sz w:val="22"/>
              </w:rPr>
              <w:t xml:space="preserve"> can be ineffective</w:t>
            </w:r>
            <w:r w:rsidRPr="003F76C9">
              <w:rPr>
                <w:color w:val="auto"/>
                <w:sz w:val="22"/>
              </w:rPr>
              <w:t xml:space="preserve"> </w:t>
            </w:r>
            <w:r w:rsidRPr="003F76C9">
              <w:rPr>
                <w:color w:val="auto"/>
                <w:sz w:val="22"/>
                <w:vertAlign w:val="superscript"/>
              </w:rPr>
              <w:t>[</w:t>
            </w:r>
            <w:r>
              <w:rPr>
                <w:color w:val="auto"/>
                <w:sz w:val="22"/>
                <w:vertAlign w:val="superscript"/>
              </w:rPr>
              <w:t>B</w:t>
            </w:r>
            <w:r w:rsidRPr="003F76C9">
              <w:rPr>
                <w:color w:val="auto"/>
                <w:sz w:val="22"/>
                <w:vertAlign w:val="superscript"/>
              </w:rPr>
              <w:t>]</w:t>
            </w:r>
          </w:p>
          <w:p w14:paraId="4595C0BE" w14:textId="77777777" w:rsidR="007B6EA9" w:rsidRPr="001D0827" w:rsidRDefault="007B6EA9" w:rsidP="007B6EA9">
            <w:pPr>
              <w:pStyle w:val="Notesstructure"/>
              <w:rPr>
                <w:color w:val="auto"/>
                <w:sz w:val="22"/>
              </w:rPr>
            </w:pPr>
            <w:r w:rsidRPr="001D0827">
              <w:rPr>
                <w:b/>
                <w:color w:val="auto"/>
                <w:sz w:val="22"/>
              </w:rPr>
              <w:t>Harmful:</w:t>
            </w:r>
          </w:p>
          <w:p w14:paraId="1D1022AD" w14:textId="501C6E06" w:rsidR="007B6EA9" w:rsidRPr="003D6ED9" w:rsidRDefault="007B6EA9" w:rsidP="00C92BD2">
            <w:pPr>
              <w:pStyle w:val="Notesstructure"/>
              <w:numPr>
                <w:ilvl w:val="0"/>
                <w:numId w:val="6"/>
              </w:numPr>
              <w:spacing w:line="360" w:lineRule="auto"/>
              <w:ind w:left="714" w:hanging="357"/>
              <w:rPr>
                <w:color w:val="auto"/>
                <w:sz w:val="22"/>
              </w:rPr>
            </w:pPr>
            <w:r>
              <w:rPr>
                <w:color w:val="auto"/>
                <w:sz w:val="22"/>
              </w:rPr>
              <w:t>S</w:t>
            </w:r>
            <w:r w:rsidRPr="001D0827">
              <w:rPr>
                <w:color w:val="auto"/>
                <w:sz w:val="22"/>
              </w:rPr>
              <w:t xml:space="preserve">ome </w:t>
            </w:r>
            <w:r>
              <w:rPr>
                <w:color w:val="auto"/>
                <w:sz w:val="22"/>
              </w:rPr>
              <w:t>s</w:t>
            </w:r>
            <w:r w:rsidRPr="001D0827">
              <w:rPr>
                <w:color w:val="auto"/>
                <w:sz w:val="22"/>
              </w:rPr>
              <w:t>ocial influence</w:t>
            </w:r>
            <w:r>
              <w:rPr>
                <w:color w:val="auto"/>
                <w:sz w:val="22"/>
              </w:rPr>
              <w:t xml:space="preserve"> </w:t>
            </w:r>
            <w:r w:rsidR="00747168">
              <w:rPr>
                <w:color w:val="auto"/>
                <w:sz w:val="22"/>
              </w:rPr>
              <w:t>interventions</w:t>
            </w:r>
            <w:r w:rsidRPr="001D0827">
              <w:rPr>
                <w:color w:val="auto"/>
                <w:sz w:val="22"/>
              </w:rPr>
              <w:t xml:space="preserve"> </w:t>
            </w:r>
            <w:r>
              <w:rPr>
                <w:color w:val="auto"/>
                <w:sz w:val="22"/>
              </w:rPr>
              <w:t xml:space="preserve">have </w:t>
            </w:r>
            <w:r w:rsidR="00747168">
              <w:rPr>
                <w:color w:val="auto"/>
                <w:sz w:val="22"/>
              </w:rPr>
              <w:t>shown</w:t>
            </w:r>
            <w:r w:rsidRPr="001D0827">
              <w:rPr>
                <w:color w:val="auto"/>
                <w:sz w:val="22"/>
              </w:rPr>
              <w:t xml:space="preserve"> counterproductive effects </w:t>
            </w:r>
            <w:r>
              <w:rPr>
                <w:color w:val="auto"/>
                <w:sz w:val="22"/>
              </w:rPr>
              <w:t xml:space="preserve">with high risk groups </w:t>
            </w:r>
            <w:r w:rsidRPr="001D0827">
              <w:rPr>
                <w:color w:val="auto"/>
                <w:sz w:val="22"/>
                <w:vertAlign w:val="superscript"/>
              </w:rPr>
              <w:t>[</w:t>
            </w:r>
            <w:r>
              <w:rPr>
                <w:color w:val="auto"/>
                <w:sz w:val="22"/>
                <w:vertAlign w:val="superscript"/>
              </w:rPr>
              <w:t>E</w:t>
            </w:r>
            <w:r w:rsidRPr="001D0827">
              <w:rPr>
                <w:color w:val="auto"/>
                <w:sz w:val="22"/>
                <w:vertAlign w:val="superscript"/>
              </w:rPr>
              <w:t>]</w:t>
            </w:r>
          </w:p>
        </w:tc>
        <w:tc>
          <w:tcPr>
            <w:tcW w:w="3969" w:type="dxa"/>
            <w:tcBorders>
              <w:top w:val="single" w:sz="4" w:space="0" w:color="auto"/>
              <w:left w:val="nil"/>
              <w:bottom w:val="nil"/>
              <w:right w:val="nil"/>
            </w:tcBorders>
          </w:tcPr>
          <w:p w14:paraId="0F0EFEAC" w14:textId="77777777" w:rsidR="007B6EA9" w:rsidRPr="001F7D98" w:rsidRDefault="007B6EA9" w:rsidP="007B6EA9">
            <w:pPr>
              <w:pStyle w:val="Notesstructure"/>
              <w:rPr>
                <w:b/>
                <w:color w:val="auto"/>
                <w:sz w:val="22"/>
              </w:rPr>
            </w:pPr>
            <w:r w:rsidRPr="001F7D98">
              <w:rPr>
                <w:b/>
                <w:color w:val="auto"/>
                <w:sz w:val="22"/>
              </w:rPr>
              <w:t>Recommended:</w:t>
            </w:r>
          </w:p>
          <w:p w14:paraId="4D4CCC53" w14:textId="77777777" w:rsidR="007B6EA9" w:rsidRPr="00A04632" w:rsidRDefault="007B6EA9" w:rsidP="00C92BD2">
            <w:pPr>
              <w:pStyle w:val="Notesstructure"/>
              <w:numPr>
                <w:ilvl w:val="0"/>
                <w:numId w:val="14"/>
              </w:numPr>
              <w:spacing w:line="360" w:lineRule="auto"/>
              <w:rPr>
                <w:color w:val="auto"/>
                <w:sz w:val="22"/>
                <w:szCs w:val="22"/>
              </w:rPr>
            </w:pPr>
            <w:r>
              <w:rPr>
                <w:color w:val="auto"/>
                <w:sz w:val="22"/>
                <w:szCs w:val="22"/>
              </w:rPr>
              <w:t>Mentor-ADEPIS</w:t>
            </w:r>
            <w:r w:rsidRPr="00C11D82">
              <w:rPr>
                <w:color w:val="auto"/>
                <w:sz w:val="22"/>
                <w:szCs w:val="22"/>
              </w:rPr>
              <w:t xml:space="preserve"> </w:t>
            </w:r>
            <w:r w:rsidRPr="00A04632">
              <w:rPr>
                <w:color w:val="auto"/>
                <w:sz w:val="22"/>
              </w:rPr>
              <w:t>recommend the use of combined skills approaches which include</w:t>
            </w:r>
            <w:r>
              <w:rPr>
                <w:color w:val="auto"/>
                <w:sz w:val="22"/>
              </w:rPr>
              <w:t xml:space="preserve"> social skills or</w:t>
            </w:r>
            <w:r w:rsidRPr="00A04632">
              <w:rPr>
                <w:color w:val="auto"/>
                <w:sz w:val="22"/>
              </w:rPr>
              <w:t xml:space="preserve"> resistance skills</w:t>
            </w:r>
          </w:p>
          <w:p w14:paraId="16475CB4" w14:textId="77777777" w:rsidR="007B6EA9" w:rsidRPr="00A04632" w:rsidRDefault="007B6EA9" w:rsidP="00C92BD2">
            <w:pPr>
              <w:pStyle w:val="Notesstructure"/>
              <w:numPr>
                <w:ilvl w:val="0"/>
                <w:numId w:val="14"/>
              </w:numPr>
              <w:spacing w:line="360" w:lineRule="auto"/>
              <w:rPr>
                <w:color w:val="auto"/>
                <w:sz w:val="22"/>
                <w:szCs w:val="22"/>
              </w:rPr>
            </w:pPr>
            <w:r w:rsidRPr="00A04632">
              <w:rPr>
                <w:color w:val="auto"/>
                <w:sz w:val="22"/>
              </w:rPr>
              <w:t>NICE recommend social skills-based initiatives should be linked to whole school approaches.</w:t>
            </w:r>
          </w:p>
          <w:p w14:paraId="4ABC22FB" w14:textId="77777777" w:rsidR="007B6EA9" w:rsidRPr="00A04632" w:rsidRDefault="007B6EA9" w:rsidP="00C92BD2">
            <w:pPr>
              <w:pStyle w:val="Notesstructure"/>
              <w:numPr>
                <w:ilvl w:val="0"/>
                <w:numId w:val="14"/>
              </w:numPr>
              <w:spacing w:line="360" w:lineRule="auto"/>
              <w:rPr>
                <w:color w:val="auto"/>
                <w:sz w:val="22"/>
                <w:szCs w:val="22"/>
              </w:rPr>
            </w:pPr>
            <w:r w:rsidRPr="00A04632">
              <w:rPr>
                <w:color w:val="auto"/>
                <w:sz w:val="22"/>
              </w:rPr>
              <w:t>UNDOC/WHO recommend the use of social norms approaches</w:t>
            </w:r>
          </w:p>
          <w:p w14:paraId="2E96DCDD" w14:textId="77777777" w:rsidR="007B6EA9" w:rsidRPr="00FE3035" w:rsidRDefault="007B6EA9" w:rsidP="00C92BD2">
            <w:pPr>
              <w:pStyle w:val="Notesstructure"/>
              <w:numPr>
                <w:ilvl w:val="0"/>
                <w:numId w:val="14"/>
              </w:numPr>
              <w:spacing w:line="360" w:lineRule="auto"/>
              <w:rPr>
                <w:color w:val="auto"/>
                <w:sz w:val="22"/>
                <w:szCs w:val="22"/>
              </w:rPr>
            </w:pPr>
            <w:r w:rsidRPr="00A04632">
              <w:rPr>
                <w:color w:val="auto"/>
                <w:sz w:val="22"/>
              </w:rPr>
              <w:t>UNDOC/WHO recommend the use of combined skills approaches which include resistance skills</w:t>
            </w:r>
          </w:p>
          <w:p w14:paraId="6CA3D06A" w14:textId="77777777" w:rsidR="007B6EA9" w:rsidRPr="00B12F76" w:rsidRDefault="007B6EA9" w:rsidP="007B6EA9">
            <w:pPr>
              <w:pStyle w:val="Notesstructure"/>
              <w:rPr>
                <w:b/>
                <w:color w:val="auto"/>
                <w:sz w:val="22"/>
              </w:rPr>
            </w:pPr>
            <w:r w:rsidRPr="00B12F76">
              <w:rPr>
                <w:b/>
                <w:color w:val="auto"/>
                <w:sz w:val="22"/>
              </w:rPr>
              <w:t>Not recommended:</w:t>
            </w:r>
          </w:p>
          <w:p w14:paraId="637F734F" w14:textId="77777777" w:rsidR="007B6EA9" w:rsidRPr="00FE3035" w:rsidRDefault="007B6EA9" w:rsidP="00C92BD2">
            <w:pPr>
              <w:pStyle w:val="Notesstructure"/>
              <w:numPr>
                <w:ilvl w:val="0"/>
                <w:numId w:val="14"/>
              </w:numPr>
              <w:spacing w:line="360" w:lineRule="auto"/>
              <w:rPr>
                <w:color w:val="auto"/>
                <w:sz w:val="22"/>
              </w:rPr>
            </w:pPr>
            <w:r w:rsidRPr="003F76C9">
              <w:rPr>
                <w:color w:val="auto"/>
                <w:sz w:val="22"/>
              </w:rPr>
              <w:t xml:space="preserve">NICE </w:t>
            </w:r>
            <w:r>
              <w:rPr>
                <w:color w:val="auto"/>
                <w:sz w:val="22"/>
              </w:rPr>
              <w:t>do not recommend the use of</w:t>
            </w:r>
            <w:r w:rsidRPr="003F76C9">
              <w:rPr>
                <w:color w:val="auto"/>
                <w:sz w:val="22"/>
              </w:rPr>
              <w:t xml:space="preserve"> </w:t>
            </w:r>
            <w:r>
              <w:rPr>
                <w:color w:val="auto"/>
                <w:sz w:val="22"/>
              </w:rPr>
              <w:t>skill-</w:t>
            </w:r>
            <w:r w:rsidRPr="003F76C9">
              <w:rPr>
                <w:color w:val="auto"/>
                <w:sz w:val="22"/>
              </w:rPr>
              <w:t>based</w:t>
            </w:r>
            <w:r>
              <w:rPr>
                <w:color w:val="auto"/>
                <w:sz w:val="22"/>
              </w:rPr>
              <w:t xml:space="preserve"> </w:t>
            </w:r>
            <w:r w:rsidRPr="003F76C9">
              <w:rPr>
                <w:color w:val="auto"/>
                <w:sz w:val="22"/>
              </w:rPr>
              <w:t xml:space="preserve">approaches </w:t>
            </w:r>
            <w:r>
              <w:rPr>
                <w:color w:val="auto"/>
                <w:sz w:val="22"/>
              </w:rPr>
              <w:t>with</w:t>
            </w:r>
            <w:r w:rsidRPr="003F76C9">
              <w:rPr>
                <w:color w:val="auto"/>
                <w:sz w:val="22"/>
              </w:rPr>
              <w:t xml:space="preserve"> at-risk young people</w:t>
            </w:r>
          </w:p>
          <w:p w14:paraId="2B7780D5" w14:textId="77777777" w:rsidR="007B6EA9" w:rsidRPr="001D0827" w:rsidRDefault="007B6EA9" w:rsidP="007B6EA9">
            <w:pPr>
              <w:pStyle w:val="Notesstructure"/>
              <w:spacing w:line="360" w:lineRule="auto"/>
              <w:rPr>
                <w:color w:val="auto"/>
                <w:sz w:val="22"/>
              </w:rPr>
            </w:pPr>
          </w:p>
        </w:tc>
      </w:tr>
      <w:tr w:rsidR="007B6EA9" w:rsidRPr="003F76C9" w14:paraId="1C9B3A71" w14:textId="77777777" w:rsidTr="00016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8897" w:type="dxa"/>
            <w:gridSpan w:val="3"/>
            <w:tcBorders>
              <w:bottom w:val="single" w:sz="4" w:space="0" w:color="auto"/>
            </w:tcBorders>
          </w:tcPr>
          <w:p w14:paraId="75F394AA" w14:textId="77777777" w:rsidR="007B6EA9" w:rsidRPr="005135B8" w:rsidRDefault="007B6EA9" w:rsidP="007B6EA9">
            <w:pPr>
              <w:pStyle w:val="Notesstructure"/>
              <w:spacing w:line="360" w:lineRule="auto"/>
              <w:rPr>
                <w:b/>
                <w:color w:val="auto"/>
                <w:sz w:val="2"/>
              </w:rPr>
            </w:pPr>
          </w:p>
        </w:tc>
      </w:tr>
      <w:tr w:rsidR="007B6EA9" w:rsidRPr="003F76C9" w14:paraId="3213602A" w14:textId="77777777" w:rsidTr="00016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8897" w:type="dxa"/>
            <w:gridSpan w:val="3"/>
            <w:tcBorders>
              <w:top w:val="single" w:sz="4" w:space="0" w:color="auto"/>
            </w:tcBorders>
          </w:tcPr>
          <w:p w14:paraId="0A1DBE1F" w14:textId="77777777" w:rsidR="007B6EA9" w:rsidRPr="005135B8" w:rsidRDefault="007B6EA9" w:rsidP="007B6EA9">
            <w:pPr>
              <w:pStyle w:val="Notesstructure"/>
              <w:spacing w:line="360" w:lineRule="auto"/>
              <w:rPr>
                <w:b/>
                <w:color w:val="auto"/>
                <w:sz w:val="2"/>
              </w:rPr>
            </w:pPr>
          </w:p>
        </w:tc>
      </w:tr>
      <w:tr w:rsidR="007B6EA9" w:rsidRPr="003F76C9" w14:paraId="2302B125" w14:textId="77777777" w:rsidTr="00016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8897" w:type="dxa"/>
            <w:gridSpan w:val="3"/>
          </w:tcPr>
          <w:p w14:paraId="2C5CE7E0"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03385432" w14:textId="77777777" w:rsidR="007B6EA9" w:rsidRPr="005135B8" w:rsidRDefault="007B6EA9" w:rsidP="007B6EA9">
            <w:pPr>
              <w:pStyle w:val="Notesstructure"/>
              <w:spacing w:line="360" w:lineRule="auto"/>
              <w:rPr>
                <w:b/>
                <w:color w:val="auto"/>
                <w:sz w:val="2"/>
              </w:rPr>
            </w:pPr>
          </w:p>
        </w:tc>
      </w:tr>
    </w:tbl>
    <w:p w14:paraId="3952AE03" w14:textId="05B7CD5B" w:rsidR="007B6EA9" w:rsidRPr="0017166B" w:rsidRDefault="007B6EA9" w:rsidP="007B6EA9">
      <w:pPr>
        <w:pStyle w:val="Heading3"/>
      </w:pPr>
      <w:bookmarkStart w:id="233" w:name="_Toc35892566"/>
      <w:r>
        <w:t>Affective skills</w:t>
      </w:r>
      <w:bookmarkEnd w:id="233"/>
      <w:r>
        <w:t xml:space="preserve"> </w:t>
      </w:r>
    </w:p>
    <w:p w14:paraId="451C95E9" w14:textId="77777777" w:rsidR="003171C5" w:rsidRDefault="007B6EA9" w:rsidP="007B6EA9">
      <w:pPr>
        <w:spacing w:line="480" w:lineRule="auto"/>
      </w:pPr>
      <w:r>
        <w:t xml:space="preserve">Interventions targeting young peoples’ affective skills focused on helping them better manage their emotions, based on the assumption that improved emotional regulation will reduce peoples’ risk of drug use. Evidence for the effectiveness of affective components was mixed, with some evidence of iatrogenic effects linked to </w:t>
      </w:r>
      <w:r w:rsidRPr="001140E3">
        <w:t xml:space="preserve">the use of general emotion education </w:t>
      </w:r>
      <w:r>
        <w:t>w</w:t>
      </w:r>
      <w:r w:rsidRPr="001140E3">
        <w:t xml:space="preserve">hen </w:t>
      </w:r>
    </w:p>
    <w:p w14:paraId="33EA8434" w14:textId="39E6F776" w:rsidR="007B6EA9" w:rsidRPr="003171C5" w:rsidRDefault="007B6EA9" w:rsidP="003171C5">
      <w:pPr>
        <w:pStyle w:val="TableHeader"/>
        <w:rPr>
          <w:b/>
        </w:rPr>
      </w:pPr>
      <w:bookmarkStart w:id="234" w:name="_Toc9509037"/>
      <w:r w:rsidRPr="003171C5">
        <w:rPr>
          <w:b/>
        </w:rPr>
        <w:t xml:space="preserve">Table </w:t>
      </w:r>
      <w:r w:rsidR="003171C5">
        <w:rPr>
          <w:b/>
        </w:rPr>
        <w:t>3-</w:t>
      </w:r>
      <w:r w:rsidR="00FC1DE2">
        <w:rPr>
          <w:b/>
        </w:rPr>
        <w:t>6</w:t>
      </w:r>
      <w:r w:rsidRPr="003171C5">
        <w:rPr>
          <w:b/>
        </w:rPr>
        <w:t>. Evidence of effectiveness and recommendations for the use of affective skills</w:t>
      </w:r>
      <w:bookmarkEnd w:id="234"/>
    </w:p>
    <w:tbl>
      <w:tblPr>
        <w:tblStyle w:val="TableGrid"/>
        <w:tblW w:w="0" w:type="auto"/>
        <w:tblLook w:val="04A0" w:firstRow="1" w:lastRow="0" w:firstColumn="1" w:lastColumn="0" w:noHBand="0" w:noVBand="1"/>
      </w:tblPr>
      <w:tblGrid>
        <w:gridCol w:w="2802"/>
        <w:gridCol w:w="2126"/>
        <w:gridCol w:w="4111"/>
      </w:tblGrid>
      <w:tr w:rsidR="007B6EA9" w:rsidRPr="00F9373F" w14:paraId="5A470DB2" w14:textId="77777777" w:rsidTr="007B6EA9">
        <w:trPr>
          <w:trHeight w:val="430"/>
        </w:trPr>
        <w:tc>
          <w:tcPr>
            <w:tcW w:w="2802" w:type="dxa"/>
            <w:tcBorders>
              <w:top w:val="single" w:sz="8" w:space="0" w:color="auto"/>
              <w:left w:val="nil"/>
              <w:bottom w:val="single" w:sz="8" w:space="0" w:color="auto"/>
              <w:right w:val="nil"/>
            </w:tcBorders>
            <w:vAlign w:val="center"/>
          </w:tcPr>
          <w:p w14:paraId="46DE93EF" w14:textId="77777777" w:rsidR="007B6EA9" w:rsidRPr="00F9373F" w:rsidRDefault="007B6EA9" w:rsidP="007B6EA9">
            <w:pPr>
              <w:rPr>
                <w:b/>
                <w:szCs w:val="24"/>
              </w:rPr>
            </w:pPr>
            <w:r>
              <w:rPr>
                <w:b/>
                <w:szCs w:val="24"/>
              </w:rPr>
              <w:t>Affective skills</w:t>
            </w:r>
          </w:p>
        </w:tc>
        <w:tc>
          <w:tcPr>
            <w:tcW w:w="6237" w:type="dxa"/>
            <w:gridSpan w:val="2"/>
            <w:tcBorders>
              <w:top w:val="single" w:sz="8" w:space="0" w:color="auto"/>
              <w:left w:val="nil"/>
              <w:bottom w:val="single" w:sz="8" w:space="0" w:color="auto"/>
              <w:right w:val="nil"/>
            </w:tcBorders>
            <w:vAlign w:val="center"/>
          </w:tcPr>
          <w:p w14:paraId="63DE17E1" w14:textId="77777777" w:rsidR="007B6EA9" w:rsidRPr="00F9373F" w:rsidRDefault="007B6EA9" w:rsidP="007B6EA9">
            <w:pPr>
              <w:rPr>
                <w:b/>
                <w:szCs w:val="24"/>
              </w:rPr>
            </w:pPr>
          </w:p>
        </w:tc>
      </w:tr>
      <w:tr w:rsidR="007B6EA9" w:rsidRPr="003F76C9" w14:paraId="04D8CEF2" w14:textId="77777777" w:rsidTr="007B6EA9">
        <w:trPr>
          <w:trHeight w:val="5867"/>
        </w:trPr>
        <w:tc>
          <w:tcPr>
            <w:tcW w:w="4928" w:type="dxa"/>
            <w:gridSpan w:val="2"/>
            <w:tcBorders>
              <w:top w:val="single" w:sz="8" w:space="0" w:color="auto"/>
              <w:left w:val="nil"/>
              <w:bottom w:val="single" w:sz="4" w:space="0" w:color="auto"/>
              <w:right w:val="nil"/>
            </w:tcBorders>
          </w:tcPr>
          <w:p w14:paraId="72E54246" w14:textId="77777777" w:rsidR="007B6EA9" w:rsidRPr="001D0827" w:rsidRDefault="007B6EA9" w:rsidP="007B6EA9">
            <w:pPr>
              <w:pStyle w:val="Notesstructure"/>
              <w:spacing w:line="360" w:lineRule="auto"/>
              <w:rPr>
                <w:b/>
                <w:color w:val="auto"/>
                <w:sz w:val="22"/>
              </w:rPr>
            </w:pPr>
            <w:r w:rsidRPr="001D0827">
              <w:rPr>
                <w:b/>
                <w:color w:val="auto"/>
                <w:sz w:val="22"/>
              </w:rPr>
              <w:t>Effective:</w:t>
            </w:r>
          </w:p>
          <w:p w14:paraId="602C64C0" w14:textId="4E477FCB" w:rsidR="007B6EA9" w:rsidRPr="001D5C2D" w:rsidRDefault="007B6EA9" w:rsidP="00C92BD2">
            <w:pPr>
              <w:pStyle w:val="Notesstructure"/>
              <w:numPr>
                <w:ilvl w:val="0"/>
                <w:numId w:val="5"/>
              </w:numPr>
              <w:spacing w:line="360" w:lineRule="auto"/>
              <w:rPr>
                <w:color w:val="auto"/>
                <w:sz w:val="22"/>
              </w:rPr>
            </w:pPr>
            <w:r w:rsidRPr="001D5C2D">
              <w:rPr>
                <w:color w:val="auto"/>
                <w:sz w:val="22"/>
              </w:rPr>
              <w:t>Affective skills</w:t>
            </w:r>
            <w:r w:rsidR="00545318">
              <w:rPr>
                <w:color w:val="auto"/>
                <w:sz w:val="22"/>
              </w:rPr>
              <w:t>-</w:t>
            </w:r>
            <w:r w:rsidRPr="003F76C9">
              <w:rPr>
                <w:color w:val="auto"/>
                <w:sz w:val="22"/>
              </w:rPr>
              <w:t xml:space="preserve">based programmes </w:t>
            </w:r>
            <w:r>
              <w:rPr>
                <w:color w:val="auto"/>
                <w:sz w:val="22"/>
              </w:rPr>
              <w:t xml:space="preserve">have shown </w:t>
            </w:r>
            <w:r w:rsidRPr="003F76C9">
              <w:rPr>
                <w:color w:val="auto"/>
                <w:sz w:val="22"/>
              </w:rPr>
              <w:t>some evidence of positive effects</w:t>
            </w:r>
            <w:r>
              <w:rPr>
                <w:color w:val="auto"/>
                <w:sz w:val="22"/>
              </w:rPr>
              <w:t xml:space="preserve"> on intentions to use drugs </w:t>
            </w:r>
            <w:r w:rsidRPr="003F76C9">
              <w:rPr>
                <w:color w:val="auto"/>
                <w:sz w:val="22"/>
                <w:vertAlign w:val="superscript"/>
              </w:rPr>
              <w:t>[</w:t>
            </w:r>
            <w:r>
              <w:rPr>
                <w:color w:val="auto"/>
                <w:sz w:val="22"/>
                <w:vertAlign w:val="superscript"/>
              </w:rPr>
              <w:t>D</w:t>
            </w:r>
            <w:r w:rsidRPr="003F76C9">
              <w:rPr>
                <w:color w:val="auto"/>
                <w:sz w:val="22"/>
                <w:vertAlign w:val="superscript"/>
              </w:rPr>
              <w:t>]</w:t>
            </w:r>
            <w:r>
              <w:rPr>
                <w:color w:val="auto"/>
                <w:sz w:val="22"/>
                <w:vertAlign w:val="superscript"/>
              </w:rPr>
              <w:t>[E</w:t>
            </w:r>
            <w:r w:rsidRPr="003F76C9">
              <w:rPr>
                <w:color w:val="auto"/>
                <w:sz w:val="22"/>
                <w:vertAlign w:val="superscript"/>
              </w:rPr>
              <w:t>]</w:t>
            </w:r>
            <w:r>
              <w:rPr>
                <w:color w:val="auto"/>
                <w:sz w:val="22"/>
              </w:rPr>
              <w:t xml:space="preserve">. </w:t>
            </w:r>
            <w:r w:rsidRPr="001D5C2D">
              <w:rPr>
                <w:color w:val="auto"/>
                <w:sz w:val="22"/>
              </w:rPr>
              <w:t>Positive results are associated with:</w:t>
            </w:r>
          </w:p>
          <w:p w14:paraId="2221F431" w14:textId="77777777" w:rsidR="007B6EA9" w:rsidRPr="00C852BE" w:rsidRDefault="007B6EA9" w:rsidP="00C92BD2">
            <w:pPr>
              <w:pStyle w:val="Notesstructure"/>
              <w:numPr>
                <w:ilvl w:val="1"/>
                <w:numId w:val="5"/>
              </w:numPr>
              <w:spacing w:line="360" w:lineRule="auto"/>
              <w:rPr>
                <w:color w:val="auto"/>
                <w:sz w:val="22"/>
              </w:rPr>
            </w:pPr>
            <w:r>
              <w:rPr>
                <w:color w:val="auto"/>
                <w:sz w:val="22"/>
              </w:rPr>
              <w:t>C</w:t>
            </w:r>
            <w:r w:rsidRPr="003F76C9">
              <w:rPr>
                <w:color w:val="auto"/>
                <w:sz w:val="22"/>
              </w:rPr>
              <w:t xml:space="preserve">oping skills </w:t>
            </w:r>
            <w:r w:rsidRPr="003F76C9">
              <w:rPr>
                <w:color w:val="auto"/>
                <w:sz w:val="22"/>
                <w:vertAlign w:val="superscript"/>
              </w:rPr>
              <w:t>[</w:t>
            </w:r>
            <w:r>
              <w:rPr>
                <w:color w:val="auto"/>
                <w:sz w:val="22"/>
                <w:vertAlign w:val="superscript"/>
              </w:rPr>
              <w:t>D</w:t>
            </w:r>
            <w:r w:rsidRPr="003F76C9">
              <w:rPr>
                <w:color w:val="auto"/>
                <w:sz w:val="22"/>
                <w:vertAlign w:val="superscript"/>
              </w:rPr>
              <w:t>][</w:t>
            </w:r>
            <w:r>
              <w:rPr>
                <w:color w:val="auto"/>
                <w:sz w:val="22"/>
                <w:vertAlign w:val="superscript"/>
              </w:rPr>
              <w:t>E</w:t>
            </w:r>
            <w:r w:rsidRPr="003F76C9">
              <w:rPr>
                <w:color w:val="auto"/>
                <w:sz w:val="22"/>
                <w:vertAlign w:val="superscript"/>
              </w:rPr>
              <w:t>]</w:t>
            </w:r>
          </w:p>
          <w:p w14:paraId="0BA1B87F" w14:textId="77777777" w:rsidR="007B6EA9" w:rsidRPr="001E3F8C" w:rsidRDefault="007B6EA9" w:rsidP="00C92BD2">
            <w:pPr>
              <w:pStyle w:val="Notesstructure"/>
              <w:numPr>
                <w:ilvl w:val="1"/>
                <w:numId w:val="5"/>
              </w:numPr>
              <w:spacing w:line="360" w:lineRule="auto"/>
              <w:rPr>
                <w:color w:val="auto"/>
                <w:sz w:val="22"/>
              </w:rPr>
            </w:pPr>
            <w:r>
              <w:rPr>
                <w:color w:val="auto"/>
                <w:sz w:val="22"/>
              </w:rPr>
              <w:t>I</w:t>
            </w:r>
            <w:r w:rsidRPr="003F76C9">
              <w:rPr>
                <w:color w:val="auto"/>
                <w:sz w:val="22"/>
              </w:rPr>
              <w:t>dentifying and managing stress</w:t>
            </w:r>
            <w:r>
              <w:rPr>
                <w:color w:val="auto"/>
                <w:sz w:val="22"/>
              </w:rPr>
              <w:t xml:space="preserve"> </w:t>
            </w:r>
            <w:r w:rsidRPr="003F76C9">
              <w:rPr>
                <w:color w:val="auto"/>
                <w:sz w:val="22"/>
                <w:vertAlign w:val="superscript"/>
              </w:rPr>
              <w:t>[</w:t>
            </w:r>
            <w:r>
              <w:rPr>
                <w:color w:val="auto"/>
                <w:sz w:val="22"/>
                <w:vertAlign w:val="superscript"/>
              </w:rPr>
              <w:t>D</w:t>
            </w:r>
            <w:r w:rsidRPr="003F76C9">
              <w:rPr>
                <w:color w:val="auto"/>
                <w:sz w:val="22"/>
                <w:vertAlign w:val="superscript"/>
              </w:rPr>
              <w:t>]</w:t>
            </w:r>
          </w:p>
          <w:p w14:paraId="562F988F" w14:textId="77777777" w:rsidR="007B6EA9" w:rsidRPr="00F34753" w:rsidRDefault="007B6EA9" w:rsidP="00C92BD2">
            <w:pPr>
              <w:pStyle w:val="Notesstructure"/>
              <w:numPr>
                <w:ilvl w:val="1"/>
                <w:numId w:val="5"/>
              </w:numPr>
              <w:spacing w:line="360" w:lineRule="auto"/>
              <w:rPr>
                <w:color w:val="auto"/>
                <w:sz w:val="22"/>
              </w:rPr>
            </w:pPr>
            <w:r>
              <w:rPr>
                <w:color w:val="auto"/>
                <w:sz w:val="22"/>
              </w:rPr>
              <w:t>D</w:t>
            </w:r>
            <w:r w:rsidRPr="003F76C9">
              <w:rPr>
                <w:color w:val="auto"/>
                <w:sz w:val="22"/>
              </w:rPr>
              <w:t xml:space="preserve">ealing with feelings of exclusion </w:t>
            </w:r>
            <w:r w:rsidRPr="003F76C9">
              <w:rPr>
                <w:color w:val="auto"/>
                <w:sz w:val="22"/>
                <w:vertAlign w:val="superscript"/>
              </w:rPr>
              <w:t>[</w:t>
            </w:r>
            <w:r>
              <w:rPr>
                <w:color w:val="auto"/>
                <w:sz w:val="22"/>
                <w:vertAlign w:val="superscript"/>
              </w:rPr>
              <w:t>D</w:t>
            </w:r>
            <w:r w:rsidRPr="003F76C9">
              <w:rPr>
                <w:color w:val="auto"/>
                <w:sz w:val="22"/>
                <w:vertAlign w:val="superscript"/>
              </w:rPr>
              <w:t>]</w:t>
            </w:r>
          </w:p>
          <w:p w14:paraId="7AFC772B" w14:textId="77777777" w:rsidR="007B6EA9" w:rsidRDefault="007B6EA9" w:rsidP="007B6EA9">
            <w:pPr>
              <w:pStyle w:val="Notesstructure"/>
              <w:spacing w:line="360" w:lineRule="auto"/>
              <w:rPr>
                <w:b/>
                <w:color w:val="auto"/>
                <w:sz w:val="22"/>
              </w:rPr>
            </w:pPr>
            <w:r w:rsidRPr="003F76C9">
              <w:rPr>
                <w:b/>
                <w:color w:val="auto"/>
                <w:sz w:val="22"/>
              </w:rPr>
              <w:t>Ineffective:</w:t>
            </w:r>
          </w:p>
          <w:p w14:paraId="4274A8ED" w14:textId="77777777" w:rsidR="007B6EA9" w:rsidRPr="003F76C9" w:rsidRDefault="007B6EA9" w:rsidP="00C92BD2">
            <w:pPr>
              <w:pStyle w:val="Notesstructure"/>
              <w:numPr>
                <w:ilvl w:val="0"/>
                <w:numId w:val="5"/>
              </w:numPr>
              <w:spacing w:line="360" w:lineRule="auto"/>
              <w:rPr>
                <w:b/>
                <w:color w:val="auto"/>
                <w:sz w:val="22"/>
              </w:rPr>
            </w:pPr>
            <w:r w:rsidRPr="003F76C9">
              <w:rPr>
                <w:color w:val="auto"/>
                <w:sz w:val="22"/>
              </w:rPr>
              <w:t>Approaches focusing</w:t>
            </w:r>
            <w:r>
              <w:rPr>
                <w:color w:val="auto"/>
                <w:sz w:val="22"/>
              </w:rPr>
              <w:t xml:space="preserve"> on</w:t>
            </w:r>
            <w:r w:rsidRPr="003F76C9">
              <w:rPr>
                <w:color w:val="auto"/>
                <w:sz w:val="22"/>
              </w:rPr>
              <w:t xml:space="preserve"> general emotional education</w:t>
            </w:r>
            <w:r>
              <w:rPr>
                <w:color w:val="auto"/>
                <w:sz w:val="22"/>
              </w:rPr>
              <w:t xml:space="preserve"> </w:t>
            </w:r>
            <w:r w:rsidRPr="003F76C9">
              <w:rPr>
                <w:color w:val="auto"/>
                <w:sz w:val="22"/>
              </w:rPr>
              <w:t>only</w:t>
            </w:r>
            <w:r>
              <w:rPr>
                <w:color w:val="auto"/>
                <w:sz w:val="22"/>
              </w:rPr>
              <w:t xml:space="preserve"> have been found to be ineffective</w:t>
            </w:r>
            <w:r w:rsidRPr="003F76C9">
              <w:rPr>
                <w:color w:val="auto"/>
                <w:sz w:val="22"/>
              </w:rPr>
              <w:t xml:space="preserve"> </w:t>
            </w:r>
            <w:r w:rsidRPr="003F76C9">
              <w:rPr>
                <w:color w:val="auto"/>
                <w:sz w:val="22"/>
                <w:vertAlign w:val="superscript"/>
              </w:rPr>
              <w:t>[</w:t>
            </w:r>
            <w:r>
              <w:rPr>
                <w:color w:val="auto"/>
                <w:sz w:val="22"/>
                <w:vertAlign w:val="superscript"/>
              </w:rPr>
              <w:t>B</w:t>
            </w:r>
            <w:r w:rsidRPr="003F76C9">
              <w:rPr>
                <w:color w:val="auto"/>
                <w:sz w:val="22"/>
                <w:vertAlign w:val="superscript"/>
              </w:rPr>
              <w:t>][</w:t>
            </w:r>
            <w:r>
              <w:rPr>
                <w:color w:val="auto"/>
                <w:sz w:val="22"/>
                <w:vertAlign w:val="superscript"/>
              </w:rPr>
              <w:t>E]</w:t>
            </w:r>
          </w:p>
          <w:p w14:paraId="10817321" w14:textId="77777777" w:rsidR="007B6EA9" w:rsidRPr="003F76C9" w:rsidRDefault="007B6EA9" w:rsidP="007B6EA9">
            <w:pPr>
              <w:pStyle w:val="Notesstructure"/>
              <w:spacing w:line="360" w:lineRule="auto"/>
              <w:rPr>
                <w:color w:val="auto"/>
                <w:sz w:val="22"/>
              </w:rPr>
            </w:pPr>
            <w:r w:rsidRPr="003F76C9">
              <w:rPr>
                <w:b/>
                <w:color w:val="auto"/>
                <w:sz w:val="22"/>
              </w:rPr>
              <w:t>Harmful:</w:t>
            </w:r>
          </w:p>
          <w:p w14:paraId="512A6319" w14:textId="77777777" w:rsidR="007B6EA9" w:rsidRPr="001D5C2D" w:rsidRDefault="007B6EA9" w:rsidP="00C92BD2">
            <w:pPr>
              <w:pStyle w:val="Notesstructure"/>
              <w:numPr>
                <w:ilvl w:val="0"/>
                <w:numId w:val="5"/>
              </w:numPr>
              <w:spacing w:line="360" w:lineRule="auto"/>
              <w:rPr>
                <w:b/>
                <w:color w:val="auto"/>
                <w:sz w:val="22"/>
              </w:rPr>
            </w:pPr>
            <w:r w:rsidRPr="003F76C9">
              <w:rPr>
                <w:color w:val="auto"/>
                <w:sz w:val="22"/>
              </w:rPr>
              <w:t xml:space="preserve">Approaches focusing </w:t>
            </w:r>
            <w:r>
              <w:rPr>
                <w:color w:val="auto"/>
                <w:sz w:val="22"/>
              </w:rPr>
              <w:t xml:space="preserve">on </w:t>
            </w:r>
            <w:r w:rsidRPr="003F76C9">
              <w:rPr>
                <w:color w:val="auto"/>
                <w:sz w:val="22"/>
              </w:rPr>
              <w:t>general emotional education</w:t>
            </w:r>
            <w:r>
              <w:rPr>
                <w:color w:val="auto"/>
                <w:sz w:val="22"/>
              </w:rPr>
              <w:t xml:space="preserve"> </w:t>
            </w:r>
            <w:r w:rsidRPr="003F76C9">
              <w:rPr>
                <w:color w:val="auto"/>
                <w:sz w:val="22"/>
              </w:rPr>
              <w:t xml:space="preserve">only </w:t>
            </w:r>
            <w:r>
              <w:rPr>
                <w:color w:val="auto"/>
                <w:sz w:val="22"/>
              </w:rPr>
              <w:t xml:space="preserve">can be counterproductive </w:t>
            </w:r>
            <w:r w:rsidRPr="003F76C9">
              <w:rPr>
                <w:color w:val="auto"/>
                <w:sz w:val="22"/>
                <w:vertAlign w:val="superscript"/>
              </w:rPr>
              <w:t>[</w:t>
            </w:r>
            <w:r>
              <w:rPr>
                <w:color w:val="auto"/>
                <w:sz w:val="22"/>
                <w:vertAlign w:val="superscript"/>
              </w:rPr>
              <w:t>B</w:t>
            </w:r>
            <w:r w:rsidRPr="003F76C9">
              <w:rPr>
                <w:color w:val="auto"/>
                <w:sz w:val="22"/>
                <w:vertAlign w:val="superscript"/>
              </w:rPr>
              <w:t>][</w:t>
            </w:r>
            <w:r>
              <w:rPr>
                <w:color w:val="auto"/>
                <w:sz w:val="22"/>
                <w:vertAlign w:val="superscript"/>
              </w:rPr>
              <w:t>E]</w:t>
            </w:r>
            <w:r>
              <w:rPr>
                <w:color w:val="auto"/>
                <w:sz w:val="22"/>
                <w:vertAlign w:val="superscript"/>
              </w:rPr>
              <w:br/>
            </w:r>
          </w:p>
        </w:tc>
        <w:tc>
          <w:tcPr>
            <w:tcW w:w="4111" w:type="dxa"/>
            <w:tcBorders>
              <w:top w:val="single" w:sz="8" w:space="0" w:color="auto"/>
              <w:left w:val="nil"/>
              <w:bottom w:val="single" w:sz="4" w:space="0" w:color="auto"/>
              <w:right w:val="nil"/>
            </w:tcBorders>
          </w:tcPr>
          <w:p w14:paraId="62289311" w14:textId="77777777" w:rsidR="007B6EA9" w:rsidRDefault="007B6EA9" w:rsidP="007B6EA9">
            <w:pPr>
              <w:pStyle w:val="Notesstructure"/>
              <w:spacing w:line="360" w:lineRule="auto"/>
              <w:rPr>
                <w:color w:val="auto"/>
                <w:sz w:val="22"/>
              </w:rPr>
            </w:pPr>
            <w:r w:rsidRPr="00B12F76">
              <w:rPr>
                <w:b/>
                <w:color w:val="auto"/>
                <w:sz w:val="22"/>
              </w:rPr>
              <w:t>Recommended</w:t>
            </w:r>
            <w:r>
              <w:rPr>
                <w:color w:val="auto"/>
                <w:sz w:val="22"/>
              </w:rPr>
              <w:t>:</w:t>
            </w:r>
          </w:p>
          <w:p w14:paraId="499EDCF9" w14:textId="77777777" w:rsidR="007B6EA9" w:rsidRDefault="007B6EA9" w:rsidP="00C92BD2">
            <w:pPr>
              <w:pStyle w:val="Notesstructure"/>
              <w:numPr>
                <w:ilvl w:val="0"/>
                <w:numId w:val="14"/>
              </w:numPr>
              <w:spacing w:line="360" w:lineRule="auto"/>
              <w:rPr>
                <w:color w:val="auto"/>
                <w:sz w:val="22"/>
              </w:rPr>
            </w:pPr>
            <w:r>
              <w:rPr>
                <w:color w:val="auto"/>
                <w:sz w:val="22"/>
                <w:szCs w:val="22"/>
              </w:rPr>
              <w:t>Mentor-ADEPIS</w:t>
            </w:r>
            <w:r w:rsidRPr="00C11D82">
              <w:rPr>
                <w:color w:val="auto"/>
                <w:sz w:val="22"/>
                <w:szCs w:val="22"/>
              </w:rPr>
              <w:t xml:space="preserve"> </w:t>
            </w:r>
            <w:r w:rsidRPr="003F76C9">
              <w:rPr>
                <w:color w:val="auto"/>
                <w:sz w:val="22"/>
              </w:rPr>
              <w:t xml:space="preserve">recommend the use of </w:t>
            </w:r>
            <w:r>
              <w:rPr>
                <w:color w:val="auto"/>
                <w:sz w:val="22"/>
              </w:rPr>
              <w:t xml:space="preserve">combined </w:t>
            </w:r>
            <w:r w:rsidRPr="003F76C9">
              <w:rPr>
                <w:color w:val="auto"/>
                <w:sz w:val="22"/>
              </w:rPr>
              <w:t xml:space="preserve">skills approaches which </w:t>
            </w:r>
            <w:r>
              <w:rPr>
                <w:color w:val="auto"/>
                <w:sz w:val="22"/>
              </w:rPr>
              <w:t xml:space="preserve">include </w:t>
            </w:r>
            <w:r w:rsidRPr="003F76C9">
              <w:rPr>
                <w:color w:val="auto"/>
                <w:sz w:val="22"/>
              </w:rPr>
              <w:t>coping</w:t>
            </w:r>
            <w:r>
              <w:rPr>
                <w:color w:val="auto"/>
                <w:sz w:val="22"/>
              </w:rPr>
              <w:t xml:space="preserve"> skills.</w:t>
            </w:r>
          </w:p>
          <w:p w14:paraId="6E902893" w14:textId="77777777" w:rsidR="007B6EA9" w:rsidRDefault="007B6EA9" w:rsidP="00C92BD2">
            <w:pPr>
              <w:pStyle w:val="Notesstructure"/>
              <w:numPr>
                <w:ilvl w:val="0"/>
                <w:numId w:val="14"/>
              </w:numPr>
              <w:spacing w:line="360" w:lineRule="auto"/>
              <w:rPr>
                <w:color w:val="auto"/>
                <w:sz w:val="22"/>
              </w:rPr>
            </w:pPr>
            <w:r w:rsidRPr="003F76C9">
              <w:rPr>
                <w:color w:val="auto"/>
                <w:sz w:val="22"/>
              </w:rPr>
              <w:t xml:space="preserve">UNDOC/WHO recommend the use of </w:t>
            </w:r>
            <w:r>
              <w:rPr>
                <w:color w:val="auto"/>
                <w:sz w:val="22"/>
              </w:rPr>
              <w:t xml:space="preserve">combined </w:t>
            </w:r>
            <w:r w:rsidRPr="003F76C9">
              <w:rPr>
                <w:color w:val="auto"/>
                <w:sz w:val="22"/>
              </w:rPr>
              <w:t xml:space="preserve">skills approaches which </w:t>
            </w:r>
            <w:r>
              <w:rPr>
                <w:color w:val="auto"/>
                <w:sz w:val="22"/>
              </w:rPr>
              <w:t xml:space="preserve">include </w:t>
            </w:r>
            <w:r w:rsidRPr="003F76C9">
              <w:rPr>
                <w:color w:val="auto"/>
                <w:sz w:val="22"/>
              </w:rPr>
              <w:t>coping</w:t>
            </w:r>
            <w:r>
              <w:rPr>
                <w:color w:val="auto"/>
                <w:sz w:val="22"/>
              </w:rPr>
              <w:t xml:space="preserve"> skills.</w:t>
            </w:r>
          </w:p>
          <w:p w14:paraId="2B7193BA" w14:textId="77777777" w:rsidR="007B6EA9" w:rsidRDefault="007B6EA9" w:rsidP="00270550">
            <w:pPr>
              <w:pStyle w:val="Notesstructure"/>
              <w:spacing w:line="360" w:lineRule="auto"/>
              <w:rPr>
                <w:b/>
                <w:color w:val="auto"/>
                <w:sz w:val="22"/>
              </w:rPr>
            </w:pPr>
            <w:r>
              <w:rPr>
                <w:b/>
                <w:color w:val="auto"/>
                <w:sz w:val="22"/>
              </w:rPr>
              <w:t>Not r</w:t>
            </w:r>
            <w:r w:rsidRPr="00B12F76">
              <w:rPr>
                <w:b/>
                <w:color w:val="auto"/>
                <w:sz w:val="22"/>
              </w:rPr>
              <w:t>ecommended</w:t>
            </w:r>
            <w:r>
              <w:rPr>
                <w:b/>
                <w:color w:val="auto"/>
                <w:sz w:val="22"/>
              </w:rPr>
              <w:t>:</w:t>
            </w:r>
          </w:p>
          <w:p w14:paraId="3F3D1805" w14:textId="77777777" w:rsidR="007B6EA9" w:rsidRPr="00FE3035" w:rsidRDefault="007B6EA9" w:rsidP="00C92BD2">
            <w:pPr>
              <w:pStyle w:val="Notesstructure"/>
              <w:numPr>
                <w:ilvl w:val="0"/>
                <w:numId w:val="14"/>
              </w:numPr>
              <w:spacing w:line="360" w:lineRule="auto"/>
              <w:rPr>
                <w:color w:val="auto"/>
                <w:sz w:val="22"/>
                <w:szCs w:val="22"/>
              </w:rPr>
            </w:pPr>
            <w:r>
              <w:rPr>
                <w:color w:val="auto"/>
                <w:sz w:val="22"/>
                <w:szCs w:val="22"/>
              </w:rPr>
              <w:t>Mentor-ADEPIS</w:t>
            </w:r>
            <w:r w:rsidRPr="00C11D82">
              <w:rPr>
                <w:color w:val="auto"/>
                <w:sz w:val="22"/>
                <w:szCs w:val="22"/>
              </w:rPr>
              <w:t xml:space="preserve"> </w:t>
            </w:r>
            <w:r>
              <w:rPr>
                <w:color w:val="auto"/>
                <w:sz w:val="22"/>
                <w:szCs w:val="22"/>
              </w:rPr>
              <w:t>advise against approaches that focus only on emotional education</w:t>
            </w:r>
          </w:p>
          <w:p w14:paraId="25CF3C4E" w14:textId="77777777" w:rsidR="007B6EA9" w:rsidRPr="00FE3035" w:rsidRDefault="007B6EA9" w:rsidP="00C92BD2">
            <w:pPr>
              <w:pStyle w:val="Notesstructure"/>
              <w:numPr>
                <w:ilvl w:val="0"/>
                <w:numId w:val="13"/>
              </w:numPr>
              <w:spacing w:line="360" w:lineRule="auto"/>
              <w:ind w:left="714" w:hanging="357"/>
              <w:rPr>
                <w:color w:val="auto"/>
                <w:sz w:val="22"/>
              </w:rPr>
            </w:pPr>
            <w:r w:rsidRPr="003F76C9">
              <w:rPr>
                <w:color w:val="auto"/>
                <w:sz w:val="22"/>
              </w:rPr>
              <w:t xml:space="preserve">NICE </w:t>
            </w:r>
            <w:r>
              <w:rPr>
                <w:color w:val="auto"/>
                <w:sz w:val="22"/>
              </w:rPr>
              <w:t>do not recommend the use of</w:t>
            </w:r>
            <w:r w:rsidRPr="003F76C9">
              <w:rPr>
                <w:color w:val="auto"/>
                <w:sz w:val="22"/>
              </w:rPr>
              <w:t xml:space="preserve"> </w:t>
            </w:r>
            <w:r>
              <w:rPr>
                <w:color w:val="auto"/>
                <w:sz w:val="22"/>
              </w:rPr>
              <w:t>skill-</w:t>
            </w:r>
            <w:r w:rsidRPr="003F76C9">
              <w:rPr>
                <w:color w:val="auto"/>
                <w:sz w:val="22"/>
              </w:rPr>
              <w:t>based</w:t>
            </w:r>
            <w:r>
              <w:rPr>
                <w:color w:val="auto"/>
                <w:sz w:val="22"/>
              </w:rPr>
              <w:t xml:space="preserve"> </w:t>
            </w:r>
            <w:r w:rsidRPr="003F76C9">
              <w:rPr>
                <w:color w:val="auto"/>
                <w:sz w:val="22"/>
              </w:rPr>
              <w:t xml:space="preserve">approaches </w:t>
            </w:r>
            <w:r>
              <w:rPr>
                <w:color w:val="auto"/>
                <w:sz w:val="22"/>
              </w:rPr>
              <w:t>with</w:t>
            </w:r>
            <w:r w:rsidRPr="003F76C9">
              <w:rPr>
                <w:color w:val="auto"/>
                <w:sz w:val="22"/>
              </w:rPr>
              <w:t xml:space="preserve"> at-risk young people</w:t>
            </w:r>
          </w:p>
          <w:p w14:paraId="1A493090" w14:textId="77777777" w:rsidR="007B6EA9" w:rsidRPr="00B32BD3" w:rsidRDefault="007B6EA9" w:rsidP="00C92BD2">
            <w:pPr>
              <w:pStyle w:val="Notesstructure"/>
              <w:numPr>
                <w:ilvl w:val="0"/>
                <w:numId w:val="14"/>
              </w:numPr>
              <w:spacing w:line="360" w:lineRule="auto"/>
              <w:rPr>
                <w:color w:val="auto"/>
                <w:sz w:val="22"/>
                <w:szCs w:val="22"/>
              </w:rPr>
            </w:pPr>
            <w:r>
              <w:rPr>
                <w:color w:val="auto"/>
                <w:sz w:val="22"/>
              </w:rPr>
              <w:t xml:space="preserve">UNODC/WHO </w:t>
            </w:r>
            <w:r>
              <w:rPr>
                <w:color w:val="auto"/>
                <w:sz w:val="22"/>
                <w:szCs w:val="22"/>
              </w:rPr>
              <w:t>advise against approaches that focus only on emotional education</w:t>
            </w:r>
          </w:p>
        </w:tc>
      </w:tr>
      <w:tr w:rsidR="007B6EA9" w:rsidRPr="003F76C9" w14:paraId="5060CCB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039" w:type="dxa"/>
            <w:gridSpan w:val="3"/>
            <w:tcBorders>
              <w:top w:val="single" w:sz="4" w:space="0" w:color="auto"/>
            </w:tcBorders>
          </w:tcPr>
          <w:p w14:paraId="0C87CA19" w14:textId="77777777" w:rsidR="007B6EA9" w:rsidRPr="005135B8" w:rsidRDefault="007B6EA9" w:rsidP="007B6EA9">
            <w:pPr>
              <w:pStyle w:val="Notesstructure"/>
              <w:spacing w:line="360" w:lineRule="auto"/>
              <w:rPr>
                <w:b/>
                <w:color w:val="auto"/>
                <w:sz w:val="2"/>
              </w:rPr>
            </w:pPr>
          </w:p>
        </w:tc>
      </w:tr>
      <w:tr w:rsidR="007B6EA9" w:rsidRPr="003F76C9" w14:paraId="19B1351B"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039" w:type="dxa"/>
            <w:gridSpan w:val="3"/>
          </w:tcPr>
          <w:p w14:paraId="2C997134"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159895A2" w14:textId="77777777" w:rsidR="007B6EA9" w:rsidRPr="005135B8" w:rsidRDefault="007B6EA9" w:rsidP="007B6EA9">
            <w:pPr>
              <w:pStyle w:val="Notesstructure"/>
              <w:spacing w:line="360" w:lineRule="auto"/>
              <w:rPr>
                <w:b/>
                <w:color w:val="auto"/>
                <w:sz w:val="2"/>
              </w:rPr>
            </w:pPr>
          </w:p>
        </w:tc>
      </w:tr>
    </w:tbl>
    <w:p w14:paraId="3E4F0AB3" w14:textId="77777777" w:rsidR="007B6EA9" w:rsidRDefault="007B6EA9" w:rsidP="007B6EA9"/>
    <w:p w14:paraId="795A5036" w14:textId="20346F37" w:rsidR="007B6EA9" w:rsidRDefault="007B6EA9" w:rsidP="007B6EA9">
      <w:pPr>
        <w:spacing w:line="480" w:lineRule="auto"/>
      </w:pPr>
      <w:r w:rsidRPr="001140E3">
        <w:t>not used as part of a multi</w:t>
      </w:r>
      <w:r>
        <w:t>-</w:t>
      </w:r>
      <w:r w:rsidRPr="001140E3">
        <w:t>component or wider approach</w:t>
      </w:r>
      <w:r>
        <w:t>.</w:t>
      </w:r>
      <w:r w:rsidRPr="001140E3">
        <w:t xml:space="preserve"> </w:t>
      </w:r>
      <w:r w:rsidRPr="00236D19">
        <w:t>Recommendations were similarly mixed</w:t>
      </w:r>
      <w:r>
        <w:t xml:space="preserve"> </w:t>
      </w:r>
      <w:r w:rsidRPr="00236D19">
        <w:t>but well</w:t>
      </w:r>
      <w:r w:rsidR="00545318">
        <w:t>-</w:t>
      </w:r>
      <w:r w:rsidRPr="00236D19">
        <w:t>matched with the evidence</w:t>
      </w:r>
      <w:r>
        <w:t>,</w:t>
      </w:r>
      <w:r w:rsidRPr="00236D19">
        <w:t xml:space="preserve"> supporting the use of coping skills as part of combined approach</w:t>
      </w:r>
      <w:r>
        <w:t>es</w:t>
      </w:r>
      <w:r w:rsidRPr="00236D19">
        <w:t xml:space="preserve"> and advising against the use of stand</w:t>
      </w:r>
      <w:r>
        <w:t>-</w:t>
      </w:r>
      <w:r w:rsidRPr="00236D19">
        <w:t>alone emotional education</w:t>
      </w:r>
      <w:r>
        <w:t>.</w:t>
      </w:r>
    </w:p>
    <w:p w14:paraId="18C429FF" w14:textId="75F9A83B" w:rsidR="007B6EA9" w:rsidRPr="00F62806" w:rsidRDefault="007B6EA9" w:rsidP="007B6EA9">
      <w:pPr>
        <w:pStyle w:val="Heading3"/>
      </w:pPr>
      <w:bookmarkStart w:id="235" w:name="_Toc35892567"/>
      <w:r w:rsidRPr="00D14D36">
        <w:t>Knowledge-</w:t>
      </w:r>
      <w:r>
        <w:t>based</w:t>
      </w:r>
      <w:r w:rsidRPr="00D14D36">
        <w:t xml:space="preserve"> approaches</w:t>
      </w:r>
      <w:bookmarkEnd w:id="235"/>
      <w:r>
        <w:t xml:space="preserve"> </w:t>
      </w:r>
    </w:p>
    <w:p w14:paraId="388BD136" w14:textId="4056ADC2" w:rsidR="007B6EA9" w:rsidRDefault="007B6EA9" w:rsidP="00D378FB">
      <w:pPr>
        <w:spacing w:line="480" w:lineRule="auto"/>
      </w:pPr>
      <w:r w:rsidRPr="00D14D36">
        <w:t>Knowledge-</w:t>
      </w:r>
      <w:r>
        <w:t>based</w:t>
      </w:r>
      <w:r w:rsidRPr="00D14D36">
        <w:t xml:space="preserve"> approaches</w:t>
      </w:r>
      <w:r>
        <w:t xml:space="preserve"> typically</w:t>
      </w:r>
      <w:r w:rsidRPr="00D14D36">
        <w:t xml:space="preserve"> provide </w:t>
      </w:r>
      <w:r w:rsidR="00747168">
        <w:t xml:space="preserve">health-based </w:t>
      </w:r>
      <w:r w:rsidRPr="00D14D36">
        <w:t>information about drugs</w:t>
      </w:r>
      <w:r w:rsidR="00747168">
        <w:t>.</w:t>
      </w:r>
      <w:r w:rsidR="00545318">
        <w:t xml:space="preserve"> </w:t>
      </w:r>
      <w:r w:rsidRPr="00D14D36">
        <w:t>Th</w:t>
      </w:r>
      <w:r>
        <w:t>is approach</w:t>
      </w:r>
      <w:r w:rsidRPr="00D14D36">
        <w:t xml:space="preserve"> assume</w:t>
      </w:r>
      <w:r>
        <w:t>s drug use is a consequence of</w:t>
      </w:r>
      <w:r w:rsidRPr="00D14D36">
        <w:t xml:space="preserve"> a deficiency </w:t>
      </w:r>
      <w:r>
        <w:t xml:space="preserve">in young people’s </w:t>
      </w:r>
      <w:r w:rsidRPr="00D14D36">
        <w:t>drug</w:t>
      </w:r>
      <w:r>
        <w:t>-</w:t>
      </w:r>
      <w:r w:rsidR="00545318">
        <w:t>base</w:t>
      </w:r>
      <w:r>
        <w:t xml:space="preserve">d </w:t>
      </w:r>
      <w:r w:rsidRPr="00D14D36">
        <w:t xml:space="preserve">knowledge, and therefore increasing knowledge will lead to a change in </w:t>
      </w:r>
      <w:r>
        <w:t xml:space="preserve">beliefs and </w:t>
      </w:r>
      <w:r w:rsidRPr="00D14D36">
        <w:t xml:space="preserve">attitudes toward </w:t>
      </w:r>
      <w:r>
        <w:t>drugs</w:t>
      </w:r>
      <w:r w:rsidRPr="00D14D36">
        <w:t xml:space="preserve"> and consequently change behaviour.</w:t>
      </w:r>
    </w:p>
    <w:p w14:paraId="66E5D995" w14:textId="4078B00E" w:rsidR="007B6EA9" w:rsidRDefault="007B6EA9" w:rsidP="00D378FB">
      <w:pPr>
        <w:spacing w:line="480" w:lineRule="auto"/>
      </w:pPr>
      <w:r>
        <w:t>W</w:t>
      </w:r>
      <w:r w:rsidRPr="00BF2780">
        <w:t xml:space="preserve">hile evidence on the effectiveness of </w:t>
      </w:r>
      <w:r w:rsidR="001746A4" w:rsidRPr="00BF2780">
        <w:t>knowledge-based</w:t>
      </w:r>
      <w:r w:rsidRPr="00BF2780">
        <w:t xml:space="preserve"> approaches is mix</w:t>
      </w:r>
      <w:r>
        <w:t>ed</w:t>
      </w:r>
      <w:r w:rsidRPr="00BF2780">
        <w:t xml:space="preserve"> there is strong evidence which shows that stand</w:t>
      </w:r>
      <w:r>
        <w:t>-</w:t>
      </w:r>
      <w:r w:rsidRPr="00BF2780">
        <w:t>alone information provision is ineffective</w:t>
      </w:r>
      <w:r>
        <w:t>, a</w:t>
      </w:r>
      <w:r w:rsidRPr="00BF2780">
        <w:t>nd in some cases counterproductive</w:t>
      </w:r>
      <w:r>
        <w:t xml:space="preserve">. </w:t>
      </w:r>
      <w:r w:rsidRPr="00BF2780">
        <w:t>Knowledge</w:t>
      </w:r>
      <w:r>
        <w:t>-</w:t>
      </w:r>
      <w:r w:rsidRPr="00BF2780">
        <w:t xml:space="preserve">based </w:t>
      </w:r>
      <w:r w:rsidRPr="00015AE3">
        <w:t xml:space="preserve">components </w:t>
      </w:r>
      <w:r w:rsidRPr="00BF2780">
        <w:t>can be effective as part of</w:t>
      </w:r>
      <w:r>
        <w:t xml:space="preserve"> a</w:t>
      </w:r>
      <w:r w:rsidRPr="00BF2780">
        <w:t xml:space="preserve"> combin</w:t>
      </w:r>
      <w:r>
        <w:t xml:space="preserve">ed </w:t>
      </w:r>
      <w:r w:rsidRPr="00015AE3">
        <w:t xml:space="preserve">approach </w:t>
      </w:r>
      <w:r w:rsidRPr="00BF2780">
        <w:t>and</w:t>
      </w:r>
      <w:r>
        <w:t xml:space="preserve"> integration with </w:t>
      </w:r>
      <w:r w:rsidRPr="00015AE3">
        <w:t>more holistic strategies</w:t>
      </w:r>
      <w:r>
        <w:t xml:space="preserve">. </w:t>
      </w:r>
      <w:r w:rsidRPr="00015AE3">
        <w:t xml:space="preserve">Recommendations for the use of </w:t>
      </w:r>
      <w:r w:rsidR="001746A4" w:rsidRPr="00015AE3">
        <w:t>knowledge-based</w:t>
      </w:r>
      <w:r w:rsidRPr="00015AE3">
        <w:t xml:space="preserve"> approaches are also mixed</w:t>
      </w:r>
      <w:r>
        <w:t>, and</w:t>
      </w:r>
      <w:r w:rsidRPr="00015AE3">
        <w:t xml:space="preserve"> most </w:t>
      </w:r>
      <w:r>
        <w:t>guidelines</w:t>
      </w:r>
      <w:r w:rsidRPr="00015AE3">
        <w:t xml:space="preserve"> recommend against the use of knowledge</w:t>
      </w:r>
      <w:r>
        <w:t>-</w:t>
      </w:r>
      <w:r w:rsidRPr="00015AE3">
        <w:t>only approaches</w:t>
      </w:r>
      <w:r>
        <w:t xml:space="preserve"> (see Table </w:t>
      </w:r>
      <w:r w:rsidR="00714DF0">
        <w:t>3-</w:t>
      </w:r>
      <w:r w:rsidR="00FC1DE2">
        <w:t>7</w:t>
      </w:r>
      <w:r>
        <w:t xml:space="preserve">). </w:t>
      </w:r>
    </w:p>
    <w:p w14:paraId="1AD92896" w14:textId="0D75A9A4" w:rsidR="007B6EA9" w:rsidRPr="00F62806" w:rsidRDefault="007B6EA9" w:rsidP="007B6EA9">
      <w:pPr>
        <w:pStyle w:val="Heading3"/>
      </w:pPr>
      <w:bookmarkStart w:id="236" w:name="_Toc35892568"/>
      <w:r>
        <w:t>Mass media</w:t>
      </w:r>
      <w:bookmarkEnd w:id="236"/>
      <w:r>
        <w:t xml:space="preserve"> </w:t>
      </w:r>
    </w:p>
    <w:p w14:paraId="79DC5DC9" w14:textId="450BDE27" w:rsidR="00FB7B83" w:rsidRDefault="007B6EA9" w:rsidP="00D378FB">
      <w:pPr>
        <w:spacing w:line="480" w:lineRule="auto"/>
      </w:pPr>
      <w:r w:rsidRPr="007D6C16">
        <w:t xml:space="preserve">Mass media campaigns are universal prevention activities that raise awareness about the dangers of using drugs to persuade people to avoid taking them. The advantage of mass media approaches is their ability to disseminate simple messages to a large number of people at </w:t>
      </w:r>
      <w:r w:rsidR="00545318">
        <w:t xml:space="preserve">a </w:t>
      </w:r>
      <w:r w:rsidRPr="007D6C16">
        <w:t xml:space="preserve">relatively low cost her head. Typically, they are implemented via television, radio, newspapers, magazines, posters or online. The intuitive appeal of mass media campaigns and success with other health risk behaviours has encouraged their use, but not without controversy. Mass media campaigns have been consistently been found to be ineffective and sometimes associated with counter-productive effects. </w:t>
      </w:r>
    </w:p>
    <w:p w14:paraId="1E3370A2" w14:textId="77777777" w:rsidR="00FB7B83" w:rsidRDefault="00FB7B83">
      <w:r>
        <w:br w:type="page"/>
      </w:r>
    </w:p>
    <w:p w14:paraId="70C9503B" w14:textId="1C51D740" w:rsidR="007B6EA9" w:rsidRPr="003171C5" w:rsidRDefault="007B6EA9" w:rsidP="00D378FB">
      <w:pPr>
        <w:pStyle w:val="TableHeader"/>
        <w:spacing w:line="240" w:lineRule="auto"/>
        <w:rPr>
          <w:b/>
        </w:rPr>
      </w:pPr>
      <w:bookmarkStart w:id="237" w:name="_Toc9509038"/>
      <w:r w:rsidRPr="003171C5">
        <w:rPr>
          <w:b/>
        </w:rPr>
        <w:t xml:space="preserve">Table </w:t>
      </w:r>
      <w:r w:rsidR="003171C5">
        <w:rPr>
          <w:b/>
        </w:rPr>
        <w:t>3-</w:t>
      </w:r>
      <w:r w:rsidR="00FC1DE2">
        <w:rPr>
          <w:b/>
        </w:rPr>
        <w:t>7</w:t>
      </w:r>
      <w:r w:rsidRPr="003171C5">
        <w:rPr>
          <w:b/>
        </w:rPr>
        <w:t>. Evidence of effectiveness and recommendations for the use of knowledge-based interventions</w:t>
      </w:r>
      <w:bookmarkEnd w:id="237"/>
    </w:p>
    <w:tbl>
      <w:tblPr>
        <w:tblStyle w:val="TableGrid"/>
        <w:tblW w:w="0" w:type="auto"/>
        <w:tblLook w:val="04A0" w:firstRow="1" w:lastRow="0" w:firstColumn="1" w:lastColumn="0" w:noHBand="0" w:noVBand="1"/>
      </w:tblPr>
      <w:tblGrid>
        <w:gridCol w:w="2789"/>
        <w:gridCol w:w="1799"/>
        <w:gridCol w:w="4451"/>
        <w:gridCol w:w="25"/>
      </w:tblGrid>
      <w:tr w:rsidR="007B6EA9" w:rsidRPr="00F9373F" w14:paraId="7F8653BA" w14:textId="77777777" w:rsidTr="009E41B3">
        <w:trPr>
          <w:trHeight w:val="430"/>
        </w:trPr>
        <w:tc>
          <w:tcPr>
            <w:tcW w:w="2789" w:type="dxa"/>
            <w:tcBorders>
              <w:top w:val="single" w:sz="8" w:space="0" w:color="auto"/>
              <w:left w:val="nil"/>
              <w:bottom w:val="single" w:sz="8" w:space="0" w:color="auto"/>
              <w:right w:val="nil"/>
            </w:tcBorders>
            <w:vAlign w:val="center"/>
          </w:tcPr>
          <w:p w14:paraId="7617D68D" w14:textId="77777777" w:rsidR="007B6EA9" w:rsidRPr="00F9373F" w:rsidRDefault="007B6EA9" w:rsidP="007B6EA9">
            <w:pPr>
              <w:rPr>
                <w:b/>
                <w:szCs w:val="24"/>
              </w:rPr>
            </w:pPr>
            <w:r>
              <w:rPr>
                <w:b/>
                <w:szCs w:val="24"/>
              </w:rPr>
              <w:t>Knowledge-based</w:t>
            </w:r>
          </w:p>
        </w:tc>
        <w:tc>
          <w:tcPr>
            <w:tcW w:w="6275" w:type="dxa"/>
            <w:gridSpan w:val="3"/>
            <w:tcBorders>
              <w:top w:val="single" w:sz="8" w:space="0" w:color="auto"/>
              <w:left w:val="nil"/>
              <w:bottom w:val="single" w:sz="8" w:space="0" w:color="auto"/>
              <w:right w:val="nil"/>
            </w:tcBorders>
            <w:vAlign w:val="center"/>
          </w:tcPr>
          <w:p w14:paraId="0B8EC774" w14:textId="77777777" w:rsidR="007B6EA9" w:rsidRPr="00F9373F" w:rsidRDefault="007B6EA9" w:rsidP="007B6EA9">
            <w:pPr>
              <w:rPr>
                <w:b/>
                <w:szCs w:val="24"/>
              </w:rPr>
            </w:pPr>
          </w:p>
        </w:tc>
      </w:tr>
      <w:tr w:rsidR="007B6EA9" w:rsidRPr="001D0827" w14:paraId="3BE03E2C" w14:textId="77777777" w:rsidTr="00FB7B83">
        <w:trPr>
          <w:trHeight w:val="11955"/>
        </w:trPr>
        <w:tc>
          <w:tcPr>
            <w:tcW w:w="4588" w:type="dxa"/>
            <w:gridSpan w:val="2"/>
            <w:tcBorders>
              <w:top w:val="single" w:sz="8" w:space="0" w:color="auto"/>
              <w:left w:val="nil"/>
              <w:bottom w:val="single" w:sz="4" w:space="0" w:color="auto"/>
              <w:right w:val="nil"/>
            </w:tcBorders>
          </w:tcPr>
          <w:p w14:paraId="5F46F550" w14:textId="77777777" w:rsidR="007B6EA9" w:rsidRPr="001D0827" w:rsidRDefault="007B6EA9" w:rsidP="007B6EA9">
            <w:pPr>
              <w:pStyle w:val="Notesstructure"/>
              <w:rPr>
                <w:b/>
                <w:color w:val="auto"/>
                <w:sz w:val="22"/>
              </w:rPr>
            </w:pPr>
            <w:r w:rsidRPr="001D0827">
              <w:rPr>
                <w:b/>
                <w:color w:val="auto"/>
                <w:sz w:val="22"/>
              </w:rPr>
              <w:t>Effective:</w:t>
            </w:r>
          </w:p>
          <w:p w14:paraId="403DE9E2" w14:textId="77777777" w:rsidR="007B6EA9" w:rsidRPr="001D0827" w:rsidRDefault="007B6EA9" w:rsidP="00C92BD2">
            <w:pPr>
              <w:pStyle w:val="Notesstructure"/>
              <w:numPr>
                <w:ilvl w:val="0"/>
                <w:numId w:val="5"/>
              </w:numPr>
              <w:spacing w:line="360" w:lineRule="auto"/>
              <w:ind w:left="714" w:hanging="357"/>
              <w:rPr>
                <w:color w:val="auto"/>
                <w:sz w:val="22"/>
              </w:rPr>
            </w:pPr>
            <w:r w:rsidRPr="001D0827">
              <w:rPr>
                <w:color w:val="auto"/>
                <w:sz w:val="22"/>
              </w:rPr>
              <w:t xml:space="preserve">Knowledge based interventions have been effective </w:t>
            </w:r>
            <w:r>
              <w:rPr>
                <w:color w:val="auto"/>
                <w:sz w:val="22"/>
              </w:rPr>
              <w:t>when</w:t>
            </w:r>
            <w:r w:rsidRPr="001D0827">
              <w:rPr>
                <w:color w:val="auto"/>
                <w:sz w:val="22"/>
              </w:rPr>
              <w:t xml:space="preserve"> part of a combined approach </w:t>
            </w:r>
            <w:r w:rsidRPr="005278DA">
              <w:rPr>
                <w:color w:val="auto"/>
                <w:sz w:val="22"/>
                <w:vertAlign w:val="superscript"/>
              </w:rPr>
              <w:t>[</w:t>
            </w:r>
            <w:r>
              <w:rPr>
                <w:color w:val="auto"/>
                <w:sz w:val="22"/>
                <w:vertAlign w:val="superscript"/>
              </w:rPr>
              <w:t>C</w:t>
            </w:r>
            <w:r w:rsidRPr="005278DA">
              <w:rPr>
                <w:color w:val="auto"/>
                <w:sz w:val="22"/>
                <w:vertAlign w:val="superscript"/>
              </w:rPr>
              <w:t>][</w:t>
            </w:r>
            <w:r>
              <w:rPr>
                <w:color w:val="auto"/>
                <w:sz w:val="22"/>
                <w:vertAlign w:val="superscript"/>
              </w:rPr>
              <w:t>E</w:t>
            </w:r>
            <w:r w:rsidRPr="001D0827">
              <w:rPr>
                <w:color w:val="auto"/>
                <w:sz w:val="22"/>
                <w:vertAlign w:val="superscript"/>
              </w:rPr>
              <w:t>]</w:t>
            </w:r>
          </w:p>
          <w:p w14:paraId="22426B8E" w14:textId="77777777" w:rsidR="007B6EA9" w:rsidRPr="001D0827" w:rsidRDefault="007B6EA9" w:rsidP="00C92BD2">
            <w:pPr>
              <w:pStyle w:val="Notesstructure"/>
              <w:numPr>
                <w:ilvl w:val="0"/>
                <w:numId w:val="5"/>
              </w:numPr>
              <w:spacing w:line="360" w:lineRule="auto"/>
              <w:rPr>
                <w:color w:val="auto"/>
                <w:sz w:val="22"/>
              </w:rPr>
            </w:pPr>
            <w:r w:rsidRPr="001D0827">
              <w:rPr>
                <w:color w:val="auto"/>
                <w:sz w:val="22"/>
              </w:rPr>
              <w:t xml:space="preserve">Drug-specific </w:t>
            </w:r>
            <w:r>
              <w:rPr>
                <w:color w:val="auto"/>
                <w:sz w:val="22"/>
              </w:rPr>
              <w:t>knowledge</w:t>
            </w:r>
            <w:r w:rsidRPr="001D0827">
              <w:rPr>
                <w:color w:val="auto"/>
                <w:sz w:val="22"/>
              </w:rPr>
              <w:t xml:space="preserve"> h</w:t>
            </w:r>
            <w:r>
              <w:rPr>
                <w:color w:val="auto"/>
                <w:sz w:val="22"/>
              </w:rPr>
              <w:t>as</w:t>
            </w:r>
            <w:r w:rsidRPr="001D0827">
              <w:rPr>
                <w:color w:val="auto"/>
                <w:sz w:val="22"/>
              </w:rPr>
              <w:t xml:space="preserve"> been beneficial for at risk young people when embedded in a more holistic strategy </w:t>
            </w:r>
            <w:r w:rsidRPr="001D0827">
              <w:rPr>
                <w:color w:val="auto"/>
                <w:sz w:val="22"/>
                <w:vertAlign w:val="superscript"/>
              </w:rPr>
              <w:t>[</w:t>
            </w:r>
            <w:r>
              <w:rPr>
                <w:color w:val="auto"/>
                <w:sz w:val="22"/>
                <w:vertAlign w:val="superscript"/>
              </w:rPr>
              <w:t>A</w:t>
            </w:r>
            <w:r w:rsidRPr="001D0827">
              <w:rPr>
                <w:color w:val="auto"/>
                <w:sz w:val="22"/>
                <w:vertAlign w:val="superscript"/>
              </w:rPr>
              <w:t>]</w:t>
            </w:r>
          </w:p>
          <w:p w14:paraId="6924E200" w14:textId="77777777" w:rsidR="007B6EA9" w:rsidRPr="009455DA" w:rsidRDefault="007B6EA9" w:rsidP="00C92BD2">
            <w:pPr>
              <w:pStyle w:val="Notesstructure"/>
              <w:numPr>
                <w:ilvl w:val="0"/>
                <w:numId w:val="5"/>
              </w:numPr>
              <w:spacing w:line="360" w:lineRule="auto"/>
              <w:rPr>
                <w:color w:val="auto"/>
                <w:sz w:val="22"/>
              </w:rPr>
            </w:pPr>
            <w:r w:rsidRPr="001D0827">
              <w:rPr>
                <w:color w:val="auto"/>
                <w:sz w:val="22"/>
              </w:rPr>
              <w:t xml:space="preserve">Knowledge based interventions have been effective </w:t>
            </w:r>
            <w:r>
              <w:rPr>
                <w:color w:val="auto"/>
                <w:sz w:val="22"/>
              </w:rPr>
              <w:t>when</w:t>
            </w:r>
            <w:r w:rsidRPr="001D0827">
              <w:rPr>
                <w:color w:val="auto"/>
                <w:sz w:val="22"/>
              </w:rPr>
              <w:t xml:space="preserve"> </w:t>
            </w:r>
            <w:r>
              <w:rPr>
                <w:color w:val="auto"/>
                <w:sz w:val="22"/>
              </w:rPr>
              <w:t>using</w:t>
            </w:r>
            <w:r w:rsidRPr="001D0827">
              <w:rPr>
                <w:color w:val="auto"/>
                <w:sz w:val="22"/>
              </w:rPr>
              <w:t xml:space="preserve"> peer educators </w:t>
            </w:r>
            <w:r w:rsidRPr="001D0827">
              <w:rPr>
                <w:color w:val="auto"/>
                <w:sz w:val="22"/>
                <w:vertAlign w:val="superscript"/>
              </w:rPr>
              <w:t>[</w:t>
            </w:r>
            <w:r>
              <w:rPr>
                <w:color w:val="auto"/>
                <w:sz w:val="22"/>
                <w:vertAlign w:val="superscript"/>
              </w:rPr>
              <w:t>E</w:t>
            </w:r>
            <w:r w:rsidRPr="001D0827">
              <w:rPr>
                <w:color w:val="auto"/>
                <w:sz w:val="22"/>
                <w:vertAlign w:val="superscript"/>
              </w:rPr>
              <w:t>]</w:t>
            </w:r>
          </w:p>
          <w:p w14:paraId="43D96BD9" w14:textId="77777777" w:rsidR="007B6EA9" w:rsidRPr="001D0827" w:rsidRDefault="007B6EA9" w:rsidP="007B6EA9">
            <w:pPr>
              <w:pStyle w:val="Notesstructure"/>
              <w:rPr>
                <w:color w:val="auto"/>
                <w:sz w:val="22"/>
              </w:rPr>
            </w:pPr>
            <w:r w:rsidRPr="001D0827">
              <w:rPr>
                <w:b/>
                <w:color w:val="auto"/>
                <w:sz w:val="22"/>
              </w:rPr>
              <w:t>Ineffective:</w:t>
            </w:r>
          </w:p>
          <w:p w14:paraId="070B3369" w14:textId="77777777" w:rsidR="007B6EA9" w:rsidRPr="001D0827" w:rsidRDefault="007B6EA9" w:rsidP="00C92BD2">
            <w:pPr>
              <w:pStyle w:val="Notesstructure"/>
              <w:numPr>
                <w:ilvl w:val="0"/>
                <w:numId w:val="5"/>
              </w:numPr>
              <w:spacing w:line="360" w:lineRule="auto"/>
              <w:ind w:left="714" w:hanging="357"/>
              <w:rPr>
                <w:color w:val="auto"/>
                <w:sz w:val="22"/>
              </w:rPr>
            </w:pPr>
            <w:r w:rsidRPr="001D0827">
              <w:rPr>
                <w:color w:val="auto"/>
                <w:sz w:val="22"/>
              </w:rPr>
              <w:t xml:space="preserve">Evidence from several reviews and studies shows that information provision alone, or knowledge-based interventions are ineffective </w:t>
            </w:r>
            <w:r>
              <w:rPr>
                <w:color w:val="auto"/>
                <w:sz w:val="22"/>
                <w:vertAlign w:val="superscript"/>
              </w:rPr>
              <w:t>[A][B][C][E]</w:t>
            </w:r>
          </w:p>
          <w:p w14:paraId="53BFF2DF" w14:textId="77777777" w:rsidR="007B6EA9" w:rsidRPr="001D0827" w:rsidRDefault="007B6EA9" w:rsidP="00C92BD2">
            <w:pPr>
              <w:pStyle w:val="Notesstructure"/>
              <w:numPr>
                <w:ilvl w:val="0"/>
                <w:numId w:val="5"/>
              </w:numPr>
              <w:spacing w:line="360" w:lineRule="auto"/>
              <w:rPr>
                <w:color w:val="auto"/>
                <w:sz w:val="22"/>
              </w:rPr>
            </w:pPr>
            <w:r w:rsidRPr="001D0827">
              <w:rPr>
                <w:color w:val="auto"/>
                <w:sz w:val="22"/>
              </w:rPr>
              <w:t xml:space="preserve">Knowledge based interventions have been </w:t>
            </w:r>
            <w:r>
              <w:rPr>
                <w:color w:val="auto"/>
                <w:sz w:val="22"/>
              </w:rPr>
              <w:t>in</w:t>
            </w:r>
            <w:r w:rsidRPr="001D0827">
              <w:rPr>
                <w:color w:val="auto"/>
                <w:sz w:val="22"/>
              </w:rPr>
              <w:t xml:space="preserve">effective </w:t>
            </w:r>
            <w:r>
              <w:rPr>
                <w:color w:val="auto"/>
                <w:sz w:val="22"/>
              </w:rPr>
              <w:t>when</w:t>
            </w:r>
            <w:r w:rsidRPr="001D0827">
              <w:rPr>
                <w:color w:val="auto"/>
                <w:sz w:val="22"/>
              </w:rPr>
              <w:t xml:space="preserve"> </w:t>
            </w:r>
            <w:r>
              <w:rPr>
                <w:color w:val="auto"/>
                <w:sz w:val="22"/>
              </w:rPr>
              <w:t>using</w:t>
            </w:r>
            <w:r w:rsidRPr="001D0827">
              <w:rPr>
                <w:color w:val="auto"/>
                <w:sz w:val="22"/>
              </w:rPr>
              <w:t xml:space="preserve"> adult educators </w:t>
            </w:r>
            <w:r w:rsidRPr="001D0827">
              <w:rPr>
                <w:color w:val="auto"/>
                <w:sz w:val="22"/>
                <w:vertAlign w:val="superscript"/>
              </w:rPr>
              <w:t>[</w:t>
            </w:r>
            <w:r>
              <w:rPr>
                <w:color w:val="auto"/>
                <w:sz w:val="22"/>
                <w:vertAlign w:val="superscript"/>
              </w:rPr>
              <w:t>D</w:t>
            </w:r>
            <w:r w:rsidRPr="001D0827">
              <w:rPr>
                <w:color w:val="auto"/>
                <w:sz w:val="22"/>
                <w:vertAlign w:val="superscript"/>
              </w:rPr>
              <w:t>]</w:t>
            </w:r>
          </w:p>
          <w:p w14:paraId="05D549E7" w14:textId="77777777" w:rsidR="007B6EA9" w:rsidRDefault="007B6EA9" w:rsidP="00C92BD2">
            <w:pPr>
              <w:pStyle w:val="Notesstructure"/>
              <w:numPr>
                <w:ilvl w:val="0"/>
                <w:numId w:val="5"/>
              </w:numPr>
              <w:spacing w:line="360" w:lineRule="auto"/>
              <w:rPr>
                <w:color w:val="auto"/>
                <w:sz w:val="22"/>
              </w:rPr>
            </w:pPr>
            <w:r w:rsidRPr="001D0827">
              <w:rPr>
                <w:color w:val="auto"/>
                <w:sz w:val="22"/>
              </w:rPr>
              <w:t xml:space="preserve">Knowledge based interventions have been </w:t>
            </w:r>
            <w:r>
              <w:rPr>
                <w:color w:val="auto"/>
                <w:sz w:val="22"/>
              </w:rPr>
              <w:t>in</w:t>
            </w:r>
            <w:r w:rsidRPr="001D0827">
              <w:rPr>
                <w:color w:val="auto"/>
                <w:sz w:val="22"/>
              </w:rPr>
              <w:t xml:space="preserve">effective </w:t>
            </w:r>
            <w:r>
              <w:rPr>
                <w:color w:val="auto"/>
                <w:sz w:val="22"/>
              </w:rPr>
              <w:t>when</w:t>
            </w:r>
            <w:r w:rsidRPr="001D0827">
              <w:rPr>
                <w:color w:val="auto"/>
                <w:sz w:val="22"/>
              </w:rPr>
              <w:t xml:space="preserve"> </w:t>
            </w:r>
            <w:r>
              <w:rPr>
                <w:color w:val="auto"/>
                <w:sz w:val="22"/>
              </w:rPr>
              <w:t>using</w:t>
            </w:r>
            <w:r w:rsidRPr="001D0827">
              <w:rPr>
                <w:color w:val="auto"/>
                <w:sz w:val="22"/>
              </w:rPr>
              <w:t xml:space="preserve"> </w:t>
            </w:r>
            <w:r>
              <w:rPr>
                <w:color w:val="auto"/>
                <w:sz w:val="22"/>
              </w:rPr>
              <w:t>peer</w:t>
            </w:r>
            <w:r w:rsidRPr="001D0827">
              <w:rPr>
                <w:color w:val="auto"/>
                <w:sz w:val="22"/>
              </w:rPr>
              <w:t xml:space="preserve"> educators</w:t>
            </w:r>
            <w:r>
              <w:rPr>
                <w:color w:val="auto"/>
                <w:sz w:val="22"/>
              </w:rPr>
              <w:t xml:space="preserve"> with high risk </w:t>
            </w:r>
            <w:r w:rsidRPr="001D0827">
              <w:rPr>
                <w:color w:val="auto"/>
                <w:sz w:val="22"/>
              </w:rPr>
              <w:t xml:space="preserve">groups </w:t>
            </w:r>
            <w:r w:rsidRPr="001D0827">
              <w:rPr>
                <w:color w:val="auto"/>
                <w:sz w:val="22"/>
                <w:vertAlign w:val="superscript"/>
              </w:rPr>
              <w:t>[</w:t>
            </w:r>
            <w:r>
              <w:rPr>
                <w:color w:val="auto"/>
                <w:sz w:val="22"/>
                <w:vertAlign w:val="superscript"/>
              </w:rPr>
              <w:t>E</w:t>
            </w:r>
            <w:r w:rsidRPr="001D0827">
              <w:rPr>
                <w:color w:val="auto"/>
                <w:sz w:val="22"/>
                <w:vertAlign w:val="superscript"/>
              </w:rPr>
              <w:t>]</w:t>
            </w:r>
            <w:r>
              <w:rPr>
                <w:color w:val="auto"/>
                <w:sz w:val="22"/>
              </w:rPr>
              <w:t xml:space="preserve"> </w:t>
            </w:r>
          </w:p>
          <w:p w14:paraId="6280E42E" w14:textId="77777777" w:rsidR="007B6EA9" w:rsidRPr="001D0827" w:rsidRDefault="007B6EA9" w:rsidP="007B6EA9">
            <w:pPr>
              <w:pStyle w:val="Notesstructure"/>
              <w:rPr>
                <w:color w:val="auto"/>
                <w:sz w:val="22"/>
              </w:rPr>
            </w:pPr>
            <w:r w:rsidRPr="001D0827">
              <w:rPr>
                <w:b/>
                <w:color w:val="auto"/>
                <w:sz w:val="22"/>
              </w:rPr>
              <w:t>Harmful:</w:t>
            </w:r>
          </w:p>
          <w:p w14:paraId="05BE9A92" w14:textId="77777777" w:rsidR="007B6EA9" w:rsidRPr="009455DA" w:rsidRDefault="007B6EA9" w:rsidP="00C92BD2">
            <w:pPr>
              <w:pStyle w:val="Notesstructure"/>
              <w:numPr>
                <w:ilvl w:val="0"/>
                <w:numId w:val="5"/>
              </w:numPr>
              <w:spacing w:line="360" w:lineRule="auto"/>
              <w:ind w:left="714" w:hanging="357"/>
              <w:rPr>
                <w:color w:val="auto"/>
                <w:sz w:val="22"/>
                <w:vertAlign w:val="superscript"/>
              </w:rPr>
            </w:pPr>
            <w:r w:rsidRPr="001D0827">
              <w:rPr>
                <w:color w:val="auto"/>
                <w:sz w:val="22"/>
              </w:rPr>
              <w:t xml:space="preserve">Knowledge based interventions have been found to be counterproductive within universal approaches to drug prevention </w:t>
            </w:r>
            <w:r w:rsidRPr="001D0827">
              <w:rPr>
                <w:color w:val="auto"/>
                <w:sz w:val="22"/>
                <w:vertAlign w:val="superscript"/>
              </w:rPr>
              <w:t>[</w:t>
            </w:r>
            <w:r>
              <w:rPr>
                <w:color w:val="auto"/>
                <w:sz w:val="22"/>
                <w:vertAlign w:val="superscript"/>
              </w:rPr>
              <w:t>B</w:t>
            </w:r>
            <w:r w:rsidRPr="001D0827">
              <w:rPr>
                <w:color w:val="auto"/>
                <w:sz w:val="22"/>
                <w:vertAlign w:val="superscript"/>
              </w:rPr>
              <w:t>].</w:t>
            </w:r>
            <w:r w:rsidRPr="001D0827">
              <w:rPr>
                <w:color w:val="auto"/>
                <w:sz w:val="22"/>
              </w:rPr>
              <w:t xml:space="preserve"> </w:t>
            </w:r>
          </w:p>
        </w:tc>
        <w:tc>
          <w:tcPr>
            <w:tcW w:w="4476" w:type="dxa"/>
            <w:gridSpan w:val="2"/>
            <w:tcBorders>
              <w:top w:val="single" w:sz="8" w:space="0" w:color="auto"/>
              <w:left w:val="nil"/>
              <w:bottom w:val="single" w:sz="4" w:space="0" w:color="auto"/>
              <w:right w:val="nil"/>
            </w:tcBorders>
          </w:tcPr>
          <w:p w14:paraId="7C3C8F0E" w14:textId="77777777" w:rsidR="007B6EA9" w:rsidRPr="001F7D98" w:rsidRDefault="007B6EA9" w:rsidP="007B6EA9">
            <w:pPr>
              <w:pStyle w:val="Notesstructure"/>
              <w:rPr>
                <w:b/>
                <w:color w:val="auto"/>
                <w:sz w:val="22"/>
              </w:rPr>
            </w:pPr>
            <w:r w:rsidRPr="001F7D98">
              <w:rPr>
                <w:b/>
                <w:color w:val="auto"/>
                <w:sz w:val="22"/>
              </w:rPr>
              <w:t>Recommended:</w:t>
            </w:r>
          </w:p>
          <w:p w14:paraId="3A48F8E2" w14:textId="77777777" w:rsidR="007B6EA9" w:rsidRPr="00C439E5" w:rsidRDefault="007B6EA9" w:rsidP="00C92BD2">
            <w:pPr>
              <w:pStyle w:val="Notesstructure"/>
              <w:numPr>
                <w:ilvl w:val="0"/>
                <w:numId w:val="16"/>
              </w:numPr>
              <w:spacing w:line="360" w:lineRule="auto"/>
              <w:ind w:left="714" w:hanging="357"/>
              <w:rPr>
                <w:color w:val="auto"/>
                <w:sz w:val="22"/>
                <w:szCs w:val="22"/>
              </w:rPr>
            </w:pPr>
            <w:bookmarkStart w:id="238" w:name="OLE_LINK1"/>
            <w:r>
              <w:rPr>
                <w:color w:val="auto"/>
                <w:sz w:val="22"/>
                <w:szCs w:val="22"/>
              </w:rPr>
              <w:t>ACMD Recommend mass-media-based prevention work to inform young people of the hazards of drug use</w:t>
            </w:r>
          </w:p>
          <w:bookmarkEnd w:id="238"/>
          <w:p w14:paraId="1C80C60D" w14:textId="77777777" w:rsidR="007B6EA9" w:rsidRPr="00A04632" w:rsidRDefault="007B6EA9" w:rsidP="00C92BD2">
            <w:pPr>
              <w:pStyle w:val="Notesstructure"/>
              <w:numPr>
                <w:ilvl w:val="0"/>
                <w:numId w:val="16"/>
              </w:numPr>
              <w:spacing w:line="360" w:lineRule="auto"/>
              <w:ind w:left="714" w:hanging="357"/>
              <w:rPr>
                <w:color w:val="auto"/>
                <w:sz w:val="22"/>
                <w:szCs w:val="22"/>
              </w:rPr>
            </w:pPr>
            <w:r>
              <w:rPr>
                <w:color w:val="auto"/>
                <w:sz w:val="22"/>
              </w:rPr>
              <w:t xml:space="preserve">Mentor-ADEPIS recommend teaching risks and consequences of use </w:t>
            </w:r>
          </w:p>
          <w:p w14:paraId="4DFD2487" w14:textId="77777777" w:rsidR="007B6EA9" w:rsidRDefault="007B6EA9" w:rsidP="00C92BD2">
            <w:pPr>
              <w:pStyle w:val="Notesstructure"/>
              <w:numPr>
                <w:ilvl w:val="0"/>
                <w:numId w:val="16"/>
              </w:numPr>
              <w:spacing w:line="360" w:lineRule="auto"/>
              <w:rPr>
                <w:color w:val="auto"/>
                <w:sz w:val="22"/>
              </w:rPr>
            </w:pPr>
            <w:r w:rsidRPr="001D0827">
              <w:rPr>
                <w:color w:val="auto"/>
                <w:sz w:val="22"/>
              </w:rPr>
              <w:t>NICE recommend use of drug-specific education as part of a wider strategy</w:t>
            </w:r>
          </w:p>
          <w:p w14:paraId="036F388C" w14:textId="77777777" w:rsidR="007B6EA9" w:rsidRPr="00B14A5C" w:rsidRDefault="007B6EA9" w:rsidP="00C92BD2">
            <w:pPr>
              <w:pStyle w:val="Notesstructure"/>
              <w:numPr>
                <w:ilvl w:val="0"/>
                <w:numId w:val="16"/>
              </w:numPr>
              <w:spacing w:line="360" w:lineRule="auto"/>
              <w:rPr>
                <w:color w:val="auto"/>
                <w:sz w:val="22"/>
              </w:rPr>
            </w:pPr>
            <w:r w:rsidRPr="001D0827">
              <w:rPr>
                <w:color w:val="auto"/>
                <w:sz w:val="22"/>
              </w:rPr>
              <w:t xml:space="preserve">NICE recommend use of drug-specific </w:t>
            </w:r>
            <w:r>
              <w:rPr>
                <w:color w:val="auto"/>
                <w:sz w:val="22"/>
              </w:rPr>
              <w:t>information</w:t>
            </w:r>
            <w:r w:rsidRPr="001D0827">
              <w:rPr>
                <w:color w:val="auto"/>
                <w:sz w:val="22"/>
              </w:rPr>
              <w:t xml:space="preserve"> and advice </w:t>
            </w:r>
            <w:r>
              <w:rPr>
                <w:color w:val="auto"/>
                <w:sz w:val="22"/>
              </w:rPr>
              <w:t>for</w:t>
            </w:r>
            <w:r w:rsidRPr="001D0827">
              <w:rPr>
                <w:color w:val="auto"/>
                <w:sz w:val="22"/>
              </w:rPr>
              <w:t xml:space="preserve"> at</w:t>
            </w:r>
            <w:r>
              <w:rPr>
                <w:color w:val="auto"/>
                <w:sz w:val="22"/>
              </w:rPr>
              <w:t>-</w:t>
            </w:r>
            <w:r w:rsidRPr="001D0827">
              <w:rPr>
                <w:color w:val="auto"/>
                <w:sz w:val="22"/>
              </w:rPr>
              <w:t>risk</w:t>
            </w:r>
            <w:r>
              <w:rPr>
                <w:color w:val="auto"/>
                <w:sz w:val="22"/>
              </w:rPr>
              <w:t xml:space="preserve"> </w:t>
            </w:r>
            <w:r w:rsidRPr="00B14A5C">
              <w:rPr>
                <w:color w:val="auto"/>
                <w:sz w:val="22"/>
              </w:rPr>
              <w:t xml:space="preserve">18+ </w:t>
            </w:r>
          </w:p>
          <w:p w14:paraId="0B64F379" w14:textId="77777777" w:rsidR="007B6EA9" w:rsidRPr="001F7D98" w:rsidRDefault="007B6EA9" w:rsidP="007B6EA9">
            <w:pPr>
              <w:pStyle w:val="Notesstructure"/>
              <w:rPr>
                <w:b/>
                <w:color w:val="auto"/>
                <w:sz w:val="22"/>
              </w:rPr>
            </w:pPr>
            <w:r w:rsidRPr="001F7D98">
              <w:rPr>
                <w:b/>
                <w:color w:val="auto"/>
                <w:sz w:val="22"/>
              </w:rPr>
              <w:t>Not recommended:</w:t>
            </w:r>
          </w:p>
          <w:p w14:paraId="3ADD1265" w14:textId="77777777" w:rsidR="007B6EA9" w:rsidRPr="001D0827" w:rsidRDefault="007B6EA9" w:rsidP="00C92BD2">
            <w:pPr>
              <w:pStyle w:val="Notesstructure"/>
              <w:numPr>
                <w:ilvl w:val="0"/>
                <w:numId w:val="16"/>
              </w:numPr>
              <w:spacing w:line="360" w:lineRule="auto"/>
              <w:ind w:left="714" w:hanging="357"/>
              <w:rPr>
                <w:color w:val="auto"/>
                <w:sz w:val="22"/>
              </w:rPr>
            </w:pPr>
            <w:r w:rsidRPr="001D0827">
              <w:rPr>
                <w:color w:val="auto"/>
                <w:sz w:val="22"/>
              </w:rPr>
              <w:t>ACMD advise against use of drug-specific education.</w:t>
            </w:r>
          </w:p>
          <w:p w14:paraId="4E177153" w14:textId="77777777" w:rsidR="007B6EA9" w:rsidRPr="001D0827" w:rsidRDefault="007B6EA9" w:rsidP="00C92BD2">
            <w:pPr>
              <w:pStyle w:val="Notesstructure"/>
              <w:numPr>
                <w:ilvl w:val="0"/>
                <w:numId w:val="16"/>
              </w:numPr>
              <w:spacing w:line="360" w:lineRule="auto"/>
              <w:rPr>
                <w:color w:val="auto"/>
                <w:sz w:val="22"/>
              </w:rPr>
            </w:pPr>
            <w:r w:rsidRPr="001D0827">
              <w:rPr>
                <w:color w:val="auto"/>
                <w:sz w:val="22"/>
              </w:rPr>
              <w:t>EMCDDA advise against awareness raising approaches.</w:t>
            </w:r>
          </w:p>
          <w:p w14:paraId="746365AD" w14:textId="77777777" w:rsidR="007B6EA9" w:rsidRPr="001D0827" w:rsidRDefault="007B6EA9" w:rsidP="00C92BD2">
            <w:pPr>
              <w:pStyle w:val="Notesstructure"/>
              <w:numPr>
                <w:ilvl w:val="0"/>
                <w:numId w:val="16"/>
              </w:numPr>
              <w:spacing w:line="360" w:lineRule="auto"/>
              <w:rPr>
                <w:color w:val="auto"/>
                <w:sz w:val="22"/>
              </w:rPr>
            </w:pPr>
            <w:r w:rsidRPr="001D0827">
              <w:rPr>
                <w:color w:val="auto"/>
                <w:sz w:val="22"/>
              </w:rPr>
              <w:t xml:space="preserve">HM Government does not recommend the use of knowledge-only approaches </w:t>
            </w:r>
          </w:p>
          <w:p w14:paraId="24408699" w14:textId="77777777" w:rsidR="007B6EA9" w:rsidRPr="00DD2858" w:rsidRDefault="007B6EA9" w:rsidP="00C92BD2">
            <w:pPr>
              <w:pStyle w:val="Notesstructure"/>
              <w:numPr>
                <w:ilvl w:val="0"/>
                <w:numId w:val="16"/>
              </w:numPr>
              <w:spacing w:line="360" w:lineRule="auto"/>
              <w:rPr>
                <w:color w:val="auto"/>
                <w:sz w:val="22"/>
              </w:rPr>
            </w:pPr>
            <w:r>
              <w:rPr>
                <w:color w:val="auto"/>
                <w:sz w:val="22"/>
              </w:rPr>
              <w:t>Mentor-ADEPIS</w:t>
            </w:r>
            <w:r w:rsidRPr="001D0827">
              <w:rPr>
                <w:color w:val="auto"/>
                <w:sz w:val="22"/>
              </w:rPr>
              <w:t xml:space="preserve"> advise against use of </w:t>
            </w:r>
            <w:r>
              <w:rPr>
                <w:color w:val="auto"/>
                <w:sz w:val="22"/>
              </w:rPr>
              <w:t xml:space="preserve">stand-alone information </w:t>
            </w:r>
          </w:p>
          <w:p w14:paraId="5A787306" w14:textId="77777777" w:rsidR="007B6EA9" w:rsidRDefault="007B6EA9" w:rsidP="00C92BD2">
            <w:pPr>
              <w:pStyle w:val="Notesstructure"/>
              <w:numPr>
                <w:ilvl w:val="0"/>
                <w:numId w:val="16"/>
              </w:numPr>
              <w:spacing w:line="360" w:lineRule="auto"/>
              <w:rPr>
                <w:color w:val="auto"/>
                <w:sz w:val="22"/>
              </w:rPr>
            </w:pPr>
            <w:r w:rsidRPr="001D0827">
              <w:rPr>
                <w:color w:val="auto"/>
                <w:sz w:val="22"/>
              </w:rPr>
              <w:t>Sheffield council does not recommend the use of knowledge-only approaches</w:t>
            </w:r>
          </w:p>
          <w:p w14:paraId="59E1860B" w14:textId="77777777" w:rsidR="007B6EA9" w:rsidRPr="00B14A5C" w:rsidRDefault="007B6EA9" w:rsidP="00C92BD2">
            <w:pPr>
              <w:pStyle w:val="Notesstructure"/>
              <w:numPr>
                <w:ilvl w:val="0"/>
                <w:numId w:val="16"/>
              </w:numPr>
              <w:spacing w:line="360" w:lineRule="auto"/>
              <w:rPr>
                <w:color w:val="auto"/>
                <w:sz w:val="22"/>
              </w:rPr>
            </w:pPr>
            <w:r>
              <w:rPr>
                <w:color w:val="auto"/>
                <w:sz w:val="22"/>
              </w:rPr>
              <w:t>UNODC</w:t>
            </w:r>
            <w:r w:rsidRPr="001D0827">
              <w:rPr>
                <w:color w:val="auto"/>
                <w:sz w:val="22"/>
              </w:rPr>
              <w:t xml:space="preserve"> advise against us</w:t>
            </w:r>
            <w:r>
              <w:rPr>
                <w:color w:val="auto"/>
                <w:sz w:val="22"/>
              </w:rPr>
              <w:t>ing</w:t>
            </w:r>
            <w:r w:rsidRPr="001D0827">
              <w:rPr>
                <w:color w:val="auto"/>
                <w:sz w:val="22"/>
              </w:rPr>
              <w:t xml:space="preserve"> </w:t>
            </w:r>
            <w:r>
              <w:rPr>
                <w:color w:val="auto"/>
                <w:sz w:val="22"/>
              </w:rPr>
              <w:t>stand-alone information</w:t>
            </w:r>
          </w:p>
        </w:tc>
      </w:tr>
      <w:tr w:rsidR="009E41B3" w:rsidRPr="003F76C9" w14:paraId="330A05F0" w14:textId="77777777" w:rsidTr="009E4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Height w:hRule="exact" w:val="284"/>
        </w:trPr>
        <w:tc>
          <w:tcPr>
            <w:tcW w:w="9039" w:type="dxa"/>
            <w:gridSpan w:val="3"/>
          </w:tcPr>
          <w:p w14:paraId="4648137C" w14:textId="77777777" w:rsidR="009E41B3" w:rsidRPr="005135B8" w:rsidRDefault="009E41B3" w:rsidP="00443002">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56205FDA" w14:textId="77777777" w:rsidR="009E41B3" w:rsidRPr="005135B8" w:rsidRDefault="009E41B3" w:rsidP="00443002">
            <w:pPr>
              <w:pStyle w:val="Notesstructure"/>
              <w:spacing w:line="360" w:lineRule="auto"/>
              <w:rPr>
                <w:b/>
                <w:color w:val="auto"/>
                <w:sz w:val="2"/>
              </w:rPr>
            </w:pPr>
          </w:p>
        </w:tc>
      </w:tr>
    </w:tbl>
    <w:p w14:paraId="737F15F4" w14:textId="77777777" w:rsidR="00FB7B83" w:rsidRDefault="00FB7B83" w:rsidP="003171C5">
      <w:pPr>
        <w:pStyle w:val="TableHeader"/>
        <w:rPr>
          <w:b/>
        </w:rPr>
      </w:pPr>
    </w:p>
    <w:p w14:paraId="24BDE039" w14:textId="6D7A307E" w:rsidR="007B6EA9" w:rsidRPr="003171C5" w:rsidRDefault="007B6EA9" w:rsidP="003171C5">
      <w:pPr>
        <w:pStyle w:val="TableHeader"/>
        <w:rPr>
          <w:b/>
        </w:rPr>
      </w:pPr>
      <w:bookmarkStart w:id="239" w:name="_Toc9509039"/>
      <w:r w:rsidRPr="003171C5">
        <w:rPr>
          <w:b/>
        </w:rPr>
        <w:t xml:space="preserve">Table </w:t>
      </w:r>
      <w:r w:rsidR="003171C5">
        <w:rPr>
          <w:b/>
        </w:rPr>
        <w:t>3-</w:t>
      </w:r>
      <w:r w:rsidR="00FC1DE2">
        <w:rPr>
          <w:b/>
        </w:rPr>
        <w:t>8</w:t>
      </w:r>
      <w:r w:rsidRPr="003171C5">
        <w:rPr>
          <w:b/>
        </w:rPr>
        <w:t>. Effectiveness and recommendations for the use of mass media methods</w:t>
      </w:r>
      <w:bookmarkEnd w:id="239"/>
    </w:p>
    <w:tbl>
      <w:tblPr>
        <w:tblStyle w:val="TableGrid"/>
        <w:tblW w:w="9039" w:type="dxa"/>
        <w:tblLook w:val="04A0" w:firstRow="1" w:lastRow="0" w:firstColumn="1" w:lastColumn="0" w:noHBand="0" w:noVBand="1"/>
      </w:tblPr>
      <w:tblGrid>
        <w:gridCol w:w="2802"/>
        <w:gridCol w:w="1701"/>
        <w:gridCol w:w="4536"/>
      </w:tblGrid>
      <w:tr w:rsidR="007B6EA9" w:rsidRPr="00F9373F" w14:paraId="0F823ADA" w14:textId="77777777" w:rsidTr="007B6EA9">
        <w:trPr>
          <w:trHeight w:val="430"/>
        </w:trPr>
        <w:tc>
          <w:tcPr>
            <w:tcW w:w="2802" w:type="dxa"/>
            <w:tcBorders>
              <w:top w:val="single" w:sz="8" w:space="0" w:color="auto"/>
              <w:left w:val="nil"/>
              <w:bottom w:val="single" w:sz="8" w:space="0" w:color="auto"/>
              <w:right w:val="nil"/>
            </w:tcBorders>
            <w:vAlign w:val="center"/>
          </w:tcPr>
          <w:p w14:paraId="234FB410" w14:textId="77777777" w:rsidR="007B6EA9" w:rsidRPr="00F9373F" w:rsidRDefault="007B6EA9" w:rsidP="007B6EA9">
            <w:pPr>
              <w:rPr>
                <w:b/>
                <w:szCs w:val="24"/>
              </w:rPr>
            </w:pPr>
            <w:r>
              <w:rPr>
                <w:b/>
                <w:szCs w:val="24"/>
              </w:rPr>
              <w:t xml:space="preserve">Mass media campaigns </w:t>
            </w:r>
          </w:p>
        </w:tc>
        <w:tc>
          <w:tcPr>
            <w:tcW w:w="6237" w:type="dxa"/>
            <w:gridSpan w:val="2"/>
            <w:tcBorders>
              <w:top w:val="single" w:sz="8" w:space="0" w:color="auto"/>
              <w:left w:val="nil"/>
              <w:bottom w:val="single" w:sz="8" w:space="0" w:color="auto"/>
              <w:right w:val="nil"/>
            </w:tcBorders>
            <w:vAlign w:val="center"/>
          </w:tcPr>
          <w:p w14:paraId="43BB9CFC" w14:textId="77777777" w:rsidR="007B6EA9" w:rsidRPr="00F9373F" w:rsidRDefault="007B6EA9" w:rsidP="007B6EA9">
            <w:pPr>
              <w:rPr>
                <w:b/>
                <w:szCs w:val="24"/>
              </w:rPr>
            </w:pPr>
          </w:p>
        </w:tc>
      </w:tr>
      <w:tr w:rsidR="007B6EA9" w:rsidRPr="00982128" w14:paraId="3E7079EB" w14:textId="77777777" w:rsidTr="007B6EA9">
        <w:tc>
          <w:tcPr>
            <w:tcW w:w="4503" w:type="dxa"/>
            <w:gridSpan w:val="2"/>
            <w:tcBorders>
              <w:top w:val="single" w:sz="4" w:space="0" w:color="auto"/>
              <w:left w:val="nil"/>
              <w:bottom w:val="single" w:sz="4" w:space="0" w:color="auto"/>
              <w:right w:val="nil"/>
            </w:tcBorders>
          </w:tcPr>
          <w:p w14:paraId="121885BB" w14:textId="77777777" w:rsidR="007B6EA9" w:rsidRPr="00982128" w:rsidRDefault="007B6EA9" w:rsidP="007B6EA9">
            <w:pPr>
              <w:pStyle w:val="Notesstructure"/>
              <w:rPr>
                <w:b/>
                <w:color w:val="auto"/>
                <w:sz w:val="22"/>
              </w:rPr>
            </w:pPr>
            <w:r w:rsidRPr="00982128">
              <w:rPr>
                <w:b/>
                <w:color w:val="auto"/>
                <w:sz w:val="22"/>
              </w:rPr>
              <w:t>Effective:</w:t>
            </w:r>
          </w:p>
          <w:p w14:paraId="51CF03D1" w14:textId="77777777" w:rsidR="007B6EA9" w:rsidRPr="003E3CEC" w:rsidRDefault="007B6EA9" w:rsidP="00C92BD2">
            <w:pPr>
              <w:pStyle w:val="Notesstructure"/>
              <w:numPr>
                <w:ilvl w:val="0"/>
                <w:numId w:val="5"/>
              </w:numPr>
              <w:spacing w:line="360" w:lineRule="auto"/>
              <w:ind w:left="714" w:hanging="357"/>
              <w:rPr>
                <w:color w:val="auto"/>
                <w:sz w:val="22"/>
              </w:rPr>
            </w:pPr>
            <w:r>
              <w:rPr>
                <w:color w:val="auto"/>
                <w:sz w:val="22"/>
              </w:rPr>
              <w:t>Some evidence shows media promotions can be effective when they s</w:t>
            </w:r>
            <w:r w:rsidRPr="003E3CEC">
              <w:rPr>
                <w:color w:val="auto"/>
                <w:sz w:val="22"/>
              </w:rPr>
              <w:t>trongly connect with existing drug prevention programmes in the home,</w:t>
            </w:r>
            <w:r w:rsidRPr="003E3CEC">
              <w:rPr>
                <w:color w:val="auto"/>
                <w:sz w:val="22"/>
                <w:vertAlign w:val="superscript"/>
              </w:rPr>
              <w:t xml:space="preserve"> </w:t>
            </w:r>
            <w:r w:rsidRPr="003E3CEC">
              <w:rPr>
                <w:color w:val="auto"/>
                <w:sz w:val="22"/>
              </w:rPr>
              <w:t xml:space="preserve">school and community </w:t>
            </w:r>
            <w:r w:rsidRPr="003E3CEC">
              <w:rPr>
                <w:color w:val="auto"/>
                <w:sz w:val="22"/>
                <w:vertAlign w:val="superscript"/>
              </w:rPr>
              <w:t>[B][E]</w:t>
            </w:r>
          </w:p>
          <w:p w14:paraId="0DD23B33" w14:textId="77777777" w:rsidR="007B6EA9" w:rsidRDefault="007B6EA9" w:rsidP="007B6EA9">
            <w:pPr>
              <w:pStyle w:val="Notesstructure"/>
              <w:spacing w:line="360" w:lineRule="auto"/>
              <w:rPr>
                <w:b/>
                <w:color w:val="auto"/>
                <w:sz w:val="22"/>
              </w:rPr>
            </w:pPr>
            <w:r>
              <w:rPr>
                <w:b/>
                <w:color w:val="auto"/>
                <w:sz w:val="22"/>
              </w:rPr>
              <w:t>Ineffective</w:t>
            </w:r>
            <w:r w:rsidRPr="00982128">
              <w:rPr>
                <w:b/>
                <w:color w:val="auto"/>
                <w:sz w:val="22"/>
              </w:rPr>
              <w:t>:</w:t>
            </w:r>
          </w:p>
          <w:p w14:paraId="5535D7F0" w14:textId="77777777" w:rsidR="007B6EA9" w:rsidRPr="00381049" w:rsidRDefault="007B6EA9" w:rsidP="00C92BD2">
            <w:pPr>
              <w:pStyle w:val="Notesstructure"/>
              <w:numPr>
                <w:ilvl w:val="0"/>
                <w:numId w:val="5"/>
              </w:numPr>
              <w:spacing w:line="360" w:lineRule="auto"/>
              <w:rPr>
                <w:color w:val="auto"/>
                <w:sz w:val="22"/>
              </w:rPr>
            </w:pPr>
            <w:r>
              <w:rPr>
                <w:color w:val="auto"/>
                <w:sz w:val="22"/>
              </w:rPr>
              <w:t>S</w:t>
            </w:r>
            <w:r w:rsidRPr="00982128">
              <w:rPr>
                <w:color w:val="auto"/>
                <w:sz w:val="22"/>
              </w:rPr>
              <w:t>trong evidence from large-scale evaluations and meta-analyses show that stand-alone mass media campaigns are ineffective</w:t>
            </w:r>
            <w:r>
              <w:rPr>
                <w:color w:val="auto"/>
                <w:sz w:val="22"/>
              </w:rPr>
              <w:t xml:space="preserve"> </w:t>
            </w:r>
            <w:r w:rsidRPr="00982128">
              <w:rPr>
                <w:color w:val="auto"/>
                <w:sz w:val="22"/>
                <w:vertAlign w:val="superscript"/>
              </w:rPr>
              <w:t>[</w:t>
            </w:r>
            <w:r>
              <w:rPr>
                <w:color w:val="auto"/>
                <w:sz w:val="22"/>
                <w:vertAlign w:val="superscript"/>
              </w:rPr>
              <w:t>A</w:t>
            </w:r>
            <w:r w:rsidRPr="00982128">
              <w:rPr>
                <w:color w:val="auto"/>
                <w:sz w:val="22"/>
                <w:vertAlign w:val="superscript"/>
              </w:rPr>
              <w:t>]</w:t>
            </w:r>
            <w:r>
              <w:rPr>
                <w:color w:val="auto"/>
                <w:sz w:val="22"/>
                <w:vertAlign w:val="superscript"/>
              </w:rPr>
              <w:t>[B][E]</w:t>
            </w:r>
          </w:p>
          <w:p w14:paraId="0DA9E5D0" w14:textId="77777777" w:rsidR="007B6EA9" w:rsidRPr="00982128" w:rsidRDefault="007B6EA9" w:rsidP="007B6EA9">
            <w:pPr>
              <w:pStyle w:val="Notesstructure"/>
              <w:spacing w:line="360" w:lineRule="auto"/>
              <w:rPr>
                <w:color w:val="auto"/>
                <w:sz w:val="22"/>
              </w:rPr>
            </w:pPr>
            <w:r w:rsidRPr="00982128">
              <w:rPr>
                <w:b/>
                <w:color w:val="auto"/>
                <w:sz w:val="22"/>
              </w:rPr>
              <w:t>Harmful:</w:t>
            </w:r>
          </w:p>
          <w:p w14:paraId="49E204F3" w14:textId="77777777" w:rsidR="007B6EA9" w:rsidRPr="00982128" w:rsidRDefault="007B6EA9" w:rsidP="00C92BD2">
            <w:pPr>
              <w:pStyle w:val="Notesstructure"/>
              <w:numPr>
                <w:ilvl w:val="0"/>
                <w:numId w:val="5"/>
              </w:numPr>
              <w:spacing w:line="360" w:lineRule="auto"/>
              <w:rPr>
                <w:color w:val="auto"/>
                <w:sz w:val="22"/>
              </w:rPr>
            </w:pPr>
            <w:r>
              <w:rPr>
                <w:color w:val="auto"/>
                <w:sz w:val="22"/>
              </w:rPr>
              <w:t>S</w:t>
            </w:r>
            <w:r w:rsidRPr="00982128">
              <w:rPr>
                <w:color w:val="auto"/>
                <w:sz w:val="22"/>
              </w:rPr>
              <w:t xml:space="preserve">trong evidence from large-scale evaluations and meta-analyses show that stand-alone mass media campaigns are frequently associated with harmful effects </w:t>
            </w:r>
            <w:r w:rsidRPr="00982128">
              <w:rPr>
                <w:color w:val="auto"/>
                <w:sz w:val="22"/>
                <w:vertAlign w:val="superscript"/>
              </w:rPr>
              <w:t>[</w:t>
            </w:r>
            <w:r>
              <w:rPr>
                <w:color w:val="auto"/>
                <w:sz w:val="22"/>
                <w:vertAlign w:val="superscript"/>
              </w:rPr>
              <w:t>A</w:t>
            </w:r>
            <w:r w:rsidRPr="00982128">
              <w:rPr>
                <w:color w:val="auto"/>
                <w:sz w:val="22"/>
                <w:vertAlign w:val="superscript"/>
              </w:rPr>
              <w:t>][</w:t>
            </w:r>
            <w:r>
              <w:rPr>
                <w:color w:val="auto"/>
                <w:sz w:val="22"/>
                <w:vertAlign w:val="superscript"/>
              </w:rPr>
              <w:t>B</w:t>
            </w:r>
            <w:r w:rsidRPr="00982128">
              <w:rPr>
                <w:color w:val="auto"/>
                <w:sz w:val="22"/>
                <w:vertAlign w:val="superscript"/>
              </w:rPr>
              <w:t>][</w:t>
            </w:r>
            <w:r>
              <w:rPr>
                <w:color w:val="auto"/>
                <w:sz w:val="22"/>
                <w:vertAlign w:val="superscript"/>
              </w:rPr>
              <w:t>E</w:t>
            </w:r>
            <w:r w:rsidRPr="00982128">
              <w:rPr>
                <w:color w:val="auto"/>
                <w:sz w:val="22"/>
                <w:vertAlign w:val="superscript"/>
              </w:rPr>
              <w:t>]</w:t>
            </w:r>
          </w:p>
          <w:p w14:paraId="7EE4B471" w14:textId="77777777" w:rsidR="007B6EA9" w:rsidRPr="00982128" w:rsidRDefault="007B6EA9" w:rsidP="00C92BD2">
            <w:pPr>
              <w:pStyle w:val="Notesstructure"/>
              <w:numPr>
                <w:ilvl w:val="0"/>
                <w:numId w:val="5"/>
              </w:numPr>
              <w:spacing w:line="360" w:lineRule="auto"/>
              <w:rPr>
                <w:color w:val="auto"/>
                <w:sz w:val="22"/>
              </w:rPr>
            </w:pPr>
            <w:r w:rsidRPr="00982128">
              <w:rPr>
                <w:color w:val="auto"/>
                <w:sz w:val="22"/>
              </w:rPr>
              <w:t xml:space="preserve">Campaigns featuring messages about resistance skills have been found to have the most harmful effects </w:t>
            </w:r>
            <w:r w:rsidRPr="00982128">
              <w:rPr>
                <w:color w:val="auto"/>
                <w:sz w:val="22"/>
                <w:vertAlign w:val="superscript"/>
              </w:rPr>
              <w:t>[</w:t>
            </w:r>
            <w:r>
              <w:rPr>
                <w:color w:val="auto"/>
                <w:sz w:val="22"/>
                <w:vertAlign w:val="superscript"/>
              </w:rPr>
              <w:t>B</w:t>
            </w:r>
            <w:r w:rsidRPr="00982128">
              <w:rPr>
                <w:color w:val="auto"/>
                <w:sz w:val="22"/>
                <w:vertAlign w:val="superscript"/>
              </w:rPr>
              <w:t>]</w:t>
            </w:r>
          </w:p>
          <w:p w14:paraId="26EB4EE9" w14:textId="77777777" w:rsidR="007B6EA9" w:rsidRPr="00982128" w:rsidRDefault="007B6EA9" w:rsidP="007B6EA9">
            <w:pPr>
              <w:spacing w:line="360" w:lineRule="auto"/>
              <w:rPr>
                <w:sz w:val="22"/>
              </w:rPr>
            </w:pPr>
          </w:p>
          <w:p w14:paraId="2C3EFDDD" w14:textId="77777777" w:rsidR="007B6EA9" w:rsidRDefault="007B6EA9" w:rsidP="007B6EA9">
            <w:pPr>
              <w:spacing w:line="360" w:lineRule="auto"/>
              <w:rPr>
                <w:sz w:val="22"/>
              </w:rPr>
            </w:pPr>
          </w:p>
          <w:p w14:paraId="079DCA20" w14:textId="77777777" w:rsidR="007B6EA9" w:rsidRPr="00982128" w:rsidRDefault="007B6EA9" w:rsidP="007B6EA9">
            <w:pPr>
              <w:spacing w:line="360" w:lineRule="auto"/>
              <w:rPr>
                <w:sz w:val="22"/>
              </w:rPr>
            </w:pPr>
          </w:p>
        </w:tc>
        <w:tc>
          <w:tcPr>
            <w:tcW w:w="4536" w:type="dxa"/>
            <w:tcBorders>
              <w:top w:val="single" w:sz="4" w:space="0" w:color="auto"/>
              <w:left w:val="nil"/>
              <w:bottom w:val="single" w:sz="4" w:space="0" w:color="auto"/>
              <w:right w:val="nil"/>
            </w:tcBorders>
          </w:tcPr>
          <w:p w14:paraId="4B5FE200" w14:textId="77777777" w:rsidR="007B6EA9" w:rsidRPr="00534ED1" w:rsidRDefault="007B6EA9" w:rsidP="007B6EA9">
            <w:pPr>
              <w:pStyle w:val="Notesstructure"/>
              <w:rPr>
                <w:b/>
                <w:color w:val="auto"/>
                <w:sz w:val="22"/>
              </w:rPr>
            </w:pPr>
            <w:r w:rsidRPr="00534ED1">
              <w:rPr>
                <w:b/>
                <w:color w:val="auto"/>
                <w:sz w:val="22"/>
              </w:rPr>
              <w:t>Recommended:</w:t>
            </w:r>
          </w:p>
          <w:p w14:paraId="386DF291" w14:textId="77777777" w:rsidR="007B6EA9" w:rsidRDefault="007B6EA9" w:rsidP="00C92BD2">
            <w:pPr>
              <w:pStyle w:val="Notesstructure"/>
              <w:numPr>
                <w:ilvl w:val="0"/>
                <w:numId w:val="14"/>
              </w:numPr>
              <w:spacing w:line="360" w:lineRule="auto"/>
              <w:ind w:left="714" w:hanging="357"/>
              <w:rPr>
                <w:color w:val="auto"/>
                <w:sz w:val="22"/>
              </w:rPr>
            </w:pPr>
            <w:r w:rsidRPr="00982128">
              <w:rPr>
                <w:color w:val="auto"/>
                <w:sz w:val="22"/>
              </w:rPr>
              <w:t xml:space="preserve">ACMD recommend that mass media campaigns are only delivered as part of multiple component programmes. </w:t>
            </w:r>
          </w:p>
          <w:p w14:paraId="6CFF72F9" w14:textId="524D1878" w:rsidR="007B6EA9" w:rsidRPr="00C439E5" w:rsidRDefault="007B6EA9" w:rsidP="00C92BD2">
            <w:pPr>
              <w:pStyle w:val="Notesstructure"/>
              <w:numPr>
                <w:ilvl w:val="0"/>
                <w:numId w:val="14"/>
              </w:numPr>
              <w:spacing w:line="360" w:lineRule="auto"/>
              <w:rPr>
                <w:color w:val="auto"/>
                <w:sz w:val="22"/>
                <w:szCs w:val="22"/>
              </w:rPr>
            </w:pPr>
            <w:r>
              <w:rPr>
                <w:color w:val="auto"/>
                <w:sz w:val="22"/>
                <w:szCs w:val="22"/>
              </w:rPr>
              <w:t xml:space="preserve">ACMD recommend mass media-based prevention work to inform young people </w:t>
            </w:r>
            <w:r w:rsidR="00545318">
              <w:rPr>
                <w:color w:val="auto"/>
                <w:sz w:val="22"/>
                <w:szCs w:val="22"/>
              </w:rPr>
              <w:t>about</w:t>
            </w:r>
            <w:r>
              <w:rPr>
                <w:color w:val="auto"/>
                <w:sz w:val="22"/>
                <w:szCs w:val="22"/>
              </w:rPr>
              <w:t xml:space="preserve"> the hazards of drug use.</w:t>
            </w:r>
          </w:p>
          <w:p w14:paraId="1EEAB38B" w14:textId="77777777" w:rsidR="007B6EA9" w:rsidRDefault="007B6EA9" w:rsidP="00C92BD2">
            <w:pPr>
              <w:pStyle w:val="Notesstructure"/>
              <w:numPr>
                <w:ilvl w:val="0"/>
                <w:numId w:val="14"/>
              </w:numPr>
              <w:spacing w:line="360" w:lineRule="auto"/>
              <w:rPr>
                <w:color w:val="auto"/>
                <w:sz w:val="22"/>
              </w:rPr>
            </w:pPr>
            <w:r>
              <w:rPr>
                <w:color w:val="auto"/>
                <w:sz w:val="22"/>
              </w:rPr>
              <w:t>EMCDDA</w:t>
            </w:r>
            <w:r w:rsidRPr="00982128">
              <w:rPr>
                <w:color w:val="auto"/>
                <w:sz w:val="22"/>
              </w:rPr>
              <w:t xml:space="preserve"> recommend mass media campaigns are only delivered as part of multiple component programmes</w:t>
            </w:r>
            <w:r>
              <w:rPr>
                <w:color w:val="auto"/>
                <w:sz w:val="22"/>
              </w:rPr>
              <w:t xml:space="preserve"> created in </w:t>
            </w:r>
            <w:r w:rsidRPr="00982128">
              <w:rPr>
                <w:color w:val="auto"/>
                <w:sz w:val="22"/>
              </w:rPr>
              <w:t>conjunction with young people</w:t>
            </w:r>
            <w:r>
              <w:rPr>
                <w:color w:val="auto"/>
                <w:sz w:val="22"/>
              </w:rPr>
              <w:t xml:space="preserve"> and</w:t>
            </w:r>
            <w:r w:rsidRPr="00982128">
              <w:rPr>
                <w:color w:val="auto"/>
                <w:sz w:val="22"/>
              </w:rPr>
              <w:t xml:space="preserve"> subjected to pilot testing. </w:t>
            </w:r>
          </w:p>
          <w:p w14:paraId="2CF6A35B" w14:textId="77777777" w:rsidR="007B6EA9" w:rsidRPr="00942FBC" w:rsidRDefault="007B6EA9" w:rsidP="00C92BD2">
            <w:pPr>
              <w:pStyle w:val="Notesstructure"/>
              <w:numPr>
                <w:ilvl w:val="0"/>
                <w:numId w:val="14"/>
              </w:numPr>
              <w:spacing w:line="360" w:lineRule="auto"/>
              <w:rPr>
                <w:color w:val="auto"/>
                <w:sz w:val="22"/>
              </w:rPr>
            </w:pPr>
            <w:r w:rsidRPr="00982128">
              <w:rPr>
                <w:color w:val="auto"/>
                <w:sz w:val="22"/>
              </w:rPr>
              <w:t xml:space="preserve">HM Government recommend promotion of the drug information </w:t>
            </w:r>
            <w:r>
              <w:rPr>
                <w:color w:val="auto"/>
                <w:sz w:val="22"/>
              </w:rPr>
              <w:t>website</w:t>
            </w:r>
            <w:r w:rsidRPr="00982128">
              <w:rPr>
                <w:color w:val="auto"/>
                <w:sz w:val="22"/>
              </w:rPr>
              <w:t xml:space="preserve"> FRANK</w:t>
            </w:r>
          </w:p>
          <w:p w14:paraId="0CE594F5" w14:textId="77777777" w:rsidR="007B6EA9" w:rsidRPr="00534ED1" w:rsidRDefault="007B6EA9" w:rsidP="007B6EA9">
            <w:pPr>
              <w:pStyle w:val="Notesstructure"/>
              <w:rPr>
                <w:b/>
                <w:color w:val="auto"/>
                <w:sz w:val="22"/>
              </w:rPr>
            </w:pPr>
            <w:r w:rsidRPr="00534ED1">
              <w:rPr>
                <w:b/>
                <w:color w:val="auto"/>
                <w:sz w:val="22"/>
              </w:rPr>
              <w:t>Not recommended:</w:t>
            </w:r>
          </w:p>
          <w:p w14:paraId="5E9025A3" w14:textId="77777777" w:rsidR="007B6EA9" w:rsidRPr="00982128" w:rsidRDefault="007B6EA9" w:rsidP="00C92BD2">
            <w:pPr>
              <w:pStyle w:val="Notesstructure"/>
              <w:numPr>
                <w:ilvl w:val="0"/>
                <w:numId w:val="14"/>
              </w:numPr>
              <w:spacing w:line="360" w:lineRule="auto"/>
              <w:ind w:left="714" w:hanging="357"/>
              <w:rPr>
                <w:color w:val="auto"/>
                <w:sz w:val="22"/>
              </w:rPr>
            </w:pPr>
            <w:r w:rsidRPr="00982128">
              <w:rPr>
                <w:color w:val="auto"/>
                <w:sz w:val="22"/>
              </w:rPr>
              <w:t xml:space="preserve">EMCDDA does not recommend the use of stand-alone mass media approaches. </w:t>
            </w:r>
          </w:p>
          <w:p w14:paraId="5B00C59D" w14:textId="77777777" w:rsidR="007B6EA9" w:rsidRPr="00982128" w:rsidRDefault="007B6EA9" w:rsidP="00C92BD2">
            <w:pPr>
              <w:pStyle w:val="Notesstructure"/>
              <w:numPr>
                <w:ilvl w:val="0"/>
                <w:numId w:val="14"/>
              </w:numPr>
              <w:spacing w:line="360" w:lineRule="auto"/>
              <w:rPr>
                <w:color w:val="auto"/>
                <w:sz w:val="22"/>
              </w:rPr>
            </w:pPr>
            <w:r w:rsidRPr="00982128">
              <w:rPr>
                <w:color w:val="auto"/>
                <w:sz w:val="22"/>
              </w:rPr>
              <w:t>HM Government does not recommend the use of stand-alone mass media approaches.</w:t>
            </w:r>
          </w:p>
          <w:p w14:paraId="47AA0B5A" w14:textId="77777777" w:rsidR="007B6EA9" w:rsidRPr="00982128" w:rsidRDefault="007B6EA9" w:rsidP="00C92BD2">
            <w:pPr>
              <w:pStyle w:val="Notesstructure"/>
              <w:numPr>
                <w:ilvl w:val="0"/>
                <w:numId w:val="14"/>
              </w:numPr>
              <w:spacing w:line="360" w:lineRule="auto"/>
              <w:rPr>
                <w:color w:val="auto"/>
                <w:sz w:val="22"/>
              </w:rPr>
            </w:pPr>
            <w:r w:rsidRPr="00982128">
              <w:rPr>
                <w:color w:val="auto"/>
                <w:sz w:val="22"/>
              </w:rPr>
              <w:t xml:space="preserve">NICE does not recommend the use of stand-alone mass media approaches. </w:t>
            </w:r>
          </w:p>
          <w:p w14:paraId="5D7A7893" w14:textId="77777777" w:rsidR="007B6EA9" w:rsidRPr="00305780" w:rsidRDefault="007B6EA9" w:rsidP="00C92BD2">
            <w:pPr>
              <w:pStyle w:val="Notesstructure"/>
              <w:numPr>
                <w:ilvl w:val="0"/>
                <w:numId w:val="14"/>
              </w:numPr>
              <w:spacing w:line="360" w:lineRule="auto"/>
              <w:rPr>
                <w:color w:val="auto"/>
                <w:sz w:val="22"/>
              </w:rPr>
            </w:pPr>
            <w:r w:rsidRPr="00982128">
              <w:rPr>
                <w:color w:val="auto"/>
                <w:sz w:val="22"/>
              </w:rPr>
              <w:t>UNDOC/WHO does not recommend the use of stand-alone mass media approaches.</w:t>
            </w:r>
          </w:p>
        </w:tc>
      </w:tr>
      <w:tr w:rsidR="007B6EA9" w:rsidRPr="003F76C9" w14:paraId="71623D9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039" w:type="dxa"/>
            <w:gridSpan w:val="3"/>
            <w:tcBorders>
              <w:top w:val="single" w:sz="4" w:space="0" w:color="auto"/>
            </w:tcBorders>
          </w:tcPr>
          <w:p w14:paraId="7C01F007" w14:textId="77777777" w:rsidR="007B6EA9" w:rsidRPr="005135B8" w:rsidRDefault="007B6EA9" w:rsidP="007B6EA9">
            <w:pPr>
              <w:pStyle w:val="Notesstructure"/>
              <w:spacing w:line="360" w:lineRule="auto"/>
              <w:rPr>
                <w:b/>
                <w:color w:val="auto"/>
                <w:sz w:val="2"/>
              </w:rPr>
            </w:pPr>
          </w:p>
        </w:tc>
      </w:tr>
      <w:tr w:rsidR="007B6EA9" w:rsidRPr="003F76C9" w14:paraId="52D1C936"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039" w:type="dxa"/>
            <w:gridSpan w:val="3"/>
          </w:tcPr>
          <w:p w14:paraId="60E0DBC9"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2D5C8E74" w14:textId="77777777" w:rsidR="007B6EA9" w:rsidRPr="005135B8" w:rsidRDefault="007B6EA9" w:rsidP="007B6EA9">
            <w:pPr>
              <w:pStyle w:val="Notesstructure"/>
              <w:spacing w:line="360" w:lineRule="auto"/>
              <w:rPr>
                <w:b/>
                <w:color w:val="auto"/>
                <w:sz w:val="2"/>
              </w:rPr>
            </w:pPr>
          </w:p>
        </w:tc>
      </w:tr>
    </w:tbl>
    <w:p w14:paraId="55210AFC" w14:textId="77777777" w:rsidR="007B6EA9" w:rsidRDefault="007B6EA9" w:rsidP="007B6EA9"/>
    <w:p w14:paraId="6FAF54BD" w14:textId="4C84FDFE" w:rsidR="007B6EA9" w:rsidRPr="007D6C16" w:rsidRDefault="00FB7B83" w:rsidP="007B6EA9">
      <w:pPr>
        <w:spacing w:line="480" w:lineRule="auto"/>
      </w:pPr>
      <w:r w:rsidRPr="007D6C16">
        <w:t>The use of stand-alone mass media</w:t>
      </w:r>
      <w:r w:rsidR="00F301F2">
        <w:t xml:space="preserve"> </w:t>
      </w:r>
      <w:r w:rsidR="007B6EA9">
        <w:t xml:space="preserve">campaigns is consistently advised against in the majority of the guidelines. When they are </w:t>
      </w:r>
      <w:r w:rsidR="007B6EA9" w:rsidRPr="007D6C16">
        <w:t>used it is generally advised that they form part of a wider strategy. Although the ACMD recommend investment in mass media campaigns to inform young people of the hazards of drug use they also recommend they are delivered as part of a wider programme. The web-site FRANK is a mass media campaign that provides information on drugs and drug harms and is a key element of the demand reduction aspect of the UK Government’s strategy.</w:t>
      </w:r>
    </w:p>
    <w:p w14:paraId="3452C5C8" w14:textId="78854022" w:rsidR="007B6EA9" w:rsidRDefault="007B6EA9" w:rsidP="007B6EA9">
      <w:pPr>
        <w:pStyle w:val="Heading3"/>
      </w:pPr>
      <w:bookmarkStart w:id="240" w:name="_Toc35892569"/>
      <w:r>
        <w:t>Web/mobile</w:t>
      </w:r>
      <w:r w:rsidR="00545318">
        <w:t>-</w:t>
      </w:r>
      <w:r>
        <w:t>based approaches</w:t>
      </w:r>
      <w:bookmarkEnd w:id="240"/>
      <w:r>
        <w:t xml:space="preserve"> </w:t>
      </w:r>
    </w:p>
    <w:p w14:paraId="667A4B84" w14:textId="77777777" w:rsidR="007B6EA9" w:rsidRPr="00D378FB" w:rsidRDefault="007B6EA9" w:rsidP="00D378FB">
      <w:pPr>
        <w:spacing w:line="480" w:lineRule="auto"/>
      </w:pPr>
      <w:r w:rsidRPr="00D378FB">
        <w:t xml:space="preserve">Web/mobile-based approaches to drug prevention are programmes which are administered via the internet or mobile phones. They are generally considered distinct from mass media campaigns as they are interactive, more specifically targeted and can involve a series of sessions or customisable programmes. Web-based approaches can be very heterogeneous involving a variety of components, but they are often skills-based. Although evidence for the effectiveness of web-based approaches still remains quite limited and some studies have found no or inconsistent effects they are optimistically promoted with calls for more research into their efficacy. The significant advantage offered by web-based approached is their potential for selective targeting combined with far reach. They also have the advantage of offering privacy and confidentiality, factors which may be especially important for engaging with users or potential users of illicit drugs. Although web-based approaches may exclude some of the most vulnerable groups who do not have good access to the internet, there is also some evidence that they can improve contact with some at-risk groups.  </w:t>
      </w:r>
    </w:p>
    <w:p w14:paraId="7CAFFA31" w14:textId="77777777" w:rsidR="007B6EA9" w:rsidRPr="00D378FB" w:rsidRDefault="007B6EA9" w:rsidP="00D378FB">
      <w:pPr>
        <w:spacing w:line="480" w:lineRule="auto"/>
      </w:pPr>
    </w:p>
    <w:p w14:paraId="061E1195" w14:textId="77777777" w:rsidR="007B6EA9" w:rsidRDefault="007B6EA9" w:rsidP="007B6EA9"/>
    <w:p w14:paraId="4A952445" w14:textId="77777777" w:rsidR="007B6EA9" w:rsidRPr="007D6C16" w:rsidRDefault="007B6EA9" w:rsidP="007B6EA9"/>
    <w:p w14:paraId="7D0909DD" w14:textId="77777777" w:rsidR="009E41B3" w:rsidRDefault="009E41B3">
      <w:pPr>
        <w:rPr>
          <w:b/>
        </w:rPr>
      </w:pPr>
      <w:r>
        <w:rPr>
          <w:b/>
        </w:rPr>
        <w:br w:type="page"/>
      </w:r>
    </w:p>
    <w:p w14:paraId="569D4C2C" w14:textId="03325ED9" w:rsidR="007B6EA9" w:rsidRPr="003171C5" w:rsidRDefault="007B6EA9" w:rsidP="003171C5">
      <w:pPr>
        <w:pStyle w:val="TableHeader"/>
        <w:rPr>
          <w:b/>
        </w:rPr>
      </w:pPr>
      <w:bookmarkStart w:id="241" w:name="_Toc9509040"/>
      <w:r w:rsidRPr="003171C5">
        <w:rPr>
          <w:b/>
        </w:rPr>
        <w:t xml:space="preserve">Table </w:t>
      </w:r>
      <w:r w:rsidR="003171C5">
        <w:rPr>
          <w:b/>
        </w:rPr>
        <w:t>3-</w:t>
      </w:r>
      <w:r w:rsidR="00FC1DE2">
        <w:rPr>
          <w:b/>
        </w:rPr>
        <w:t>9</w:t>
      </w:r>
      <w:r w:rsidRPr="003171C5">
        <w:rPr>
          <w:b/>
        </w:rPr>
        <w:t>. Effectiveness and recommendations for the use of web-based approaches</w:t>
      </w:r>
      <w:bookmarkEnd w:id="241"/>
    </w:p>
    <w:tbl>
      <w:tblPr>
        <w:tblStyle w:val="TableGrid"/>
        <w:tblW w:w="8897" w:type="dxa"/>
        <w:tblLook w:val="04A0" w:firstRow="1" w:lastRow="0" w:firstColumn="1" w:lastColumn="0" w:noHBand="0" w:noVBand="1"/>
      </w:tblPr>
      <w:tblGrid>
        <w:gridCol w:w="3794"/>
        <w:gridCol w:w="709"/>
        <w:gridCol w:w="4252"/>
        <w:gridCol w:w="142"/>
      </w:tblGrid>
      <w:tr w:rsidR="007B6EA9" w:rsidRPr="00F9373F" w14:paraId="503737F3" w14:textId="77777777" w:rsidTr="007B6EA9">
        <w:trPr>
          <w:trHeight w:val="430"/>
        </w:trPr>
        <w:tc>
          <w:tcPr>
            <w:tcW w:w="3794" w:type="dxa"/>
            <w:tcBorders>
              <w:top w:val="single" w:sz="8" w:space="0" w:color="auto"/>
              <w:left w:val="nil"/>
              <w:bottom w:val="single" w:sz="4" w:space="0" w:color="auto"/>
              <w:right w:val="nil"/>
            </w:tcBorders>
            <w:vAlign w:val="center"/>
          </w:tcPr>
          <w:p w14:paraId="6B801D68" w14:textId="1CDEC4E9" w:rsidR="007B6EA9" w:rsidRPr="00F9373F" w:rsidRDefault="007B6EA9" w:rsidP="007B6EA9">
            <w:pPr>
              <w:rPr>
                <w:b/>
                <w:szCs w:val="24"/>
              </w:rPr>
            </w:pPr>
            <w:r>
              <w:rPr>
                <w:b/>
              </w:rPr>
              <w:t>Web / mobile</w:t>
            </w:r>
            <w:r w:rsidR="00545318">
              <w:rPr>
                <w:b/>
              </w:rPr>
              <w:t xml:space="preserve"> </w:t>
            </w:r>
            <w:r>
              <w:rPr>
                <w:b/>
              </w:rPr>
              <w:t>phone</w:t>
            </w:r>
            <w:r w:rsidR="00545318">
              <w:rPr>
                <w:b/>
              </w:rPr>
              <w:t>-</w:t>
            </w:r>
            <w:r>
              <w:rPr>
                <w:b/>
              </w:rPr>
              <w:t xml:space="preserve">based </w:t>
            </w:r>
          </w:p>
        </w:tc>
        <w:tc>
          <w:tcPr>
            <w:tcW w:w="5103" w:type="dxa"/>
            <w:gridSpan w:val="3"/>
            <w:tcBorders>
              <w:top w:val="single" w:sz="8" w:space="0" w:color="auto"/>
              <w:left w:val="nil"/>
              <w:bottom w:val="single" w:sz="4" w:space="0" w:color="auto"/>
              <w:right w:val="nil"/>
            </w:tcBorders>
            <w:vAlign w:val="center"/>
          </w:tcPr>
          <w:p w14:paraId="2CF50E6D" w14:textId="77777777" w:rsidR="007B6EA9" w:rsidRPr="00F9373F" w:rsidRDefault="007B6EA9" w:rsidP="007B6EA9">
            <w:pPr>
              <w:rPr>
                <w:b/>
                <w:szCs w:val="24"/>
              </w:rPr>
            </w:pPr>
          </w:p>
        </w:tc>
      </w:tr>
      <w:tr w:rsidR="007B6EA9" w:rsidRPr="00982128" w14:paraId="1D1B1FE3" w14:textId="77777777" w:rsidTr="007B6EA9">
        <w:tc>
          <w:tcPr>
            <w:tcW w:w="4503" w:type="dxa"/>
            <w:gridSpan w:val="2"/>
            <w:tcBorders>
              <w:top w:val="single" w:sz="4" w:space="0" w:color="auto"/>
              <w:left w:val="nil"/>
              <w:bottom w:val="nil"/>
              <w:right w:val="nil"/>
            </w:tcBorders>
          </w:tcPr>
          <w:p w14:paraId="716A42A3" w14:textId="77777777" w:rsidR="007B6EA9" w:rsidRPr="00982128" w:rsidRDefault="007B6EA9" w:rsidP="007B6EA9">
            <w:pPr>
              <w:pStyle w:val="Notesstructure"/>
              <w:spacing w:line="360" w:lineRule="auto"/>
              <w:rPr>
                <w:b/>
                <w:color w:val="auto"/>
                <w:sz w:val="22"/>
              </w:rPr>
            </w:pPr>
            <w:r w:rsidRPr="00982128">
              <w:rPr>
                <w:b/>
                <w:color w:val="auto"/>
                <w:sz w:val="22"/>
              </w:rPr>
              <w:t>Effective:</w:t>
            </w:r>
          </w:p>
          <w:p w14:paraId="148B4D7F" w14:textId="77777777" w:rsidR="007B6EA9" w:rsidRDefault="007B6EA9" w:rsidP="00C92BD2">
            <w:pPr>
              <w:pStyle w:val="Notesstructure"/>
              <w:numPr>
                <w:ilvl w:val="0"/>
                <w:numId w:val="5"/>
              </w:numPr>
              <w:spacing w:line="360" w:lineRule="auto"/>
              <w:rPr>
                <w:color w:val="auto"/>
                <w:sz w:val="22"/>
              </w:rPr>
            </w:pPr>
            <w:r>
              <w:rPr>
                <w:color w:val="auto"/>
                <w:sz w:val="22"/>
              </w:rPr>
              <w:t>S</w:t>
            </w:r>
            <w:r w:rsidRPr="00982128">
              <w:rPr>
                <w:color w:val="auto"/>
                <w:sz w:val="22"/>
              </w:rPr>
              <w:t>everal studies have shown general positive effects</w:t>
            </w:r>
            <w:r>
              <w:rPr>
                <w:color w:val="auto"/>
                <w:sz w:val="22"/>
              </w:rPr>
              <w:t xml:space="preserve"> with</w:t>
            </w:r>
            <w:r w:rsidRPr="00982128">
              <w:rPr>
                <w:color w:val="auto"/>
                <w:sz w:val="22"/>
              </w:rPr>
              <w:t xml:space="preserve"> </w:t>
            </w:r>
            <w:r>
              <w:rPr>
                <w:color w:val="auto"/>
                <w:sz w:val="22"/>
              </w:rPr>
              <w:t>positive results associated with:</w:t>
            </w:r>
          </w:p>
          <w:p w14:paraId="3F28B25D" w14:textId="77777777" w:rsidR="007B6EA9" w:rsidRPr="009E4E50" w:rsidRDefault="007B6EA9" w:rsidP="00C92BD2">
            <w:pPr>
              <w:pStyle w:val="Notesstructure"/>
              <w:numPr>
                <w:ilvl w:val="1"/>
                <w:numId w:val="5"/>
              </w:numPr>
              <w:spacing w:line="360" w:lineRule="auto"/>
              <w:rPr>
                <w:color w:val="auto"/>
                <w:sz w:val="22"/>
              </w:rPr>
            </w:pPr>
            <w:r>
              <w:rPr>
                <w:color w:val="auto"/>
                <w:sz w:val="22"/>
              </w:rPr>
              <w:t>R</w:t>
            </w:r>
            <w:r w:rsidRPr="00982128">
              <w:rPr>
                <w:color w:val="auto"/>
                <w:sz w:val="22"/>
              </w:rPr>
              <w:t xml:space="preserve">ecreational users </w:t>
            </w:r>
            <w:r w:rsidRPr="00982128">
              <w:rPr>
                <w:color w:val="auto"/>
                <w:sz w:val="22"/>
                <w:vertAlign w:val="superscript"/>
              </w:rPr>
              <w:t>[</w:t>
            </w:r>
            <w:r>
              <w:rPr>
                <w:color w:val="auto"/>
                <w:sz w:val="22"/>
                <w:vertAlign w:val="superscript"/>
              </w:rPr>
              <w:t>B</w:t>
            </w:r>
            <w:r w:rsidRPr="00982128">
              <w:rPr>
                <w:color w:val="auto"/>
                <w:sz w:val="22"/>
                <w:vertAlign w:val="superscript"/>
              </w:rPr>
              <w:t xml:space="preserve">] </w:t>
            </w:r>
          </w:p>
          <w:p w14:paraId="174F8097" w14:textId="77777777" w:rsidR="007B6EA9" w:rsidRPr="0028182D" w:rsidRDefault="007B6EA9" w:rsidP="00C92BD2">
            <w:pPr>
              <w:pStyle w:val="Notesstructure"/>
              <w:numPr>
                <w:ilvl w:val="1"/>
                <w:numId w:val="5"/>
              </w:numPr>
              <w:spacing w:line="360" w:lineRule="auto"/>
              <w:rPr>
                <w:color w:val="auto"/>
                <w:sz w:val="22"/>
              </w:rPr>
            </w:pPr>
            <w:r>
              <w:rPr>
                <w:color w:val="auto"/>
                <w:sz w:val="22"/>
              </w:rPr>
              <w:t>A</w:t>
            </w:r>
            <w:r w:rsidRPr="00982128">
              <w:rPr>
                <w:color w:val="auto"/>
                <w:sz w:val="22"/>
              </w:rPr>
              <w:t>t</w:t>
            </w:r>
            <w:r>
              <w:rPr>
                <w:color w:val="auto"/>
                <w:sz w:val="22"/>
              </w:rPr>
              <w:t>-</w:t>
            </w:r>
            <w:r w:rsidRPr="00982128">
              <w:rPr>
                <w:color w:val="auto"/>
                <w:sz w:val="22"/>
              </w:rPr>
              <w:t xml:space="preserve">risk young people </w:t>
            </w:r>
            <w:r w:rsidRPr="00982128">
              <w:rPr>
                <w:color w:val="auto"/>
                <w:sz w:val="22"/>
                <w:vertAlign w:val="superscript"/>
              </w:rPr>
              <w:t>[</w:t>
            </w:r>
            <w:r>
              <w:rPr>
                <w:color w:val="auto"/>
                <w:sz w:val="22"/>
                <w:vertAlign w:val="superscript"/>
              </w:rPr>
              <w:t>D</w:t>
            </w:r>
            <w:r w:rsidRPr="00982128">
              <w:rPr>
                <w:color w:val="auto"/>
                <w:sz w:val="22"/>
                <w:vertAlign w:val="superscript"/>
              </w:rPr>
              <w:t>]</w:t>
            </w:r>
          </w:p>
          <w:p w14:paraId="6004DC6C" w14:textId="77777777" w:rsidR="007B6EA9" w:rsidRPr="0028182D" w:rsidRDefault="007B6EA9" w:rsidP="00C92BD2">
            <w:pPr>
              <w:pStyle w:val="Notesstructure"/>
              <w:numPr>
                <w:ilvl w:val="1"/>
                <w:numId w:val="5"/>
              </w:numPr>
              <w:spacing w:line="360" w:lineRule="auto"/>
              <w:rPr>
                <w:color w:val="auto"/>
                <w:sz w:val="22"/>
              </w:rPr>
            </w:pPr>
            <w:r w:rsidRPr="00982128">
              <w:rPr>
                <w:color w:val="auto"/>
                <w:sz w:val="22"/>
              </w:rPr>
              <w:t xml:space="preserve">Web-based and mobile phone-based approaches </w:t>
            </w:r>
            <w:r w:rsidRPr="00982128">
              <w:rPr>
                <w:color w:val="auto"/>
                <w:sz w:val="22"/>
                <w:vertAlign w:val="superscript"/>
              </w:rPr>
              <w:t>[</w:t>
            </w:r>
            <w:r>
              <w:rPr>
                <w:color w:val="auto"/>
                <w:sz w:val="22"/>
                <w:vertAlign w:val="superscript"/>
              </w:rPr>
              <w:t>B]</w:t>
            </w:r>
          </w:p>
          <w:p w14:paraId="35890496" w14:textId="77777777" w:rsidR="007B6EA9" w:rsidRPr="00982128" w:rsidRDefault="007B6EA9" w:rsidP="007B6EA9">
            <w:pPr>
              <w:pStyle w:val="Notesstructure"/>
              <w:spacing w:line="360" w:lineRule="auto"/>
              <w:rPr>
                <w:b/>
                <w:color w:val="auto"/>
                <w:sz w:val="22"/>
              </w:rPr>
            </w:pPr>
            <w:r w:rsidRPr="00982128">
              <w:rPr>
                <w:b/>
                <w:color w:val="auto"/>
                <w:sz w:val="22"/>
              </w:rPr>
              <w:t>Ineffective:</w:t>
            </w:r>
          </w:p>
          <w:p w14:paraId="6481B0CD" w14:textId="77777777" w:rsidR="007B6EA9" w:rsidRPr="00982128" w:rsidRDefault="007B6EA9" w:rsidP="00C92BD2">
            <w:pPr>
              <w:pStyle w:val="Notesstructure"/>
              <w:numPr>
                <w:ilvl w:val="0"/>
                <w:numId w:val="5"/>
              </w:numPr>
              <w:spacing w:line="360" w:lineRule="auto"/>
              <w:rPr>
                <w:color w:val="auto"/>
                <w:sz w:val="22"/>
              </w:rPr>
            </w:pPr>
            <w:r w:rsidRPr="00982128">
              <w:rPr>
                <w:color w:val="auto"/>
                <w:sz w:val="22"/>
              </w:rPr>
              <w:t xml:space="preserve">Mobile phone-based approaches have been found to </w:t>
            </w:r>
            <w:r>
              <w:rPr>
                <w:color w:val="auto"/>
                <w:sz w:val="22"/>
              </w:rPr>
              <w:t>have inconsistent effects on drug use</w:t>
            </w:r>
            <w:r w:rsidRPr="00982128">
              <w:rPr>
                <w:color w:val="auto"/>
                <w:sz w:val="22"/>
              </w:rPr>
              <w:t xml:space="preserve"> </w:t>
            </w:r>
            <w:r w:rsidRPr="00982128">
              <w:rPr>
                <w:color w:val="auto"/>
                <w:sz w:val="22"/>
                <w:vertAlign w:val="superscript"/>
              </w:rPr>
              <w:t>[</w:t>
            </w:r>
            <w:r>
              <w:rPr>
                <w:color w:val="auto"/>
                <w:sz w:val="22"/>
                <w:vertAlign w:val="superscript"/>
              </w:rPr>
              <w:t>D]</w:t>
            </w:r>
          </w:p>
          <w:p w14:paraId="5E689F28" w14:textId="77777777" w:rsidR="007B6EA9" w:rsidRPr="00783116" w:rsidRDefault="007B6EA9" w:rsidP="00C92BD2">
            <w:pPr>
              <w:pStyle w:val="Notesstructure"/>
              <w:numPr>
                <w:ilvl w:val="0"/>
                <w:numId w:val="5"/>
              </w:numPr>
              <w:spacing w:line="360" w:lineRule="auto"/>
              <w:rPr>
                <w:color w:val="auto"/>
                <w:sz w:val="22"/>
              </w:rPr>
            </w:pPr>
            <w:r w:rsidRPr="0028182D">
              <w:rPr>
                <w:color w:val="auto"/>
                <w:sz w:val="22"/>
              </w:rPr>
              <w:t xml:space="preserve">Some web-based interventions have shown no reduction in drug use compared with control conditions </w:t>
            </w:r>
            <w:r w:rsidRPr="0028182D">
              <w:rPr>
                <w:color w:val="auto"/>
                <w:sz w:val="22"/>
                <w:vertAlign w:val="superscript"/>
              </w:rPr>
              <w:t>[</w:t>
            </w:r>
            <w:r>
              <w:rPr>
                <w:color w:val="auto"/>
                <w:sz w:val="22"/>
                <w:vertAlign w:val="superscript"/>
              </w:rPr>
              <w:t>D</w:t>
            </w:r>
            <w:r w:rsidRPr="0028182D">
              <w:rPr>
                <w:color w:val="auto"/>
                <w:sz w:val="22"/>
                <w:vertAlign w:val="superscript"/>
              </w:rPr>
              <w:t>]</w:t>
            </w:r>
          </w:p>
          <w:p w14:paraId="6EAEB6F1" w14:textId="77777777" w:rsidR="007B6EA9" w:rsidRPr="00783116" w:rsidRDefault="007B6EA9" w:rsidP="007B6EA9">
            <w:pPr>
              <w:pStyle w:val="Notesstructure"/>
              <w:spacing w:line="360" w:lineRule="auto"/>
              <w:rPr>
                <w:b/>
                <w:color w:val="auto"/>
                <w:sz w:val="22"/>
              </w:rPr>
            </w:pPr>
            <w:r w:rsidRPr="00C276B3">
              <w:rPr>
                <w:b/>
                <w:color w:val="auto"/>
                <w:sz w:val="22"/>
              </w:rPr>
              <w:t>No evidence:</w:t>
            </w:r>
          </w:p>
          <w:p w14:paraId="3FAD2D98" w14:textId="77777777" w:rsidR="007B6EA9" w:rsidRPr="0028182D" w:rsidRDefault="007B6EA9" w:rsidP="00C92BD2">
            <w:pPr>
              <w:pStyle w:val="Notesstructure"/>
              <w:numPr>
                <w:ilvl w:val="0"/>
                <w:numId w:val="5"/>
              </w:numPr>
              <w:spacing w:line="360" w:lineRule="auto"/>
              <w:rPr>
                <w:color w:val="auto"/>
                <w:sz w:val="22"/>
              </w:rPr>
            </w:pPr>
            <w:r w:rsidRPr="00C276B3">
              <w:rPr>
                <w:color w:val="auto"/>
                <w:sz w:val="22"/>
              </w:rPr>
              <w:t>There is currently no evidence for the effectiveness of specific NPS-based online prevention intervention</w:t>
            </w:r>
            <w:r>
              <w:rPr>
                <w:color w:val="auto"/>
                <w:sz w:val="22"/>
              </w:rPr>
              <w:t>s</w:t>
            </w:r>
            <w:r w:rsidRPr="00C276B3">
              <w:rPr>
                <w:color w:val="auto"/>
                <w:sz w:val="22"/>
              </w:rPr>
              <w:t xml:space="preserve"> </w:t>
            </w:r>
            <w:r w:rsidRPr="00C276B3">
              <w:rPr>
                <w:color w:val="auto"/>
                <w:sz w:val="22"/>
                <w:vertAlign w:val="superscript"/>
              </w:rPr>
              <w:t>[B]</w:t>
            </w:r>
          </w:p>
        </w:tc>
        <w:tc>
          <w:tcPr>
            <w:tcW w:w="4394" w:type="dxa"/>
            <w:gridSpan w:val="2"/>
            <w:tcBorders>
              <w:top w:val="single" w:sz="4" w:space="0" w:color="auto"/>
              <w:left w:val="nil"/>
              <w:bottom w:val="nil"/>
              <w:right w:val="nil"/>
            </w:tcBorders>
          </w:tcPr>
          <w:p w14:paraId="71BAE560" w14:textId="77777777" w:rsidR="007B6EA9" w:rsidRPr="00C26CB7" w:rsidRDefault="007B6EA9" w:rsidP="007B6EA9">
            <w:pPr>
              <w:pStyle w:val="Notesstructure"/>
              <w:spacing w:line="360" w:lineRule="auto"/>
              <w:rPr>
                <w:b/>
                <w:color w:val="auto"/>
                <w:sz w:val="22"/>
              </w:rPr>
            </w:pPr>
            <w:r w:rsidRPr="00C26CB7">
              <w:rPr>
                <w:b/>
                <w:color w:val="auto"/>
                <w:sz w:val="22"/>
              </w:rPr>
              <w:t>Recommended:</w:t>
            </w:r>
          </w:p>
          <w:p w14:paraId="29FE86D1" w14:textId="77777777" w:rsidR="007B6EA9" w:rsidRPr="00982128" w:rsidRDefault="007B6EA9" w:rsidP="00C92BD2">
            <w:pPr>
              <w:pStyle w:val="Notesstructure"/>
              <w:numPr>
                <w:ilvl w:val="0"/>
                <w:numId w:val="15"/>
              </w:numPr>
              <w:spacing w:line="360" w:lineRule="auto"/>
              <w:rPr>
                <w:color w:val="auto"/>
                <w:sz w:val="22"/>
              </w:rPr>
            </w:pPr>
            <w:r w:rsidRPr="00982128">
              <w:rPr>
                <w:color w:val="auto"/>
                <w:sz w:val="22"/>
              </w:rPr>
              <w:t xml:space="preserve">EMCDDA recommends more research into the possibilities of web-based approaches.  </w:t>
            </w:r>
          </w:p>
          <w:p w14:paraId="2486CBFB" w14:textId="77777777" w:rsidR="007B6EA9" w:rsidRDefault="007B6EA9" w:rsidP="00C92BD2">
            <w:pPr>
              <w:pStyle w:val="Notesstructure"/>
              <w:numPr>
                <w:ilvl w:val="0"/>
                <w:numId w:val="15"/>
              </w:numPr>
              <w:spacing w:line="360" w:lineRule="auto"/>
              <w:rPr>
                <w:color w:val="auto"/>
                <w:sz w:val="22"/>
              </w:rPr>
            </w:pPr>
            <w:r w:rsidRPr="00C276B3">
              <w:rPr>
                <w:color w:val="auto"/>
                <w:sz w:val="22"/>
              </w:rPr>
              <w:t>EMCDDA recommend the use of the internet and digital devices as platforms for the delivery of health responses and interventions</w:t>
            </w:r>
            <w:r>
              <w:rPr>
                <w:color w:val="auto"/>
                <w:sz w:val="22"/>
              </w:rPr>
              <w:t>.</w:t>
            </w:r>
            <w:r w:rsidRPr="00C276B3">
              <w:rPr>
                <w:color w:val="auto"/>
                <w:sz w:val="22"/>
              </w:rPr>
              <w:t xml:space="preserve"> </w:t>
            </w:r>
          </w:p>
          <w:p w14:paraId="624C1DAB" w14:textId="77777777" w:rsidR="007B6EA9" w:rsidRPr="00305780" w:rsidRDefault="007B6EA9" w:rsidP="00C92BD2">
            <w:pPr>
              <w:pStyle w:val="Notesstructure"/>
              <w:numPr>
                <w:ilvl w:val="0"/>
                <w:numId w:val="15"/>
              </w:numPr>
              <w:spacing w:line="360" w:lineRule="auto"/>
              <w:rPr>
                <w:color w:val="auto"/>
                <w:sz w:val="22"/>
              </w:rPr>
            </w:pPr>
            <w:r w:rsidRPr="00982128">
              <w:rPr>
                <w:color w:val="auto"/>
                <w:sz w:val="22"/>
              </w:rPr>
              <w:t xml:space="preserve">NICE recommends the use of web-based and mobile phone-based approaches as well as recommending more research into their effectiveness.  </w:t>
            </w:r>
            <w:r>
              <w:rPr>
                <w:color w:val="auto"/>
                <w:sz w:val="22"/>
              </w:rPr>
              <w:br/>
            </w:r>
          </w:p>
        </w:tc>
      </w:tr>
      <w:tr w:rsidR="007B6EA9" w:rsidRPr="003F76C9" w14:paraId="6AEF27D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113"/>
        </w:trPr>
        <w:tc>
          <w:tcPr>
            <w:tcW w:w="8755" w:type="dxa"/>
            <w:gridSpan w:val="3"/>
          </w:tcPr>
          <w:p w14:paraId="34A2F71F" w14:textId="77777777" w:rsidR="007B6EA9" w:rsidRPr="005135B8" w:rsidRDefault="007B6EA9" w:rsidP="007B6EA9">
            <w:pPr>
              <w:pStyle w:val="Notesstructure"/>
              <w:spacing w:line="360" w:lineRule="auto"/>
              <w:rPr>
                <w:b/>
                <w:color w:val="auto"/>
                <w:sz w:val="2"/>
              </w:rPr>
            </w:pPr>
          </w:p>
        </w:tc>
      </w:tr>
      <w:tr w:rsidR="007B6EA9" w:rsidRPr="003F76C9" w14:paraId="29D7701E"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113"/>
        </w:trPr>
        <w:tc>
          <w:tcPr>
            <w:tcW w:w="8755" w:type="dxa"/>
            <w:gridSpan w:val="3"/>
            <w:tcBorders>
              <w:top w:val="single" w:sz="4" w:space="0" w:color="auto"/>
            </w:tcBorders>
          </w:tcPr>
          <w:p w14:paraId="73D768AB" w14:textId="77777777" w:rsidR="007B6EA9" w:rsidRPr="005135B8" w:rsidRDefault="007B6EA9" w:rsidP="007B6EA9">
            <w:pPr>
              <w:pStyle w:val="Notesstructure"/>
              <w:spacing w:line="360" w:lineRule="auto"/>
              <w:rPr>
                <w:b/>
                <w:color w:val="auto"/>
                <w:sz w:val="2"/>
              </w:rPr>
            </w:pPr>
          </w:p>
        </w:tc>
      </w:tr>
      <w:tr w:rsidR="007B6EA9" w:rsidRPr="003F76C9" w14:paraId="16931C34"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hRule="exact" w:val="284"/>
        </w:trPr>
        <w:tc>
          <w:tcPr>
            <w:tcW w:w="8755" w:type="dxa"/>
            <w:gridSpan w:val="3"/>
          </w:tcPr>
          <w:p w14:paraId="48F4FC73"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7985A18A" w14:textId="77777777" w:rsidR="007B6EA9" w:rsidRPr="005135B8" w:rsidRDefault="007B6EA9" w:rsidP="007B6EA9">
            <w:pPr>
              <w:pStyle w:val="Notesstructure"/>
              <w:spacing w:line="360" w:lineRule="auto"/>
              <w:rPr>
                <w:b/>
                <w:color w:val="auto"/>
                <w:sz w:val="2"/>
              </w:rPr>
            </w:pPr>
          </w:p>
        </w:tc>
      </w:tr>
    </w:tbl>
    <w:p w14:paraId="24ADAE1D" w14:textId="77777777" w:rsidR="007B6EA9" w:rsidRDefault="007B6EA9" w:rsidP="007B6EA9">
      <w:pPr>
        <w:pStyle w:val="Heading3"/>
        <w:numPr>
          <w:ilvl w:val="0"/>
          <w:numId w:val="0"/>
        </w:numPr>
        <w:ind w:left="720" w:hanging="720"/>
      </w:pPr>
    </w:p>
    <w:p w14:paraId="35FD635B" w14:textId="77777777" w:rsidR="007B6EA9" w:rsidRDefault="007B6EA9" w:rsidP="007B6EA9">
      <w:pPr>
        <w:rPr>
          <w:b/>
          <w:bCs/>
          <w:color w:val="000000"/>
          <w:sz w:val="22"/>
        </w:rPr>
      </w:pPr>
      <w:r>
        <w:br w:type="page"/>
      </w:r>
    </w:p>
    <w:p w14:paraId="54D96536" w14:textId="3AE9D434" w:rsidR="007B6EA9" w:rsidRPr="007273F2" w:rsidRDefault="007B6EA9" w:rsidP="007B6EA9">
      <w:pPr>
        <w:pStyle w:val="Heading3"/>
      </w:pPr>
      <w:bookmarkStart w:id="242" w:name="_Toc35892570"/>
      <w:r>
        <w:t>Interactive approaches</w:t>
      </w:r>
      <w:bookmarkEnd w:id="242"/>
      <w:r>
        <w:t xml:space="preserve"> </w:t>
      </w:r>
    </w:p>
    <w:p w14:paraId="330CA993" w14:textId="084841F3" w:rsidR="007B6EA9" w:rsidRPr="009B435B" w:rsidRDefault="007B6EA9" w:rsidP="007B6EA9">
      <w:pPr>
        <w:spacing w:line="480" w:lineRule="auto"/>
      </w:pPr>
      <w:r>
        <w:t xml:space="preserve">Interactive methods involve </w:t>
      </w:r>
      <w:r w:rsidR="001746A4">
        <w:t>two-way</w:t>
      </w:r>
      <w:r>
        <w:t xml:space="preserve"> interactions between young people and the mode of delivery, whether that is teachers, peers, online or virtual programmes or trained professionals. Many methods have the possib</w:t>
      </w:r>
      <w:r w:rsidR="00A868BB">
        <w:t>ilit</w:t>
      </w:r>
      <w:r>
        <w:t>y to include interactive elements; in schools</w:t>
      </w:r>
      <w:r w:rsidR="00A868BB">
        <w:t>,</w:t>
      </w:r>
      <w:r>
        <w:t xml:space="preserve"> this may be group discussions, pupil</w:t>
      </w:r>
      <w:r w:rsidR="00A868BB">
        <w:t>-</w:t>
      </w:r>
      <w:r>
        <w:t>led research or skills-practice. Online programmes can offer forums, messaging and interactive web pages. Non-interactive methods include lectures and stand-</w:t>
      </w:r>
      <w:r w:rsidR="00A868BB">
        <w:t>alon</w:t>
      </w:r>
      <w:r>
        <w:t>e information provision. Although the interactivity of many interventions is not routinely measured, there is consistent evidence from a range of sources which demonstrates the effectiveness of using interactive methods and their use is recommended within several guidelines.</w:t>
      </w:r>
    </w:p>
    <w:p w14:paraId="07D247E5" w14:textId="472B5B57" w:rsidR="007B6EA9" w:rsidRPr="003171C5" w:rsidRDefault="007B6EA9" w:rsidP="003171C5">
      <w:pPr>
        <w:pStyle w:val="TableHeader"/>
        <w:rPr>
          <w:b/>
        </w:rPr>
      </w:pPr>
      <w:bookmarkStart w:id="243" w:name="_Toc9509041"/>
      <w:r w:rsidRPr="003171C5">
        <w:rPr>
          <w:b/>
        </w:rPr>
        <w:t xml:space="preserve">Table </w:t>
      </w:r>
      <w:r w:rsidR="003171C5" w:rsidRPr="003171C5">
        <w:rPr>
          <w:b/>
        </w:rPr>
        <w:t>3-</w:t>
      </w:r>
      <w:r w:rsidR="00FC1DE2">
        <w:rPr>
          <w:b/>
        </w:rPr>
        <w:t>10</w:t>
      </w:r>
      <w:r w:rsidRPr="003171C5">
        <w:rPr>
          <w:b/>
        </w:rPr>
        <w:t>. Effectiveness and recommendations for the use of interactive approaches</w:t>
      </w:r>
      <w:bookmarkEnd w:id="243"/>
    </w:p>
    <w:tbl>
      <w:tblPr>
        <w:tblStyle w:val="TableGrid"/>
        <w:tblW w:w="9180" w:type="dxa"/>
        <w:tblLook w:val="04A0" w:firstRow="1" w:lastRow="0" w:firstColumn="1" w:lastColumn="0" w:noHBand="0" w:noVBand="1"/>
      </w:tblPr>
      <w:tblGrid>
        <w:gridCol w:w="4786"/>
        <w:gridCol w:w="4394"/>
      </w:tblGrid>
      <w:tr w:rsidR="007B6EA9" w:rsidRPr="00F9373F" w14:paraId="50189326" w14:textId="77777777" w:rsidTr="007B6EA9">
        <w:trPr>
          <w:trHeight w:val="430"/>
        </w:trPr>
        <w:tc>
          <w:tcPr>
            <w:tcW w:w="9180" w:type="dxa"/>
            <w:gridSpan w:val="2"/>
            <w:tcBorders>
              <w:top w:val="single" w:sz="8" w:space="0" w:color="auto"/>
              <w:left w:val="nil"/>
              <w:bottom w:val="single" w:sz="8" w:space="0" w:color="auto"/>
              <w:right w:val="nil"/>
            </w:tcBorders>
            <w:vAlign w:val="center"/>
          </w:tcPr>
          <w:p w14:paraId="291CC75A" w14:textId="77777777" w:rsidR="007B6EA9" w:rsidRPr="00F9373F" w:rsidRDefault="007B6EA9" w:rsidP="007B6EA9">
            <w:pPr>
              <w:rPr>
                <w:b/>
                <w:szCs w:val="24"/>
              </w:rPr>
            </w:pPr>
            <w:r>
              <w:rPr>
                <w:b/>
              </w:rPr>
              <w:t xml:space="preserve">Interactive approaches </w:t>
            </w:r>
          </w:p>
        </w:tc>
      </w:tr>
      <w:tr w:rsidR="007B6EA9" w:rsidRPr="00C11D82" w14:paraId="1DD8315E" w14:textId="77777777" w:rsidTr="007B6EA9">
        <w:trPr>
          <w:trHeight w:val="3562"/>
        </w:trPr>
        <w:tc>
          <w:tcPr>
            <w:tcW w:w="4786" w:type="dxa"/>
            <w:tcBorders>
              <w:top w:val="single" w:sz="4" w:space="0" w:color="auto"/>
              <w:left w:val="nil"/>
              <w:bottom w:val="single" w:sz="4" w:space="0" w:color="auto"/>
              <w:right w:val="nil"/>
            </w:tcBorders>
          </w:tcPr>
          <w:p w14:paraId="59D1EF45" w14:textId="77777777" w:rsidR="007B6EA9" w:rsidRPr="00C11D82" w:rsidRDefault="007B6EA9" w:rsidP="007B6EA9">
            <w:pPr>
              <w:pStyle w:val="Notesstructure"/>
              <w:rPr>
                <w:b/>
                <w:color w:val="auto"/>
                <w:sz w:val="22"/>
                <w:szCs w:val="22"/>
              </w:rPr>
            </w:pPr>
            <w:r w:rsidRPr="00C11D82">
              <w:rPr>
                <w:b/>
                <w:color w:val="auto"/>
                <w:sz w:val="22"/>
                <w:szCs w:val="22"/>
              </w:rPr>
              <w:t>Effective:</w:t>
            </w:r>
          </w:p>
          <w:p w14:paraId="65D51B6E" w14:textId="77777777" w:rsidR="007B6EA9" w:rsidRPr="00C11D82" w:rsidRDefault="007B6EA9" w:rsidP="00C92BD2">
            <w:pPr>
              <w:pStyle w:val="Notesstructure"/>
              <w:numPr>
                <w:ilvl w:val="0"/>
                <w:numId w:val="11"/>
              </w:numPr>
              <w:spacing w:line="360" w:lineRule="auto"/>
              <w:ind w:left="714" w:hanging="357"/>
              <w:rPr>
                <w:color w:val="auto"/>
                <w:sz w:val="22"/>
                <w:szCs w:val="22"/>
              </w:rPr>
            </w:pPr>
            <w:r w:rsidRPr="00C11D82">
              <w:rPr>
                <w:color w:val="auto"/>
                <w:sz w:val="22"/>
                <w:szCs w:val="22"/>
              </w:rPr>
              <w:t xml:space="preserve">Interactive approaches show evidence of beneficial effects </w:t>
            </w:r>
            <w:r w:rsidRPr="00C11D82">
              <w:rPr>
                <w:color w:val="auto"/>
                <w:sz w:val="22"/>
                <w:szCs w:val="22"/>
                <w:vertAlign w:val="superscript"/>
              </w:rPr>
              <w:t>[A][B][C][D][E]</w:t>
            </w:r>
          </w:p>
          <w:p w14:paraId="3B8A4458" w14:textId="77777777" w:rsidR="007B6EA9" w:rsidRPr="00C11D82" w:rsidRDefault="007B6EA9" w:rsidP="00C92BD2">
            <w:pPr>
              <w:pStyle w:val="Notesstructure"/>
              <w:numPr>
                <w:ilvl w:val="0"/>
                <w:numId w:val="11"/>
              </w:numPr>
              <w:spacing w:line="360" w:lineRule="auto"/>
              <w:rPr>
                <w:color w:val="auto"/>
                <w:sz w:val="22"/>
                <w:szCs w:val="22"/>
              </w:rPr>
            </w:pPr>
            <w:r w:rsidRPr="00C11D82">
              <w:rPr>
                <w:color w:val="auto"/>
                <w:sz w:val="22"/>
                <w:szCs w:val="22"/>
              </w:rPr>
              <w:t xml:space="preserve">Evidence shows that interactive approaches which involve peers are most effective </w:t>
            </w:r>
            <w:r w:rsidRPr="00C11D82">
              <w:rPr>
                <w:color w:val="auto"/>
                <w:sz w:val="22"/>
                <w:szCs w:val="22"/>
                <w:vertAlign w:val="superscript"/>
              </w:rPr>
              <w:t>[B]</w:t>
            </w:r>
          </w:p>
          <w:p w14:paraId="426CC7B3" w14:textId="77777777" w:rsidR="007B6EA9" w:rsidRPr="00C11D82" w:rsidRDefault="007B6EA9" w:rsidP="007B6EA9">
            <w:pPr>
              <w:pStyle w:val="Notesstructure"/>
              <w:spacing w:line="360" w:lineRule="auto"/>
              <w:ind w:left="720"/>
              <w:rPr>
                <w:color w:val="auto"/>
                <w:sz w:val="22"/>
                <w:szCs w:val="22"/>
              </w:rPr>
            </w:pPr>
          </w:p>
        </w:tc>
        <w:tc>
          <w:tcPr>
            <w:tcW w:w="4394" w:type="dxa"/>
            <w:tcBorders>
              <w:top w:val="single" w:sz="4" w:space="0" w:color="auto"/>
              <w:left w:val="nil"/>
              <w:bottom w:val="single" w:sz="4" w:space="0" w:color="auto"/>
              <w:right w:val="nil"/>
            </w:tcBorders>
          </w:tcPr>
          <w:p w14:paraId="6235EECC" w14:textId="77777777" w:rsidR="007B6EA9" w:rsidRPr="00C11D82" w:rsidRDefault="007B6EA9" w:rsidP="007B6EA9">
            <w:pPr>
              <w:pStyle w:val="Notesstructure"/>
              <w:rPr>
                <w:b/>
                <w:color w:val="auto"/>
                <w:sz w:val="22"/>
                <w:szCs w:val="22"/>
              </w:rPr>
            </w:pPr>
            <w:r w:rsidRPr="00C11D82">
              <w:rPr>
                <w:b/>
                <w:color w:val="auto"/>
                <w:sz w:val="22"/>
                <w:szCs w:val="22"/>
              </w:rPr>
              <w:t>Recommended:</w:t>
            </w:r>
          </w:p>
          <w:p w14:paraId="4A1700F8" w14:textId="77777777" w:rsidR="007B6EA9" w:rsidRDefault="007B6EA9" w:rsidP="00C92BD2">
            <w:pPr>
              <w:pStyle w:val="Notesstructure"/>
              <w:numPr>
                <w:ilvl w:val="0"/>
                <w:numId w:val="20"/>
              </w:numPr>
              <w:spacing w:line="360" w:lineRule="auto"/>
              <w:ind w:left="714" w:hanging="357"/>
              <w:rPr>
                <w:color w:val="auto"/>
                <w:sz w:val="22"/>
                <w:szCs w:val="22"/>
              </w:rPr>
            </w:pPr>
            <w:r w:rsidRPr="00C11D82">
              <w:rPr>
                <w:color w:val="auto"/>
                <w:sz w:val="22"/>
                <w:szCs w:val="22"/>
              </w:rPr>
              <w:t>EMCDDA recommend the use of interactive methods</w:t>
            </w:r>
            <w:r>
              <w:rPr>
                <w:color w:val="auto"/>
                <w:sz w:val="22"/>
                <w:szCs w:val="22"/>
              </w:rPr>
              <w:t>.</w:t>
            </w:r>
          </w:p>
          <w:p w14:paraId="6F8D0368" w14:textId="77777777" w:rsidR="007B6EA9" w:rsidRPr="00D95D45" w:rsidRDefault="007B6EA9" w:rsidP="00D65FF8">
            <w:pPr>
              <w:pStyle w:val="Notesstructure"/>
              <w:numPr>
                <w:ilvl w:val="0"/>
                <w:numId w:val="20"/>
              </w:numPr>
              <w:spacing w:line="360" w:lineRule="auto"/>
              <w:ind w:left="639"/>
              <w:rPr>
                <w:color w:val="auto"/>
                <w:sz w:val="22"/>
                <w:szCs w:val="22"/>
              </w:rPr>
            </w:pPr>
            <w:r>
              <w:rPr>
                <w:color w:val="auto"/>
                <w:sz w:val="22"/>
                <w:szCs w:val="22"/>
              </w:rPr>
              <w:t>Mentor-ADEPIS</w:t>
            </w:r>
            <w:r w:rsidRPr="00C11D82">
              <w:rPr>
                <w:color w:val="auto"/>
                <w:sz w:val="22"/>
                <w:szCs w:val="22"/>
              </w:rPr>
              <w:t xml:space="preserve"> recommend the use of interactive methods</w:t>
            </w:r>
            <w:r>
              <w:rPr>
                <w:color w:val="auto"/>
                <w:sz w:val="22"/>
                <w:szCs w:val="22"/>
              </w:rPr>
              <w:t>.</w:t>
            </w:r>
            <w:r w:rsidRPr="00C11D82">
              <w:rPr>
                <w:color w:val="auto"/>
                <w:sz w:val="22"/>
                <w:szCs w:val="22"/>
              </w:rPr>
              <w:t xml:space="preserve"> </w:t>
            </w:r>
          </w:p>
          <w:p w14:paraId="0FC89A68" w14:textId="77777777" w:rsidR="007B6EA9" w:rsidRPr="00A703BF" w:rsidRDefault="007B6EA9" w:rsidP="00D65FF8">
            <w:pPr>
              <w:pStyle w:val="Notesstructure"/>
              <w:numPr>
                <w:ilvl w:val="0"/>
                <w:numId w:val="20"/>
              </w:numPr>
              <w:spacing w:line="360" w:lineRule="auto"/>
              <w:ind w:left="639"/>
              <w:rPr>
                <w:color w:val="auto"/>
                <w:sz w:val="22"/>
                <w:szCs w:val="22"/>
              </w:rPr>
            </w:pPr>
            <w:r w:rsidRPr="00C11D82">
              <w:rPr>
                <w:color w:val="auto"/>
                <w:sz w:val="22"/>
                <w:szCs w:val="22"/>
              </w:rPr>
              <w:t>UNDOC/WHO recommend the use of interactive methods</w:t>
            </w:r>
            <w:r>
              <w:rPr>
                <w:color w:val="auto"/>
                <w:sz w:val="22"/>
                <w:szCs w:val="22"/>
              </w:rPr>
              <w:t>.</w:t>
            </w:r>
          </w:p>
        </w:tc>
      </w:tr>
      <w:tr w:rsidR="007B6EA9" w:rsidRPr="003F76C9" w14:paraId="0C4A342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2"/>
            <w:tcBorders>
              <w:top w:val="single" w:sz="4" w:space="0" w:color="auto"/>
            </w:tcBorders>
          </w:tcPr>
          <w:p w14:paraId="09EAB5B9" w14:textId="77777777" w:rsidR="007B6EA9" w:rsidRPr="005135B8" w:rsidRDefault="007B6EA9" w:rsidP="007B6EA9">
            <w:pPr>
              <w:pStyle w:val="Notesstructure"/>
              <w:spacing w:line="360" w:lineRule="auto"/>
              <w:rPr>
                <w:b/>
                <w:color w:val="auto"/>
                <w:sz w:val="2"/>
              </w:rPr>
            </w:pPr>
          </w:p>
        </w:tc>
      </w:tr>
      <w:tr w:rsidR="007B6EA9" w:rsidRPr="003F76C9" w14:paraId="7E30C974"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2"/>
          </w:tcPr>
          <w:p w14:paraId="15BE9920"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4C0530DF" w14:textId="77777777" w:rsidR="007B6EA9" w:rsidRPr="005135B8" w:rsidRDefault="007B6EA9" w:rsidP="007B6EA9">
            <w:pPr>
              <w:pStyle w:val="Notesstructure"/>
              <w:spacing w:line="360" w:lineRule="auto"/>
              <w:rPr>
                <w:b/>
                <w:color w:val="auto"/>
                <w:sz w:val="2"/>
              </w:rPr>
            </w:pPr>
          </w:p>
        </w:tc>
      </w:tr>
    </w:tbl>
    <w:p w14:paraId="30AD5D4E" w14:textId="77777777" w:rsidR="007B6EA9" w:rsidRDefault="007B6EA9" w:rsidP="007B6EA9">
      <w:pPr>
        <w:rPr>
          <w:b/>
        </w:rPr>
      </w:pPr>
    </w:p>
    <w:p w14:paraId="11688016" w14:textId="77777777" w:rsidR="00D65FF8" w:rsidRDefault="00D65FF8">
      <w:pPr>
        <w:rPr>
          <w:b/>
          <w:bCs/>
          <w:color w:val="000000"/>
          <w:sz w:val="22"/>
        </w:rPr>
      </w:pPr>
      <w:r>
        <w:br w:type="page"/>
      </w:r>
    </w:p>
    <w:p w14:paraId="05E13E0D" w14:textId="11922860" w:rsidR="007B6EA9" w:rsidRDefault="007B6EA9" w:rsidP="007B6EA9">
      <w:pPr>
        <w:pStyle w:val="Heading3"/>
      </w:pPr>
      <w:bookmarkStart w:id="244" w:name="_Toc35892571"/>
      <w:r>
        <w:t>Non-judgemental approach</w:t>
      </w:r>
      <w:bookmarkEnd w:id="244"/>
      <w:r>
        <w:t xml:space="preserve"> </w:t>
      </w:r>
    </w:p>
    <w:p w14:paraId="2D161B7E" w14:textId="77777777" w:rsidR="007B6EA9" w:rsidRPr="00AF5C47" w:rsidRDefault="007B6EA9" w:rsidP="007B6EA9">
      <w:pPr>
        <w:spacing w:line="480" w:lineRule="auto"/>
      </w:pPr>
      <w:r>
        <w:t>A non-judgemental approach is respectful, caring and avoids overly authoritative methods or shaming and stigmatising users. Use of a non-judgemental approach is recommended as it is associated with positive outcomes and has been found to be more acceptable to participants.</w:t>
      </w:r>
    </w:p>
    <w:p w14:paraId="0F8BA7B7" w14:textId="4CC07B58" w:rsidR="00F301F2" w:rsidRDefault="00F301F2">
      <w:pPr>
        <w:rPr>
          <w:b/>
        </w:rPr>
      </w:pPr>
    </w:p>
    <w:p w14:paraId="0495AA4E" w14:textId="2510C614" w:rsidR="007B6EA9" w:rsidRPr="003171C5" w:rsidRDefault="007B6EA9" w:rsidP="003171C5">
      <w:pPr>
        <w:pStyle w:val="TableHeader"/>
        <w:rPr>
          <w:b/>
        </w:rPr>
      </w:pPr>
      <w:bookmarkStart w:id="245" w:name="_Toc9509042"/>
      <w:r w:rsidRPr="003171C5">
        <w:rPr>
          <w:b/>
        </w:rPr>
        <w:t xml:space="preserve">Table </w:t>
      </w:r>
      <w:r w:rsidR="003171C5">
        <w:rPr>
          <w:b/>
        </w:rPr>
        <w:t>3-</w:t>
      </w:r>
      <w:r w:rsidRPr="003171C5">
        <w:rPr>
          <w:b/>
        </w:rPr>
        <w:t>1</w:t>
      </w:r>
      <w:r w:rsidR="00FC1DE2">
        <w:rPr>
          <w:b/>
        </w:rPr>
        <w:t>1</w:t>
      </w:r>
      <w:r w:rsidRPr="003171C5">
        <w:rPr>
          <w:b/>
        </w:rPr>
        <w:t>. Effectiveness and recommendations for non-judgemental approaches</w:t>
      </w:r>
      <w:bookmarkEnd w:id="245"/>
      <w:r w:rsidRPr="003171C5">
        <w:rPr>
          <w:b/>
        </w:rPr>
        <w:t xml:space="preserve"> </w:t>
      </w:r>
    </w:p>
    <w:tbl>
      <w:tblPr>
        <w:tblStyle w:val="TableGrid"/>
        <w:tblW w:w="9180" w:type="dxa"/>
        <w:tblLook w:val="04A0" w:firstRow="1" w:lastRow="0" w:firstColumn="1" w:lastColumn="0" w:noHBand="0" w:noVBand="1"/>
      </w:tblPr>
      <w:tblGrid>
        <w:gridCol w:w="4644"/>
        <w:gridCol w:w="4536"/>
      </w:tblGrid>
      <w:tr w:rsidR="007B6EA9" w:rsidRPr="00F9373F" w14:paraId="7CFB4E0C" w14:textId="77777777" w:rsidTr="007B6EA9">
        <w:trPr>
          <w:trHeight w:val="430"/>
        </w:trPr>
        <w:tc>
          <w:tcPr>
            <w:tcW w:w="9180" w:type="dxa"/>
            <w:gridSpan w:val="2"/>
            <w:tcBorders>
              <w:top w:val="single" w:sz="8" w:space="0" w:color="auto"/>
              <w:left w:val="nil"/>
              <w:bottom w:val="single" w:sz="8" w:space="0" w:color="auto"/>
              <w:right w:val="nil"/>
            </w:tcBorders>
            <w:vAlign w:val="center"/>
          </w:tcPr>
          <w:p w14:paraId="7CB31360" w14:textId="77777777" w:rsidR="007B6EA9" w:rsidRPr="00F9373F" w:rsidRDefault="007B6EA9" w:rsidP="007B6EA9">
            <w:pPr>
              <w:rPr>
                <w:b/>
                <w:szCs w:val="24"/>
              </w:rPr>
            </w:pPr>
            <w:r>
              <w:rPr>
                <w:b/>
              </w:rPr>
              <w:t>Non-judgmental approach</w:t>
            </w:r>
          </w:p>
        </w:tc>
      </w:tr>
      <w:tr w:rsidR="007B6EA9" w:rsidRPr="00C11D82" w14:paraId="4F1B3D2E" w14:textId="77777777" w:rsidTr="007B6EA9">
        <w:tc>
          <w:tcPr>
            <w:tcW w:w="4644" w:type="dxa"/>
            <w:tcBorders>
              <w:top w:val="single" w:sz="4" w:space="0" w:color="auto"/>
              <w:left w:val="nil"/>
              <w:bottom w:val="single" w:sz="4" w:space="0" w:color="auto"/>
              <w:right w:val="nil"/>
            </w:tcBorders>
          </w:tcPr>
          <w:p w14:paraId="4FEE0C15"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 xml:space="preserve">Effective: </w:t>
            </w:r>
          </w:p>
          <w:p w14:paraId="7A5266DB" w14:textId="77777777" w:rsidR="007B6EA9" w:rsidRPr="00C11D82" w:rsidRDefault="007B6EA9" w:rsidP="00C92BD2">
            <w:pPr>
              <w:pStyle w:val="Notesstructure"/>
              <w:numPr>
                <w:ilvl w:val="0"/>
                <w:numId w:val="12"/>
              </w:numPr>
              <w:spacing w:line="360" w:lineRule="auto"/>
              <w:rPr>
                <w:color w:val="auto"/>
                <w:sz w:val="22"/>
                <w:szCs w:val="22"/>
              </w:rPr>
            </w:pPr>
            <w:r w:rsidRPr="00C11D82">
              <w:rPr>
                <w:color w:val="auto"/>
                <w:sz w:val="22"/>
                <w:szCs w:val="22"/>
              </w:rPr>
              <w:t xml:space="preserve">Evidence shows that a non-judgmental approach is </w:t>
            </w:r>
            <w:r>
              <w:rPr>
                <w:color w:val="auto"/>
                <w:sz w:val="22"/>
                <w:szCs w:val="22"/>
              </w:rPr>
              <w:t xml:space="preserve">associated with positive outcomes </w:t>
            </w:r>
            <w:r w:rsidRPr="00C11D82">
              <w:rPr>
                <w:color w:val="auto"/>
                <w:sz w:val="22"/>
                <w:szCs w:val="22"/>
                <w:vertAlign w:val="superscript"/>
              </w:rPr>
              <w:t>[</w:t>
            </w:r>
            <w:r>
              <w:rPr>
                <w:color w:val="auto"/>
                <w:sz w:val="22"/>
                <w:szCs w:val="22"/>
                <w:vertAlign w:val="superscript"/>
              </w:rPr>
              <w:t>C</w:t>
            </w:r>
            <w:r w:rsidRPr="00C11D82">
              <w:rPr>
                <w:color w:val="auto"/>
                <w:sz w:val="22"/>
                <w:szCs w:val="22"/>
                <w:vertAlign w:val="superscript"/>
              </w:rPr>
              <w:t>][</w:t>
            </w:r>
            <w:r>
              <w:rPr>
                <w:color w:val="auto"/>
                <w:sz w:val="22"/>
                <w:szCs w:val="22"/>
                <w:vertAlign w:val="superscript"/>
              </w:rPr>
              <w:t>D</w:t>
            </w:r>
            <w:r w:rsidRPr="00C11D82">
              <w:rPr>
                <w:color w:val="auto"/>
                <w:sz w:val="22"/>
                <w:szCs w:val="22"/>
                <w:vertAlign w:val="superscript"/>
              </w:rPr>
              <w:t>][E]</w:t>
            </w:r>
          </w:p>
          <w:p w14:paraId="4640C89C" w14:textId="77777777" w:rsidR="007B6EA9" w:rsidRPr="00C11D82" w:rsidRDefault="007B6EA9" w:rsidP="007B6EA9">
            <w:pPr>
              <w:pStyle w:val="Notesstructure"/>
              <w:spacing w:line="360" w:lineRule="auto"/>
              <w:ind w:left="720"/>
              <w:rPr>
                <w:color w:val="auto"/>
                <w:sz w:val="22"/>
                <w:szCs w:val="22"/>
              </w:rPr>
            </w:pPr>
          </w:p>
        </w:tc>
        <w:tc>
          <w:tcPr>
            <w:tcW w:w="4536" w:type="dxa"/>
            <w:tcBorders>
              <w:top w:val="single" w:sz="4" w:space="0" w:color="auto"/>
              <w:left w:val="nil"/>
              <w:bottom w:val="single" w:sz="4" w:space="0" w:color="auto"/>
              <w:right w:val="nil"/>
            </w:tcBorders>
          </w:tcPr>
          <w:p w14:paraId="3E5CD5A0" w14:textId="77777777" w:rsidR="007B6EA9" w:rsidRPr="00C11D82" w:rsidRDefault="007B6EA9" w:rsidP="007B6EA9">
            <w:pPr>
              <w:pStyle w:val="Notesstructure"/>
              <w:spacing w:line="360" w:lineRule="auto"/>
              <w:rPr>
                <w:color w:val="auto"/>
                <w:sz w:val="22"/>
                <w:szCs w:val="22"/>
              </w:rPr>
            </w:pPr>
            <w:r w:rsidRPr="00C11D82">
              <w:rPr>
                <w:b/>
                <w:color w:val="auto"/>
                <w:sz w:val="22"/>
                <w:szCs w:val="22"/>
              </w:rPr>
              <w:t>Recommended</w:t>
            </w:r>
            <w:r w:rsidRPr="00C11D82">
              <w:rPr>
                <w:color w:val="auto"/>
                <w:sz w:val="22"/>
                <w:szCs w:val="22"/>
              </w:rPr>
              <w:t>:</w:t>
            </w:r>
          </w:p>
          <w:p w14:paraId="0A7C2382" w14:textId="77777777" w:rsidR="007B6EA9" w:rsidRPr="00C11D82" w:rsidRDefault="007B6EA9" w:rsidP="00C92BD2">
            <w:pPr>
              <w:pStyle w:val="Notesstructure"/>
              <w:numPr>
                <w:ilvl w:val="0"/>
                <w:numId w:val="12"/>
              </w:numPr>
              <w:spacing w:line="360" w:lineRule="auto"/>
              <w:rPr>
                <w:color w:val="auto"/>
                <w:sz w:val="22"/>
                <w:szCs w:val="22"/>
              </w:rPr>
            </w:pPr>
            <w:r w:rsidRPr="00C11D82">
              <w:rPr>
                <w:color w:val="auto"/>
                <w:sz w:val="22"/>
                <w:szCs w:val="22"/>
              </w:rPr>
              <w:t xml:space="preserve">EMCDDA recommends the use of a non-judgmental approach </w:t>
            </w:r>
          </w:p>
          <w:p w14:paraId="576AF789" w14:textId="77777777" w:rsidR="007B6EA9" w:rsidRPr="00C11D82" w:rsidRDefault="007B6EA9" w:rsidP="00C92BD2">
            <w:pPr>
              <w:pStyle w:val="Notesstructure"/>
              <w:numPr>
                <w:ilvl w:val="0"/>
                <w:numId w:val="12"/>
              </w:numPr>
              <w:spacing w:line="360" w:lineRule="auto"/>
              <w:rPr>
                <w:color w:val="auto"/>
                <w:sz w:val="22"/>
                <w:szCs w:val="22"/>
              </w:rPr>
            </w:pPr>
            <w:r w:rsidRPr="00C11D82">
              <w:rPr>
                <w:color w:val="auto"/>
                <w:sz w:val="22"/>
                <w:szCs w:val="22"/>
              </w:rPr>
              <w:t xml:space="preserve">NICE recommends the use of a non-judgmental approach </w:t>
            </w:r>
          </w:p>
          <w:p w14:paraId="3DA71D49" w14:textId="77777777" w:rsidR="007B6EA9" w:rsidRPr="00C11D82" w:rsidRDefault="007B6EA9" w:rsidP="007B6EA9">
            <w:pPr>
              <w:pStyle w:val="Notesstructure"/>
              <w:spacing w:line="360" w:lineRule="auto"/>
              <w:ind w:left="720"/>
              <w:rPr>
                <w:color w:val="auto"/>
                <w:sz w:val="22"/>
                <w:szCs w:val="22"/>
              </w:rPr>
            </w:pPr>
          </w:p>
        </w:tc>
      </w:tr>
      <w:tr w:rsidR="007B6EA9" w:rsidRPr="003F76C9" w14:paraId="1B0D7C79"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2"/>
            <w:tcBorders>
              <w:top w:val="single" w:sz="4" w:space="0" w:color="auto"/>
            </w:tcBorders>
          </w:tcPr>
          <w:p w14:paraId="6306E85F" w14:textId="77777777" w:rsidR="007B6EA9" w:rsidRPr="005135B8" w:rsidRDefault="007B6EA9" w:rsidP="007B6EA9">
            <w:pPr>
              <w:pStyle w:val="Notesstructure"/>
              <w:spacing w:line="360" w:lineRule="auto"/>
              <w:rPr>
                <w:b/>
                <w:color w:val="auto"/>
                <w:sz w:val="2"/>
              </w:rPr>
            </w:pPr>
          </w:p>
        </w:tc>
      </w:tr>
      <w:tr w:rsidR="007B6EA9" w:rsidRPr="003F76C9" w14:paraId="540DE0C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2"/>
          </w:tcPr>
          <w:p w14:paraId="6F6D0060"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43B45B96" w14:textId="77777777" w:rsidR="007B6EA9" w:rsidRDefault="007B6EA9" w:rsidP="007B6EA9">
            <w:pPr>
              <w:pStyle w:val="Notesstructure"/>
              <w:spacing w:line="360" w:lineRule="auto"/>
              <w:rPr>
                <w:b/>
                <w:color w:val="auto"/>
                <w:sz w:val="2"/>
              </w:rPr>
            </w:pPr>
          </w:p>
          <w:p w14:paraId="792A54F1" w14:textId="77777777" w:rsidR="007B6EA9" w:rsidRDefault="007B6EA9" w:rsidP="007B6EA9">
            <w:pPr>
              <w:pStyle w:val="Notesstructure"/>
              <w:spacing w:line="360" w:lineRule="auto"/>
              <w:rPr>
                <w:b/>
                <w:color w:val="auto"/>
                <w:sz w:val="2"/>
              </w:rPr>
            </w:pPr>
          </w:p>
          <w:p w14:paraId="68099E61" w14:textId="77777777" w:rsidR="007B6EA9" w:rsidRPr="005135B8" w:rsidRDefault="007B6EA9" w:rsidP="007B6EA9">
            <w:pPr>
              <w:pStyle w:val="Notesstructure"/>
              <w:spacing w:line="360" w:lineRule="auto"/>
              <w:rPr>
                <w:b/>
                <w:color w:val="auto"/>
                <w:sz w:val="2"/>
              </w:rPr>
            </w:pPr>
          </w:p>
        </w:tc>
      </w:tr>
    </w:tbl>
    <w:p w14:paraId="33742D12" w14:textId="77777777" w:rsidR="007B6EA9" w:rsidRDefault="007B6EA9" w:rsidP="007B6EA9">
      <w:pPr>
        <w:rPr>
          <w:b/>
        </w:rPr>
      </w:pPr>
    </w:p>
    <w:p w14:paraId="0AF1E708" w14:textId="77777777" w:rsidR="007B6EA9" w:rsidRDefault="007B6EA9" w:rsidP="007B6EA9">
      <w:pPr>
        <w:rPr>
          <w:b/>
        </w:rPr>
      </w:pPr>
    </w:p>
    <w:p w14:paraId="7639B419" w14:textId="77777777" w:rsidR="009C6633" w:rsidRDefault="009C6633">
      <w:pPr>
        <w:rPr>
          <w:b/>
        </w:rPr>
      </w:pPr>
      <w:r>
        <w:rPr>
          <w:b/>
        </w:rPr>
        <w:br w:type="page"/>
      </w:r>
    </w:p>
    <w:p w14:paraId="7D38C910" w14:textId="0F48C852" w:rsidR="007B6EA9" w:rsidRPr="003171C5" w:rsidRDefault="007B6EA9" w:rsidP="003171C5">
      <w:pPr>
        <w:pStyle w:val="TableHeader"/>
        <w:rPr>
          <w:b/>
        </w:rPr>
      </w:pPr>
      <w:bookmarkStart w:id="246" w:name="_Toc9509043"/>
      <w:r w:rsidRPr="003171C5">
        <w:rPr>
          <w:b/>
        </w:rPr>
        <w:t xml:space="preserve">Table </w:t>
      </w:r>
      <w:r w:rsidR="003171C5">
        <w:rPr>
          <w:b/>
        </w:rPr>
        <w:t>3-</w:t>
      </w:r>
      <w:r w:rsidRPr="003171C5">
        <w:rPr>
          <w:b/>
        </w:rPr>
        <w:t>1</w:t>
      </w:r>
      <w:r w:rsidR="00FC1DE2">
        <w:rPr>
          <w:b/>
        </w:rPr>
        <w:t>2</w:t>
      </w:r>
      <w:r w:rsidRPr="003171C5">
        <w:rPr>
          <w:b/>
        </w:rPr>
        <w:t>. Effectiveness and recommendations for the use of fear appeals</w:t>
      </w:r>
      <w:bookmarkEnd w:id="246"/>
      <w:r w:rsidRPr="003171C5">
        <w:rPr>
          <w:b/>
        </w:rPr>
        <w:t xml:space="preserve"> </w:t>
      </w:r>
    </w:p>
    <w:tbl>
      <w:tblPr>
        <w:tblStyle w:val="TableGrid"/>
        <w:tblW w:w="9180" w:type="dxa"/>
        <w:tblLook w:val="04A0" w:firstRow="1" w:lastRow="0" w:firstColumn="1" w:lastColumn="0" w:noHBand="0" w:noVBand="1"/>
      </w:tblPr>
      <w:tblGrid>
        <w:gridCol w:w="2802"/>
        <w:gridCol w:w="1842"/>
        <w:gridCol w:w="4536"/>
      </w:tblGrid>
      <w:tr w:rsidR="007B6EA9" w:rsidRPr="00F9373F" w14:paraId="698FFBE0" w14:textId="77777777" w:rsidTr="007B6EA9">
        <w:trPr>
          <w:trHeight w:val="430"/>
        </w:trPr>
        <w:tc>
          <w:tcPr>
            <w:tcW w:w="2802" w:type="dxa"/>
            <w:tcBorders>
              <w:top w:val="single" w:sz="8" w:space="0" w:color="auto"/>
              <w:left w:val="nil"/>
              <w:bottom w:val="single" w:sz="8" w:space="0" w:color="auto"/>
              <w:right w:val="nil"/>
            </w:tcBorders>
            <w:vAlign w:val="center"/>
          </w:tcPr>
          <w:p w14:paraId="06865CA2" w14:textId="77777777" w:rsidR="007B6EA9" w:rsidRPr="00F9373F" w:rsidRDefault="007B6EA9" w:rsidP="007B6EA9">
            <w:pPr>
              <w:rPr>
                <w:b/>
                <w:szCs w:val="24"/>
              </w:rPr>
            </w:pPr>
            <w:r>
              <w:rPr>
                <w:b/>
              </w:rPr>
              <w:t xml:space="preserve">Fear appeals </w:t>
            </w:r>
          </w:p>
        </w:tc>
        <w:tc>
          <w:tcPr>
            <w:tcW w:w="6378" w:type="dxa"/>
            <w:gridSpan w:val="2"/>
            <w:tcBorders>
              <w:top w:val="single" w:sz="8" w:space="0" w:color="auto"/>
              <w:left w:val="nil"/>
              <w:bottom w:val="single" w:sz="8" w:space="0" w:color="auto"/>
              <w:right w:val="nil"/>
            </w:tcBorders>
            <w:vAlign w:val="center"/>
          </w:tcPr>
          <w:p w14:paraId="6B9C6307" w14:textId="77777777" w:rsidR="007B6EA9" w:rsidRPr="00F9373F" w:rsidRDefault="007B6EA9" w:rsidP="007B6EA9">
            <w:pPr>
              <w:rPr>
                <w:b/>
                <w:szCs w:val="24"/>
              </w:rPr>
            </w:pPr>
          </w:p>
        </w:tc>
      </w:tr>
      <w:tr w:rsidR="007B6EA9" w:rsidRPr="00AF5C47" w14:paraId="5DAAB2A7" w14:textId="77777777" w:rsidTr="007B6EA9">
        <w:tc>
          <w:tcPr>
            <w:tcW w:w="4644" w:type="dxa"/>
            <w:gridSpan w:val="2"/>
            <w:tcBorders>
              <w:top w:val="single" w:sz="4" w:space="0" w:color="auto"/>
              <w:left w:val="nil"/>
              <w:bottom w:val="single" w:sz="4" w:space="0" w:color="auto"/>
              <w:right w:val="nil"/>
            </w:tcBorders>
          </w:tcPr>
          <w:p w14:paraId="53BEB5C9" w14:textId="77777777" w:rsidR="007B6EA9" w:rsidRPr="00AF5C47" w:rsidRDefault="007B6EA9" w:rsidP="007B6EA9">
            <w:pPr>
              <w:pStyle w:val="Notesstructure"/>
              <w:spacing w:line="360" w:lineRule="auto"/>
              <w:rPr>
                <w:b/>
                <w:color w:val="auto"/>
                <w:sz w:val="22"/>
                <w:szCs w:val="22"/>
              </w:rPr>
            </w:pPr>
            <w:r w:rsidRPr="00AF5C47">
              <w:rPr>
                <w:b/>
                <w:color w:val="auto"/>
                <w:sz w:val="22"/>
                <w:szCs w:val="22"/>
              </w:rPr>
              <w:t>Ineffective:</w:t>
            </w:r>
          </w:p>
          <w:p w14:paraId="5650D20F" w14:textId="77777777" w:rsidR="007B6EA9" w:rsidRPr="00AF5C47" w:rsidRDefault="007B6EA9" w:rsidP="00C92BD2">
            <w:pPr>
              <w:pStyle w:val="Notesstructure"/>
              <w:numPr>
                <w:ilvl w:val="0"/>
                <w:numId w:val="5"/>
              </w:numPr>
              <w:spacing w:line="360" w:lineRule="auto"/>
              <w:rPr>
                <w:color w:val="auto"/>
                <w:sz w:val="22"/>
                <w:szCs w:val="22"/>
              </w:rPr>
            </w:pPr>
            <w:r w:rsidRPr="00AF5C47">
              <w:rPr>
                <w:color w:val="auto"/>
                <w:sz w:val="22"/>
                <w:szCs w:val="22"/>
              </w:rPr>
              <w:t xml:space="preserve">Fear-based approaches have consistently been found to have no effect </w:t>
            </w:r>
            <w:r w:rsidRPr="00AF5C47">
              <w:rPr>
                <w:color w:val="auto"/>
                <w:sz w:val="22"/>
                <w:szCs w:val="22"/>
                <w:vertAlign w:val="superscript"/>
              </w:rPr>
              <w:t>[</w:t>
            </w:r>
            <w:r>
              <w:rPr>
                <w:color w:val="auto"/>
                <w:sz w:val="22"/>
                <w:szCs w:val="22"/>
                <w:vertAlign w:val="superscript"/>
              </w:rPr>
              <w:t>C</w:t>
            </w:r>
            <w:r w:rsidRPr="00AF5C47">
              <w:rPr>
                <w:color w:val="auto"/>
                <w:sz w:val="22"/>
                <w:szCs w:val="22"/>
                <w:vertAlign w:val="superscript"/>
              </w:rPr>
              <w:t>][</w:t>
            </w:r>
            <w:r>
              <w:rPr>
                <w:color w:val="auto"/>
                <w:sz w:val="22"/>
                <w:szCs w:val="22"/>
                <w:vertAlign w:val="superscript"/>
              </w:rPr>
              <w:t>E</w:t>
            </w:r>
            <w:r w:rsidRPr="00AF5C47">
              <w:rPr>
                <w:color w:val="auto"/>
                <w:sz w:val="22"/>
                <w:szCs w:val="22"/>
                <w:vertAlign w:val="superscript"/>
              </w:rPr>
              <w:t>]</w:t>
            </w:r>
          </w:p>
          <w:p w14:paraId="759774D2" w14:textId="77777777" w:rsidR="007B6EA9" w:rsidRPr="00AF5C47" w:rsidRDefault="007B6EA9" w:rsidP="007B6EA9">
            <w:pPr>
              <w:pStyle w:val="Notesstructure"/>
              <w:spacing w:line="360" w:lineRule="auto"/>
              <w:rPr>
                <w:b/>
                <w:color w:val="auto"/>
                <w:sz w:val="22"/>
                <w:szCs w:val="22"/>
              </w:rPr>
            </w:pPr>
            <w:r w:rsidRPr="00AF5C47">
              <w:rPr>
                <w:b/>
                <w:color w:val="auto"/>
                <w:sz w:val="22"/>
                <w:szCs w:val="22"/>
              </w:rPr>
              <w:t>Harmful:</w:t>
            </w:r>
          </w:p>
          <w:p w14:paraId="4E69814B" w14:textId="77777777" w:rsidR="007B6EA9" w:rsidRPr="00AF5C47" w:rsidRDefault="007B6EA9" w:rsidP="00C92BD2">
            <w:pPr>
              <w:pStyle w:val="Notesstructure"/>
              <w:numPr>
                <w:ilvl w:val="0"/>
                <w:numId w:val="5"/>
              </w:numPr>
              <w:spacing w:line="360" w:lineRule="auto"/>
              <w:rPr>
                <w:color w:val="auto"/>
                <w:sz w:val="22"/>
                <w:szCs w:val="22"/>
              </w:rPr>
            </w:pPr>
            <w:r w:rsidRPr="00AF5C47">
              <w:rPr>
                <w:color w:val="auto"/>
                <w:sz w:val="22"/>
                <w:szCs w:val="22"/>
              </w:rPr>
              <w:t xml:space="preserve">Evidence shows that fear appeals can have counterproductive effects </w:t>
            </w:r>
            <w:r w:rsidRPr="00AF5C47">
              <w:rPr>
                <w:color w:val="auto"/>
                <w:sz w:val="22"/>
                <w:szCs w:val="22"/>
                <w:vertAlign w:val="superscript"/>
              </w:rPr>
              <w:t>[</w:t>
            </w:r>
            <w:r>
              <w:rPr>
                <w:color w:val="auto"/>
                <w:sz w:val="22"/>
                <w:szCs w:val="22"/>
                <w:vertAlign w:val="superscript"/>
              </w:rPr>
              <w:t>C</w:t>
            </w:r>
            <w:r w:rsidRPr="00AF5C47">
              <w:rPr>
                <w:color w:val="auto"/>
                <w:sz w:val="22"/>
                <w:szCs w:val="22"/>
                <w:vertAlign w:val="superscript"/>
              </w:rPr>
              <w:t>][</w:t>
            </w:r>
            <w:r>
              <w:rPr>
                <w:color w:val="auto"/>
                <w:sz w:val="22"/>
                <w:szCs w:val="22"/>
                <w:vertAlign w:val="superscript"/>
              </w:rPr>
              <w:t>E]</w:t>
            </w:r>
          </w:p>
        </w:tc>
        <w:tc>
          <w:tcPr>
            <w:tcW w:w="4536" w:type="dxa"/>
            <w:tcBorders>
              <w:top w:val="single" w:sz="4" w:space="0" w:color="auto"/>
              <w:left w:val="nil"/>
              <w:bottom w:val="single" w:sz="4" w:space="0" w:color="auto"/>
              <w:right w:val="nil"/>
            </w:tcBorders>
          </w:tcPr>
          <w:p w14:paraId="4091EE64" w14:textId="77777777" w:rsidR="007B6EA9" w:rsidRPr="00AF5C47" w:rsidRDefault="007B6EA9" w:rsidP="007B6EA9">
            <w:pPr>
              <w:pStyle w:val="Notesstructure"/>
              <w:spacing w:line="360" w:lineRule="auto"/>
              <w:rPr>
                <w:b/>
                <w:color w:val="auto"/>
                <w:sz w:val="22"/>
                <w:szCs w:val="22"/>
              </w:rPr>
            </w:pPr>
            <w:r w:rsidRPr="00AF5C47">
              <w:rPr>
                <w:b/>
                <w:color w:val="auto"/>
                <w:sz w:val="22"/>
                <w:szCs w:val="22"/>
              </w:rPr>
              <w:t>Not recommended:</w:t>
            </w:r>
          </w:p>
          <w:p w14:paraId="39734B7E" w14:textId="77777777" w:rsidR="007B6EA9" w:rsidRPr="00AF5C47" w:rsidRDefault="007B6EA9" w:rsidP="00C92BD2">
            <w:pPr>
              <w:pStyle w:val="Notesstructure"/>
              <w:numPr>
                <w:ilvl w:val="0"/>
                <w:numId w:val="17"/>
              </w:numPr>
              <w:spacing w:line="360" w:lineRule="auto"/>
              <w:rPr>
                <w:color w:val="auto"/>
                <w:sz w:val="22"/>
                <w:szCs w:val="22"/>
              </w:rPr>
            </w:pPr>
            <w:r w:rsidRPr="00AF5C47">
              <w:rPr>
                <w:color w:val="auto"/>
                <w:sz w:val="22"/>
                <w:szCs w:val="22"/>
              </w:rPr>
              <w:t>ACMD advise against the use of fear appeals</w:t>
            </w:r>
          </w:p>
          <w:p w14:paraId="17240076" w14:textId="77777777" w:rsidR="007B6EA9" w:rsidRPr="00AF5C47" w:rsidRDefault="007B6EA9" w:rsidP="00C92BD2">
            <w:pPr>
              <w:pStyle w:val="Notesstructure"/>
              <w:numPr>
                <w:ilvl w:val="0"/>
                <w:numId w:val="17"/>
              </w:numPr>
              <w:spacing w:line="360" w:lineRule="auto"/>
              <w:rPr>
                <w:color w:val="auto"/>
                <w:sz w:val="22"/>
                <w:szCs w:val="22"/>
              </w:rPr>
            </w:pPr>
            <w:r w:rsidRPr="00AF5C47">
              <w:rPr>
                <w:color w:val="auto"/>
                <w:sz w:val="22"/>
                <w:szCs w:val="22"/>
              </w:rPr>
              <w:t xml:space="preserve">HM Government advise against the use of fear appeals in interventions that are not part of a wider prevention programme </w:t>
            </w:r>
          </w:p>
          <w:p w14:paraId="5B32609E" w14:textId="77777777" w:rsidR="007B6EA9" w:rsidRPr="00AF5C47" w:rsidRDefault="007B6EA9" w:rsidP="00C92BD2">
            <w:pPr>
              <w:pStyle w:val="Notesstructure"/>
              <w:numPr>
                <w:ilvl w:val="0"/>
                <w:numId w:val="17"/>
              </w:numPr>
              <w:spacing w:line="360" w:lineRule="auto"/>
              <w:rPr>
                <w:color w:val="auto"/>
                <w:sz w:val="22"/>
                <w:szCs w:val="22"/>
              </w:rPr>
            </w:pPr>
            <w:r w:rsidRPr="00AF5C47">
              <w:rPr>
                <w:color w:val="auto"/>
                <w:sz w:val="22"/>
                <w:szCs w:val="22"/>
              </w:rPr>
              <w:t>Mentor-ADEPIS advise against use of fear appeals</w:t>
            </w:r>
          </w:p>
          <w:p w14:paraId="36B17E9E" w14:textId="77777777" w:rsidR="007B6EA9" w:rsidRPr="00AF5C47" w:rsidRDefault="007B6EA9" w:rsidP="00C92BD2">
            <w:pPr>
              <w:pStyle w:val="Notesstructure"/>
              <w:numPr>
                <w:ilvl w:val="0"/>
                <w:numId w:val="17"/>
              </w:numPr>
              <w:spacing w:line="360" w:lineRule="auto"/>
              <w:rPr>
                <w:color w:val="auto"/>
                <w:sz w:val="22"/>
                <w:szCs w:val="22"/>
              </w:rPr>
            </w:pPr>
            <w:r w:rsidRPr="00AF5C47">
              <w:rPr>
                <w:color w:val="auto"/>
                <w:sz w:val="22"/>
                <w:szCs w:val="22"/>
              </w:rPr>
              <w:t>Sheffield council advise against the use of fear appeals</w:t>
            </w:r>
          </w:p>
          <w:p w14:paraId="5253387B" w14:textId="77777777" w:rsidR="007B6EA9" w:rsidRPr="00AF5C47" w:rsidRDefault="007B6EA9" w:rsidP="00C92BD2">
            <w:pPr>
              <w:pStyle w:val="Notesstructure"/>
              <w:numPr>
                <w:ilvl w:val="0"/>
                <w:numId w:val="17"/>
              </w:numPr>
              <w:spacing w:line="360" w:lineRule="auto"/>
              <w:rPr>
                <w:color w:val="auto"/>
                <w:sz w:val="22"/>
                <w:szCs w:val="22"/>
              </w:rPr>
            </w:pPr>
            <w:r w:rsidRPr="00AF5C47">
              <w:rPr>
                <w:color w:val="auto"/>
                <w:sz w:val="22"/>
                <w:szCs w:val="22"/>
              </w:rPr>
              <w:t>UNODC/WHO advise against the use of fear appeals</w:t>
            </w:r>
            <w:r w:rsidRPr="00AF5C47">
              <w:rPr>
                <w:color w:val="auto"/>
                <w:sz w:val="22"/>
                <w:szCs w:val="22"/>
              </w:rPr>
              <w:br/>
            </w:r>
          </w:p>
        </w:tc>
      </w:tr>
      <w:tr w:rsidR="007B6EA9" w:rsidRPr="003F76C9" w14:paraId="79D99D9F"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3"/>
            <w:tcBorders>
              <w:top w:val="single" w:sz="4" w:space="0" w:color="auto"/>
            </w:tcBorders>
          </w:tcPr>
          <w:p w14:paraId="7894A70D" w14:textId="77777777" w:rsidR="007B6EA9" w:rsidRPr="005135B8" w:rsidRDefault="007B6EA9" w:rsidP="007B6EA9">
            <w:pPr>
              <w:pStyle w:val="Notesstructure"/>
              <w:spacing w:line="360" w:lineRule="auto"/>
              <w:rPr>
                <w:b/>
                <w:color w:val="auto"/>
                <w:sz w:val="2"/>
              </w:rPr>
            </w:pPr>
          </w:p>
        </w:tc>
      </w:tr>
      <w:tr w:rsidR="007B6EA9" w:rsidRPr="003F76C9" w14:paraId="623D822D"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3"/>
          </w:tcPr>
          <w:p w14:paraId="2C80DF5D"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6705BD56" w14:textId="77777777" w:rsidR="007B6EA9" w:rsidRPr="005135B8" w:rsidRDefault="007B6EA9" w:rsidP="007B6EA9">
            <w:pPr>
              <w:pStyle w:val="Notesstructure"/>
              <w:spacing w:line="360" w:lineRule="auto"/>
              <w:rPr>
                <w:b/>
                <w:color w:val="auto"/>
                <w:sz w:val="2"/>
              </w:rPr>
            </w:pPr>
          </w:p>
        </w:tc>
      </w:tr>
    </w:tbl>
    <w:p w14:paraId="6CB7F4CD" w14:textId="77777777" w:rsidR="007B6EA9" w:rsidRDefault="007B6EA9" w:rsidP="007B6EA9"/>
    <w:p w14:paraId="6837515C" w14:textId="1FB8DA0F" w:rsidR="007B6EA9" w:rsidRPr="003F4E7D" w:rsidRDefault="007B6EA9" w:rsidP="007B6EA9">
      <w:pPr>
        <w:pStyle w:val="Heading3"/>
      </w:pPr>
      <w:bookmarkStart w:id="247" w:name="_Toc35892572"/>
      <w:r w:rsidRPr="003F4E7D">
        <w:t>Fear appeals</w:t>
      </w:r>
      <w:bookmarkEnd w:id="247"/>
      <w:r w:rsidRPr="003F4E7D">
        <w:t xml:space="preserve"> </w:t>
      </w:r>
    </w:p>
    <w:p w14:paraId="2D391E0D" w14:textId="77777777" w:rsidR="007B6EA9" w:rsidRDefault="007B6EA9" w:rsidP="007B6EA9">
      <w:pPr>
        <w:spacing w:line="480" w:lineRule="auto"/>
      </w:pPr>
      <w:r>
        <w:t xml:space="preserve">Fear appeals use fear arousal to try to motivate people to avoid drug use. Fear appeals rely on the presentation of health threats and vulnerability to risk. Despite the intuitive appeal of this approach, fear appeals have consistently been found to have no effect and are not recommended for use within most of the guidelines.   </w:t>
      </w:r>
    </w:p>
    <w:p w14:paraId="03429438" w14:textId="064CA912" w:rsidR="007B6EA9" w:rsidRDefault="007B6EA9" w:rsidP="007B6EA9">
      <w:pPr>
        <w:pStyle w:val="Heading3"/>
      </w:pPr>
      <w:bookmarkStart w:id="248" w:name="_Toc35892573"/>
      <w:r>
        <w:t>Peer educators</w:t>
      </w:r>
      <w:bookmarkEnd w:id="248"/>
      <w:r>
        <w:t xml:space="preserve"> </w:t>
      </w:r>
    </w:p>
    <w:p w14:paraId="06665307" w14:textId="1E074FCA" w:rsidR="00C12452" w:rsidRDefault="00C12452" w:rsidP="00C12452">
      <w:pPr>
        <w:spacing w:line="480" w:lineRule="auto"/>
      </w:pPr>
      <w:r>
        <w:t>In this context, peer-led interventions are interventions in which young people engage with other young people to share information and knowledge. A summary of the recommendations for the use of peer</w:t>
      </w:r>
      <w:r w:rsidR="00A868BB">
        <w:t>-</w:t>
      </w:r>
      <w:r>
        <w:t>led interventions is shown in Table 3</w:t>
      </w:r>
      <w:r w:rsidR="00FC1DE2">
        <w:t>-13</w:t>
      </w:r>
      <w:r>
        <w:t xml:space="preserve"> together with a summary of the evidence on which the recommendations are based. </w:t>
      </w:r>
    </w:p>
    <w:p w14:paraId="7FC627A3" w14:textId="3B7F0AEC" w:rsidR="007B6EA9" w:rsidRPr="003171C5" w:rsidRDefault="007B6EA9" w:rsidP="003171C5">
      <w:pPr>
        <w:pStyle w:val="TableHeader"/>
        <w:rPr>
          <w:b/>
        </w:rPr>
      </w:pPr>
      <w:bookmarkStart w:id="249" w:name="_Toc9509044"/>
      <w:r w:rsidRPr="003171C5">
        <w:rPr>
          <w:b/>
        </w:rPr>
        <w:t xml:space="preserve">Table </w:t>
      </w:r>
      <w:r w:rsidR="003171C5" w:rsidRPr="003171C5">
        <w:rPr>
          <w:b/>
        </w:rPr>
        <w:t>3-</w:t>
      </w:r>
      <w:r w:rsidRPr="003171C5">
        <w:rPr>
          <w:b/>
        </w:rPr>
        <w:t>1</w:t>
      </w:r>
      <w:r w:rsidR="00FC1DE2">
        <w:rPr>
          <w:b/>
        </w:rPr>
        <w:t>3</w:t>
      </w:r>
      <w:r w:rsidRPr="003171C5">
        <w:rPr>
          <w:b/>
        </w:rPr>
        <w:t>. Effectiveness and recommendations for the use of peer educators</w:t>
      </w:r>
      <w:bookmarkEnd w:id="249"/>
    </w:p>
    <w:tbl>
      <w:tblPr>
        <w:tblStyle w:val="TableGrid"/>
        <w:tblW w:w="9180" w:type="dxa"/>
        <w:tblLook w:val="04A0" w:firstRow="1" w:lastRow="0" w:firstColumn="1" w:lastColumn="0" w:noHBand="0" w:noVBand="1"/>
      </w:tblPr>
      <w:tblGrid>
        <w:gridCol w:w="2457"/>
        <w:gridCol w:w="2471"/>
        <w:gridCol w:w="4252"/>
      </w:tblGrid>
      <w:tr w:rsidR="007B6EA9" w:rsidRPr="00F9373F" w14:paraId="0D642118" w14:textId="77777777" w:rsidTr="007B6EA9">
        <w:trPr>
          <w:trHeight w:val="430"/>
        </w:trPr>
        <w:tc>
          <w:tcPr>
            <w:tcW w:w="2457" w:type="dxa"/>
            <w:tcBorders>
              <w:top w:val="single" w:sz="8" w:space="0" w:color="auto"/>
              <w:left w:val="nil"/>
              <w:bottom w:val="single" w:sz="8" w:space="0" w:color="auto"/>
              <w:right w:val="nil"/>
            </w:tcBorders>
            <w:vAlign w:val="center"/>
          </w:tcPr>
          <w:p w14:paraId="6FEBA800" w14:textId="77777777" w:rsidR="007B6EA9" w:rsidRPr="00F9373F" w:rsidRDefault="007B6EA9" w:rsidP="007B6EA9">
            <w:pPr>
              <w:rPr>
                <w:b/>
                <w:szCs w:val="24"/>
              </w:rPr>
            </w:pPr>
            <w:r>
              <w:rPr>
                <w:b/>
              </w:rPr>
              <w:t xml:space="preserve">Peer educators </w:t>
            </w:r>
          </w:p>
        </w:tc>
        <w:tc>
          <w:tcPr>
            <w:tcW w:w="6723" w:type="dxa"/>
            <w:gridSpan w:val="2"/>
            <w:tcBorders>
              <w:top w:val="single" w:sz="8" w:space="0" w:color="auto"/>
              <w:left w:val="nil"/>
              <w:bottom w:val="single" w:sz="8" w:space="0" w:color="auto"/>
              <w:right w:val="nil"/>
            </w:tcBorders>
            <w:vAlign w:val="center"/>
          </w:tcPr>
          <w:p w14:paraId="3E98F7B8" w14:textId="77777777" w:rsidR="007B6EA9" w:rsidRPr="00F9373F" w:rsidRDefault="007B6EA9" w:rsidP="007B6EA9">
            <w:pPr>
              <w:rPr>
                <w:b/>
                <w:szCs w:val="24"/>
              </w:rPr>
            </w:pPr>
          </w:p>
        </w:tc>
      </w:tr>
      <w:tr w:rsidR="007B6EA9" w:rsidRPr="0044721D" w14:paraId="39391491" w14:textId="77777777" w:rsidTr="007B6EA9">
        <w:tc>
          <w:tcPr>
            <w:tcW w:w="4928" w:type="dxa"/>
            <w:gridSpan w:val="2"/>
            <w:tcBorders>
              <w:top w:val="single" w:sz="4" w:space="0" w:color="auto"/>
              <w:left w:val="nil"/>
              <w:bottom w:val="single" w:sz="4" w:space="0" w:color="auto"/>
              <w:right w:val="nil"/>
            </w:tcBorders>
          </w:tcPr>
          <w:p w14:paraId="555641A0" w14:textId="77777777" w:rsidR="007B6EA9" w:rsidRPr="0044721D" w:rsidRDefault="007B6EA9" w:rsidP="007B6EA9">
            <w:pPr>
              <w:pStyle w:val="Notesstructure"/>
              <w:spacing w:line="360" w:lineRule="auto"/>
              <w:rPr>
                <w:color w:val="auto"/>
                <w:sz w:val="22"/>
                <w:szCs w:val="22"/>
              </w:rPr>
            </w:pPr>
            <w:r w:rsidRPr="0044721D">
              <w:rPr>
                <w:color w:val="auto"/>
                <w:sz w:val="22"/>
                <w:szCs w:val="22"/>
              </w:rPr>
              <w:t xml:space="preserve"> </w:t>
            </w:r>
            <w:r w:rsidRPr="0044721D">
              <w:rPr>
                <w:b/>
                <w:color w:val="auto"/>
                <w:sz w:val="22"/>
                <w:szCs w:val="22"/>
              </w:rPr>
              <w:t>Effective:</w:t>
            </w:r>
          </w:p>
          <w:p w14:paraId="692081E5" w14:textId="77777777" w:rsidR="007B6EA9" w:rsidRPr="0044721D" w:rsidRDefault="007B6EA9" w:rsidP="00C92BD2">
            <w:pPr>
              <w:pStyle w:val="Notesstructure"/>
              <w:numPr>
                <w:ilvl w:val="0"/>
                <w:numId w:val="5"/>
              </w:numPr>
              <w:spacing w:line="360" w:lineRule="auto"/>
              <w:rPr>
                <w:color w:val="auto"/>
                <w:sz w:val="22"/>
                <w:szCs w:val="22"/>
              </w:rPr>
            </w:pPr>
            <w:r w:rsidRPr="0044721D">
              <w:rPr>
                <w:color w:val="auto"/>
                <w:sz w:val="22"/>
                <w:szCs w:val="22"/>
              </w:rPr>
              <w:t>Strong evidence shows that interventions that involve peer</w:t>
            </w:r>
            <w:r>
              <w:rPr>
                <w:color w:val="auto"/>
                <w:sz w:val="22"/>
                <w:szCs w:val="22"/>
              </w:rPr>
              <w:t xml:space="preserve"> educators</w:t>
            </w:r>
            <w:r w:rsidRPr="0044721D">
              <w:rPr>
                <w:color w:val="auto"/>
                <w:sz w:val="22"/>
                <w:szCs w:val="22"/>
              </w:rPr>
              <w:t xml:space="preserve"> have been found to be effective </w:t>
            </w:r>
            <w:r w:rsidRPr="0044721D">
              <w:rPr>
                <w:color w:val="auto"/>
                <w:sz w:val="22"/>
                <w:szCs w:val="22"/>
                <w:vertAlign w:val="superscript"/>
              </w:rPr>
              <w:t xml:space="preserve">[A][B][C][D][E] </w:t>
            </w:r>
            <w:r w:rsidRPr="0044721D">
              <w:rPr>
                <w:color w:val="auto"/>
                <w:sz w:val="22"/>
                <w:szCs w:val="22"/>
              </w:rPr>
              <w:t>Positive results have been associated with:</w:t>
            </w:r>
          </w:p>
          <w:p w14:paraId="1F24282D" w14:textId="77777777" w:rsidR="007B6EA9" w:rsidRPr="0044721D" w:rsidRDefault="007B6EA9" w:rsidP="00C92BD2">
            <w:pPr>
              <w:pStyle w:val="Notesstructure"/>
              <w:numPr>
                <w:ilvl w:val="1"/>
                <w:numId w:val="5"/>
              </w:numPr>
              <w:spacing w:line="360" w:lineRule="auto"/>
              <w:rPr>
                <w:color w:val="auto"/>
                <w:sz w:val="22"/>
                <w:szCs w:val="22"/>
              </w:rPr>
            </w:pPr>
            <w:r w:rsidRPr="0044721D">
              <w:rPr>
                <w:color w:val="auto"/>
                <w:sz w:val="22"/>
                <w:szCs w:val="22"/>
              </w:rPr>
              <w:t>Manuali</w:t>
            </w:r>
            <w:r>
              <w:rPr>
                <w:color w:val="auto"/>
                <w:sz w:val="22"/>
                <w:szCs w:val="22"/>
              </w:rPr>
              <w:t>s</w:t>
            </w:r>
            <w:r w:rsidRPr="0044721D">
              <w:rPr>
                <w:color w:val="auto"/>
                <w:sz w:val="22"/>
                <w:szCs w:val="22"/>
              </w:rPr>
              <w:t xml:space="preserve">ed programmes </w:t>
            </w:r>
            <w:r w:rsidRPr="0044721D">
              <w:rPr>
                <w:color w:val="auto"/>
                <w:sz w:val="22"/>
                <w:szCs w:val="22"/>
                <w:vertAlign w:val="superscript"/>
              </w:rPr>
              <w:t xml:space="preserve">[B] </w:t>
            </w:r>
          </w:p>
          <w:p w14:paraId="49261519" w14:textId="77777777" w:rsidR="007B6EA9" w:rsidRPr="00D47056" w:rsidRDefault="007B6EA9" w:rsidP="00C92BD2">
            <w:pPr>
              <w:pStyle w:val="Notesstructure"/>
              <w:numPr>
                <w:ilvl w:val="1"/>
                <w:numId w:val="5"/>
              </w:numPr>
              <w:spacing w:line="360" w:lineRule="auto"/>
              <w:rPr>
                <w:color w:val="auto"/>
                <w:sz w:val="22"/>
                <w:szCs w:val="22"/>
              </w:rPr>
            </w:pPr>
            <w:r w:rsidRPr="0044721D">
              <w:rPr>
                <w:color w:val="auto"/>
                <w:sz w:val="22"/>
                <w:szCs w:val="22"/>
              </w:rPr>
              <w:t xml:space="preserve">Group-based skills training </w:t>
            </w:r>
            <w:r w:rsidRPr="0044721D">
              <w:rPr>
                <w:color w:val="auto"/>
                <w:sz w:val="22"/>
                <w:szCs w:val="22"/>
                <w:vertAlign w:val="superscript"/>
              </w:rPr>
              <w:t>[D]</w:t>
            </w:r>
          </w:p>
          <w:p w14:paraId="55043640" w14:textId="77777777" w:rsidR="007B6EA9" w:rsidRPr="00D47056" w:rsidRDefault="007B6EA9" w:rsidP="00C92BD2">
            <w:pPr>
              <w:pStyle w:val="Notesstructure"/>
              <w:numPr>
                <w:ilvl w:val="0"/>
                <w:numId w:val="5"/>
              </w:numPr>
              <w:spacing w:line="360" w:lineRule="auto"/>
              <w:rPr>
                <w:color w:val="auto"/>
                <w:sz w:val="22"/>
                <w:szCs w:val="22"/>
              </w:rPr>
            </w:pPr>
            <w:r w:rsidRPr="00866BE9">
              <w:rPr>
                <w:color w:val="auto"/>
                <w:sz w:val="22"/>
                <w:szCs w:val="22"/>
              </w:rPr>
              <w:t xml:space="preserve">Some evidence shows positive outcomes </w:t>
            </w:r>
            <w:r>
              <w:rPr>
                <w:color w:val="auto"/>
                <w:sz w:val="22"/>
                <w:szCs w:val="22"/>
              </w:rPr>
              <w:t>for peer</w:t>
            </w:r>
            <w:r w:rsidRPr="00866BE9">
              <w:rPr>
                <w:color w:val="auto"/>
                <w:sz w:val="22"/>
                <w:szCs w:val="22"/>
              </w:rPr>
              <w:t xml:space="preserve"> mentoring approaches </w:t>
            </w:r>
            <w:r w:rsidRPr="00866BE9">
              <w:rPr>
                <w:color w:val="auto"/>
                <w:sz w:val="22"/>
                <w:szCs w:val="22"/>
                <w:vertAlign w:val="superscript"/>
              </w:rPr>
              <w:t>[</w:t>
            </w:r>
            <w:r>
              <w:rPr>
                <w:color w:val="auto"/>
                <w:sz w:val="22"/>
                <w:szCs w:val="22"/>
                <w:vertAlign w:val="superscript"/>
              </w:rPr>
              <w:t>E]</w:t>
            </w:r>
          </w:p>
          <w:p w14:paraId="1DA20ABF" w14:textId="77777777" w:rsidR="007B6EA9" w:rsidRPr="00D47056" w:rsidRDefault="007B6EA9" w:rsidP="00C92BD2">
            <w:pPr>
              <w:pStyle w:val="Notesstructure"/>
              <w:numPr>
                <w:ilvl w:val="0"/>
                <w:numId w:val="5"/>
              </w:numPr>
              <w:spacing w:line="360" w:lineRule="auto"/>
              <w:rPr>
                <w:color w:val="auto"/>
                <w:sz w:val="22"/>
                <w:szCs w:val="22"/>
              </w:rPr>
            </w:pPr>
            <w:r>
              <w:rPr>
                <w:color w:val="auto"/>
                <w:sz w:val="22"/>
                <w:szCs w:val="22"/>
              </w:rPr>
              <w:t>P</w:t>
            </w:r>
            <w:r w:rsidRPr="00D47056">
              <w:rPr>
                <w:color w:val="auto"/>
                <w:sz w:val="22"/>
                <w:szCs w:val="22"/>
              </w:rPr>
              <w:t xml:space="preserve">eer mentoring </w:t>
            </w:r>
            <w:r>
              <w:rPr>
                <w:color w:val="auto"/>
                <w:sz w:val="22"/>
                <w:szCs w:val="22"/>
              </w:rPr>
              <w:t>approaches have shown positive effects for</w:t>
            </w:r>
            <w:r w:rsidRPr="00D47056">
              <w:rPr>
                <w:color w:val="auto"/>
                <w:sz w:val="22"/>
                <w:szCs w:val="22"/>
              </w:rPr>
              <w:t xml:space="preserve"> young people whose parents/family members use drugs </w:t>
            </w:r>
            <w:r w:rsidRPr="00D47056">
              <w:rPr>
                <w:color w:val="auto"/>
                <w:sz w:val="22"/>
                <w:szCs w:val="22"/>
                <w:vertAlign w:val="superscript"/>
              </w:rPr>
              <w:t>[B]</w:t>
            </w:r>
          </w:p>
          <w:p w14:paraId="6C82FE87" w14:textId="77777777" w:rsidR="007B6EA9" w:rsidRPr="0044721D" w:rsidRDefault="007B6EA9" w:rsidP="007B6EA9">
            <w:pPr>
              <w:pStyle w:val="Notesstructure"/>
              <w:spacing w:line="360" w:lineRule="auto"/>
              <w:rPr>
                <w:b/>
                <w:color w:val="auto"/>
                <w:sz w:val="22"/>
                <w:szCs w:val="22"/>
              </w:rPr>
            </w:pPr>
            <w:r w:rsidRPr="0044721D">
              <w:rPr>
                <w:b/>
                <w:color w:val="auto"/>
                <w:sz w:val="22"/>
                <w:szCs w:val="22"/>
              </w:rPr>
              <w:t>Ineffective:</w:t>
            </w:r>
          </w:p>
          <w:p w14:paraId="786B6345" w14:textId="77777777" w:rsidR="007B6EA9" w:rsidRPr="0044721D" w:rsidRDefault="007B6EA9" w:rsidP="00C92BD2">
            <w:pPr>
              <w:pStyle w:val="Notesstructure"/>
              <w:numPr>
                <w:ilvl w:val="0"/>
                <w:numId w:val="5"/>
              </w:numPr>
              <w:spacing w:line="360" w:lineRule="auto"/>
              <w:rPr>
                <w:color w:val="auto"/>
                <w:sz w:val="22"/>
                <w:szCs w:val="22"/>
              </w:rPr>
            </w:pPr>
            <w:r w:rsidRPr="0044721D">
              <w:rPr>
                <w:color w:val="auto"/>
                <w:sz w:val="22"/>
                <w:szCs w:val="22"/>
              </w:rPr>
              <w:t xml:space="preserve">Some evidence shows no or limited effectiveness of peer-led initiatives </w:t>
            </w:r>
            <w:r w:rsidRPr="0044721D">
              <w:rPr>
                <w:color w:val="auto"/>
                <w:sz w:val="22"/>
                <w:szCs w:val="22"/>
                <w:vertAlign w:val="superscript"/>
              </w:rPr>
              <w:t>[</w:t>
            </w:r>
            <w:r>
              <w:rPr>
                <w:color w:val="auto"/>
                <w:sz w:val="22"/>
                <w:szCs w:val="22"/>
                <w:vertAlign w:val="superscript"/>
              </w:rPr>
              <w:t>B</w:t>
            </w:r>
            <w:r w:rsidRPr="0044721D">
              <w:rPr>
                <w:color w:val="auto"/>
                <w:sz w:val="22"/>
                <w:szCs w:val="22"/>
                <w:vertAlign w:val="superscript"/>
              </w:rPr>
              <w:t>][</w:t>
            </w:r>
            <w:r>
              <w:rPr>
                <w:color w:val="auto"/>
                <w:sz w:val="22"/>
                <w:szCs w:val="22"/>
                <w:vertAlign w:val="superscript"/>
              </w:rPr>
              <w:t>D</w:t>
            </w:r>
            <w:r w:rsidRPr="0044721D">
              <w:rPr>
                <w:color w:val="auto"/>
                <w:sz w:val="22"/>
                <w:szCs w:val="22"/>
                <w:vertAlign w:val="superscript"/>
              </w:rPr>
              <w:t>]</w:t>
            </w:r>
          </w:p>
          <w:p w14:paraId="4ACC535D" w14:textId="77777777" w:rsidR="007B6EA9" w:rsidRPr="00D47056" w:rsidRDefault="007B6EA9" w:rsidP="00C92BD2">
            <w:pPr>
              <w:pStyle w:val="Notesstructure"/>
              <w:numPr>
                <w:ilvl w:val="0"/>
                <w:numId w:val="5"/>
              </w:numPr>
              <w:spacing w:line="360" w:lineRule="auto"/>
              <w:rPr>
                <w:color w:val="auto"/>
                <w:sz w:val="22"/>
                <w:szCs w:val="22"/>
              </w:rPr>
            </w:pPr>
            <w:r>
              <w:rPr>
                <w:color w:val="auto"/>
                <w:sz w:val="22"/>
                <w:szCs w:val="22"/>
              </w:rPr>
              <w:t xml:space="preserve">There is evidence that use of peer educators in high-risk groups can be ineffective </w:t>
            </w:r>
            <w:r w:rsidRPr="0044721D">
              <w:rPr>
                <w:color w:val="auto"/>
                <w:sz w:val="22"/>
                <w:szCs w:val="22"/>
                <w:vertAlign w:val="superscript"/>
              </w:rPr>
              <w:t>[E]</w:t>
            </w:r>
          </w:p>
          <w:p w14:paraId="1BA6F606" w14:textId="77777777" w:rsidR="007B6EA9" w:rsidRPr="006A5D76" w:rsidRDefault="007B6EA9" w:rsidP="00C92BD2">
            <w:pPr>
              <w:pStyle w:val="Notesstructure"/>
              <w:numPr>
                <w:ilvl w:val="0"/>
                <w:numId w:val="5"/>
              </w:numPr>
              <w:spacing w:line="360" w:lineRule="auto"/>
              <w:rPr>
                <w:color w:val="auto"/>
                <w:sz w:val="22"/>
                <w:szCs w:val="22"/>
              </w:rPr>
            </w:pPr>
            <w:r>
              <w:rPr>
                <w:color w:val="auto"/>
                <w:sz w:val="22"/>
                <w:szCs w:val="22"/>
              </w:rPr>
              <w:t>Some e</w:t>
            </w:r>
            <w:r w:rsidRPr="00866BE9">
              <w:rPr>
                <w:color w:val="auto"/>
                <w:sz w:val="22"/>
                <w:szCs w:val="22"/>
              </w:rPr>
              <w:t xml:space="preserve">vidence shows </w:t>
            </w:r>
            <w:r>
              <w:rPr>
                <w:color w:val="auto"/>
                <w:sz w:val="22"/>
                <w:szCs w:val="22"/>
              </w:rPr>
              <w:t xml:space="preserve">peer </w:t>
            </w:r>
            <w:r w:rsidRPr="00866BE9">
              <w:rPr>
                <w:color w:val="auto"/>
                <w:sz w:val="22"/>
                <w:szCs w:val="22"/>
              </w:rPr>
              <w:t xml:space="preserve">mentoring programmes have no short- or long-term preventative effects on illegal drug use </w:t>
            </w:r>
            <w:r w:rsidRPr="00866BE9">
              <w:rPr>
                <w:color w:val="auto"/>
                <w:sz w:val="22"/>
                <w:szCs w:val="22"/>
                <w:vertAlign w:val="superscript"/>
              </w:rPr>
              <w:t>[</w:t>
            </w:r>
            <w:r>
              <w:rPr>
                <w:color w:val="auto"/>
                <w:sz w:val="22"/>
                <w:szCs w:val="22"/>
                <w:vertAlign w:val="superscript"/>
              </w:rPr>
              <w:t>A</w:t>
            </w:r>
            <w:r w:rsidRPr="00866BE9">
              <w:rPr>
                <w:color w:val="auto"/>
                <w:sz w:val="22"/>
                <w:szCs w:val="22"/>
                <w:vertAlign w:val="superscript"/>
              </w:rPr>
              <w:t>]</w:t>
            </w:r>
          </w:p>
          <w:p w14:paraId="6F38F27C" w14:textId="77777777" w:rsidR="007B6EA9" w:rsidRPr="00A729DC" w:rsidRDefault="007B6EA9" w:rsidP="00C92BD2">
            <w:pPr>
              <w:pStyle w:val="Notesstructure"/>
              <w:numPr>
                <w:ilvl w:val="0"/>
                <w:numId w:val="5"/>
              </w:numPr>
              <w:spacing w:line="360" w:lineRule="auto"/>
              <w:rPr>
                <w:color w:val="auto"/>
                <w:sz w:val="22"/>
                <w:szCs w:val="22"/>
              </w:rPr>
            </w:pPr>
            <w:r>
              <w:rPr>
                <w:color w:val="auto"/>
                <w:sz w:val="22"/>
                <w:szCs w:val="22"/>
              </w:rPr>
              <w:t xml:space="preserve">Peer mentoring schemes that are not evidence-based have been found to be ineffective </w:t>
            </w:r>
            <w:r w:rsidRPr="006A5D76">
              <w:rPr>
                <w:color w:val="auto"/>
                <w:sz w:val="22"/>
                <w:szCs w:val="22"/>
                <w:vertAlign w:val="superscript"/>
              </w:rPr>
              <w:t>[E</w:t>
            </w:r>
            <w:r>
              <w:rPr>
                <w:color w:val="auto"/>
                <w:sz w:val="22"/>
                <w:szCs w:val="22"/>
                <w:vertAlign w:val="superscript"/>
              </w:rPr>
              <w:t>]</w:t>
            </w:r>
          </w:p>
        </w:tc>
        <w:tc>
          <w:tcPr>
            <w:tcW w:w="4252" w:type="dxa"/>
            <w:tcBorders>
              <w:top w:val="single" w:sz="4" w:space="0" w:color="auto"/>
              <w:left w:val="nil"/>
              <w:bottom w:val="single" w:sz="4" w:space="0" w:color="auto"/>
              <w:right w:val="nil"/>
            </w:tcBorders>
          </w:tcPr>
          <w:p w14:paraId="76BB62A0" w14:textId="77777777" w:rsidR="007B6EA9" w:rsidRPr="0044721D" w:rsidRDefault="007B6EA9" w:rsidP="007B6EA9">
            <w:pPr>
              <w:pStyle w:val="Notesstructure"/>
              <w:spacing w:line="360" w:lineRule="auto"/>
              <w:rPr>
                <w:b/>
                <w:color w:val="auto"/>
                <w:sz w:val="22"/>
                <w:szCs w:val="22"/>
              </w:rPr>
            </w:pPr>
            <w:r w:rsidRPr="0044721D">
              <w:rPr>
                <w:b/>
                <w:color w:val="auto"/>
                <w:sz w:val="22"/>
                <w:szCs w:val="22"/>
              </w:rPr>
              <w:t>Recommended:</w:t>
            </w:r>
          </w:p>
          <w:p w14:paraId="0DC37D67" w14:textId="77777777" w:rsidR="007B6EA9" w:rsidRDefault="007B6EA9" w:rsidP="00C92BD2">
            <w:pPr>
              <w:pStyle w:val="Notesstructure"/>
              <w:numPr>
                <w:ilvl w:val="0"/>
                <w:numId w:val="18"/>
              </w:numPr>
              <w:spacing w:line="360" w:lineRule="auto"/>
              <w:rPr>
                <w:color w:val="auto"/>
                <w:sz w:val="22"/>
                <w:szCs w:val="22"/>
              </w:rPr>
            </w:pPr>
            <w:r w:rsidRPr="0044721D">
              <w:rPr>
                <w:color w:val="auto"/>
                <w:sz w:val="22"/>
                <w:szCs w:val="22"/>
              </w:rPr>
              <w:t xml:space="preserve">EMCDDA recommend the use of peers in interventions  </w:t>
            </w:r>
          </w:p>
          <w:p w14:paraId="1FAE93D7" w14:textId="77777777" w:rsidR="007B6EA9" w:rsidRPr="0044721D" w:rsidRDefault="007B6EA9" w:rsidP="00C92BD2">
            <w:pPr>
              <w:pStyle w:val="Notesstructure"/>
              <w:numPr>
                <w:ilvl w:val="0"/>
                <w:numId w:val="18"/>
              </w:numPr>
              <w:spacing w:line="360" w:lineRule="auto"/>
              <w:rPr>
                <w:color w:val="auto"/>
                <w:sz w:val="22"/>
                <w:szCs w:val="22"/>
              </w:rPr>
            </w:pPr>
            <w:r>
              <w:rPr>
                <w:color w:val="auto"/>
                <w:sz w:val="22"/>
                <w:szCs w:val="22"/>
              </w:rPr>
              <w:t>Mentor-ADEPIS</w:t>
            </w:r>
            <w:r w:rsidRPr="00C11D82">
              <w:rPr>
                <w:color w:val="auto"/>
                <w:sz w:val="22"/>
                <w:szCs w:val="22"/>
              </w:rPr>
              <w:t xml:space="preserve"> recommend the use of </w:t>
            </w:r>
            <w:r>
              <w:rPr>
                <w:color w:val="auto"/>
                <w:sz w:val="22"/>
                <w:szCs w:val="22"/>
              </w:rPr>
              <w:t xml:space="preserve">trained peers </w:t>
            </w:r>
          </w:p>
          <w:p w14:paraId="076A5429" w14:textId="77777777" w:rsidR="007B6EA9" w:rsidRDefault="007B6EA9" w:rsidP="00C92BD2">
            <w:pPr>
              <w:pStyle w:val="Notesstructure"/>
              <w:numPr>
                <w:ilvl w:val="0"/>
                <w:numId w:val="18"/>
              </w:numPr>
              <w:spacing w:line="360" w:lineRule="auto"/>
              <w:rPr>
                <w:color w:val="auto"/>
                <w:sz w:val="22"/>
                <w:szCs w:val="22"/>
              </w:rPr>
            </w:pPr>
            <w:r w:rsidRPr="0044721D">
              <w:rPr>
                <w:color w:val="auto"/>
                <w:sz w:val="22"/>
                <w:szCs w:val="22"/>
              </w:rPr>
              <w:t>UNDOC/WHO recommend the use of trained peer educators</w:t>
            </w:r>
          </w:p>
          <w:p w14:paraId="152B4D16" w14:textId="77777777" w:rsidR="007B6EA9" w:rsidRPr="00D47056" w:rsidRDefault="007B6EA9" w:rsidP="00C92BD2">
            <w:pPr>
              <w:pStyle w:val="Notesstructure"/>
              <w:numPr>
                <w:ilvl w:val="0"/>
                <w:numId w:val="18"/>
              </w:numPr>
              <w:spacing w:line="360" w:lineRule="auto"/>
              <w:rPr>
                <w:color w:val="auto"/>
                <w:sz w:val="22"/>
                <w:szCs w:val="22"/>
              </w:rPr>
            </w:pPr>
            <w:r w:rsidRPr="00D47056">
              <w:rPr>
                <w:color w:val="auto"/>
                <w:sz w:val="22"/>
                <w:szCs w:val="22"/>
              </w:rPr>
              <w:t>UNDOC/WHO recommend the use of mentoring using trained and supported mentors within a structured programme</w:t>
            </w:r>
          </w:p>
        </w:tc>
      </w:tr>
      <w:tr w:rsidR="007B6EA9" w:rsidRPr="003F76C9" w14:paraId="15AD5818"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3"/>
            <w:tcBorders>
              <w:top w:val="single" w:sz="4" w:space="0" w:color="auto"/>
            </w:tcBorders>
          </w:tcPr>
          <w:p w14:paraId="5DD6D4C4" w14:textId="77777777" w:rsidR="007B6EA9" w:rsidRPr="005135B8" w:rsidRDefault="007B6EA9" w:rsidP="007B6EA9">
            <w:pPr>
              <w:pStyle w:val="Notesstructure"/>
              <w:spacing w:line="360" w:lineRule="auto"/>
              <w:rPr>
                <w:b/>
                <w:color w:val="auto"/>
                <w:sz w:val="2"/>
              </w:rPr>
            </w:pPr>
          </w:p>
        </w:tc>
      </w:tr>
      <w:tr w:rsidR="007B6EA9" w:rsidRPr="003F76C9" w14:paraId="14EE1E04"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3"/>
          </w:tcPr>
          <w:p w14:paraId="361951FB"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046AEC0B" w14:textId="77777777" w:rsidR="007B6EA9" w:rsidRPr="005135B8" w:rsidRDefault="007B6EA9" w:rsidP="007B6EA9">
            <w:pPr>
              <w:pStyle w:val="Notesstructure"/>
              <w:spacing w:line="360" w:lineRule="auto"/>
              <w:rPr>
                <w:b/>
                <w:color w:val="auto"/>
                <w:sz w:val="2"/>
              </w:rPr>
            </w:pPr>
          </w:p>
        </w:tc>
      </w:tr>
    </w:tbl>
    <w:p w14:paraId="0E0245E4" w14:textId="77777777" w:rsidR="007B6EA9" w:rsidRDefault="007B6EA9" w:rsidP="007B6EA9">
      <w:pPr>
        <w:spacing w:line="480" w:lineRule="auto"/>
      </w:pPr>
    </w:p>
    <w:p w14:paraId="1650E615" w14:textId="20A7C477" w:rsidR="007B6EA9" w:rsidRDefault="007B6EA9" w:rsidP="007B6EA9">
      <w:pPr>
        <w:pStyle w:val="Heading3"/>
      </w:pPr>
      <w:bookmarkStart w:id="250" w:name="_Toc35892574"/>
      <w:r>
        <w:t>Trained professionals</w:t>
      </w:r>
      <w:bookmarkEnd w:id="250"/>
      <w:r>
        <w:t xml:space="preserve"> </w:t>
      </w:r>
    </w:p>
    <w:p w14:paraId="25CFA1FC" w14:textId="19901DFC" w:rsidR="00C12452" w:rsidRDefault="00C12452" w:rsidP="00C12452">
      <w:pPr>
        <w:spacing w:line="480" w:lineRule="auto"/>
      </w:pPr>
      <w:r>
        <w:t>The term ‘trained professionals’ refers to teachers, practitioners and other professionals who are trained in the use of a specific intervention program. A summary of the recommendations for the use of trained professionals in interventions is shown in Table 3-1</w:t>
      </w:r>
      <w:r w:rsidR="00FC1DE2">
        <w:t>4</w:t>
      </w:r>
      <w:r>
        <w:t xml:space="preserve"> together with a summary of the evidence on which the recommendations are based. </w:t>
      </w:r>
    </w:p>
    <w:p w14:paraId="0BA002AC" w14:textId="15C4CA89" w:rsidR="007B6EA9" w:rsidRPr="003171C5" w:rsidRDefault="007B6EA9" w:rsidP="003171C5">
      <w:pPr>
        <w:pStyle w:val="TableHeader"/>
        <w:rPr>
          <w:b/>
        </w:rPr>
      </w:pPr>
      <w:bookmarkStart w:id="251" w:name="_Toc9509045"/>
      <w:r w:rsidRPr="003171C5">
        <w:rPr>
          <w:b/>
        </w:rPr>
        <w:t xml:space="preserve">Table </w:t>
      </w:r>
      <w:r w:rsidR="003171C5">
        <w:rPr>
          <w:b/>
        </w:rPr>
        <w:t>3-</w:t>
      </w:r>
      <w:r w:rsidRPr="003171C5">
        <w:rPr>
          <w:b/>
        </w:rPr>
        <w:t>1</w:t>
      </w:r>
      <w:r w:rsidR="00FC1DE2">
        <w:rPr>
          <w:b/>
        </w:rPr>
        <w:t>4</w:t>
      </w:r>
      <w:r w:rsidRPr="003171C5">
        <w:rPr>
          <w:b/>
        </w:rPr>
        <w:t>. Effectiveness and recommendations for the use of professionals</w:t>
      </w:r>
      <w:bookmarkEnd w:id="251"/>
    </w:p>
    <w:tbl>
      <w:tblPr>
        <w:tblStyle w:val="TableGrid"/>
        <w:tblW w:w="9180" w:type="dxa"/>
        <w:tblLook w:val="04A0" w:firstRow="1" w:lastRow="0" w:firstColumn="1" w:lastColumn="0" w:noHBand="0" w:noVBand="1"/>
      </w:tblPr>
      <w:tblGrid>
        <w:gridCol w:w="2457"/>
        <w:gridCol w:w="2187"/>
        <w:gridCol w:w="4536"/>
      </w:tblGrid>
      <w:tr w:rsidR="007B6EA9" w:rsidRPr="00F9373F" w14:paraId="32F2B6F5" w14:textId="77777777" w:rsidTr="007B6EA9">
        <w:trPr>
          <w:trHeight w:val="430"/>
        </w:trPr>
        <w:tc>
          <w:tcPr>
            <w:tcW w:w="2457" w:type="dxa"/>
            <w:tcBorders>
              <w:top w:val="single" w:sz="8" w:space="0" w:color="auto"/>
              <w:left w:val="nil"/>
              <w:bottom w:val="single" w:sz="8" w:space="0" w:color="auto"/>
              <w:right w:val="nil"/>
            </w:tcBorders>
            <w:vAlign w:val="center"/>
          </w:tcPr>
          <w:p w14:paraId="14934892" w14:textId="77777777" w:rsidR="007B6EA9" w:rsidRPr="00F9373F" w:rsidRDefault="007B6EA9" w:rsidP="007B6EA9">
            <w:pPr>
              <w:rPr>
                <w:b/>
                <w:szCs w:val="24"/>
              </w:rPr>
            </w:pPr>
            <w:r>
              <w:rPr>
                <w:b/>
              </w:rPr>
              <w:t xml:space="preserve">Professional-led </w:t>
            </w:r>
          </w:p>
        </w:tc>
        <w:tc>
          <w:tcPr>
            <w:tcW w:w="6723" w:type="dxa"/>
            <w:gridSpan w:val="2"/>
            <w:tcBorders>
              <w:top w:val="single" w:sz="8" w:space="0" w:color="auto"/>
              <w:left w:val="nil"/>
              <w:bottom w:val="single" w:sz="8" w:space="0" w:color="auto"/>
              <w:right w:val="nil"/>
            </w:tcBorders>
            <w:vAlign w:val="center"/>
          </w:tcPr>
          <w:p w14:paraId="7153B279" w14:textId="77777777" w:rsidR="007B6EA9" w:rsidRPr="00F9373F" w:rsidRDefault="007B6EA9" w:rsidP="007B6EA9">
            <w:pPr>
              <w:rPr>
                <w:b/>
                <w:szCs w:val="24"/>
              </w:rPr>
            </w:pPr>
          </w:p>
        </w:tc>
      </w:tr>
      <w:tr w:rsidR="007B6EA9" w:rsidRPr="00C11D82" w14:paraId="5794792A" w14:textId="77777777" w:rsidTr="007B6EA9">
        <w:tc>
          <w:tcPr>
            <w:tcW w:w="4644" w:type="dxa"/>
            <w:gridSpan w:val="2"/>
            <w:tcBorders>
              <w:top w:val="single" w:sz="4" w:space="0" w:color="auto"/>
              <w:left w:val="nil"/>
              <w:bottom w:val="single" w:sz="4" w:space="0" w:color="auto"/>
              <w:right w:val="nil"/>
            </w:tcBorders>
          </w:tcPr>
          <w:p w14:paraId="2461972B"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Effective:</w:t>
            </w:r>
          </w:p>
          <w:p w14:paraId="4EF10F02" w14:textId="77777777" w:rsidR="007B6EA9" w:rsidRPr="00C11D82"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Interventions that involve trained teachers and health professionals have been found to be effective </w:t>
            </w:r>
            <w:r w:rsidRPr="00C11D82">
              <w:rPr>
                <w:color w:val="auto"/>
                <w:sz w:val="22"/>
                <w:szCs w:val="22"/>
                <w:vertAlign w:val="superscript"/>
              </w:rPr>
              <w:t>[A][B][E]</w:t>
            </w:r>
          </w:p>
        </w:tc>
        <w:tc>
          <w:tcPr>
            <w:tcW w:w="4536" w:type="dxa"/>
            <w:tcBorders>
              <w:top w:val="single" w:sz="4" w:space="0" w:color="auto"/>
              <w:left w:val="nil"/>
              <w:bottom w:val="single" w:sz="4" w:space="0" w:color="auto"/>
              <w:right w:val="nil"/>
            </w:tcBorders>
          </w:tcPr>
          <w:p w14:paraId="10D99705"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Recommended:</w:t>
            </w:r>
          </w:p>
          <w:p w14:paraId="068365C0" w14:textId="77777777" w:rsidR="007B6EA9"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EMCDDA recommend the use of trained professionals </w:t>
            </w:r>
          </w:p>
          <w:p w14:paraId="79E31C70" w14:textId="77777777" w:rsidR="007B6EA9" w:rsidRPr="00D95D45" w:rsidRDefault="007B6EA9" w:rsidP="00C92BD2">
            <w:pPr>
              <w:pStyle w:val="Notesstructure"/>
              <w:numPr>
                <w:ilvl w:val="0"/>
                <w:numId w:val="8"/>
              </w:numPr>
              <w:spacing w:line="360" w:lineRule="auto"/>
              <w:rPr>
                <w:color w:val="auto"/>
                <w:sz w:val="22"/>
                <w:szCs w:val="22"/>
              </w:rPr>
            </w:pPr>
            <w:r>
              <w:rPr>
                <w:color w:val="auto"/>
                <w:sz w:val="22"/>
                <w:szCs w:val="22"/>
              </w:rPr>
              <w:t>Mentor-ADEPIS</w:t>
            </w:r>
            <w:r w:rsidRPr="00C11D82">
              <w:rPr>
                <w:color w:val="auto"/>
                <w:sz w:val="22"/>
                <w:szCs w:val="22"/>
              </w:rPr>
              <w:t xml:space="preserve"> recommend the use of trained professionals</w:t>
            </w:r>
          </w:p>
          <w:p w14:paraId="18C6DC8A" w14:textId="77777777" w:rsidR="007B6EA9"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NICE recommend the use of trained professionals </w:t>
            </w:r>
          </w:p>
          <w:p w14:paraId="20076AAF" w14:textId="77777777" w:rsidR="007B6EA9" w:rsidRPr="00305780"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UNDOC/WHO recommend the use of trained professionals </w:t>
            </w:r>
            <w:r w:rsidRPr="00305780">
              <w:rPr>
                <w:color w:val="auto"/>
                <w:sz w:val="22"/>
                <w:szCs w:val="22"/>
              </w:rPr>
              <w:br/>
            </w:r>
          </w:p>
        </w:tc>
      </w:tr>
      <w:tr w:rsidR="007B6EA9" w:rsidRPr="003F76C9" w14:paraId="72312E51"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3"/>
            <w:tcBorders>
              <w:top w:val="single" w:sz="4" w:space="0" w:color="auto"/>
            </w:tcBorders>
          </w:tcPr>
          <w:p w14:paraId="75F925EF" w14:textId="77777777" w:rsidR="007B6EA9" w:rsidRPr="005135B8" w:rsidRDefault="007B6EA9" w:rsidP="007B6EA9">
            <w:pPr>
              <w:pStyle w:val="Notesstructure"/>
              <w:spacing w:line="360" w:lineRule="auto"/>
              <w:rPr>
                <w:b/>
                <w:color w:val="auto"/>
                <w:sz w:val="2"/>
              </w:rPr>
            </w:pPr>
          </w:p>
        </w:tc>
      </w:tr>
      <w:tr w:rsidR="007B6EA9" w:rsidRPr="003F76C9" w14:paraId="691A7847"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3"/>
          </w:tcPr>
          <w:p w14:paraId="63CADA3A"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7822C633" w14:textId="77777777" w:rsidR="007B6EA9" w:rsidRPr="005135B8" w:rsidRDefault="007B6EA9" w:rsidP="007B6EA9">
            <w:pPr>
              <w:pStyle w:val="Notesstructure"/>
              <w:spacing w:line="360" w:lineRule="auto"/>
              <w:rPr>
                <w:b/>
                <w:color w:val="auto"/>
                <w:sz w:val="2"/>
              </w:rPr>
            </w:pPr>
          </w:p>
        </w:tc>
      </w:tr>
    </w:tbl>
    <w:p w14:paraId="37852F68" w14:textId="77777777" w:rsidR="007B6EA9" w:rsidRDefault="007B6EA9" w:rsidP="007B6EA9">
      <w:pPr>
        <w:rPr>
          <w:b/>
        </w:rPr>
      </w:pPr>
    </w:p>
    <w:p w14:paraId="0B788D0A" w14:textId="77777777" w:rsidR="007B6EA9" w:rsidRDefault="007B6EA9" w:rsidP="007B6EA9">
      <w:pPr>
        <w:rPr>
          <w:b/>
        </w:rPr>
      </w:pPr>
      <w:r>
        <w:rPr>
          <w:b/>
        </w:rPr>
        <w:br w:type="page"/>
      </w:r>
    </w:p>
    <w:p w14:paraId="2AC76D75" w14:textId="44879055" w:rsidR="007B6EA9" w:rsidRDefault="007B6EA9" w:rsidP="007B6EA9">
      <w:pPr>
        <w:pStyle w:val="Heading3"/>
      </w:pPr>
      <w:bookmarkStart w:id="252" w:name="_Toc35892575"/>
      <w:r>
        <w:t>Ex-users</w:t>
      </w:r>
      <w:bookmarkEnd w:id="252"/>
      <w:r>
        <w:t xml:space="preserve"> </w:t>
      </w:r>
    </w:p>
    <w:p w14:paraId="0CE31213" w14:textId="7B1F3099" w:rsidR="00C12452" w:rsidRPr="00653921" w:rsidRDefault="00C12452" w:rsidP="00C12452">
      <w:pPr>
        <w:spacing w:line="480" w:lineRule="auto"/>
      </w:pPr>
      <w:r>
        <w:t>Interventions engaging ex-drug users in delivery typically centre on the use of testimonials. A summary of the recommendations for the use of ex-users in interventions is shown in Table 3</w:t>
      </w:r>
      <w:r w:rsidR="00B31866">
        <w:t>-1</w:t>
      </w:r>
      <w:r w:rsidR="00FC1DE2">
        <w:t>5</w:t>
      </w:r>
      <w:r>
        <w:t xml:space="preserve"> together with a summary of the evidence on which the recommendations are based.</w:t>
      </w:r>
    </w:p>
    <w:p w14:paraId="1D108CE5" w14:textId="77777777" w:rsidR="007B6EA9" w:rsidRDefault="007B6EA9" w:rsidP="007B6EA9"/>
    <w:p w14:paraId="1EF9DBCD" w14:textId="4F584E12" w:rsidR="007B6EA9" w:rsidRPr="003171C5" w:rsidRDefault="007B6EA9" w:rsidP="003171C5">
      <w:pPr>
        <w:pStyle w:val="TableHeader"/>
        <w:rPr>
          <w:b/>
        </w:rPr>
      </w:pPr>
      <w:bookmarkStart w:id="253" w:name="_Toc9509046"/>
      <w:r w:rsidRPr="003171C5">
        <w:rPr>
          <w:b/>
        </w:rPr>
        <w:t xml:space="preserve">Table </w:t>
      </w:r>
      <w:r w:rsidR="003171C5">
        <w:rPr>
          <w:b/>
        </w:rPr>
        <w:t>3-</w:t>
      </w:r>
      <w:r w:rsidRPr="003171C5">
        <w:rPr>
          <w:b/>
        </w:rPr>
        <w:t>1</w:t>
      </w:r>
      <w:r w:rsidR="00FC1DE2">
        <w:rPr>
          <w:b/>
        </w:rPr>
        <w:t>5</w:t>
      </w:r>
      <w:r w:rsidRPr="003171C5">
        <w:rPr>
          <w:b/>
        </w:rPr>
        <w:t>. Effectiveness and recommendations for the use of ex-users</w:t>
      </w:r>
      <w:bookmarkEnd w:id="253"/>
    </w:p>
    <w:tbl>
      <w:tblPr>
        <w:tblStyle w:val="TableGrid"/>
        <w:tblW w:w="9180" w:type="dxa"/>
        <w:tblLook w:val="04A0" w:firstRow="1" w:lastRow="0" w:firstColumn="1" w:lastColumn="0" w:noHBand="0" w:noVBand="1"/>
      </w:tblPr>
      <w:tblGrid>
        <w:gridCol w:w="2457"/>
        <w:gridCol w:w="2187"/>
        <w:gridCol w:w="4536"/>
      </w:tblGrid>
      <w:tr w:rsidR="007B6EA9" w:rsidRPr="00F9373F" w14:paraId="0324D9C4" w14:textId="77777777" w:rsidTr="007B6EA9">
        <w:trPr>
          <w:trHeight w:val="430"/>
        </w:trPr>
        <w:tc>
          <w:tcPr>
            <w:tcW w:w="2457" w:type="dxa"/>
            <w:tcBorders>
              <w:top w:val="single" w:sz="8" w:space="0" w:color="auto"/>
              <w:left w:val="nil"/>
              <w:bottom w:val="single" w:sz="8" w:space="0" w:color="auto"/>
              <w:right w:val="nil"/>
            </w:tcBorders>
            <w:vAlign w:val="center"/>
          </w:tcPr>
          <w:p w14:paraId="7271FA32" w14:textId="77777777" w:rsidR="007B6EA9" w:rsidRPr="00F9373F" w:rsidRDefault="007B6EA9" w:rsidP="007B6EA9">
            <w:pPr>
              <w:rPr>
                <w:b/>
                <w:szCs w:val="24"/>
              </w:rPr>
            </w:pPr>
            <w:r>
              <w:rPr>
                <w:b/>
              </w:rPr>
              <w:t xml:space="preserve">Ex user-led </w:t>
            </w:r>
          </w:p>
        </w:tc>
        <w:tc>
          <w:tcPr>
            <w:tcW w:w="6723" w:type="dxa"/>
            <w:gridSpan w:val="2"/>
            <w:tcBorders>
              <w:top w:val="single" w:sz="8" w:space="0" w:color="auto"/>
              <w:left w:val="nil"/>
              <w:bottom w:val="single" w:sz="8" w:space="0" w:color="auto"/>
              <w:right w:val="nil"/>
            </w:tcBorders>
            <w:vAlign w:val="center"/>
          </w:tcPr>
          <w:p w14:paraId="19984F3F" w14:textId="77777777" w:rsidR="007B6EA9" w:rsidRPr="00F9373F" w:rsidRDefault="007B6EA9" w:rsidP="007B6EA9">
            <w:pPr>
              <w:rPr>
                <w:b/>
                <w:szCs w:val="24"/>
              </w:rPr>
            </w:pPr>
          </w:p>
        </w:tc>
      </w:tr>
      <w:tr w:rsidR="007B6EA9" w:rsidRPr="00C11D82" w14:paraId="35576275" w14:textId="77777777" w:rsidTr="007B6EA9">
        <w:tc>
          <w:tcPr>
            <w:tcW w:w="4644" w:type="dxa"/>
            <w:gridSpan w:val="2"/>
            <w:tcBorders>
              <w:top w:val="single" w:sz="4" w:space="0" w:color="auto"/>
              <w:left w:val="nil"/>
              <w:bottom w:val="single" w:sz="4" w:space="0" w:color="auto"/>
              <w:right w:val="nil"/>
            </w:tcBorders>
          </w:tcPr>
          <w:p w14:paraId="37C2D852"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Ineffective:</w:t>
            </w:r>
          </w:p>
          <w:p w14:paraId="48F18A66" w14:textId="77777777" w:rsidR="007B6EA9" w:rsidRPr="00C11D82"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Ex-user led interventions have been found to be ineffective </w:t>
            </w:r>
            <w:r w:rsidRPr="00C11D82">
              <w:rPr>
                <w:color w:val="auto"/>
                <w:sz w:val="22"/>
                <w:szCs w:val="22"/>
                <w:vertAlign w:val="superscript"/>
              </w:rPr>
              <w:t>[E]</w:t>
            </w:r>
            <w:r w:rsidRPr="00C11D82">
              <w:rPr>
                <w:color w:val="auto"/>
                <w:sz w:val="22"/>
                <w:szCs w:val="22"/>
                <w:vertAlign w:val="superscript"/>
              </w:rPr>
              <w:br/>
            </w:r>
          </w:p>
        </w:tc>
        <w:tc>
          <w:tcPr>
            <w:tcW w:w="4536" w:type="dxa"/>
            <w:tcBorders>
              <w:top w:val="single" w:sz="4" w:space="0" w:color="auto"/>
              <w:left w:val="nil"/>
              <w:bottom w:val="single" w:sz="4" w:space="0" w:color="auto"/>
              <w:right w:val="nil"/>
            </w:tcBorders>
          </w:tcPr>
          <w:p w14:paraId="755735E8"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Not recommended:</w:t>
            </w:r>
          </w:p>
          <w:p w14:paraId="2DBBF0BB" w14:textId="77777777" w:rsidR="007B6EA9" w:rsidRPr="00C11D82" w:rsidRDefault="007B6EA9" w:rsidP="00C92BD2">
            <w:pPr>
              <w:pStyle w:val="Notesstructure"/>
              <w:numPr>
                <w:ilvl w:val="0"/>
                <w:numId w:val="8"/>
              </w:numPr>
              <w:spacing w:line="360" w:lineRule="auto"/>
              <w:rPr>
                <w:color w:val="auto"/>
                <w:sz w:val="22"/>
                <w:szCs w:val="22"/>
              </w:rPr>
            </w:pPr>
            <w:r w:rsidRPr="00C11D82">
              <w:rPr>
                <w:color w:val="auto"/>
                <w:sz w:val="22"/>
                <w:szCs w:val="22"/>
              </w:rPr>
              <w:t>EMCDDA does not recommend initiatives led by ex-users</w:t>
            </w:r>
          </w:p>
          <w:p w14:paraId="1E0EFBB2" w14:textId="77777777" w:rsidR="007B6EA9" w:rsidRDefault="007B6EA9" w:rsidP="00C92BD2">
            <w:pPr>
              <w:pStyle w:val="Notesstructure"/>
              <w:numPr>
                <w:ilvl w:val="0"/>
                <w:numId w:val="8"/>
              </w:numPr>
              <w:spacing w:line="360" w:lineRule="auto"/>
              <w:rPr>
                <w:color w:val="auto"/>
                <w:sz w:val="22"/>
                <w:szCs w:val="22"/>
              </w:rPr>
            </w:pPr>
            <w:r w:rsidRPr="00C11D82">
              <w:rPr>
                <w:color w:val="auto"/>
                <w:sz w:val="22"/>
                <w:szCs w:val="22"/>
              </w:rPr>
              <w:t>HM Government advise</w:t>
            </w:r>
            <w:r>
              <w:rPr>
                <w:color w:val="auto"/>
                <w:sz w:val="22"/>
                <w:szCs w:val="22"/>
              </w:rPr>
              <w:t>s</w:t>
            </w:r>
            <w:r w:rsidRPr="00C11D82">
              <w:rPr>
                <w:color w:val="auto"/>
                <w:sz w:val="22"/>
                <w:szCs w:val="22"/>
              </w:rPr>
              <w:t xml:space="preserve"> against the use of ex-users in interventions not part of a wider programme</w:t>
            </w:r>
          </w:p>
          <w:p w14:paraId="3FDA9343" w14:textId="77777777" w:rsidR="007B6EA9" w:rsidRPr="00C11D82" w:rsidRDefault="007B6EA9" w:rsidP="00C92BD2">
            <w:pPr>
              <w:pStyle w:val="Notesstructure"/>
              <w:numPr>
                <w:ilvl w:val="0"/>
                <w:numId w:val="8"/>
              </w:numPr>
              <w:spacing w:line="360" w:lineRule="auto"/>
              <w:rPr>
                <w:color w:val="auto"/>
                <w:sz w:val="22"/>
                <w:szCs w:val="22"/>
              </w:rPr>
            </w:pPr>
            <w:r>
              <w:rPr>
                <w:color w:val="auto"/>
                <w:sz w:val="22"/>
                <w:szCs w:val="22"/>
              </w:rPr>
              <w:t>Mentor-ADEPIS advises against the use of ex-user testimonials</w:t>
            </w:r>
          </w:p>
          <w:p w14:paraId="3F5042A3" w14:textId="77777777" w:rsidR="007B6EA9" w:rsidRDefault="007B6EA9" w:rsidP="00C92BD2">
            <w:pPr>
              <w:pStyle w:val="Notesstructure"/>
              <w:numPr>
                <w:ilvl w:val="0"/>
                <w:numId w:val="8"/>
              </w:numPr>
              <w:spacing w:line="360" w:lineRule="auto"/>
              <w:rPr>
                <w:color w:val="auto"/>
                <w:sz w:val="22"/>
                <w:szCs w:val="22"/>
              </w:rPr>
            </w:pPr>
            <w:r w:rsidRPr="00C11D82">
              <w:rPr>
                <w:color w:val="auto"/>
                <w:sz w:val="22"/>
                <w:szCs w:val="22"/>
              </w:rPr>
              <w:t xml:space="preserve">Sheffield council does not recommend ex-user led interventions </w:t>
            </w:r>
          </w:p>
          <w:p w14:paraId="05194421" w14:textId="77777777" w:rsidR="007B6EA9" w:rsidRPr="00DD2858" w:rsidRDefault="007B6EA9" w:rsidP="00C92BD2">
            <w:pPr>
              <w:pStyle w:val="Notesstructure"/>
              <w:numPr>
                <w:ilvl w:val="0"/>
                <w:numId w:val="8"/>
              </w:numPr>
              <w:spacing w:line="360" w:lineRule="auto"/>
              <w:rPr>
                <w:color w:val="auto"/>
                <w:sz w:val="22"/>
                <w:szCs w:val="22"/>
              </w:rPr>
            </w:pPr>
            <w:r>
              <w:rPr>
                <w:color w:val="auto"/>
                <w:sz w:val="22"/>
                <w:szCs w:val="22"/>
              </w:rPr>
              <w:t>UNODC/WHO advises against the use of ex-user testimonials</w:t>
            </w:r>
            <w:r w:rsidRPr="00DD2858">
              <w:rPr>
                <w:color w:val="auto"/>
                <w:sz w:val="22"/>
                <w:szCs w:val="22"/>
              </w:rPr>
              <w:br/>
            </w:r>
          </w:p>
        </w:tc>
      </w:tr>
      <w:tr w:rsidR="007B6EA9" w:rsidRPr="003F76C9" w14:paraId="7841492F"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3"/>
            <w:tcBorders>
              <w:top w:val="single" w:sz="4" w:space="0" w:color="auto"/>
            </w:tcBorders>
          </w:tcPr>
          <w:p w14:paraId="7468EC61" w14:textId="77777777" w:rsidR="007B6EA9" w:rsidRPr="005135B8" w:rsidRDefault="007B6EA9" w:rsidP="007B6EA9">
            <w:pPr>
              <w:pStyle w:val="Notesstructure"/>
              <w:spacing w:line="360" w:lineRule="auto"/>
              <w:rPr>
                <w:b/>
                <w:color w:val="auto"/>
                <w:sz w:val="2"/>
              </w:rPr>
            </w:pPr>
          </w:p>
        </w:tc>
      </w:tr>
      <w:tr w:rsidR="007B6EA9" w:rsidRPr="003F76C9" w14:paraId="4907D2C8"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3"/>
          </w:tcPr>
          <w:p w14:paraId="7BA18B54"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7F6B0E12" w14:textId="77777777" w:rsidR="007B6EA9" w:rsidRPr="005135B8" w:rsidRDefault="007B6EA9" w:rsidP="007B6EA9">
            <w:pPr>
              <w:pStyle w:val="Notesstructure"/>
              <w:spacing w:line="360" w:lineRule="auto"/>
              <w:rPr>
                <w:b/>
                <w:color w:val="auto"/>
                <w:sz w:val="2"/>
              </w:rPr>
            </w:pPr>
          </w:p>
        </w:tc>
      </w:tr>
    </w:tbl>
    <w:p w14:paraId="4C2E2171" w14:textId="77777777" w:rsidR="007B6EA9" w:rsidRDefault="007B6EA9" w:rsidP="007B6EA9">
      <w:pPr>
        <w:rPr>
          <w:b/>
        </w:rPr>
      </w:pPr>
    </w:p>
    <w:p w14:paraId="20C5BD46" w14:textId="22E4F494" w:rsidR="007B6EA9" w:rsidRDefault="007B6EA9" w:rsidP="007B6EA9">
      <w:pPr>
        <w:pStyle w:val="Heading3"/>
      </w:pPr>
      <w:r>
        <w:br w:type="page"/>
      </w:r>
      <w:bookmarkStart w:id="254" w:name="_Toc35892576"/>
      <w:r>
        <w:t>Police educators</w:t>
      </w:r>
      <w:bookmarkEnd w:id="254"/>
      <w:r>
        <w:t xml:space="preserve"> </w:t>
      </w:r>
    </w:p>
    <w:p w14:paraId="58F8655A" w14:textId="062057AD" w:rsidR="00B912FB" w:rsidRPr="00653921" w:rsidRDefault="00B912FB" w:rsidP="00B912FB">
      <w:pPr>
        <w:spacing w:line="480" w:lineRule="auto"/>
      </w:pPr>
      <w:r>
        <w:t>Police educators typically deliver programs in schools.</w:t>
      </w:r>
      <w:r w:rsidRPr="00AB7E21">
        <w:t xml:space="preserve"> </w:t>
      </w:r>
      <w:r>
        <w:t>A summary of the recommendations for the use of police officers in interventions is shown in Table 3-1</w:t>
      </w:r>
      <w:r w:rsidR="00FC1DE2">
        <w:t xml:space="preserve">6 </w:t>
      </w:r>
      <w:r>
        <w:t>together with a summary of the evidence on which the recommendations are based.</w:t>
      </w:r>
    </w:p>
    <w:p w14:paraId="23B0AF77" w14:textId="77777777" w:rsidR="007B6EA9" w:rsidRDefault="007B6EA9" w:rsidP="007B6EA9"/>
    <w:p w14:paraId="4C4831BC" w14:textId="4A250BFB" w:rsidR="007B6EA9" w:rsidRPr="003171C5" w:rsidRDefault="007B6EA9" w:rsidP="003171C5">
      <w:pPr>
        <w:pStyle w:val="TableHeader"/>
        <w:rPr>
          <w:b/>
        </w:rPr>
      </w:pPr>
      <w:bookmarkStart w:id="255" w:name="_Toc9509047"/>
      <w:r w:rsidRPr="003171C5">
        <w:rPr>
          <w:b/>
        </w:rPr>
        <w:t xml:space="preserve">Table </w:t>
      </w:r>
      <w:r w:rsidR="003171C5" w:rsidRPr="003171C5">
        <w:rPr>
          <w:b/>
        </w:rPr>
        <w:t>3-</w:t>
      </w:r>
      <w:r w:rsidRPr="003171C5">
        <w:rPr>
          <w:b/>
        </w:rPr>
        <w:t>1</w:t>
      </w:r>
      <w:r w:rsidR="00FC1DE2">
        <w:rPr>
          <w:b/>
        </w:rPr>
        <w:t>6</w:t>
      </w:r>
      <w:r w:rsidRPr="003171C5">
        <w:rPr>
          <w:b/>
        </w:rPr>
        <w:t>. Effectiveness and recommendations for the use of police</w:t>
      </w:r>
      <w:bookmarkEnd w:id="255"/>
    </w:p>
    <w:tbl>
      <w:tblPr>
        <w:tblStyle w:val="TableGrid"/>
        <w:tblW w:w="9180" w:type="dxa"/>
        <w:tblLook w:val="04A0" w:firstRow="1" w:lastRow="0" w:firstColumn="1" w:lastColumn="0" w:noHBand="0" w:noVBand="1"/>
      </w:tblPr>
      <w:tblGrid>
        <w:gridCol w:w="2457"/>
        <w:gridCol w:w="2187"/>
        <w:gridCol w:w="4536"/>
      </w:tblGrid>
      <w:tr w:rsidR="007B6EA9" w:rsidRPr="00F9373F" w14:paraId="450E49C0" w14:textId="77777777" w:rsidTr="007B6EA9">
        <w:trPr>
          <w:trHeight w:val="430"/>
        </w:trPr>
        <w:tc>
          <w:tcPr>
            <w:tcW w:w="2457" w:type="dxa"/>
            <w:tcBorders>
              <w:top w:val="single" w:sz="8" w:space="0" w:color="auto"/>
              <w:left w:val="nil"/>
              <w:bottom w:val="single" w:sz="8" w:space="0" w:color="auto"/>
              <w:right w:val="nil"/>
            </w:tcBorders>
            <w:vAlign w:val="center"/>
          </w:tcPr>
          <w:p w14:paraId="08A8DA68" w14:textId="77777777" w:rsidR="007B6EA9" w:rsidRPr="00F9373F" w:rsidRDefault="007B6EA9" w:rsidP="007B6EA9">
            <w:pPr>
              <w:rPr>
                <w:b/>
                <w:szCs w:val="24"/>
              </w:rPr>
            </w:pPr>
            <w:r>
              <w:rPr>
                <w:b/>
              </w:rPr>
              <w:t xml:space="preserve">Police-led </w:t>
            </w:r>
          </w:p>
        </w:tc>
        <w:tc>
          <w:tcPr>
            <w:tcW w:w="6723" w:type="dxa"/>
            <w:gridSpan w:val="2"/>
            <w:tcBorders>
              <w:top w:val="single" w:sz="8" w:space="0" w:color="auto"/>
              <w:left w:val="nil"/>
              <w:bottom w:val="single" w:sz="8" w:space="0" w:color="auto"/>
              <w:right w:val="nil"/>
            </w:tcBorders>
            <w:vAlign w:val="center"/>
          </w:tcPr>
          <w:p w14:paraId="50CF8AD7" w14:textId="77777777" w:rsidR="007B6EA9" w:rsidRPr="00F9373F" w:rsidRDefault="007B6EA9" w:rsidP="007B6EA9">
            <w:pPr>
              <w:rPr>
                <w:b/>
                <w:szCs w:val="24"/>
              </w:rPr>
            </w:pPr>
          </w:p>
        </w:tc>
      </w:tr>
      <w:tr w:rsidR="007B6EA9" w:rsidRPr="0027355D" w14:paraId="6688D6C9" w14:textId="77777777" w:rsidTr="007B6EA9">
        <w:tc>
          <w:tcPr>
            <w:tcW w:w="4644" w:type="dxa"/>
            <w:gridSpan w:val="2"/>
            <w:tcBorders>
              <w:top w:val="single" w:sz="4" w:space="0" w:color="auto"/>
              <w:left w:val="nil"/>
              <w:bottom w:val="single" w:sz="4" w:space="0" w:color="auto"/>
              <w:right w:val="nil"/>
            </w:tcBorders>
          </w:tcPr>
          <w:p w14:paraId="503016F4" w14:textId="77777777" w:rsidR="007B6EA9" w:rsidRPr="0027355D" w:rsidRDefault="007B6EA9" w:rsidP="007B6EA9">
            <w:pPr>
              <w:pStyle w:val="Notesstructure"/>
              <w:spacing w:line="360" w:lineRule="auto"/>
              <w:rPr>
                <w:b/>
                <w:color w:val="auto"/>
                <w:sz w:val="22"/>
                <w:szCs w:val="22"/>
              </w:rPr>
            </w:pPr>
            <w:r w:rsidRPr="0027355D">
              <w:rPr>
                <w:b/>
                <w:color w:val="auto"/>
                <w:sz w:val="22"/>
                <w:szCs w:val="22"/>
              </w:rPr>
              <w:t>Ineffective:</w:t>
            </w:r>
          </w:p>
          <w:p w14:paraId="5FED5E10" w14:textId="77777777" w:rsidR="007B6EA9" w:rsidRPr="0027355D" w:rsidRDefault="007B6EA9" w:rsidP="00C92BD2">
            <w:pPr>
              <w:pStyle w:val="Notesstructure"/>
              <w:numPr>
                <w:ilvl w:val="0"/>
                <w:numId w:val="8"/>
              </w:numPr>
              <w:spacing w:line="360" w:lineRule="auto"/>
              <w:rPr>
                <w:color w:val="auto"/>
                <w:sz w:val="22"/>
                <w:szCs w:val="22"/>
              </w:rPr>
            </w:pPr>
            <w:r w:rsidRPr="0027355D">
              <w:rPr>
                <w:color w:val="auto"/>
                <w:sz w:val="22"/>
                <w:szCs w:val="22"/>
              </w:rPr>
              <w:t xml:space="preserve">Police led interventions have been found to be ineffective or counterproductive </w:t>
            </w:r>
            <w:r w:rsidRPr="0027355D">
              <w:rPr>
                <w:color w:val="auto"/>
                <w:sz w:val="22"/>
                <w:szCs w:val="22"/>
                <w:vertAlign w:val="superscript"/>
              </w:rPr>
              <w:t>[B][E]</w:t>
            </w:r>
            <w:r w:rsidRPr="0027355D">
              <w:rPr>
                <w:color w:val="auto"/>
                <w:sz w:val="22"/>
                <w:szCs w:val="22"/>
              </w:rPr>
              <w:br/>
              <w:t xml:space="preserve"> </w:t>
            </w:r>
          </w:p>
        </w:tc>
        <w:tc>
          <w:tcPr>
            <w:tcW w:w="4536" w:type="dxa"/>
            <w:tcBorders>
              <w:top w:val="single" w:sz="4" w:space="0" w:color="auto"/>
              <w:left w:val="nil"/>
              <w:bottom w:val="single" w:sz="4" w:space="0" w:color="auto"/>
              <w:right w:val="nil"/>
            </w:tcBorders>
          </w:tcPr>
          <w:p w14:paraId="303E7A55" w14:textId="77777777" w:rsidR="007B6EA9" w:rsidRPr="0027355D" w:rsidRDefault="007B6EA9" w:rsidP="007B6EA9">
            <w:pPr>
              <w:pStyle w:val="Notesstructure"/>
              <w:spacing w:line="360" w:lineRule="auto"/>
              <w:rPr>
                <w:b/>
                <w:color w:val="auto"/>
                <w:sz w:val="22"/>
                <w:szCs w:val="22"/>
              </w:rPr>
            </w:pPr>
            <w:r w:rsidRPr="0027355D">
              <w:rPr>
                <w:b/>
                <w:color w:val="auto"/>
                <w:sz w:val="22"/>
                <w:szCs w:val="22"/>
              </w:rPr>
              <w:t>Not recommended:</w:t>
            </w:r>
          </w:p>
          <w:p w14:paraId="67E7E5A5" w14:textId="77777777" w:rsidR="007B6EA9" w:rsidRPr="0027355D" w:rsidRDefault="007B6EA9" w:rsidP="00C92BD2">
            <w:pPr>
              <w:pStyle w:val="Notesstructure"/>
              <w:numPr>
                <w:ilvl w:val="0"/>
                <w:numId w:val="8"/>
              </w:numPr>
              <w:spacing w:line="360" w:lineRule="auto"/>
              <w:rPr>
                <w:color w:val="auto"/>
                <w:sz w:val="22"/>
                <w:szCs w:val="22"/>
              </w:rPr>
            </w:pPr>
            <w:r w:rsidRPr="0027355D">
              <w:rPr>
                <w:color w:val="auto"/>
                <w:sz w:val="22"/>
                <w:szCs w:val="22"/>
              </w:rPr>
              <w:t>EMCDDA does not recommend initiatives be led by police officers but suggest</w:t>
            </w:r>
            <w:r>
              <w:rPr>
                <w:color w:val="auto"/>
                <w:sz w:val="22"/>
                <w:szCs w:val="22"/>
              </w:rPr>
              <w:t>s</w:t>
            </w:r>
            <w:r w:rsidRPr="0027355D">
              <w:rPr>
                <w:color w:val="auto"/>
                <w:sz w:val="22"/>
                <w:szCs w:val="22"/>
              </w:rPr>
              <w:t xml:space="preserve"> a complementary role </w:t>
            </w:r>
          </w:p>
          <w:p w14:paraId="4661D1D1" w14:textId="77777777" w:rsidR="007B6EA9" w:rsidRPr="0027355D" w:rsidRDefault="007B6EA9" w:rsidP="00C92BD2">
            <w:pPr>
              <w:pStyle w:val="Notesstructure"/>
              <w:numPr>
                <w:ilvl w:val="0"/>
                <w:numId w:val="8"/>
              </w:numPr>
              <w:spacing w:line="360" w:lineRule="auto"/>
              <w:rPr>
                <w:color w:val="auto"/>
                <w:sz w:val="22"/>
                <w:szCs w:val="22"/>
              </w:rPr>
            </w:pPr>
            <w:r w:rsidRPr="0027355D">
              <w:rPr>
                <w:color w:val="auto"/>
                <w:sz w:val="22"/>
                <w:szCs w:val="22"/>
              </w:rPr>
              <w:t>HM Government advise</w:t>
            </w:r>
            <w:r>
              <w:rPr>
                <w:color w:val="auto"/>
                <w:sz w:val="22"/>
                <w:szCs w:val="22"/>
              </w:rPr>
              <w:t>s</w:t>
            </w:r>
            <w:r w:rsidRPr="0027355D">
              <w:rPr>
                <w:color w:val="auto"/>
                <w:sz w:val="22"/>
                <w:szCs w:val="22"/>
              </w:rPr>
              <w:t xml:space="preserve"> against the use of police in interventions which are not part of a wider prevention programme</w:t>
            </w:r>
          </w:p>
          <w:p w14:paraId="31BB27D4" w14:textId="77777777" w:rsidR="007B6EA9" w:rsidRDefault="007B6EA9" w:rsidP="00C92BD2">
            <w:pPr>
              <w:pStyle w:val="Notesstructure"/>
              <w:numPr>
                <w:ilvl w:val="0"/>
                <w:numId w:val="8"/>
              </w:numPr>
              <w:spacing w:line="360" w:lineRule="auto"/>
              <w:rPr>
                <w:color w:val="auto"/>
                <w:sz w:val="22"/>
                <w:szCs w:val="22"/>
              </w:rPr>
            </w:pPr>
            <w:r w:rsidRPr="0027355D">
              <w:rPr>
                <w:color w:val="auto"/>
                <w:sz w:val="22"/>
                <w:szCs w:val="22"/>
              </w:rPr>
              <w:t>Sheffield council does not recommend police-led interventions</w:t>
            </w:r>
          </w:p>
          <w:p w14:paraId="73F3AEE1" w14:textId="77777777" w:rsidR="007B6EA9" w:rsidRPr="00DD2858" w:rsidRDefault="007B6EA9" w:rsidP="00C92BD2">
            <w:pPr>
              <w:pStyle w:val="Notesstructure"/>
              <w:numPr>
                <w:ilvl w:val="0"/>
                <w:numId w:val="8"/>
              </w:numPr>
              <w:spacing w:line="360" w:lineRule="auto"/>
              <w:rPr>
                <w:color w:val="auto"/>
                <w:sz w:val="22"/>
                <w:szCs w:val="22"/>
              </w:rPr>
            </w:pPr>
            <w:r>
              <w:rPr>
                <w:color w:val="auto"/>
                <w:sz w:val="22"/>
                <w:szCs w:val="22"/>
              </w:rPr>
              <w:t xml:space="preserve">UNODC/WHO </w:t>
            </w:r>
            <w:r w:rsidRPr="0027355D">
              <w:rPr>
                <w:color w:val="auto"/>
                <w:sz w:val="22"/>
                <w:szCs w:val="22"/>
              </w:rPr>
              <w:t xml:space="preserve">recommend </w:t>
            </w:r>
            <w:r>
              <w:rPr>
                <w:color w:val="auto"/>
                <w:sz w:val="22"/>
                <w:szCs w:val="22"/>
              </w:rPr>
              <w:t xml:space="preserve">against the use of </w:t>
            </w:r>
            <w:r w:rsidRPr="0027355D">
              <w:rPr>
                <w:color w:val="auto"/>
                <w:sz w:val="22"/>
                <w:szCs w:val="22"/>
              </w:rPr>
              <w:t>police-led interventions</w:t>
            </w:r>
            <w:r>
              <w:rPr>
                <w:color w:val="auto"/>
                <w:sz w:val="22"/>
                <w:szCs w:val="22"/>
              </w:rPr>
              <w:br/>
            </w:r>
          </w:p>
        </w:tc>
      </w:tr>
      <w:tr w:rsidR="007B6EA9" w:rsidRPr="003F76C9" w14:paraId="0FD93BA0"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3"/>
            <w:tcBorders>
              <w:top w:val="single" w:sz="4" w:space="0" w:color="auto"/>
            </w:tcBorders>
          </w:tcPr>
          <w:p w14:paraId="2AA4D056" w14:textId="77777777" w:rsidR="007B6EA9" w:rsidRPr="005135B8" w:rsidRDefault="007B6EA9" w:rsidP="007B6EA9">
            <w:pPr>
              <w:pStyle w:val="Notesstructure"/>
              <w:spacing w:line="360" w:lineRule="auto"/>
              <w:rPr>
                <w:b/>
                <w:color w:val="auto"/>
                <w:sz w:val="2"/>
              </w:rPr>
            </w:pPr>
          </w:p>
        </w:tc>
      </w:tr>
      <w:tr w:rsidR="007B6EA9" w:rsidRPr="003F76C9" w14:paraId="6D7E25C3"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3"/>
          </w:tcPr>
          <w:p w14:paraId="1BD12E70"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42EF32D6" w14:textId="77777777" w:rsidR="007B6EA9" w:rsidRPr="005135B8" w:rsidRDefault="007B6EA9" w:rsidP="007B6EA9">
            <w:pPr>
              <w:pStyle w:val="Notesstructure"/>
              <w:spacing w:line="360" w:lineRule="auto"/>
              <w:rPr>
                <w:b/>
                <w:color w:val="auto"/>
                <w:sz w:val="2"/>
              </w:rPr>
            </w:pPr>
          </w:p>
        </w:tc>
      </w:tr>
    </w:tbl>
    <w:p w14:paraId="1B7BAADE" w14:textId="77777777" w:rsidR="007B6EA9" w:rsidRDefault="007B6EA9" w:rsidP="007B6EA9">
      <w:pPr>
        <w:rPr>
          <w:b/>
        </w:rPr>
      </w:pPr>
    </w:p>
    <w:p w14:paraId="7256D864" w14:textId="1E5AE171" w:rsidR="007B6EA9" w:rsidRDefault="007B6EA9" w:rsidP="007B6EA9">
      <w:pPr>
        <w:pStyle w:val="Heading2"/>
      </w:pPr>
      <w:bookmarkStart w:id="256" w:name="_Toc35892577"/>
      <w:r>
        <w:t>Settings</w:t>
      </w:r>
      <w:bookmarkEnd w:id="256"/>
      <w:r>
        <w:t xml:space="preserve"> </w:t>
      </w:r>
    </w:p>
    <w:p w14:paraId="08B87B0E" w14:textId="33FA4B68" w:rsidR="007B6EA9" w:rsidRDefault="007B6EA9" w:rsidP="007B6EA9">
      <w:pPr>
        <w:pStyle w:val="Heading3"/>
      </w:pPr>
      <w:bookmarkStart w:id="257" w:name="_Toc35892578"/>
      <w:r>
        <w:t>School-based approaches</w:t>
      </w:r>
      <w:bookmarkEnd w:id="257"/>
      <w:r>
        <w:t xml:space="preserve"> </w:t>
      </w:r>
    </w:p>
    <w:p w14:paraId="11005EA1" w14:textId="4BEF0E3D" w:rsidR="007E7BB9" w:rsidRDefault="00B31866" w:rsidP="00B31866">
      <w:pPr>
        <w:spacing w:line="480" w:lineRule="auto"/>
      </w:pPr>
      <w:r>
        <w:t>School</w:t>
      </w:r>
      <w:r w:rsidR="00A868BB">
        <w:t>-</w:t>
      </w:r>
      <w:r>
        <w:t>based approaches can be classroom</w:t>
      </w:r>
      <w:r w:rsidR="00A868BB">
        <w:t>-</w:t>
      </w:r>
      <w:r>
        <w:t>based involving the teaching of a defined curriculum or following a manualised approach or it can focus on wider aspects of the school context. Whole</w:t>
      </w:r>
      <w:r w:rsidR="00A868BB">
        <w:t>-</w:t>
      </w:r>
      <w:r>
        <w:t xml:space="preserve">school approaches can focus on a range of methods including school </w:t>
      </w:r>
    </w:p>
    <w:p w14:paraId="1FC9EF3F" w14:textId="68229022" w:rsidR="00B31866" w:rsidRPr="00653921" w:rsidRDefault="00B31866" w:rsidP="00B31866">
      <w:pPr>
        <w:spacing w:line="480" w:lineRule="auto"/>
      </w:pPr>
      <w:r>
        <w:t>substance polices, school norms, relationships between pupils and staff or pupil’s attachment to school and peers.</w:t>
      </w:r>
      <w:r w:rsidRPr="009C211E">
        <w:t xml:space="preserve"> </w:t>
      </w:r>
      <w:r>
        <w:t>A summary of the recommendations for the use of school-based approaches is shown in Table 3-1</w:t>
      </w:r>
      <w:r w:rsidR="00FC1DE2">
        <w:t>7</w:t>
      </w:r>
      <w:r>
        <w:t xml:space="preserve"> together with a summary of the evidence on which the recommendations are based.</w:t>
      </w:r>
    </w:p>
    <w:p w14:paraId="0465D7AF" w14:textId="77777777" w:rsidR="007B6EA9" w:rsidRDefault="007B6EA9" w:rsidP="007B6EA9">
      <w:pPr>
        <w:rPr>
          <w:b/>
        </w:rPr>
      </w:pPr>
      <w:r>
        <w:rPr>
          <w:b/>
        </w:rPr>
        <w:br w:type="page"/>
      </w:r>
    </w:p>
    <w:p w14:paraId="520FFB50" w14:textId="183AF27F" w:rsidR="007B6EA9" w:rsidRPr="003171C5" w:rsidRDefault="007B6EA9" w:rsidP="003171C5">
      <w:pPr>
        <w:pStyle w:val="TableHeader"/>
        <w:rPr>
          <w:b/>
        </w:rPr>
      </w:pPr>
      <w:bookmarkStart w:id="258" w:name="_Toc9509048"/>
      <w:r w:rsidRPr="003171C5">
        <w:rPr>
          <w:b/>
        </w:rPr>
        <w:t xml:space="preserve">Table </w:t>
      </w:r>
      <w:r w:rsidR="003171C5" w:rsidRPr="003171C5">
        <w:rPr>
          <w:b/>
        </w:rPr>
        <w:t>3-</w:t>
      </w:r>
      <w:r w:rsidRPr="003171C5">
        <w:rPr>
          <w:b/>
        </w:rPr>
        <w:t>1</w:t>
      </w:r>
      <w:r w:rsidR="00FC1DE2">
        <w:rPr>
          <w:b/>
        </w:rPr>
        <w:t>7</w:t>
      </w:r>
      <w:r w:rsidRPr="003171C5">
        <w:rPr>
          <w:b/>
        </w:rPr>
        <w:t>. Effectiveness and recommendations for the use of School-based approaches</w:t>
      </w:r>
      <w:bookmarkEnd w:id="258"/>
      <w:r w:rsidRPr="003171C5">
        <w:rPr>
          <w:b/>
        </w:rPr>
        <w:t xml:space="preserve"> </w:t>
      </w:r>
    </w:p>
    <w:tbl>
      <w:tblPr>
        <w:tblStyle w:val="TableGrid"/>
        <w:tblW w:w="9280" w:type="dxa"/>
        <w:tblLook w:val="04A0" w:firstRow="1" w:lastRow="0" w:firstColumn="1" w:lastColumn="0" w:noHBand="0" w:noVBand="1"/>
      </w:tblPr>
      <w:tblGrid>
        <w:gridCol w:w="4644"/>
        <w:gridCol w:w="4536"/>
        <w:gridCol w:w="100"/>
      </w:tblGrid>
      <w:tr w:rsidR="007B6EA9" w:rsidRPr="00F9373F" w14:paraId="224D26AC" w14:textId="77777777" w:rsidTr="007B6EA9">
        <w:trPr>
          <w:trHeight w:val="430"/>
        </w:trPr>
        <w:tc>
          <w:tcPr>
            <w:tcW w:w="9280" w:type="dxa"/>
            <w:gridSpan w:val="3"/>
            <w:tcBorders>
              <w:top w:val="single" w:sz="8" w:space="0" w:color="auto"/>
              <w:left w:val="nil"/>
              <w:bottom w:val="single" w:sz="8" w:space="0" w:color="auto"/>
              <w:right w:val="nil"/>
            </w:tcBorders>
            <w:vAlign w:val="center"/>
          </w:tcPr>
          <w:p w14:paraId="4A290261" w14:textId="77777777" w:rsidR="007B6EA9" w:rsidRPr="00F9373F" w:rsidRDefault="007B6EA9" w:rsidP="007B6EA9">
            <w:pPr>
              <w:rPr>
                <w:b/>
                <w:szCs w:val="24"/>
              </w:rPr>
            </w:pPr>
            <w:r>
              <w:rPr>
                <w:b/>
              </w:rPr>
              <w:t>School-based</w:t>
            </w:r>
          </w:p>
        </w:tc>
      </w:tr>
      <w:tr w:rsidR="007B6EA9" w:rsidRPr="00C276B3" w14:paraId="36D84115" w14:textId="77777777" w:rsidTr="007B6EA9">
        <w:trPr>
          <w:trHeight w:val="1534"/>
        </w:trPr>
        <w:tc>
          <w:tcPr>
            <w:tcW w:w="4644" w:type="dxa"/>
            <w:tcBorders>
              <w:top w:val="single" w:sz="4" w:space="0" w:color="auto"/>
              <w:left w:val="nil"/>
              <w:bottom w:val="single" w:sz="4" w:space="0" w:color="auto"/>
              <w:right w:val="nil"/>
            </w:tcBorders>
          </w:tcPr>
          <w:p w14:paraId="04D14963" w14:textId="77777777" w:rsidR="007B6EA9" w:rsidRPr="00C276B3" w:rsidRDefault="007B6EA9" w:rsidP="007B6EA9">
            <w:pPr>
              <w:pStyle w:val="Notesstructure"/>
              <w:rPr>
                <w:b/>
                <w:color w:val="auto"/>
                <w:sz w:val="22"/>
              </w:rPr>
            </w:pPr>
            <w:r w:rsidRPr="00C276B3">
              <w:rPr>
                <w:b/>
                <w:color w:val="auto"/>
                <w:sz w:val="22"/>
              </w:rPr>
              <w:t>Effective:</w:t>
            </w:r>
          </w:p>
          <w:p w14:paraId="6BF91794" w14:textId="77777777" w:rsidR="007B6EA9" w:rsidRPr="00C276B3" w:rsidRDefault="007B6EA9" w:rsidP="00C92BD2">
            <w:pPr>
              <w:pStyle w:val="Notesstructure"/>
              <w:numPr>
                <w:ilvl w:val="0"/>
                <w:numId w:val="21"/>
              </w:numPr>
              <w:spacing w:line="360" w:lineRule="auto"/>
              <w:ind w:left="714" w:hanging="357"/>
              <w:rPr>
                <w:color w:val="auto"/>
                <w:sz w:val="22"/>
              </w:rPr>
            </w:pPr>
            <w:r>
              <w:rPr>
                <w:color w:val="auto"/>
                <w:sz w:val="22"/>
              </w:rPr>
              <w:t>E</w:t>
            </w:r>
            <w:r w:rsidRPr="00C276B3">
              <w:rPr>
                <w:color w:val="auto"/>
                <w:sz w:val="22"/>
              </w:rPr>
              <w:t xml:space="preserve">vidence </w:t>
            </w:r>
            <w:r>
              <w:rPr>
                <w:color w:val="auto"/>
                <w:sz w:val="22"/>
              </w:rPr>
              <w:t xml:space="preserve">shows </w:t>
            </w:r>
            <w:r w:rsidRPr="00C276B3">
              <w:rPr>
                <w:color w:val="auto"/>
                <w:sz w:val="22"/>
              </w:rPr>
              <w:t xml:space="preserve">classroom-based education </w:t>
            </w:r>
            <w:r>
              <w:rPr>
                <w:color w:val="auto"/>
                <w:sz w:val="22"/>
              </w:rPr>
              <w:t xml:space="preserve">targeting </w:t>
            </w:r>
            <w:r w:rsidRPr="00C276B3">
              <w:rPr>
                <w:color w:val="auto"/>
                <w:sz w:val="22"/>
              </w:rPr>
              <w:t xml:space="preserve">knowledge, skills and </w:t>
            </w:r>
            <w:r>
              <w:rPr>
                <w:color w:val="auto"/>
                <w:sz w:val="22"/>
              </w:rPr>
              <w:t>social</w:t>
            </w:r>
            <w:r w:rsidRPr="00C276B3">
              <w:rPr>
                <w:color w:val="auto"/>
                <w:sz w:val="22"/>
              </w:rPr>
              <w:t xml:space="preserve"> norms are effective</w:t>
            </w:r>
            <w:r>
              <w:rPr>
                <w:color w:val="auto"/>
                <w:sz w:val="22"/>
              </w:rPr>
              <w:t>,</w:t>
            </w:r>
            <w:r w:rsidRPr="00C276B3">
              <w:rPr>
                <w:color w:val="auto"/>
                <w:sz w:val="22"/>
              </w:rPr>
              <w:t xml:space="preserve"> but effects</w:t>
            </w:r>
            <w:r>
              <w:rPr>
                <w:color w:val="auto"/>
                <w:sz w:val="22"/>
              </w:rPr>
              <w:t xml:space="preserve"> can be</w:t>
            </w:r>
            <w:r w:rsidRPr="00C276B3">
              <w:rPr>
                <w:color w:val="auto"/>
                <w:sz w:val="22"/>
              </w:rPr>
              <w:t xml:space="preserve"> small</w:t>
            </w:r>
            <w:r>
              <w:rPr>
                <w:color w:val="auto"/>
                <w:sz w:val="22"/>
              </w:rPr>
              <w:t xml:space="preserve"> </w:t>
            </w:r>
            <w:r w:rsidRPr="00C276B3">
              <w:rPr>
                <w:color w:val="auto"/>
                <w:sz w:val="22"/>
              </w:rPr>
              <w:t xml:space="preserve">and fade over time </w:t>
            </w:r>
            <w:r w:rsidRPr="00C276B3">
              <w:rPr>
                <w:color w:val="auto"/>
                <w:sz w:val="22"/>
                <w:vertAlign w:val="superscript"/>
              </w:rPr>
              <w:t>[A][B][C]</w:t>
            </w:r>
            <w:r>
              <w:rPr>
                <w:color w:val="auto"/>
                <w:sz w:val="22"/>
                <w:vertAlign w:val="superscript"/>
              </w:rPr>
              <w:t>[E]</w:t>
            </w:r>
            <w:r w:rsidRPr="00C276B3">
              <w:rPr>
                <w:color w:val="auto"/>
                <w:sz w:val="22"/>
              </w:rPr>
              <w:t xml:space="preserve"> </w:t>
            </w:r>
            <w:r>
              <w:rPr>
                <w:color w:val="auto"/>
                <w:sz w:val="22"/>
              </w:rPr>
              <w:t>Positive results are associated with:</w:t>
            </w:r>
          </w:p>
          <w:p w14:paraId="4E0A86F2" w14:textId="77777777" w:rsidR="007B6EA9" w:rsidRDefault="007B6EA9" w:rsidP="00C92BD2">
            <w:pPr>
              <w:pStyle w:val="Notesstructure"/>
              <w:numPr>
                <w:ilvl w:val="1"/>
                <w:numId w:val="21"/>
              </w:numPr>
              <w:spacing w:line="360" w:lineRule="auto"/>
              <w:rPr>
                <w:color w:val="auto"/>
                <w:sz w:val="22"/>
              </w:rPr>
            </w:pPr>
            <w:r>
              <w:rPr>
                <w:color w:val="auto"/>
                <w:sz w:val="22"/>
              </w:rPr>
              <w:t>A structured</w:t>
            </w:r>
            <w:r w:rsidRPr="00C276B3">
              <w:rPr>
                <w:color w:val="auto"/>
                <w:sz w:val="22"/>
              </w:rPr>
              <w:t xml:space="preserve"> </w:t>
            </w:r>
            <w:r>
              <w:rPr>
                <w:color w:val="auto"/>
                <w:sz w:val="22"/>
              </w:rPr>
              <w:t xml:space="preserve">course of sessions </w:t>
            </w:r>
            <w:r w:rsidRPr="00C276B3">
              <w:rPr>
                <w:color w:val="auto"/>
                <w:sz w:val="22"/>
                <w:vertAlign w:val="superscript"/>
              </w:rPr>
              <w:t>[A][C]</w:t>
            </w:r>
            <w:r>
              <w:rPr>
                <w:color w:val="auto"/>
                <w:sz w:val="22"/>
                <w:vertAlign w:val="superscript"/>
              </w:rPr>
              <w:t xml:space="preserve"> </w:t>
            </w:r>
          </w:p>
          <w:p w14:paraId="04E7C743" w14:textId="77777777" w:rsidR="007B6EA9" w:rsidRPr="003E3CEC" w:rsidRDefault="007B6EA9" w:rsidP="00C92BD2">
            <w:pPr>
              <w:pStyle w:val="Notesstructure"/>
              <w:numPr>
                <w:ilvl w:val="1"/>
                <w:numId w:val="21"/>
              </w:numPr>
              <w:spacing w:line="360" w:lineRule="auto"/>
              <w:rPr>
                <w:color w:val="auto"/>
                <w:sz w:val="22"/>
              </w:rPr>
            </w:pPr>
            <w:r>
              <w:rPr>
                <w:color w:val="auto"/>
                <w:sz w:val="22"/>
              </w:rPr>
              <w:t xml:space="preserve">Use of </w:t>
            </w:r>
            <w:r w:rsidRPr="00C276B3">
              <w:rPr>
                <w:color w:val="auto"/>
                <w:sz w:val="22"/>
              </w:rPr>
              <w:t xml:space="preserve">peer educators </w:t>
            </w:r>
            <w:r w:rsidRPr="00C276B3">
              <w:rPr>
                <w:color w:val="auto"/>
                <w:sz w:val="22"/>
                <w:vertAlign w:val="superscript"/>
              </w:rPr>
              <w:t>[A][C]</w:t>
            </w:r>
          </w:p>
          <w:p w14:paraId="4AD4048B" w14:textId="77777777" w:rsidR="007B6EA9" w:rsidRPr="00C276B3" w:rsidRDefault="007B6EA9" w:rsidP="00C92BD2">
            <w:pPr>
              <w:pStyle w:val="Notesstructure"/>
              <w:numPr>
                <w:ilvl w:val="1"/>
                <w:numId w:val="21"/>
              </w:numPr>
              <w:spacing w:line="360" w:lineRule="auto"/>
              <w:rPr>
                <w:color w:val="auto"/>
                <w:sz w:val="22"/>
              </w:rPr>
            </w:pPr>
            <w:r>
              <w:rPr>
                <w:color w:val="auto"/>
                <w:sz w:val="22"/>
              </w:rPr>
              <w:t xml:space="preserve">Vulnerable young people </w:t>
            </w:r>
            <w:r w:rsidRPr="00C276B3">
              <w:rPr>
                <w:color w:val="auto"/>
                <w:sz w:val="22"/>
                <w:vertAlign w:val="superscript"/>
              </w:rPr>
              <w:t>[</w:t>
            </w:r>
            <w:r>
              <w:rPr>
                <w:color w:val="auto"/>
                <w:sz w:val="22"/>
                <w:vertAlign w:val="superscript"/>
              </w:rPr>
              <w:t>C</w:t>
            </w:r>
            <w:r w:rsidRPr="00C276B3">
              <w:rPr>
                <w:color w:val="auto"/>
                <w:sz w:val="22"/>
                <w:vertAlign w:val="superscript"/>
              </w:rPr>
              <w:t>]</w:t>
            </w:r>
          </w:p>
          <w:p w14:paraId="42BF32F8" w14:textId="77777777" w:rsidR="007B6EA9" w:rsidRPr="00C276B3" w:rsidRDefault="007B6EA9" w:rsidP="00C92BD2">
            <w:pPr>
              <w:pStyle w:val="Notesstructure"/>
              <w:numPr>
                <w:ilvl w:val="0"/>
                <w:numId w:val="21"/>
              </w:numPr>
              <w:spacing w:line="360" w:lineRule="auto"/>
              <w:rPr>
                <w:color w:val="auto"/>
                <w:sz w:val="22"/>
              </w:rPr>
            </w:pPr>
            <w:r>
              <w:rPr>
                <w:color w:val="auto"/>
                <w:sz w:val="22"/>
              </w:rPr>
              <w:t xml:space="preserve">Whole-school approaches </w:t>
            </w:r>
            <w:r w:rsidRPr="00C276B3">
              <w:rPr>
                <w:color w:val="auto"/>
                <w:sz w:val="22"/>
              </w:rPr>
              <w:t>promot</w:t>
            </w:r>
            <w:r>
              <w:rPr>
                <w:color w:val="auto"/>
                <w:sz w:val="22"/>
              </w:rPr>
              <w:t>ing</w:t>
            </w:r>
            <w:r w:rsidRPr="00C276B3">
              <w:rPr>
                <w:color w:val="auto"/>
                <w:sz w:val="22"/>
              </w:rPr>
              <w:t xml:space="preserve"> a positive environment, peer bonding and reduc</w:t>
            </w:r>
            <w:r>
              <w:rPr>
                <w:color w:val="auto"/>
                <w:sz w:val="22"/>
              </w:rPr>
              <w:t>ing</w:t>
            </w:r>
            <w:r w:rsidRPr="00C276B3">
              <w:rPr>
                <w:color w:val="auto"/>
                <w:sz w:val="22"/>
              </w:rPr>
              <w:t xml:space="preserve"> truancy show </w:t>
            </w:r>
            <w:r>
              <w:rPr>
                <w:color w:val="auto"/>
                <w:sz w:val="22"/>
              </w:rPr>
              <w:t>positive</w:t>
            </w:r>
            <w:r w:rsidRPr="00C276B3">
              <w:rPr>
                <w:color w:val="auto"/>
                <w:sz w:val="22"/>
              </w:rPr>
              <w:t xml:space="preserve"> results</w:t>
            </w:r>
            <w:r>
              <w:rPr>
                <w:color w:val="auto"/>
                <w:sz w:val="22"/>
              </w:rPr>
              <w:t xml:space="preserve"> as a</w:t>
            </w:r>
            <w:r w:rsidRPr="00C276B3">
              <w:rPr>
                <w:color w:val="auto"/>
                <w:sz w:val="22"/>
              </w:rPr>
              <w:t xml:space="preserve"> complement to drugs education</w:t>
            </w:r>
            <w:r>
              <w:rPr>
                <w:color w:val="auto"/>
                <w:sz w:val="22"/>
              </w:rPr>
              <w:t xml:space="preserve"> </w:t>
            </w:r>
            <w:r w:rsidRPr="00C276B3">
              <w:rPr>
                <w:color w:val="auto"/>
                <w:sz w:val="22"/>
                <w:vertAlign w:val="superscript"/>
              </w:rPr>
              <w:t>[A]</w:t>
            </w:r>
            <w:r>
              <w:rPr>
                <w:color w:val="auto"/>
                <w:sz w:val="22"/>
                <w:vertAlign w:val="superscript"/>
              </w:rPr>
              <w:t>[C][E]</w:t>
            </w:r>
          </w:p>
          <w:p w14:paraId="3C133234" w14:textId="77777777" w:rsidR="007B6EA9" w:rsidRDefault="007B6EA9" w:rsidP="00C92BD2">
            <w:pPr>
              <w:pStyle w:val="Notesstructure"/>
              <w:numPr>
                <w:ilvl w:val="0"/>
                <w:numId w:val="21"/>
              </w:numPr>
              <w:spacing w:line="360" w:lineRule="auto"/>
              <w:rPr>
                <w:color w:val="auto"/>
                <w:sz w:val="22"/>
              </w:rPr>
            </w:pPr>
            <w:r w:rsidRPr="00982128">
              <w:rPr>
                <w:color w:val="auto"/>
                <w:sz w:val="22"/>
              </w:rPr>
              <w:t xml:space="preserve">There is strong evidence that </w:t>
            </w:r>
            <w:r w:rsidRPr="00C276B3">
              <w:rPr>
                <w:color w:val="auto"/>
                <w:sz w:val="22"/>
              </w:rPr>
              <w:t xml:space="preserve">comprehensive approaches involving communities and schools is effective for high-risk young people </w:t>
            </w:r>
            <w:r w:rsidRPr="00C276B3">
              <w:rPr>
                <w:color w:val="auto"/>
                <w:sz w:val="22"/>
                <w:vertAlign w:val="superscript"/>
              </w:rPr>
              <w:t>[B]</w:t>
            </w:r>
          </w:p>
          <w:p w14:paraId="4779D420" w14:textId="77777777" w:rsidR="007B6EA9" w:rsidRPr="00F64D5A" w:rsidRDefault="007B6EA9" w:rsidP="00C92BD2">
            <w:pPr>
              <w:pStyle w:val="Notesstructure"/>
              <w:numPr>
                <w:ilvl w:val="0"/>
                <w:numId w:val="21"/>
              </w:numPr>
              <w:spacing w:line="360" w:lineRule="auto"/>
              <w:rPr>
                <w:color w:val="auto"/>
                <w:sz w:val="22"/>
              </w:rPr>
            </w:pPr>
            <w:r w:rsidRPr="00982128">
              <w:rPr>
                <w:color w:val="auto"/>
                <w:sz w:val="22"/>
              </w:rPr>
              <w:t xml:space="preserve">There is strong evidence that manualised programmes in schools are effective for preventing drug use </w:t>
            </w:r>
            <w:r w:rsidRPr="00982128">
              <w:rPr>
                <w:color w:val="auto"/>
                <w:sz w:val="22"/>
                <w:vertAlign w:val="superscript"/>
              </w:rPr>
              <w:t>[</w:t>
            </w:r>
            <w:r>
              <w:rPr>
                <w:color w:val="auto"/>
                <w:sz w:val="22"/>
                <w:vertAlign w:val="superscript"/>
              </w:rPr>
              <w:t>A</w:t>
            </w:r>
            <w:r w:rsidRPr="00982128">
              <w:rPr>
                <w:color w:val="auto"/>
                <w:sz w:val="22"/>
                <w:vertAlign w:val="superscript"/>
              </w:rPr>
              <w:t>][</w:t>
            </w:r>
            <w:r>
              <w:rPr>
                <w:color w:val="auto"/>
                <w:sz w:val="22"/>
                <w:vertAlign w:val="superscript"/>
              </w:rPr>
              <w:t>B</w:t>
            </w:r>
            <w:r w:rsidRPr="00982128">
              <w:rPr>
                <w:color w:val="auto"/>
                <w:sz w:val="22"/>
                <w:vertAlign w:val="superscript"/>
              </w:rPr>
              <w:t>]</w:t>
            </w:r>
          </w:p>
          <w:p w14:paraId="27CBA44C" w14:textId="77777777" w:rsidR="007B6EA9" w:rsidRPr="00085F4E" w:rsidRDefault="007B6EA9" w:rsidP="007B6EA9">
            <w:pPr>
              <w:pStyle w:val="Notesstructure"/>
              <w:rPr>
                <w:b/>
                <w:color w:val="auto"/>
                <w:sz w:val="22"/>
                <w:szCs w:val="22"/>
              </w:rPr>
            </w:pPr>
            <w:r>
              <w:rPr>
                <w:b/>
                <w:color w:val="auto"/>
                <w:sz w:val="22"/>
                <w:szCs w:val="22"/>
              </w:rPr>
              <w:t>Ine</w:t>
            </w:r>
            <w:r w:rsidRPr="00866BE9">
              <w:rPr>
                <w:b/>
                <w:color w:val="auto"/>
                <w:sz w:val="22"/>
                <w:szCs w:val="22"/>
              </w:rPr>
              <w:t>ffective:</w:t>
            </w:r>
          </w:p>
          <w:p w14:paraId="4A6AB4D3" w14:textId="77777777" w:rsidR="007B6EA9" w:rsidRPr="003E3CEC" w:rsidRDefault="007B6EA9" w:rsidP="00C92BD2">
            <w:pPr>
              <w:pStyle w:val="Notesstructure"/>
              <w:numPr>
                <w:ilvl w:val="0"/>
                <w:numId w:val="21"/>
              </w:numPr>
              <w:spacing w:line="360" w:lineRule="auto"/>
              <w:ind w:left="714" w:hanging="357"/>
              <w:rPr>
                <w:color w:val="auto"/>
                <w:sz w:val="22"/>
              </w:rPr>
            </w:pPr>
            <w:r w:rsidRPr="00C276B3">
              <w:rPr>
                <w:color w:val="auto"/>
                <w:sz w:val="22"/>
              </w:rPr>
              <w:t xml:space="preserve">Standalone school curricula designed to increase </w:t>
            </w:r>
            <w:r>
              <w:rPr>
                <w:color w:val="auto"/>
                <w:sz w:val="22"/>
              </w:rPr>
              <w:t xml:space="preserve">drug </w:t>
            </w:r>
            <w:r w:rsidRPr="00C276B3">
              <w:rPr>
                <w:color w:val="auto"/>
                <w:sz w:val="22"/>
              </w:rPr>
              <w:t xml:space="preserve">knowledge have been found to be ineffective </w:t>
            </w:r>
            <w:r w:rsidRPr="00C276B3">
              <w:rPr>
                <w:color w:val="auto"/>
                <w:sz w:val="22"/>
                <w:vertAlign w:val="superscript"/>
              </w:rPr>
              <w:t>[A][C]</w:t>
            </w:r>
          </w:p>
          <w:p w14:paraId="7AA7EBD9" w14:textId="77777777" w:rsidR="007B6EA9" w:rsidRPr="00C276B3" w:rsidRDefault="007B6EA9" w:rsidP="007B6EA9">
            <w:pPr>
              <w:pStyle w:val="Notesstructure"/>
              <w:rPr>
                <w:b/>
                <w:color w:val="auto"/>
                <w:sz w:val="22"/>
              </w:rPr>
            </w:pPr>
            <w:r>
              <w:rPr>
                <w:b/>
                <w:color w:val="auto"/>
                <w:sz w:val="22"/>
              </w:rPr>
              <w:t xml:space="preserve">No evidence </w:t>
            </w:r>
          </w:p>
          <w:p w14:paraId="170FE4F0" w14:textId="77777777" w:rsidR="007B6EA9" w:rsidRPr="00C276B3" w:rsidRDefault="007B6EA9" w:rsidP="00C92BD2">
            <w:pPr>
              <w:pStyle w:val="Notesstructure"/>
              <w:numPr>
                <w:ilvl w:val="0"/>
                <w:numId w:val="21"/>
              </w:numPr>
              <w:spacing w:line="360" w:lineRule="auto"/>
              <w:ind w:left="714" w:hanging="357"/>
              <w:rPr>
                <w:color w:val="auto"/>
                <w:sz w:val="22"/>
              </w:rPr>
            </w:pPr>
            <w:r w:rsidRPr="00C276B3">
              <w:rPr>
                <w:color w:val="auto"/>
                <w:sz w:val="22"/>
              </w:rPr>
              <w:t>There is no evidence for the effectiveness of NPS-</w:t>
            </w:r>
            <w:r>
              <w:rPr>
                <w:color w:val="auto"/>
                <w:sz w:val="22"/>
              </w:rPr>
              <w:t>focused</w:t>
            </w:r>
            <w:r w:rsidRPr="00C276B3">
              <w:rPr>
                <w:color w:val="auto"/>
                <w:sz w:val="22"/>
              </w:rPr>
              <w:t xml:space="preserve"> prevention activities </w:t>
            </w:r>
            <w:r>
              <w:rPr>
                <w:color w:val="auto"/>
                <w:sz w:val="22"/>
              </w:rPr>
              <w:t xml:space="preserve">in schools </w:t>
            </w:r>
            <w:r w:rsidRPr="00C276B3">
              <w:rPr>
                <w:color w:val="auto"/>
                <w:sz w:val="22"/>
                <w:vertAlign w:val="superscript"/>
              </w:rPr>
              <w:t>[B]</w:t>
            </w:r>
          </w:p>
        </w:tc>
        <w:tc>
          <w:tcPr>
            <w:tcW w:w="4636" w:type="dxa"/>
            <w:gridSpan w:val="2"/>
            <w:tcBorders>
              <w:top w:val="single" w:sz="4" w:space="0" w:color="auto"/>
              <w:left w:val="nil"/>
              <w:bottom w:val="single" w:sz="4" w:space="0" w:color="auto"/>
              <w:right w:val="nil"/>
            </w:tcBorders>
          </w:tcPr>
          <w:p w14:paraId="57CE7D77" w14:textId="77777777" w:rsidR="007B6EA9" w:rsidRPr="00C276B3" w:rsidRDefault="007B6EA9" w:rsidP="007B6EA9">
            <w:pPr>
              <w:pStyle w:val="Notesstructure"/>
              <w:rPr>
                <w:b/>
                <w:color w:val="auto"/>
                <w:sz w:val="22"/>
              </w:rPr>
            </w:pPr>
            <w:r w:rsidRPr="00C276B3">
              <w:rPr>
                <w:b/>
                <w:color w:val="auto"/>
                <w:sz w:val="22"/>
              </w:rPr>
              <w:t>Recommended:</w:t>
            </w:r>
          </w:p>
          <w:p w14:paraId="27B01380" w14:textId="77777777" w:rsidR="007B6EA9" w:rsidRDefault="007B6EA9" w:rsidP="00C92BD2">
            <w:pPr>
              <w:pStyle w:val="Notesstructure"/>
              <w:numPr>
                <w:ilvl w:val="0"/>
                <w:numId w:val="22"/>
              </w:numPr>
              <w:spacing w:line="360" w:lineRule="auto"/>
              <w:ind w:left="714" w:hanging="357"/>
              <w:rPr>
                <w:color w:val="auto"/>
                <w:sz w:val="22"/>
              </w:rPr>
            </w:pPr>
            <w:r w:rsidRPr="00C276B3">
              <w:rPr>
                <w:color w:val="auto"/>
                <w:sz w:val="22"/>
              </w:rPr>
              <w:t xml:space="preserve">ACMD recommend the use of school-based skills-focused approaches </w:t>
            </w:r>
          </w:p>
          <w:p w14:paraId="28E8E41A" w14:textId="77777777" w:rsidR="007B6EA9" w:rsidRPr="00C276B3" w:rsidRDefault="007B6EA9" w:rsidP="00C92BD2">
            <w:pPr>
              <w:pStyle w:val="Notesstructure"/>
              <w:numPr>
                <w:ilvl w:val="0"/>
                <w:numId w:val="22"/>
              </w:numPr>
              <w:spacing w:line="360" w:lineRule="auto"/>
              <w:ind w:left="714" w:hanging="357"/>
              <w:rPr>
                <w:color w:val="auto"/>
                <w:sz w:val="22"/>
              </w:rPr>
            </w:pPr>
            <w:r>
              <w:rPr>
                <w:color w:val="auto"/>
                <w:sz w:val="22"/>
              </w:rPr>
              <w:t xml:space="preserve">ACMD Recommend </w:t>
            </w:r>
            <w:r w:rsidRPr="00C439E5">
              <w:rPr>
                <w:color w:val="auto"/>
                <w:sz w:val="22"/>
              </w:rPr>
              <w:t>providing all pupils with accurate, credible and consistent information about the hazards of drug</w:t>
            </w:r>
            <w:r>
              <w:rPr>
                <w:color w:val="auto"/>
                <w:sz w:val="22"/>
              </w:rPr>
              <w:t xml:space="preserve"> use</w:t>
            </w:r>
          </w:p>
          <w:p w14:paraId="098381AE" w14:textId="77777777" w:rsidR="007B6EA9" w:rsidRDefault="007B6EA9" w:rsidP="00C92BD2">
            <w:pPr>
              <w:pStyle w:val="Notesstructure"/>
              <w:numPr>
                <w:ilvl w:val="0"/>
                <w:numId w:val="22"/>
              </w:numPr>
              <w:spacing w:line="360" w:lineRule="auto"/>
              <w:rPr>
                <w:color w:val="auto"/>
                <w:sz w:val="22"/>
              </w:rPr>
            </w:pPr>
            <w:r w:rsidRPr="00C276B3">
              <w:rPr>
                <w:color w:val="auto"/>
                <w:sz w:val="22"/>
              </w:rPr>
              <w:t>EMCDDA recommends adapting existing school-based programmes with proven effectiveness to include NPS</w:t>
            </w:r>
          </w:p>
          <w:p w14:paraId="1512A796" w14:textId="77777777" w:rsidR="007B6EA9" w:rsidRPr="00F64D5A" w:rsidRDefault="007B6EA9" w:rsidP="00C92BD2">
            <w:pPr>
              <w:pStyle w:val="Notesstructure"/>
              <w:numPr>
                <w:ilvl w:val="0"/>
                <w:numId w:val="22"/>
              </w:numPr>
              <w:spacing w:line="360" w:lineRule="auto"/>
              <w:rPr>
                <w:color w:val="auto"/>
                <w:sz w:val="22"/>
              </w:rPr>
            </w:pPr>
            <w:r w:rsidRPr="00982128">
              <w:rPr>
                <w:color w:val="auto"/>
                <w:sz w:val="22"/>
              </w:rPr>
              <w:t>EMCDDA recommends the use of manualised programmes</w:t>
            </w:r>
            <w:r>
              <w:rPr>
                <w:color w:val="auto"/>
                <w:sz w:val="22"/>
              </w:rPr>
              <w:t>/ structured series of sessions</w:t>
            </w:r>
          </w:p>
          <w:p w14:paraId="07B3E1E3" w14:textId="77777777" w:rsidR="007B6EA9" w:rsidRPr="00C276B3" w:rsidRDefault="007B6EA9" w:rsidP="00C92BD2">
            <w:pPr>
              <w:pStyle w:val="Notesstructure"/>
              <w:numPr>
                <w:ilvl w:val="0"/>
                <w:numId w:val="22"/>
              </w:numPr>
              <w:spacing w:line="360" w:lineRule="auto"/>
              <w:rPr>
                <w:color w:val="auto"/>
                <w:sz w:val="22"/>
              </w:rPr>
            </w:pPr>
            <w:r w:rsidRPr="00C276B3">
              <w:rPr>
                <w:color w:val="auto"/>
                <w:sz w:val="22"/>
              </w:rPr>
              <w:t xml:space="preserve">HM Government recommend approaches which aim to build confidence and resilience in school contexts </w:t>
            </w:r>
          </w:p>
          <w:p w14:paraId="1AED8461" w14:textId="77777777" w:rsidR="007B6EA9" w:rsidRDefault="007B6EA9" w:rsidP="00C92BD2">
            <w:pPr>
              <w:pStyle w:val="Notesstructure"/>
              <w:numPr>
                <w:ilvl w:val="0"/>
                <w:numId w:val="22"/>
              </w:numPr>
              <w:spacing w:line="360" w:lineRule="auto"/>
              <w:rPr>
                <w:color w:val="auto"/>
                <w:sz w:val="22"/>
              </w:rPr>
            </w:pPr>
            <w:r w:rsidRPr="00C276B3">
              <w:rPr>
                <w:color w:val="auto"/>
                <w:sz w:val="22"/>
              </w:rPr>
              <w:t>HM Government recommends adapt</w:t>
            </w:r>
            <w:r>
              <w:rPr>
                <w:color w:val="auto"/>
                <w:sz w:val="22"/>
              </w:rPr>
              <w:t>at</w:t>
            </w:r>
            <w:r w:rsidRPr="00C276B3">
              <w:rPr>
                <w:color w:val="auto"/>
                <w:sz w:val="22"/>
              </w:rPr>
              <w:t>ion of the PSHE curriculum to include N</w:t>
            </w:r>
            <w:r>
              <w:rPr>
                <w:color w:val="auto"/>
                <w:sz w:val="22"/>
              </w:rPr>
              <w:t>PS</w:t>
            </w:r>
          </w:p>
          <w:p w14:paraId="24FC3895" w14:textId="77777777" w:rsidR="007B6EA9" w:rsidRDefault="007B6EA9" w:rsidP="00C92BD2">
            <w:pPr>
              <w:pStyle w:val="Notesstructure"/>
              <w:numPr>
                <w:ilvl w:val="0"/>
                <w:numId w:val="22"/>
              </w:numPr>
              <w:spacing w:line="360" w:lineRule="auto"/>
              <w:rPr>
                <w:color w:val="auto"/>
                <w:sz w:val="22"/>
              </w:rPr>
            </w:pPr>
            <w:r w:rsidRPr="00C276B3">
              <w:rPr>
                <w:color w:val="auto"/>
                <w:sz w:val="22"/>
              </w:rPr>
              <w:t xml:space="preserve">Sheffield council recommend resilience-based </w:t>
            </w:r>
            <w:r>
              <w:rPr>
                <w:color w:val="auto"/>
                <w:sz w:val="22"/>
              </w:rPr>
              <w:t>approaches</w:t>
            </w:r>
            <w:r w:rsidRPr="00C276B3">
              <w:rPr>
                <w:color w:val="auto"/>
                <w:sz w:val="22"/>
              </w:rPr>
              <w:t xml:space="preserve"> and provision of information on drugs, harm reduction</w:t>
            </w:r>
            <w:r>
              <w:rPr>
                <w:color w:val="auto"/>
                <w:sz w:val="22"/>
              </w:rPr>
              <w:t xml:space="preserve"> and </w:t>
            </w:r>
            <w:r w:rsidRPr="00C276B3">
              <w:rPr>
                <w:color w:val="auto"/>
                <w:sz w:val="22"/>
              </w:rPr>
              <w:t xml:space="preserve">advice in schools and universities </w:t>
            </w:r>
          </w:p>
          <w:p w14:paraId="7B138092" w14:textId="77777777" w:rsidR="007B6EA9" w:rsidRDefault="007B6EA9" w:rsidP="00C92BD2">
            <w:pPr>
              <w:pStyle w:val="Notesstructure"/>
              <w:numPr>
                <w:ilvl w:val="0"/>
                <w:numId w:val="22"/>
              </w:numPr>
              <w:spacing w:line="360" w:lineRule="auto"/>
              <w:rPr>
                <w:color w:val="auto"/>
                <w:sz w:val="22"/>
              </w:rPr>
            </w:pPr>
            <w:r w:rsidRPr="00C276B3">
              <w:rPr>
                <w:color w:val="auto"/>
                <w:sz w:val="22"/>
              </w:rPr>
              <w:t>Sheffield council recommend the use of sensitive drug policies in schools</w:t>
            </w:r>
          </w:p>
          <w:p w14:paraId="36385614" w14:textId="77777777" w:rsidR="007B6EA9" w:rsidRPr="00D27D66" w:rsidRDefault="007B6EA9" w:rsidP="00C92BD2">
            <w:pPr>
              <w:pStyle w:val="Notesstructure"/>
              <w:numPr>
                <w:ilvl w:val="0"/>
                <w:numId w:val="22"/>
              </w:numPr>
              <w:spacing w:line="360" w:lineRule="auto"/>
              <w:rPr>
                <w:color w:val="auto"/>
                <w:sz w:val="22"/>
              </w:rPr>
            </w:pPr>
            <w:r w:rsidRPr="00C276B3">
              <w:rPr>
                <w:color w:val="auto"/>
                <w:sz w:val="22"/>
              </w:rPr>
              <w:t>UNDOC</w:t>
            </w:r>
            <w:r>
              <w:rPr>
                <w:color w:val="auto"/>
                <w:sz w:val="22"/>
              </w:rPr>
              <w:t>/WHO</w:t>
            </w:r>
            <w:r w:rsidRPr="00C276B3">
              <w:rPr>
                <w:color w:val="auto"/>
                <w:sz w:val="22"/>
              </w:rPr>
              <w:t xml:space="preserve"> recommend the use of whole-schools approaches focused on policies and increasing school attachment </w:t>
            </w:r>
          </w:p>
          <w:p w14:paraId="77AC690A" w14:textId="77777777" w:rsidR="009266A2" w:rsidRDefault="009266A2" w:rsidP="007B6EA9">
            <w:pPr>
              <w:pStyle w:val="Notesstructure"/>
              <w:rPr>
                <w:b/>
                <w:color w:val="auto"/>
                <w:sz w:val="22"/>
              </w:rPr>
            </w:pPr>
          </w:p>
          <w:p w14:paraId="2C933E79" w14:textId="77777777" w:rsidR="009266A2" w:rsidRDefault="009266A2" w:rsidP="007B6EA9">
            <w:pPr>
              <w:pStyle w:val="Notesstructure"/>
              <w:rPr>
                <w:b/>
                <w:color w:val="auto"/>
                <w:sz w:val="22"/>
              </w:rPr>
            </w:pPr>
          </w:p>
          <w:p w14:paraId="2A4B0C9E" w14:textId="2C46A0CA" w:rsidR="007B6EA9" w:rsidRPr="00D27D66" w:rsidRDefault="007B6EA9" w:rsidP="007B6EA9">
            <w:pPr>
              <w:pStyle w:val="Notesstructure"/>
              <w:rPr>
                <w:b/>
                <w:color w:val="auto"/>
                <w:sz w:val="22"/>
              </w:rPr>
            </w:pPr>
            <w:r>
              <w:rPr>
                <w:b/>
                <w:color w:val="auto"/>
                <w:sz w:val="22"/>
              </w:rPr>
              <w:t>Not r</w:t>
            </w:r>
            <w:r w:rsidRPr="00C276B3">
              <w:rPr>
                <w:b/>
                <w:color w:val="auto"/>
                <w:sz w:val="22"/>
              </w:rPr>
              <w:t>ecommended:</w:t>
            </w:r>
          </w:p>
          <w:p w14:paraId="1C2FCA97" w14:textId="77777777" w:rsidR="007B6EA9" w:rsidRDefault="007B6EA9" w:rsidP="00C92BD2">
            <w:pPr>
              <w:pStyle w:val="Notesstructure"/>
              <w:numPr>
                <w:ilvl w:val="0"/>
                <w:numId w:val="22"/>
              </w:numPr>
              <w:spacing w:line="360" w:lineRule="auto"/>
              <w:rPr>
                <w:color w:val="auto"/>
                <w:sz w:val="22"/>
              </w:rPr>
            </w:pPr>
            <w:r w:rsidRPr="00982128">
              <w:rPr>
                <w:color w:val="auto"/>
                <w:sz w:val="22"/>
              </w:rPr>
              <w:t xml:space="preserve">NICE does not recommend the use of manualised programmes </w:t>
            </w:r>
          </w:p>
          <w:p w14:paraId="707BB761" w14:textId="77777777" w:rsidR="007B6EA9" w:rsidRDefault="007B6EA9" w:rsidP="00C92BD2">
            <w:pPr>
              <w:pStyle w:val="Notesstructure"/>
              <w:numPr>
                <w:ilvl w:val="0"/>
                <w:numId w:val="22"/>
              </w:numPr>
              <w:spacing w:line="360" w:lineRule="auto"/>
              <w:rPr>
                <w:color w:val="auto"/>
                <w:sz w:val="22"/>
              </w:rPr>
            </w:pPr>
            <w:r w:rsidRPr="00C11D82">
              <w:rPr>
                <w:color w:val="auto"/>
                <w:sz w:val="22"/>
                <w:szCs w:val="22"/>
              </w:rPr>
              <w:t xml:space="preserve">NICE </w:t>
            </w:r>
            <w:r>
              <w:rPr>
                <w:color w:val="auto"/>
                <w:sz w:val="22"/>
                <w:szCs w:val="22"/>
              </w:rPr>
              <w:t>d</w:t>
            </w:r>
            <w:r w:rsidRPr="00C11D82">
              <w:rPr>
                <w:color w:val="auto"/>
                <w:sz w:val="22"/>
                <w:szCs w:val="22"/>
              </w:rPr>
              <w:t>oes not recommend the use of one-off sessions</w:t>
            </w:r>
          </w:p>
          <w:p w14:paraId="5536EABD" w14:textId="77777777" w:rsidR="007B6EA9" w:rsidRPr="008B6212" w:rsidRDefault="007B6EA9" w:rsidP="00C92BD2">
            <w:pPr>
              <w:pStyle w:val="Notesstructure"/>
              <w:numPr>
                <w:ilvl w:val="0"/>
                <w:numId w:val="22"/>
              </w:numPr>
              <w:spacing w:line="360" w:lineRule="auto"/>
              <w:rPr>
                <w:color w:val="auto"/>
                <w:sz w:val="22"/>
              </w:rPr>
            </w:pPr>
            <w:r w:rsidRPr="00C11D82">
              <w:rPr>
                <w:color w:val="auto"/>
                <w:sz w:val="22"/>
                <w:szCs w:val="22"/>
              </w:rPr>
              <w:t xml:space="preserve">UNDOC/WHO </w:t>
            </w:r>
            <w:r>
              <w:rPr>
                <w:color w:val="auto"/>
                <w:sz w:val="22"/>
                <w:szCs w:val="22"/>
              </w:rPr>
              <w:t>d</w:t>
            </w:r>
            <w:r w:rsidRPr="00C11D82">
              <w:rPr>
                <w:color w:val="auto"/>
                <w:sz w:val="22"/>
                <w:szCs w:val="22"/>
              </w:rPr>
              <w:t>oes not recommend the use of one-off sessions</w:t>
            </w:r>
          </w:p>
        </w:tc>
      </w:tr>
      <w:tr w:rsidR="007B6EA9" w:rsidRPr="003F76C9" w14:paraId="059C2443"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113"/>
        </w:trPr>
        <w:tc>
          <w:tcPr>
            <w:tcW w:w="9180" w:type="dxa"/>
            <w:gridSpan w:val="2"/>
            <w:tcBorders>
              <w:top w:val="single" w:sz="4" w:space="0" w:color="auto"/>
            </w:tcBorders>
          </w:tcPr>
          <w:p w14:paraId="2145961A" w14:textId="77777777" w:rsidR="007B6EA9" w:rsidRPr="005135B8" w:rsidRDefault="007B6EA9" w:rsidP="007B6EA9">
            <w:pPr>
              <w:pStyle w:val="Notesstructure"/>
              <w:spacing w:line="360" w:lineRule="auto"/>
              <w:rPr>
                <w:b/>
                <w:color w:val="auto"/>
                <w:sz w:val="2"/>
              </w:rPr>
            </w:pPr>
          </w:p>
        </w:tc>
      </w:tr>
      <w:tr w:rsidR="007B6EA9" w:rsidRPr="003F76C9" w14:paraId="23B5D24E"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284"/>
        </w:trPr>
        <w:tc>
          <w:tcPr>
            <w:tcW w:w="9180" w:type="dxa"/>
            <w:gridSpan w:val="2"/>
          </w:tcPr>
          <w:p w14:paraId="5227D663"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5D5868B5" w14:textId="77777777" w:rsidR="007B6EA9" w:rsidRPr="005135B8" w:rsidRDefault="007B6EA9" w:rsidP="007B6EA9">
            <w:pPr>
              <w:pStyle w:val="Notesstructure"/>
              <w:spacing w:line="360" w:lineRule="auto"/>
              <w:rPr>
                <w:b/>
                <w:color w:val="auto"/>
                <w:sz w:val="2"/>
              </w:rPr>
            </w:pPr>
          </w:p>
        </w:tc>
      </w:tr>
    </w:tbl>
    <w:p w14:paraId="1151B90E" w14:textId="77777777" w:rsidR="007B6EA9" w:rsidRDefault="007B6EA9" w:rsidP="007B6EA9">
      <w:pPr>
        <w:spacing w:line="480" w:lineRule="auto"/>
      </w:pPr>
    </w:p>
    <w:p w14:paraId="073502D7" w14:textId="2E0CE48C" w:rsidR="007B6EA9" w:rsidRDefault="007B6EA9" w:rsidP="007B6EA9">
      <w:pPr>
        <w:pStyle w:val="Heading3"/>
      </w:pPr>
      <w:bookmarkStart w:id="259" w:name="_Toc35892579"/>
      <w:r>
        <w:t>Youth group settings</w:t>
      </w:r>
      <w:bookmarkEnd w:id="259"/>
      <w:r>
        <w:t xml:space="preserve"> </w:t>
      </w:r>
    </w:p>
    <w:p w14:paraId="7651AFE3" w14:textId="43F7CE5D" w:rsidR="00B31866" w:rsidRDefault="00B31866" w:rsidP="00B31866">
      <w:pPr>
        <w:spacing w:line="480" w:lineRule="auto"/>
      </w:pPr>
      <w:r>
        <w:t>Interventions in youth group settings can be delivered within a community organisation or as part of outreach work.</w:t>
      </w:r>
      <w:r w:rsidRPr="00E1714E">
        <w:t xml:space="preserve"> </w:t>
      </w:r>
      <w:r>
        <w:t>A summary of the recommendations for the use of interventions in youth group settings is shown in Table 3-1</w:t>
      </w:r>
      <w:r w:rsidR="00FC1DE2">
        <w:t>8</w:t>
      </w:r>
      <w:r>
        <w:t xml:space="preserve"> together with a summary of the evidence on which the recommendations are based.</w:t>
      </w:r>
    </w:p>
    <w:p w14:paraId="40E9D29C" w14:textId="6F87D85D" w:rsidR="007B6EA9" w:rsidRPr="003171C5" w:rsidRDefault="007B6EA9" w:rsidP="003171C5">
      <w:pPr>
        <w:pStyle w:val="TableHeader"/>
        <w:rPr>
          <w:b/>
        </w:rPr>
      </w:pPr>
      <w:bookmarkStart w:id="260" w:name="_Toc9509049"/>
      <w:r w:rsidRPr="003171C5">
        <w:rPr>
          <w:b/>
        </w:rPr>
        <w:t xml:space="preserve">Table </w:t>
      </w:r>
      <w:r w:rsidR="003171C5" w:rsidRPr="003171C5">
        <w:rPr>
          <w:b/>
        </w:rPr>
        <w:t>3-</w:t>
      </w:r>
      <w:r w:rsidRPr="003171C5">
        <w:rPr>
          <w:b/>
        </w:rPr>
        <w:t>1</w:t>
      </w:r>
      <w:r w:rsidR="00FC1DE2">
        <w:rPr>
          <w:b/>
        </w:rPr>
        <w:t>8</w:t>
      </w:r>
      <w:r w:rsidRPr="003171C5">
        <w:rPr>
          <w:b/>
        </w:rPr>
        <w:t>. Effectiveness and recommendations for the use of youth group settings</w:t>
      </w:r>
      <w:bookmarkEnd w:id="260"/>
    </w:p>
    <w:tbl>
      <w:tblPr>
        <w:tblStyle w:val="TableGrid"/>
        <w:tblW w:w="9280" w:type="dxa"/>
        <w:tblLook w:val="04A0" w:firstRow="1" w:lastRow="0" w:firstColumn="1" w:lastColumn="0" w:noHBand="0" w:noVBand="1"/>
      </w:tblPr>
      <w:tblGrid>
        <w:gridCol w:w="4690"/>
        <w:gridCol w:w="4490"/>
        <w:gridCol w:w="100"/>
      </w:tblGrid>
      <w:tr w:rsidR="007B6EA9" w:rsidRPr="00F9373F" w14:paraId="1BBC5BD4" w14:textId="77777777" w:rsidTr="007B6EA9">
        <w:trPr>
          <w:gridAfter w:val="1"/>
          <w:wAfter w:w="100" w:type="dxa"/>
          <w:trHeight w:val="430"/>
        </w:trPr>
        <w:tc>
          <w:tcPr>
            <w:tcW w:w="9180" w:type="dxa"/>
            <w:gridSpan w:val="2"/>
            <w:tcBorders>
              <w:top w:val="single" w:sz="8" w:space="0" w:color="auto"/>
              <w:left w:val="nil"/>
              <w:bottom w:val="single" w:sz="8" w:space="0" w:color="auto"/>
              <w:right w:val="nil"/>
            </w:tcBorders>
            <w:vAlign w:val="center"/>
          </w:tcPr>
          <w:p w14:paraId="65417898" w14:textId="77777777" w:rsidR="007B6EA9" w:rsidRPr="00F9373F" w:rsidRDefault="007B6EA9" w:rsidP="007B6EA9">
            <w:pPr>
              <w:rPr>
                <w:b/>
                <w:szCs w:val="24"/>
              </w:rPr>
            </w:pPr>
            <w:r>
              <w:rPr>
                <w:b/>
              </w:rPr>
              <w:t>Youth group settings</w:t>
            </w:r>
          </w:p>
        </w:tc>
      </w:tr>
      <w:tr w:rsidR="007B6EA9" w:rsidRPr="00C276B3" w14:paraId="0F2EB598" w14:textId="77777777" w:rsidTr="007B6EA9">
        <w:tc>
          <w:tcPr>
            <w:tcW w:w="4690" w:type="dxa"/>
            <w:tcBorders>
              <w:top w:val="nil"/>
              <w:left w:val="nil"/>
              <w:bottom w:val="single" w:sz="4" w:space="0" w:color="auto"/>
              <w:right w:val="nil"/>
            </w:tcBorders>
          </w:tcPr>
          <w:p w14:paraId="241B8A1E" w14:textId="77777777" w:rsidR="007B6EA9" w:rsidRPr="00C276B3" w:rsidRDefault="007B6EA9" w:rsidP="007B6EA9">
            <w:pPr>
              <w:pStyle w:val="Notesstructure"/>
              <w:spacing w:line="360" w:lineRule="auto"/>
              <w:rPr>
                <w:b/>
                <w:color w:val="auto"/>
                <w:sz w:val="22"/>
              </w:rPr>
            </w:pPr>
            <w:r w:rsidRPr="00C276B3">
              <w:rPr>
                <w:b/>
                <w:color w:val="auto"/>
                <w:sz w:val="22"/>
              </w:rPr>
              <w:t>Effective:</w:t>
            </w:r>
          </w:p>
          <w:p w14:paraId="4F8E59EB" w14:textId="77777777" w:rsidR="007B6EA9" w:rsidRPr="00C276B3" w:rsidRDefault="007B6EA9" w:rsidP="00C92BD2">
            <w:pPr>
              <w:pStyle w:val="Notesstructure"/>
              <w:numPr>
                <w:ilvl w:val="0"/>
                <w:numId w:val="25"/>
              </w:numPr>
              <w:spacing w:line="360" w:lineRule="auto"/>
              <w:rPr>
                <w:color w:val="auto"/>
                <w:sz w:val="22"/>
              </w:rPr>
            </w:pPr>
            <w:r w:rsidRPr="00C276B3">
              <w:rPr>
                <w:color w:val="auto"/>
                <w:sz w:val="22"/>
              </w:rPr>
              <w:t xml:space="preserve">Skills-based training is more effective in settings young people trust when they are surrounded by like-minded peers </w:t>
            </w:r>
            <w:r w:rsidRPr="00C276B3">
              <w:rPr>
                <w:color w:val="auto"/>
                <w:sz w:val="22"/>
                <w:vertAlign w:val="superscript"/>
              </w:rPr>
              <w:t>[D]</w:t>
            </w:r>
            <w:r w:rsidRPr="00C276B3">
              <w:rPr>
                <w:color w:val="auto"/>
                <w:sz w:val="22"/>
              </w:rPr>
              <w:t xml:space="preserve">. </w:t>
            </w:r>
          </w:p>
          <w:p w14:paraId="231C6EFB" w14:textId="77777777" w:rsidR="007B6EA9" w:rsidRPr="00C276B3" w:rsidRDefault="007B6EA9" w:rsidP="00C92BD2">
            <w:pPr>
              <w:pStyle w:val="Notesstructure"/>
              <w:numPr>
                <w:ilvl w:val="0"/>
                <w:numId w:val="25"/>
              </w:numPr>
              <w:spacing w:line="360" w:lineRule="auto"/>
              <w:rPr>
                <w:color w:val="auto"/>
                <w:sz w:val="22"/>
              </w:rPr>
            </w:pPr>
            <w:r w:rsidRPr="00C276B3">
              <w:rPr>
                <w:color w:val="auto"/>
                <w:sz w:val="22"/>
              </w:rPr>
              <w:t xml:space="preserve">Youth groups / leisure activities can increase engagement with vulnerable groups </w:t>
            </w:r>
            <w:r w:rsidRPr="00C276B3">
              <w:rPr>
                <w:color w:val="auto"/>
                <w:sz w:val="22"/>
                <w:vertAlign w:val="superscript"/>
              </w:rPr>
              <w:t>[B]</w:t>
            </w:r>
            <w:r w:rsidRPr="00C276B3">
              <w:rPr>
                <w:color w:val="auto"/>
                <w:sz w:val="22"/>
              </w:rPr>
              <w:t xml:space="preserve"> </w:t>
            </w:r>
          </w:p>
          <w:p w14:paraId="14DA4829" w14:textId="77777777" w:rsidR="007B6EA9" w:rsidRPr="00C276B3" w:rsidRDefault="007B6EA9" w:rsidP="00C92BD2">
            <w:pPr>
              <w:pStyle w:val="Notesstructure"/>
              <w:numPr>
                <w:ilvl w:val="0"/>
                <w:numId w:val="25"/>
              </w:numPr>
              <w:spacing w:line="360" w:lineRule="auto"/>
              <w:rPr>
                <w:color w:val="auto"/>
                <w:sz w:val="22"/>
              </w:rPr>
            </w:pPr>
            <w:r w:rsidRPr="00C276B3">
              <w:rPr>
                <w:color w:val="auto"/>
                <w:sz w:val="22"/>
              </w:rPr>
              <w:t xml:space="preserve">some programmes </w:t>
            </w:r>
            <w:r>
              <w:rPr>
                <w:color w:val="auto"/>
                <w:sz w:val="22"/>
              </w:rPr>
              <w:t>are</w:t>
            </w:r>
            <w:r w:rsidRPr="00C276B3">
              <w:rPr>
                <w:color w:val="auto"/>
                <w:sz w:val="22"/>
              </w:rPr>
              <w:t xml:space="preserve"> ineffective </w:t>
            </w:r>
            <w:r w:rsidRPr="00C276B3">
              <w:rPr>
                <w:color w:val="auto"/>
                <w:sz w:val="22"/>
                <w:vertAlign w:val="superscript"/>
              </w:rPr>
              <w:t>[D]</w:t>
            </w:r>
            <w:r w:rsidRPr="00C276B3">
              <w:rPr>
                <w:color w:val="auto"/>
                <w:sz w:val="22"/>
              </w:rPr>
              <w:t xml:space="preserve"> </w:t>
            </w:r>
          </w:p>
          <w:p w14:paraId="150F107C" w14:textId="77777777" w:rsidR="007B6EA9" w:rsidRPr="00C276B3" w:rsidRDefault="007B6EA9" w:rsidP="007B6EA9">
            <w:pPr>
              <w:pStyle w:val="Notesstructure"/>
              <w:spacing w:line="360" w:lineRule="auto"/>
              <w:rPr>
                <w:color w:val="auto"/>
                <w:sz w:val="22"/>
              </w:rPr>
            </w:pPr>
          </w:p>
        </w:tc>
        <w:tc>
          <w:tcPr>
            <w:tcW w:w="4590" w:type="dxa"/>
            <w:gridSpan w:val="2"/>
            <w:tcBorders>
              <w:top w:val="nil"/>
              <w:left w:val="nil"/>
              <w:bottom w:val="single" w:sz="4" w:space="0" w:color="auto"/>
              <w:right w:val="nil"/>
            </w:tcBorders>
          </w:tcPr>
          <w:p w14:paraId="7DF81260" w14:textId="77777777" w:rsidR="007B6EA9" w:rsidRPr="00C276B3" w:rsidRDefault="007B6EA9" w:rsidP="007B6EA9">
            <w:pPr>
              <w:pStyle w:val="Notesstructure"/>
              <w:spacing w:line="360" w:lineRule="auto"/>
              <w:rPr>
                <w:b/>
                <w:color w:val="auto"/>
                <w:sz w:val="22"/>
              </w:rPr>
            </w:pPr>
            <w:r w:rsidRPr="00C276B3">
              <w:rPr>
                <w:b/>
                <w:color w:val="auto"/>
                <w:sz w:val="22"/>
              </w:rPr>
              <w:t>Recommended:</w:t>
            </w:r>
          </w:p>
          <w:p w14:paraId="30E5E8F5" w14:textId="77777777" w:rsidR="007B6EA9" w:rsidRPr="00C276B3" w:rsidRDefault="007B6EA9" w:rsidP="00C92BD2">
            <w:pPr>
              <w:pStyle w:val="Notesstructure"/>
              <w:numPr>
                <w:ilvl w:val="0"/>
                <w:numId w:val="26"/>
              </w:numPr>
              <w:spacing w:line="360" w:lineRule="auto"/>
              <w:rPr>
                <w:color w:val="auto"/>
                <w:sz w:val="22"/>
              </w:rPr>
            </w:pPr>
            <w:r w:rsidRPr="00C276B3">
              <w:rPr>
                <w:color w:val="auto"/>
                <w:sz w:val="22"/>
              </w:rPr>
              <w:t>EMCDDA recommend youth group settings, particularly for at-risk young people but with care being taken to avoid stigmatization.</w:t>
            </w:r>
          </w:p>
          <w:p w14:paraId="7F26D10C" w14:textId="77777777" w:rsidR="007B6EA9" w:rsidRPr="00C276B3" w:rsidRDefault="007B6EA9" w:rsidP="00C92BD2">
            <w:pPr>
              <w:pStyle w:val="Notesstructure"/>
              <w:numPr>
                <w:ilvl w:val="0"/>
                <w:numId w:val="26"/>
              </w:numPr>
              <w:spacing w:line="360" w:lineRule="auto"/>
              <w:rPr>
                <w:color w:val="auto"/>
                <w:sz w:val="22"/>
              </w:rPr>
            </w:pPr>
            <w:r w:rsidRPr="00C276B3">
              <w:rPr>
                <w:color w:val="auto"/>
                <w:sz w:val="22"/>
              </w:rPr>
              <w:t>NICE recommended further research into the effectiveness of planned outreach activities.</w:t>
            </w:r>
          </w:p>
        </w:tc>
      </w:tr>
      <w:tr w:rsidR="007B6EA9" w:rsidRPr="003F76C9" w14:paraId="2E656279"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113"/>
        </w:trPr>
        <w:tc>
          <w:tcPr>
            <w:tcW w:w="9180" w:type="dxa"/>
            <w:gridSpan w:val="2"/>
            <w:tcBorders>
              <w:top w:val="single" w:sz="4" w:space="0" w:color="auto"/>
            </w:tcBorders>
          </w:tcPr>
          <w:p w14:paraId="0DF941FE" w14:textId="77777777" w:rsidR="007B6EA9" w:rsidRPr="005135B8" w:rsidRDefault="007B6EA9" w:rsidP="007B6EA9">
            <w:pPr>
              <w:pStyle w:val="Notesstructure"/>
              <w:spacing w:line="360" w:lineRule="auto"/>
              <w:rPr>
                <w:b/>
                <w:color w:val="auto"/>
                <w:sz w:val="2"/>
              </w:rPr>
            </w:pPr>
          </w:p>
        </w:tc>
      </w:tr>
      <w:tr w:rsidR="007B6EA9" w:rsidRPr="003F76C9" w14:paraId="7BD95403"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284"/>
        </w:trPr>
        <w:tc>
          <w:tcPr>
            <w:tcW w:w="9180" w:type="dxa"/>
            <w:gridSpan w:val="2"/>
          </w:tcPr>
          <w:p w14:paraId="027F9474"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736EC71B" w14:textId="77777777" w:rsidR="007B6EA9" w:rsidRPr="005135B8" w:rsidRDefault="007B6EA9" w:rsidP="007B6EA9">
            <w:pPr>
              <w:pStyle w:val="Notesstructure"/>
              <w:spacing w:line="360" w:lineRule="auto"/>
              <w:rPr>
                <w:b/>
                <w:color w:val="auto"/>
                <w:sz w:val="2"/>
              </w:rPr>
            </w:pPr>
          </w:p>
        </w:tc>
      </w:tr>
    </w:tbl>
    <w:p w14:paraId="5B78FBF0" w14:textId="77777777" w:rsidR="007B6EA9" w:rsidRDefault="007B6EA9" w:rsidP="007B6EA9"/>
    <w:p w14:paraId="324F7E87" w14:textId="2CE038DC" w:rsidR="007B6EA9" w:rsidRDefault="007B6EA9" w:rsidP="007B6EA9">
      <w:pPr>
        <w:pStyle w:val="Heading3"/>
      </w:pPr>
      <w:bookmarkStart w:id="261" w:name="_Toc35892580"/>
      <w:r>
        <w:t>Family-based approaches</w:t>
      </w:r>
      <w:bookmarkEnd w:id="261"/>
      <w:r>
        <w:t xml:space="preserve"> </w:t>
      </w:r>
    </w:p>
    <w:p w14:paraId="54537A2F" w14:textId="773A2ACB" w:rsidR="00B31866" w:rsidRDefault="00B31866" w:rsidP="00B31866">
      <w:pPr>
        <w:spacing w:line="480" w:lineRule="auto"/>
      </w:pPr>
      <w:r>
        <w:t>Family-based approaches can involve parents only or parents and their children together. A summary of the recommendations for the use of interventions in family-based settings is shown in Table 3-1</w:t>
      </w:r>
      <w:r w:rsidR="00FC1DE2">
        <w:t>9</w:t>
      </w:r>
      <w:r>
        <w:t xml:space="preserve"> together with a summary of the evidence on which the recommendations are based.</w:t>
      </w:r>
    </w:p>
    <w:p w14:paraId="6571DDAF" w14:textId="77777777" w:rsidR="009266A2" w:rsidRDefault="009266A2">
      <w:pPr>
        <w:rPr>
          <w:b/>
        </w:rPr>
      </w:pPr>
      <w:r>
        <w:rPr>
          <w:b/>
        </w:rPr>
        <w:br w:type="page"/>
      </w:r>
    </w:p>
    <w:p w14:paraId="11530502" w14:textId="04E522BA" w:rsidR="007B6EA9" w:rsidRPr="003171C5" w:rsidRDefault="007B6EA9" w:rsidP="003171C5">
      <w:pPr>
        <w:pStyle w:val="TableHeader"/>
        <w:rPr>
          <w:b/>
        </w:rPr>
      </w:pPr>
      <w:bookmarkStart w:id="262" w:name="_Toc9509050"/>
      <w:r w:rsidRPr="003171C5">
        <w:rPr>
          <w:b/>
        </w:rPr>
        <w:t xml:space="preserve">Table </w:t>
      </w:r>
      <w:r w:rsidR="003171C5" w:rsidRPr="003171C5">
        <w:rPr>
          <w:b/>
        </w:rPr>
        <w:t>3-</w:t>
      </w:r>
      <w:r w:rsidRPr="003171C5">
        <w:rPr>
          <w:b/>
        </w:rPr>
        <w:t>1</w:t>
      </w:r>
      <w:r w:rsidR="00FC1DE2">
        <w:rPr>
          <w:b/>
        </w:rPr>
        <w:t>9</w:t>
      </w:r>
      <w:r w:rsidRPr="003171C5">
        <w:rPr>
          <w:b/>
        </w:rPr>
        <w:t>. Effectiveness and recommendations for the use of family-based approaches</w:t>
      </w:r>
      <w:bookmarkEnd w:id="262"/>
    </w:p>
    <w:tbl>
      <w:tblPr>
        <w:tblStyle w:val="TableGrid"/>
        <w:tblW w:w="9280" w:type="dxa"/>
        <w:tblLook w:val="04A0" w:firstRow="1" w:lastRow="0" w:firstColumn="1" w:lastColumn="0" w:noHBand="0" w:noVBand="1"/>
      </w:tblPr>
      <w:tblGrid>
        <w:gridCol w:w="4696"/>
        <w:gridCol w:w="4484"/>
        <w:gridCol w:w="100"/>
      </w:tblGrid>
      <w:tr w:rsidR="007B6EA9" w:rsidRPr="00F9373F" w14:paraId="008D3CF3" w14:textId="77777777" w:rsidTr="007B6EA9">
        <w:trPr>
          <w:gridAfter w:val="1"/>
          <w:wAfter w:w="100" w:type="dxa"/>
          <w:trHeight w:val="430"/>
        </w:trPr>
        <w:tc>
          <w:tcPr>
            <w:tcW w:w="9180" w:type="dxa"/>
            <w:gridSpan w:val="2"/>
            <w:tcBorders>
              <w:top w:val="single" w:sz="8" w:space="0" w:color="auto"/>
              <w:left w:val="nil"/>
              <w:bottom w:val="single" w:sz="8" w:space="0" w:color="auto"/>
              <w:right w:val="nil"/>
            </w:tcBorders>
            <w:vAlign w:val="center"/>
          </w:tcPr>
          <w:p w14:paraId="38F3EB0E" w14:textId="77777777" w:rsidR="007B6EA9" w:rsidRPr="00F9373F" w:rsidRDefault="007B6EA9" w:rsidP="007B6EA9">
            <w:pPr>
              <w:rPr>
                <w:b/>
                <w:szCs w:val="24"/>
              </w:rPr>
            </w:pPr>
            <w:r>
              <w:rPr>
                <w:b/>
              </w:rPr>
              <w:t>Family-based</w:t>
            </w:r>
          </w:p>
        </w:tc>
      </w:tr>
      <w:tr w:rsidR="007B6EA9" w:rsidRPr="00C276B3" w14:paraId="306B40CA" w14:textId="77777777" w:rsidTr="007B6EA9">
        <w:trPr>
          <w:trHeight w:val="9230"/>
        </w:trPr>
        <w:tc>
          <w:tcPr>
            <w:tcW w:w="4696" w:type="dxa"/>
            <w:tcBorders>
              <w:top w:val="single" w:sz="4" w:space="0" w:color="auto"/>
              <w:left w:val="nil"/>
              <w:bottom w:val="single" w:sz="4" w:space="0" w:color="auto"/>
              <w:right w:val="nil"/>
            </w:tcBorders>
          </w:tcPr>
          <w:p w14:paraId="4567E6FB" w14:textId="77777777" w:rsidR="007B6EA9" w:rsidRPr="00C276B3" w:rsidRDefault="007B6EA9" w:rsidP="007B6EA9">
            <w:pPr>
              <w:pStyle w:val="Notesstructure"/>
              <w:spacing w:line="360" w:lineRule="auto"/>
              <w:rPr>
                <w:b/>
                <w:color w:val="auto"/>
                <w:sz w:val="22"/>
              </w:rPr>
            </w:pPr>
            <w:r w:rsidRPr="00C276B3">
              <w:rPr>
                <w:b/>
                <w:color w:val="auto"/>
                <w:sz w:val="22"/>
              </w:rPr>
              <w:t>Effective:</w:t>
            </w:r>
          </w:p>
          <w:p w14:paraId="3E150792" w14:textId="77777777" w:rsidR="007B6EA9" w:rsidRDefault="007B6EA9" w:rsidP="00C92BD2">
            <w:pPr>
              <w:pStyle w:val="Notesstructure"/>
              <w:numPr>
                <w:ilvl w:val="0"/>
                <w:numId w:val="23"/>
              </w:numPr>
              <w:spacing w:line="360" w:lineRule="auto"/>
              <w:rPr>
                <w:color w:val="auto"/>
                <w:sz w:val="22"/>
              </w:rPr>
            </w:pPr>
            <w:r>
              <w:rPr>
                <w:color w:val="auto"/>
                <w:sz w:val="22"/>
              </w:rPr>
              <w:t xml:space="preserve">Evidence shows that family-based interventions can have positive effects. The most effective interventions are associated with: </w:t>
            </w:r>
          </w:p>
          <w:p w14:paraId="47D04FEB" w14:textId="77777777" w:rsidR="007B6EA9" w:rsidRPr="00C276B3" w:rsidRDefault="007B6EA9" w:rsidP="00C92BD2">
            <w:pPr>
              <w:pStyle w:val="Notesstructure"/>
              <w:numPr>
                <w:ilvl w:val="1"/>
                <w:numId w:val="23"/>
              </w:numPr>
              <w:spacing w:line="360" w:lineRule="auto"/>
              <w:rPr>
                <w:color w:val="auto"/>
                <w:sz w:val="22"/>
              </w:rPr>
            </w:pPr>
            <w:r>
              <w:rPr>
                <w:color w:val="auto"/>
                <w:sz w:val="22"/>
              </w:rPr>
              <w:t>Use of multi-</w:t>
            </w:r>
            <w:r w:rsidRPr="00C276B3">
              <w:rPr>
                <w:color w:val="auto"/>
                <w:sz w:val="22"/>
              </w:rPr>
              <w:t xml:space="preserve">component skills-based elements </w:t>
            </w:r>
            <w:r w:rsidRPr="00C276B3">
              <w:rPr>
                <w:color w:val="auto"/>
                <w:sz w:val="22"/>
                <w:vertAlign w:val="superscript"/>
              </w:rPr>
              <w:t>[A</w:t>
            </w:r>
            <w:r>
              <w:rPr>
                <w:color w:val="auto"/>
                <w:sz w:val="22"/>
                <w:vertAlign w:val="superscript"/>
              </w:rPr>
              <w:t>][</w:t>
            </w:r>
            <w:r w:rsidRPr="00C276B3">
              <w:rPr>
                <w:color w:val="auto"/>
                <w:sz w:val="22"/>
                <w:vertAlign w:val="superscript"/>
              </w:rPr>
              <w:t>D]</w:t>
            </w:r>
            <w:r w:rsidRPr="00C276B3">
              <w:rPr>
                <w:color w:val="auto"/>
                <w:sz w:val="22"/>
              </w:rPr>
              <w:t xml:space="preserve"> </w:t>
            </w:r>
          </w:p>
          <w:p w14:paraId="1D96C915" w14:textId="77777777" w:rsidR="007B6EA9" w:rsidRDefault="007B6EA9" w:rsidP="00C92BD2">
            <w:pPr>
              <w:pStyle w:val="Notesstructure"/>
              <w:numPr>
                <w:ilvl w:val="1"/>
                <w:numId w:val="23"/>
              </w:numPr>
              <w:spacing w:line="360" w:lineRule="auto"/>
              <w:rPr>
                <w:color w:val="auto"/>
                <w:sz w:val="22"/>
              </w:rPr>
            </w:pPr>
            <w:r>
              <w:rPr>
                <w:color w:val="auto"/>
                <w:sz w:val="22"/>
              </w:rPr>
              <w:t>A</w:t>
            </w:r>
            <w:r w:rsidRPr="00C276B3">
              <w:rPr>
                <w:color w:val="auto"/>
                <w:sz w:val="22"/>
              </w:rPr>
              <w:t xml:space="preserve"> focus on parent/carers and their children </w:t>
            </w:r>
            <w:r w:rsidRPr="00C276B3">
              <w:rPr>
                <w:color w:val="auto"/>
                <w:sz w:val="22"/>
                <w:vertAlign w:val="superscript"/>
              </w:rPr>
              <w:t>[A]</w:t>
            </w:r>
            <w:r>
              <w:rPr>
                <w:color w:val="auto"/>
                <w:sz w:val="22"/>
                <w:vertAlign w:val="superscript"/>
              </w:rPr>
              <w:t>[B][D]</w:t>
            </w:r>
          </w:p>
          <w:p w14:paraId="3CACF4E2" w14:textId="77777777" w:rsidR="007B6EA9" w:rsidRDefault="007B6EA9" w:rsidP="00C92BD2">
            <w:pPr>
              <w:pStyle w:val="Notesstructure"/>
              <w:numPr>
                <w:ilvl w:val="1"/>
                <w:numId w:val="23"/>
              </w:numPr>
              <w:spacing w:line="360" w:lineRule="auto"/>
              <w:rPr>
                <w:color w:val="auto"/>
                <w:sz w:val="22"/>
              </w:rPr>
            </w:pPr>
            <w:r>
              <w:rPr>
                <w:color w:val="auto"/>
                <w:sz w:val="22"/>
              </w:rPr>
              <w:t>Inclusion of</w:t>
            </w:r>
            <w:r w:rsidRPr="00C276B3">
              <w:rPr>
                <w:color w:val="auto"/>
                <w:sz w:val="22"/>
              </w:rPr>
              <w:t xml:space="preserve"> </w:t>
            </w:r>
            <w:r>
              <w:rPr>
                <w:color w:val="auto"/>
                <w:sz w:val="22"/>
              </w:rPr>
              <w:t xml:space="preserve">interpersonal communication </w:t>
            </w:r>
            <w:r w:rsidRPr="00C276B3">
              <w:rPr>
                <w:color w:val="auto"/>
                <w:sz w:val="22"/>
              </w:rPr>
              <w:t xml:space="preserve">skills </w:t>
            </w:r>
            <w:r w:rsidRPr="00C276B3">
              <w:rPr>
                <w:color w:val="auto"/>
                <w:sz w:val="22"/>
                <w:vertAlign w:val="superscript"/>
              </w:rPr>
              <w:t>[</w:t>
            </w:r>
            <w:r>
              <w:rPr>
                <w:color w:val="auto"/>
                <w:sz w:val="22"/>
                <w:vertAlign w:val="superscript"/>
              </w:rPr>
              <w:t>B</w:t>
            </w:r>
            <w:r w:rsidRPr="00C276B3">
              <w:rPr>
                <w:color w:val="auto"/>
                <w:sz w:val="22"/>
                <w:vertAlign w:val="superscript"/>
              </w:rPr>
              <w:t>][</w:t>
            </w:r>
            <w:r>
              <w:rPr>
                <w:color w:val="auto"/>
                <w:sz w:val="22"/>
                <w:vertAlign w:val="superscript"/>
              </w:rPr>
              <w:t>D</w:t>
            </w:r>
            <w:r w:rsidRPr="00C276B3">
              <w:rPr>
                <w:color w:val="auto"/>
                <w:sz w:val="22"/>
                <w:vertAlign w:val="superscript"/>
              </w:rPr>
              <w:t>]</w:t>
            </w:r>
            <w:r w:rsidRPr="00C276B3">
              <w:rPr>
                <w:color w:val="auto"/>
                <w:sz w:val="22"/>
              </w:rPr>
              <w:t xml:space="preserve"> </w:t>
            </w:r>
          </w:p>
          <w:p w14:paraId="523B5C2A" w14:textId="77777777" w:rsidR="007B6EA9" w:rsidRDefault="007B6EA9" w:rsidP="00C92BD2">
            <w:pPr>
              <w:pStyle w:val="Notesstructure"/>
              <w:numPr>
                <w:ilvl w:val="1"/>
                <w:numId w:val="23"/>
              </w:numPr>
              <w:spacing w:line="360" w:lineRule="auto"/>
              <w:rPr>
                <w:color w:val="auto"/>
                <w:sz w:val="22"/>
              </w:rPr>
            </w:pPr>
            <w:r>
              <w:rPr>
                <w:color w:val="auto"/>
                <w:sz w:val="22"/>
              </w:rPr>
              <w:t>M</w:t>
            </w:r>
            <w:r w:rsidRPr="00C276B3">
              <w:rPr>
                <w:color w:val="auto"/>
                <w:sz w:val="22"/>
              </w:rPr>
              <w:t>anualised family-based programme</w:t>
            </w:r>
            <w:r>
              <w:rPr>
                <w:color w:val="auto"/>
                <w:sz w:val="22"/>
              </w:rPr>
              <w:t xml:space="preserve">s </w:t>
            </w:r>
            <w:r w:rsidRPr="00C276B3">
              <w:rPr>
                <w:color w:val="auto"/>
                <w:sz w:val="22"/>
                <w:vertAlign w:val="superscript"/>
              </w:rPr>
              <w:t>[A]</w:t>
            </w:r>
          </w:p>
          <w:p w14:paraId="4A4B9DD6" w14:textId="77777777" w:rsidR="007B6EA9" w:rsidRPr="00C276B3" w:rsidRDefault="007B6EA9" w:rsidP="00C92BD2">
            <w:pPr>
              <w:pStyle w:val="Notesstructure"/>
              <w:numPr>
                <w:ilvl w:val="0"/>
                <w:numId w:val="23"/>
              </w:numPr>
              <w:spacing w:line="360" w:lineRule="auto"/>
              <w:rPr>
                <w:color w:val="auto"/>
                <w:sz w:val="22"/>
              </w:rPr>
            </w:pPr>
            <w:r>
              <w:rPr>
                <w:color w:val="auto"/>
                <w:sz w:val="22"/>
              </w:rPr>
              <w:t>F</w:t>
            </w:r>
            <w:r w:rsidRPr="00C276B3">
              <w:rPr>
                <w:color w:val="auto"/>
                <w:sz w:val="22"/>
              </w:rPr>
              <w:t>or foster carers,</w:t>
            </w:r>
            <w:r>
              <w:rPr>
                <w:color w:val="auto"/>
                <w:sz w:val="22"/>
              </w:rPr>
              <w:t xml:space="preserve"> evidence shows that</w:t>
            </w:r>
            <w:r w:rsidRPr="00C276B3">
              <w:rPr>
                <w:color w:val="auto"/>
                <w:sz w:val="22"/>
              </w:rPr>
              <w:t xml:space="preserve"> behaviour reinforcement systems are an important component </w:t>
            </w:r>
            <w:r w:rsidRPr="00C276B3">
              <w:rPr>
                <w:color w:val="auto"/>
                <w:sz w:val="22"/>
                <w:vertAlign w:val="superscript"/>
              </w:rPr>
              <w:t>[D]</w:t>
            </w:r>
          </w:p>
          <w:p w14:paraId="51F2E7C5" w14:textId="77777777" w:rsidR="007B6EA9" w:rsidRPr="00982128" w:rsidRDefault="007B6EA9" w:rsidP="007B6EA9">
            <w:pPr>
              <w:pStyle w:val="Notesstructure"/>
              <w:spacing w:line="360" w:lineRule="auto"/>
              <w:rPr>
                <w:b/>
                <w:color w:val="auto"/>
                <w:sz w:val="22"/>
              </w:rPr>
            </w:pPr>
            <w:r w:rsidRPr="00982128">
              <w:rPr>
                <w:b/>
                <w:color w:val="auto"/>
                <w:sz w:val="22"/>
              </w:rPr>
              <w:t>Ineffective:</w:t>
            </w:r>
          </w:p>
          <w:p w14:paraId="6EB23FEA" w14:textId="77777777" w:rsidR="007B6EA9" w:rsidRDefault="007B6EA9" w:rsidP="00C92BD2">
            <w:pPr>
              <w:pStyle w:val="Notesstructure"/>
              <w:numPr>
                <w:ilvl w:val="0"/>
                <w:numId w:val="23"/>
              </w:numPr>
              <w:spacing w:line="360" w:lineRule="auto"/>
              <w:rPr>
                <w:color w:val="auto"/>
                <w:sz w:val="22"/>
              </w:rPr>
            </w:pPr>
            <w:r w:rsidRPr="00C276B3">
              <w:rPr>
                <w:color w:val="auto"/>
                <w:sz w:val="22"/>
              </w:rPr>
              <w:t xml:space="preserve">There is evidence that parent-orientated programmes are poorly attended and may stigmatise parents of high-risk young people </w:t>
            </w:r>
            <w:r w:rsidRPr="00C276B3">
              <w:rPr>
                <w:color w:val="auto"/>
                <w:sz w:val="22"/>
                <w:vertAlign w:val="superscript"/>
              </w:rPr>
              <w:t>[B]</w:t>
            </w:r>
            <w:r w:rsidRPr="00C276B3">
              <w:rPr>
                <w:color w:val="auto"/>
                <w:sz w:val="22"/>
              </w:rPr>
              <w:t xml:space="preserve">. </w:t>
            </w:r>
          </w:p>
          <w:p w14:paraId="474ADB8F" w14:textId="77777777" w:rsidR="007B6EA9" w:rsidRPr="00C276B3" w:rsidRDefault="007B6EA9" w:rsidP="00C92BD2">
            <w:pPr>
              <w:pStyle w:val="Notesstructure"/>
              <w:numPr>
                <w:ilvl w:val="0"/>
                <w:numId w:val="23"/>
              </w:numPr>
              <w:spacing w:line="360" w:lineRule="auto"/>
              <w:rPr>
                <w:color w:val="auto"/>
                <w:sz w:val="22"/>
              </w:rPr>
            </w:pPr>
            <w:r w:rsidRPr="00982128">
              <w:rPr>
                <w:color w:val="auto"/>
                <w:sz w:val="22"/>
              </w:rPr>
              <w:t>Some evidence shows that family-based program</w:t>
            </w:r>
            <w:r>
              <w:rPr>
                <w:color w:val="auto"/>
                <w:sz w:val="22"/>
              </w:rPr>
              <w:t>me</w:t>
            </w:r>
            <w:r w:rsidRPr="00982128">
              <w:rPr>
                <w:color w:val="auto"/>
                <w:sz w:val="22"/>
              </w:rPr>
              <w:t xml:space="preserve">s are generally not effective or have inconsistent effects on drug use </w:t>
            </w:r>
            <w:r w:rsidRPr="00982128">
              <w:rPr>
                <w:color w:val="auto"/>
                <w:sz w:val="22"/>
                <w:vertAlign w:val="superscript"/>
              </w:rPr>
              <w:t>[</w:t>
            </w:r>
            <w:r>
              <w:rPr>
                <w:color w:val="auto"/>
                <w:sz w:val="22"/>
                <w:vertAlign w:val="superscript"/>
              </w:rPr>
              <w:t>D</w:t>
            </w:r>
            <w:r w:rsidRPr="00982128">
              <w:rPr>
                <w:color w:val="auto"/>
                <w:sz w:val="22"/>
                <w:vertAlign w:val="superscript"/>
              </w:rPr>
              <w:t>]</w:t>
            </w:r>
            <w:r>
              <w:rPr>
                <w:color w:val="auto"/>
                <w:sz w:val="22"/>
              </w:rPr>
              <w:br/>
            </w:r>
          </w:p>
        </w:tc>
        <w:tc>
          <w:tcPr>
            <w:tcW w:w="4584" w:type="dxa"/>
            <w:gridSpan w:val="2"/>
            <w:tcBorders>
              <w:top w:val="single" w:sz="4" w:space="0" w:color="auto"/>
              <w:left w:val="nil"/>
              <w:bottom w:val="single" w:sz="4" w:space="0" w:color="auto"/>
              <w:right w:val="nil"/>
            </w:tcBorders>
          </w:tcPr>
          <w:p w14:paraId="1DD5D7FD" w14:textId="77777777" w:rsidR="007B6EA9" w:rsidRPr="00C276B3" w:rsidRDefault="007B6EA9" w:rsidP="007B6EA9">
            <w:pPr>
              <w:pStyle w:val="Notesstructure"/>
              <w:spacing w:line="360" w:lineRule="auto"/>
              <w:rPr>
                <w:b/>
                <w:color w:val="auto"/>
                <w:sz w:val="22"/>
              </w:rPr>
            </w:pPr>
            <w:r w:rsidRPr="00C276B3">
              <w:rPr>
                <w:b/>
                <w:color w:val="auto"/>
                <w:sz w:val="22"/>
              </w:rPr>
              <w:t>Recommended:</w:t>
            </w:r>
          </w:p>
          <w:p w14:paraId="2FCBD2FD" w14:textId="77777777" w:rsidR="007B6EA9" w:rsidRPr="00C276B3" w:rsidRDefault="007B6EA9" w:rsidP="00C92BD2">
            <w:pPr>
              <w:pStyle w:val="Notesstructure"/>
              <w:numPr>
                <w:ilvl w:val="0"/>
                <w:numId w:val="24"/>
              </w:numPr>
              <w:spacing w:line="360" w:lineRule="auto"/>
              <w:rPr>
                <w:color w:val="auto"/>
                <w:sz w:val="22"/>
              </w:rPr>
            </w:pPr>
            <w:r w:rsidRPr="00C276B3">
              <w:rPr>
                <w:color w:val="auto"/>
                <w:sz w:val="22"/>
              </w:rPr>
              <w:t>NICE do not recommend the use of family-based interventions but when used recommend skills-based interventions which include both parent/carers and their children</w:t>
            </w:r>
          </w:p>
          <w:p w14:paraId="3969F1BA" w14:textId="77777777" w:rsidR="007B6EA9" w:rsidRPr="00C276B3" w:rsidRDefault="007B6EA9" w:rsidP="00C92BD2">
            <w:pPr>
              <w:pStyle w:val="Notesstructure"/>
              <w:numPr>
                <w:ilvl w:val="0"/>
                <w:numId w:val="24"/>
              </w:numPr>
              <w:spacing w:line="360" w:lineRule="auto"/>
              <w:rPr>
                <w:color w:val="auto"/>
                <w:sz w:val="22"/>
              </w:rPr>
            </w:pPr>
            <w:r w:rsidRPr="00C276B3">
              <w:rPr>
                <w:color w:val="auto"/>
                <w:sz w:val="22"/>
              </w:rPr>
              <w:t xml:space="preserve">Sheffield council recommend family-focused interventions </w:t>
            </w:r>
          </w:p>
        </w:tc>
      </w:tr>
      <w:tr w:rsidR="007B6EA9" w:rsidRPr="003F76C9" w14:paraId="53C05484"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113"/>
        </w:trPr>
        <w:tc>
          <w:tcPr>
            <w:tcW w:w="9180" w:type="dxa"/>
            <w:gridSpan w:val="2"/>
            <w:tcBorders>
              <w:top w:val="single" w:sz="4" w:space="0" w:color="auto"/>
            </w:tcBorders>
          </w:tcPr>
          <w:p w14:paraId="1DA16585" w14:textId="77777777" w:rsidR="007B6EA9" w:rsidRPr="005135B8" w:rsidRDefault="007B6EA9" w:rsidP="007B6EA9">
            <w:pPr>
              <w:pStyle w:val="Notesstructure"/>
              <w:spacing w:line="360" w:lineRule="auto"/>
              <w:rPr>
                <w:b/>
                <w:color w:val="auto"/>
                <w:sz w:val="2"/>
              </w:rPr>
            </w:pPr>
          </w:p>
        </w:tc>
      </w:tr>
      <w:tr w:rsidR="007B6EA9" w:rsidRPr="003F76C9" w14:paraId="46C9A63B"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284"/>
        </w:trPr>
        <w:tc>
          <w:tcPr>
            <w:tcW w:w="9180" w:type="dxa"/>
            <w:gridSpan w:val="2"/>
          </w:tcPr>
          <w:p w14:paraId="14772472"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39BDF0BF" w14:textId="77777777" w:rsidR="007B6EA9" w:rsidRPr="005135B8" w:rsidRDefault="007B6EA9" w:rsidP="007B6EA9">
            <w:pPr>
              <w:pStyle w:val="Notesstructure"/>
              <w:spacing w:line="360" w:lineRule="auto"/>
              <w:rPr>
                <w:b/>
                <w:color w:val="auto"/>
                <w:sz w:val="2"/>
              </w:rPr>
            </w:pPr>
          </w:p>
        </w:tc>
      </w:tr>
    </w:tbl>
    <w:p w14:paraId="40FAECEA" w14:textId="77777777" w:rsidR="007B6EA9" w:rsidRPr="00D1001C" w:rsidRDefault="007B6EA9" w:rsidP="007B6EA9">
      <w:r>
        <w:rPr>
          <w:b/>
        </w:rPr>
        <w:br w:type="page"/>
      </w:r>
    </w:p>
    <w:p w14:paraId="755FB1C9" w14:textId="42079F68" w:rsidR="007B6EA9" w:rsidRDefault="007B6EA9" w:rsidP="007B6EA9">
      <w:pPr>
        <w:pStyle w:val="Heading3"/>
      </w:pPr>
      <w:bookmarkStart w:id="263" w:name="_Toc35892581"/>
      <w:r>
        <w:t>Night-life settings</w:t>
      </w:r>
      <w:bookmarkEnd w:id="263"/>
    </w:p>
    <w:p w14:paraId="7BBE5B31" w14:textId="0F3209FB" w:rsidR="00B31866" w:rsidRDefault="00B31866" w:rsidP="00B31866">
      <w:pPr>
        <w:spacing w:line="480" w:lineRule="auto"/>
      </w:pPr>
      <w:r>
        <w:t>Interventions in night-life settings typically involve the use of brief interventions alongside safe spaces or drug-testing services. A summary of the recommendations for the use of interventions in night-life settings is shown in Table 3-</w:t>
      </w:r>
      <w:r w:rsidR="00FC1DE2">
        <w:t>20</w:t>
      </w:r>
      <w:r>
        <w:t xml:space="preserve"> together with a summary of the evidence on which the recommendations are based.</w:t>
      </w:r>
    </w:p>
    <w:p w14:paraId="392C264A" w14:textId="77777777" w:rsidR="007B6EA9" w:rsidRDefault="007B6EA9" w:rsidP="007B6EA9"/>
    <w:p w14:paraId="6DC5C384" w14:textId="7D169E52" w:rsidR="007B6EA9" w:rsidRPr="003171C5" w:rsidRDefault="007B6EA9" w:rsidP="003171C5">
      <w:pPr>
        <w:pStyle w:val="TableHeader"/>
        <w:rPr>
          <w:b/>
        </w:rPr>
      </w:pPr>
      <w:bookmarkStart w:id="264" w:name="_Toc9509051"/>
      <w:r w:rsidRPr="003171C5">
        <w:rPr>
          <w:b/>
        </w:rPr>
        <w:t xml:space="preserve">Table </w:t>
      </w:r>
      <w:r w:rsidR="003171C5">
        <w:rPr>
          <w:b/>
        </w:rPr>
        <w:t>3-</w:t>
      </w:r>
      <w:r w:rsidR="00FC1DE2">
        <w:rPr>
          <w:b/>
        </w:rPr>
        <w:t>20</w:t>
      </w:r>
      <w:r w:rsidRPr="003171C5">
        <w:rPr>
          <w:b/>
        </w:rPr>
        <w:t>. Effectiveness and recommendations for the use of night-life settings</w:t>
      </w:r>
      <w:bookmarkEnd w:id="264"/>
    </w:p>
    <w:tbl>
      <w:tblPr>
        <w:tblStyle w:val="TableGrid"/>
        <w:tblW w:w="9280" w:type="dxa"/>
        <w:tblLook w:val="04A0" w:firstRow="1" w:lastRow="0" w:firstColumn="1" w:lastColumn="0" w:noHBand="0" w:noVBand="1"/>
      </w:tblPr>
      <w:tblGrid>
        <w:gridCol w:w="4693"/>
        <w:gridCol w:w="4487"/>
        <w:gridCol w:w="100"/>
      </w:tblGrid>
      <w:tr w:rsidR="007B6EA9" w:rsidRPr="00F9373F" w14:paraId="7E875A47" w14:textId="77777777" w:rsidTr="007B6EA9">
        <w:trPr>
          <w:gridAfter w:val="1"/>
          <w:wAfter w:w="100" w:type="dxa"/>
          <w:trHeight w:val="430"/>
        </w:trPr>
        <w:tc>
          <w:tcPr>
            <w:tcW w:w="9180" w:type="dxa"/>
            <w:gridSpan w:val="2"/>
            <w:tcBorders>
              <w:top w:val="single" w:sz="8" w:space="0" w:color="auto"/>
              <w:left w:val="nil"/>
              <w:bottom w:val="single" w:sz="8" w:space="0" w:color="auto"/>
              <w:right w:val="nil"/>
            </w:tcBorders>
            <w:vAlign w:val="center"/>
          </w:tcPr>
          <w:p w14:paraId="56EA889A" w14:textId="77777777" w:rsidR="007B6EA9" w:rsidRPr="00F9373F" w:rsidRDefault="007B6EA9" w:rsidP="007B6EA9">
            <w:pPr>
              <w:rPr>
                <w:b/>
                <w:szCs w:val="24"/>
              </w:rPr>
            </w:pPr>
            <w:r>
              <w:rPr>
                <w:b/>
              </w:rPr>
              <w:t>Night-life settings</w:t>
            </w:r>
          </w:p>
        </w:tc>
      </w:tr>
      <w:tr w:rsidR="007B6EA9" w:rsidRPr="00C276B3" w14:paraId="2B5463CE" w14:textId="77777777" w:rsidTr="007B6EA9">
        <w:trPr>
          <w:trHeight w:val="5124"/>
        </w:trPr>
        <w:tc>
          <w:tcPr>
            <w:tcW w:w="4693" w:type="dxa"/>
            <w:tcBorders>
              <w:top w:val="single" w:sz="4" w:space="0" w:color="auto"/>
              <w:left w:val="nil"/>
              <w:bottom w:val="single" w:sz="4" w:space="0" w:color="auto"/>
              <w:right w:val="nil"/>
            </w:tcBorders>
          </w:tcPr>
          <w:p w14:paraId="299F49EF" w14:textId="77777777" w:rsidR="007B6EA9" w:rsidRPr="00C276B3" w:rsidRDefault="007B6EA9" w:rsidP="007B6EA9">
            <w:pPr>
              <w:pStyle w:val="Notesstructure"/>
              <w:tabs>
                <w:tab w:val="left" w:pos="1027"/>
              </w:tabs>
              <w:spacing w:line="360" w:lineRule="auto"/>
              <w:rPr>
                <w:b/>
                <w:color w:val="auto"/>
                <w:sz w:val="22"/>
              </w:rPr>
            </w:pPr>
            <w:r w:rsidRPr="00C276B3">
              <w:rPr>
                <w:b/>
                <w:color w:val="auto"/>
                <w:sz w:val="22"/>
              </w:rPr>
              <w:t>Effective:</w:t>
            </w:r>
          </w:p>
          <w:p w14:paraId="5EE41E47" w14:textId="2D020FCE" w:rsidR="007B6EA9" w:rsidRPr="00C276B3" w:rsidRDefault="007B6EA9" w:rsidP="00C92BD2">
            <w:pPr>
              <w:pStyle w:val="Notesstructure"/>
              <w:numPr>
                <w:ilvl w:val="0"/>
                <w:numId w:val="27"/>
              </w:numPr>
              <w:tabs>
                <w:tab w:val="left" w:pos="1027"/>
              </w:tabs>
              <w:spacing w:line="360" w:lineRule="auto"/>
              <w:rPr>
                <w:color w:val="auto"/>
                <w:sz w:val="22"/>
              </w:rPr>
            </w:pPr>
            <w:r>
              <w:rPr>
                <w:color w:val="auto"/>
                <w:sz w:val="22"/>
              </w:rPr>
              <w:t xml:space="preserve">Evidence is mixed for </w:t>
            </w:r>
            <w:r w:rsidR="00A868BB">
              <w:rPr>
                <w:color w:val="auto"/>
                <w:sz w:val="22"/>
              </w:rPr>
              <w:t xml:space="preserve">the </w:t>
            </w:r>
            <w:r>
              <w:rPr>
                <w:color w:val="auto"/>
                <w:sz w:val="22"/>
              </w:rPr>
              <w:t>implementation of s</w:t>
            </w:r>
            <w:r w:rsidRPr="00C276B3">
              <w:rPr>
                <w:color w:val="auto"/>
                <w:sz w:val="22"/>
              </w:rPr>
              <w:t>afer night</w:t>
            </w:r>
            <w:r>
              <w:rPr>
                <w:color w:val="auto"/>
                <w:sz w:val="22"/>
              </w:rPr>
              <w:t>-</w:t>
            </w:r>
            <w:r w:rsidRPr="00C276B3">
              <w:rPr>
                <w:color w:val="auto"/>
                <w:sz w:val="22"/>
              </w:rPr>
              <w:t xml:space="preserve">life settings, </w:t>
            </w:r>
            <w:r>
              <w:rPr>
                <w:color w:val="auto"/>
                <w:sz w:val="22"/>
              </w:rPr>
              <w:t xml:space="preserve">but </w:t>
            </w:r>
            <w:r w:rsidRPr="00C276B3">
              <w:rPr>
                <w:color w:val="auto"/>
                <w:sz w:val="22"/>
              </w:rPr>
              <w:t xml:space="preserve">some initiatives are associated with significant positive outcomes </w:t>
            </w:r>
            <w:r w:rsidRPr="00C276B3">
              <w:rPr>
                <w:color w:val="auto"/>
                <w:sz w:val="22"/>
                <w:vertAlign w:val="superscript"/>
              </w:rPr>
              <w:t>[B]</w:t>
            </w:r>
          </w:p>
          <w:p w14:paraId="706A7C6E" w14:textId="77777777" w:rsidR="007B6EA9" w:rsidRDefault="007B6EA9" w:rsidP="00C92BD2">
            <w:pPr>
              <w:pStyle w:val="Notesstructure"/>
              <w:numPr>
                <w:ilvl w:val="0"/>
                <w:numId w:val="27"/>
              </w:numPr>
              <w:spacing w:line="360" w:lineRule="auto"/>
              <w:rPr>
                <w:color w:val="auto"/>
                <w:sz w:val="22"/>
              </w:rPr>
            </w:pPr>
            <w:r w:rsidRPr="00C276B3">
              <w:rPr>
                <w:color w:val="auto"/>
                <w:sz w:val="22"/>
              </w:rPr>
              <w:t xml:space="preserve">Evidence shows that on-site drug testing is effective in reducing reduce people’s intentions to use drugs as well as reducing drug harms </w:t>
            </w:r>
            <w:r w:rsidRPr="00C276B3">
              <w:rPr>
                <w:color w:val="auto"/>
                <w:sz w:val="22"/>
                <w:vertAlign w:val="superscript"/>
              </w:rPr>
              <w:t>[B]</w:t>
            </w:r>
          </w:p>
          <w:p w14:paraId="403484B8" w14:textId="77777777" w:rsidR="007B6EA9" w:rsidRPr="00C276B3" w:rsidRDefault="007B6EA9" w:rsidP="007B6EA9">
            <w:pPr>
              <w:pStyle w:val="Notesstructure"/>
              <w:tabs>
                <w:tab w:val="left" w:pos="1027"/>
              </w:tabs>
              <w:spacing w:line="360" w:lineRule="auto"/>
              <w:rPr>
                <w:b/>
                <w:color w:val="auto"/>
                <w:sz w:val="22"/>
              </w:rPr>
            </w:pPr>
            <w:r>
              <w:rPr>
                <w:b/>
                <w:color w:val="auto"/>
                <w:sz w:val="22"/>
              </w:rPr>
              <w:t>No evidence</w:t>
            </w:r>
            <w:r w:rsidRPr="00C276B3">
              <w:rPr>
                <w:b/>
                <w:color w:val="auto"/>
                <w:sz w:val="22"/>
              </w:rPr>
              <w:t>:</w:t>
            </w:r>
          </w:p>
          <w:p w14:paraId="39D44AF4" w14:textId="77777777" w:rsidR="007B6EA9" w:rsidRDefault="007B6EA9" w:rsidP="00C92BD2">
            <w:pPr>
              <w:pStyle w:val="Notesstructure"/>
              <w:numPr>
                <w:ilvl w:val="0"/>
                <w:numId w:val="27"/>
              </w:numPr>
              <w:spacing w:line="360" w:lineRule="auto"/>
              <w:rPr>
                <w:color w:val="auto"/>
                <w:sz w:val="22"/>
              </w:rPr>
            </w:pPr>
            <w:r>
              <w:rPr>
                <w:color w:val="auto"/>
                <w:sz w:val="22"/>
              </w:rPr>
              <w:t xml:space="preserve">Some safer nightlife settings </w:t>
            </w:r>
            <w:r w:rsidRPr="00C276B3">
              <w:rPr>
                <w:color w:val="auto"/>
                <w:sz w:val="22"/>
              </w:rPr>
              <w:t xml:space="preserve">initiatives </w:t>
            </w:r>
            <w:r>
              <w:rPr>
                <w:color w:val="auto"/>
                <w:sz w:val="22"/>
              </w:rPr>
              <w:t xml:space="preserve">are </w:t>
            </w:r>
            <w:r w:rsidRPr="00C276B3">
              <w:rPr>
                <w:color w:val="auto"/>
                <w:sz w:val="22"/>
              </w:rPr>
              <w:t>being used with insufficient evidence</w:t>
            </w:r>
            <w:r>
              <w:rPr>
                <w:color w:val="auto"/>
                <w:sz w:val="22"/>
              </w:rPr>
              <w:t xml:space="preserve"> </w:t>
            </w:r>
            <w:r w:rsidRPr="005614DF">
              <w:rPr>
                <w:color w:val="auto"/>
                <w:sz w:val="22"/>
                <w:vertAlign w:val="superscript"/>
              </w:rPr>
              <w:t>[B]</w:t>
            </w:r>
          </w:p>
          <w:p w14:paraId="204C50C1" w14:textId="77777777" w:rsidR="007B6EA9" w:rsidRPr="00C276B3" w:rsidRDefault="007B6EA9" w:rsidP="00C92BD2">
            <w:pPr>
              <w:pStyle w:val="Notesstructure"/>
              <w:numPr>
                <w:ilvl w:val="0"/>
                <w:numId w:val="27"/>
              </w:numPr>
              <w:spacing w:line="360" w:lineRule="auto"/>
              <w:rPr>
                <w:color w:val="auto"/>
                <w:sz w:val="22"/>
              </w:rPr>
            </w:pPr>
            <w:r>
              <w:rPr>
                <w:color w:val="auto"/>
                <w:sz w:val="22"/>
              </w:rPr>
              <w:t>T</w:t>
            </w:r>
            <w:r w:rsidRPr="00C276B3">
              <w:rPr>
                <w:color w:val="auto"/>
                <w:sz w:val="22"/>
              </w:rPr>
              <w:t xml:space="preserve">here is a lack of evidence on the effectiveness of drug checking in reducing NPS use and related harms </w:t>
            </w:r>
            <w:r w:rsidRPr="00C276B3">
              <w:rPr>
                <w:color w:val="auto"/>
                <w:sz w:val="22"/>
                <w:vertAlign w:val="superscript"/>
              </w:rPr>
              <w:t>[B]</w:t>
            </w:r>
          </w:p>
          <w:p w14:paraId="2AC2B4FC" w14:textId="77777777" w:rsidR="007B6EA9" w:rsidRDefault="007B6EA9" w:rsidP="007B6EA9">
            <w:pPr>
              <w:pStyle w:val="Notesstructure"/>
              <w:tabs>
                <w:tab w:val="left" w:pos="1027"/>
              </w:tabs>
              <w:spacing w:line="360" w:lineRule="auto"/>
              <w:ind w:left="720"/>
              <w:rPr>
                <w:color w:val="auto"/>
                <w:sz w:val="22"/>
              </w:rPr>
            </w:pPr>
          </w:p>
          <w:p w14:paraId="0AA5FC38" w14:textId="77777777" w:rsidR="007B6EA9" w:rsidRPr="00C276B3" w:rsidRDefault="007B6EA9" w:rsidP="007B6EA9">
            <w:pPr>
              <w:pStyle w:val="Notesstructure"/>
              <w:tabs>
                <w:tab w:val="left" w:pos="1027"/>
              </w:tabs>
              <w:spacing w:line="360" w:lineRule="auto"/>
              <w:ind w:left="720"/>
              <w:rPr>
                <w:color w:val="auto"/>
                <w:sz w:val="22"/>
              </w:rPr>
            </w:pPr>
          </w:p>
        </w:tc>
        <w:tc>
          <w:tcPr>
            <w:tcW w:w="4587" w:type="dxa"/>
            <w:gridSpan w:val="2"/>
            <w:tcBorders>
              <w:top w:val="single" w:sz="4" w:space="0" w:color="auto"/>
              <w:left w:val="nil"/>
              <w:bottom w:val="single" w:sz="4" w:space="0" w:color="auto"/>
              <w:right w:val="nil"/>
            </w:tcBorders>
          </w:tcPr>
          <w:p w14:paraId="1CC9AD90" w14:textId="77777777" w:rsidR="007B6EA9" w:rsidRPr="00C276B3" w:rsidRDefault="007B6EA9" w:rsidP="007B6EA9">
            <w:pPr>
              <w:pStyle w:val="Notesstructure"/>
              <w:spacing w:line="360" w:lineRule="auto"/>
              <w:rPr>
                <w:b/>
                <w:color w:val="auto"/>
                <w:sz w:val="22"/>
              </w:rPr>
            </w:pPr>
            <w:r w:rsidRPr="00C276B3">
              <w:rPr>
                <w:b/>
                <w:color w:val="auto"/>
                <w:sz w:val="22"/>
              </w:rPr>
              <w:t>Recommended:</w:t>
            </w:r>
          </w:p>
          <w:p w14:paraId="00143027" w14:textId="77777777" w:rsidR="007B6EA9" w:rsidRDefault="007B6EA9" w:rsidP="00C92BD2">
            <w:pPr>
              <w:pStyle w:val="Notesstructure"/>
              <w:numPr>
                <w:ilvl w:val="0"/>
                <w:numId w:val="28"/>
              </w:numPr>
              <w:spacing w:line="360" w:lineRule="auto"/>
              <w:rPr>
                <w:color w:val="auto"/>
                <w:sz w:val="22"/>
              </w:rPr>
            </w:pPr>
            <w:r w:rsidRPr="00C276B3">
              <w:rPr>
                <w:color w:val="auto"/>
                <w:sz w:val="22"/>
              </w:rPr>
              <w:t>EMCDDA recommend that interventions in nightlife setting are adapted to respond to NPS use and related harms</w:t>
            </w:r>
          </w:p>
          <w:p w14:paraId="2187FC8C" w14:textId="77777777" w:rsidR="007B6EA9" w:rsidRPr="00C120A8" w:rsidRDefault="007B6EA9" w:rsidP="00C92BD2">
            <w:pPr>
              <w:pStyle w:val="Notesstructure"/>
              <w:numPr>
                <w:ilvl w:val="0"/>
                <w:numId w:val="28"/>
              </w:numPr>
              <w:spacing w:line="360" w:lineRule="auto"/>
              <w:rPr>
                <w:color w:val="auto"/>
                <w:sz w:val="22"/>
                <w:szCs w:val="22"/>
              </w:rPr>
            </w:pPr>
            <w:r w:rsidRPr="00EF695F">
              <w:rPr>
                <w:color w:val="auto"/>
                <w:sz w:val="22"/>
                <w:szCs w:val="22"/>
              </w:rPr>
              <w:t>EMCDDA recommend the use of drug testing services</w:t>
            </w:r>
          </w:p>
          <w:p w14:paraId="78F0390F" w14:textId="77777777" w:rsidR="007B6EA9" w:rsidRDefault="007B6EA9" w:rsidP="00C92BD2">
            <w:pPr>
              <w:pStyle w:val="Notesstructure"/>
              <w:numPr>
                <w:ilvl w:val="0"/>
                <w:numId w:val="28"/>
              </w:numPr>
              <w:spacing w:line="360" w:lineRule="auto"/>
              <w:rPr>
                <w:color w:val="auto"/>
                <w:sz w:val="22"/>
              </w:rPr>
            </w:pPr>
            <w:r w:rsidRPr="00C276B3">
              <w:rPr>
                <w:color w:val="auto"/>
                <w:sz w:val="22"/>
              </w:rPr>
              <w:t>NICE recommends drug-use information provision in night-club and festival settings</w:t>
            </w:r>
          </w:p>
          <w:p w14:paraId="32C9F6C0" w14:textId="77777777" w:rsidR="007B6EA9" w:rsidRDefault="007B6EA9" w:rsidP="00C92BD2">
            <w:pPr>
              <w:pStyle w:val="Notesstructure"/>
              <w:numPr>
                <w:ilvl w:val="0"/>
                <w:numId w:val="28"/>
              </w:numPr>
              <w:spacing w:line="360" w:lineRule="auto"/>
              <w:rPr>
                <w:color w:val="auto"/>
                <w:sz w:val="22"/>
              </w:rPr>
            </w:pPr>
            <w:r w:rsidRPr="00C276B3">
              <w:rPr>
                <w:color w:val="auto"/>
                <w:sz w:val="22"/>
              </w:rPr>
              <w:t xml:space="preserve">Sheffield council recommend the training of staff in licensed premises to recognise the risk and impact of substance misuse </w:t>
            </w:r>
          </w:p>
          <w:p w14:paraId="090BF8CC" w14:textId="77777777" w:rsidR="007B6EA9" w:rsidRPr="008B6212" w:rsidRDefault="007B6EA9" w:rsidP="00C92BD2">
            <w:pPr>
              <w:pStyle w:val="Notesstructure"/>
              <w:numPr>
                <w:ilvl w:val="0"/>
                <w:numId w:val="28"/>
              </w:numPr>
              <w:spacing w:line="360" w:lineRule="auto"/>
              <w:rPr>
                <w:color w:val="auto"/>
                <w:sz w:val="22"/>
              </w:rPr>
            </w:pPr>
            <w:r w:rsidRPr="00C276B3">
              <w:rPr>
                <w:color w:val="auto"/>
                <w:sz w:val="22"/>
              </w:rPr>
              <w:t>UNDOC recommends approaches which focus on staff training and counselling, acceptance of the programme, engagement with law enforcement and health and social sectors and enforces existing venue and community policies on drug use.</w:t>
            </w:r>
            <w:r>
              <w:rPr>
                <w:color w:val="auto"/>
                <w:sz w:val="22"/>
              </w:rPr>
              <w:br/>
            </w:r>
          </w:p>
        </w:tc>
      </w:tr>
      <w:tr w:rsidR="007B6EA9" w:rsidRPr="003F76C9" w14:paraId="25E81A93"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113"/>
        </w:trPr>
        <w:tc>
          <w:tcPr>
            <w:tcW w:w="9180" w:type="dxa"/>
            <w:gridSpan w:val="2"/>
            <w:tcBorders>
              <w:top w:val="single" w:sz="4" w:space="0" w:color="auto"/>
            </w:tcBorders>
          </w:tcPr>
          <w:p w14:paraId="5F85AA6E" w14:textId="77777777" w:rsidR="007B6EA9" w:rsidRPr="005135B8" w:rsidRDefault="007B6EA9" w:rsidP="007B6EA9">
            <w:pPr>
              <w:pStyle w:val="Notesstructure"/>
              <w:spacing w:line="360" w:lineRule="auto"/>
              <w:rPr>
                <w:b/>
                <w:color w:val="auto"/>
                <w:sz w:val="2"/>
              </w:rPr>
            </w:pPr>
          </w:p>
        </w:tc>
      </w:tr>
      <w:tr w:rsidR="007B6EA9" w:rsidRPr="003F76C9" w14:paraId="1A4C721C"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284"/>
        </w:trPr>
        <w:tc>
          <w:tcPr>
            <w:tcW w:w="9180" w:type="dxa"/>
            <w:gridSpan w:val="2"/>
          </w:tcPr>
          <w:p w14:paraId="5450405C"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25C1E3CA" w14:textId="77777777" w:rsidR="007B6EA9" w:rsidRPr="005135B8" w:rsidRDefault="007B6EA9" w:rsidP="007B6EA9">
            <w:pPr>
              <w:pStyle w:val="Notesstructure"/>
              <w:spacing w:line="360" w:lineRule="auto"/>
              <w:rPr>
                <w:b/>
                <w:color w:val="auto"/>
                <w:sz w:val="2"/>
              </w:rPr>
            </w:pPr>
          </w:p>
        </w:tc>
      </w:tr>
    </w:tbl>
    <w:p w14:paraId="2A167962" w14:textId="714FD29D" w:rsidR="007B6EA9" w:rsidRPr="00653921" w:rsidRDefault="007B6EA9" w:rsidP="007B6EA9">
      <w:pPr>
        <w:pStyle w:val="Heading3"/>
      </w:pPr>
      <w:bookmarkStart w:id="265" w:name="_Toc35892582"/>
      <w:r w:rsidRPr="00653921">
        <w:t>Health service settings</w:t>
      </w:r>
      <w:bookmarkEnd w:id="265"/>
    </w:p>
    <w:p w14:paraId="0ABB59CB" w14:textId="084CDC50" w:rsidR="00B31866" w:rsidRDefault="00B31866" w:rsidP="00B31866">
      <w:pPr>
        <w:spacing w:line="480" w:lineRule="auto"/>
      </w:pPr>
      <w:r>
        <w:t>Interventions in health service settings commonly consist of brief interventions alongside drug-testing services and har-reduction programs. A summary of the recommendations for the use of interventions in health service settings is shown in Table 3-2</w:t>
      </w:r>
      <w:r w:rsidR="00FC1DE2">
        <w:t>1</w:t>
      </w:r>
      <w:r>
        <w:t xml:space="preserve"> together with a summary of the evidence on which the recommendations are based.</w:t>
      </w:r>
    </w:p>
    <w:p w14:paraId="3B3B632B" w14:textId="45633A2B" w:rsidR="007B6EA9" w:rsidRDefault="007B6EA9" w:rsidP="007B6EA9"/>
    <w:p w14:paraId="705835CB" w14:textId="06AA4D07" w:rsidR="007B6EA9" w:rsidRPr="003171C5" w:rsidRDefault="007B6EA9" w:rsidP="003171C5">
      <w:pPr>
        <w:pStyle w:val="TableHeader"/>
        <w:rPr>
          <w:b/>
        </w:rPr>
      </w:pPr>
      <w:bookmarkStart w:id="266" w:name="_Toc9509052"/>
      <w:r w:rsidRPr="003171C5">
        <w:rPr>
          <w:b/>
        </w:rPr>
        <w:t xml:space="preserve">Table </w:t>
      </w:r>
      <w:r w:rsidR="003171C5" w:rsidRPr="003171C5">
        <w:rPr>
          <w:b/>
        </w:rPr>
        <w:t>3-</w:t>
      </w:r>
      <w:r w:rsidRPr="003171C5">
        <w:rPr>
          <w:b/>
        </w:rPr>
        <w:t>2</w:t>
      </w:r>
      <w:r w:rsidR="00FC1DE2">
        <w:rPr>
          <w:b/>
        </w:rPr>
        <w:t>1</w:t>
      </w:r>
      <w:r w:rsidRPr="003171C5">
        <w:rPr>
          <w:b/>
        </w:rPr>
        <w:t>. Effectiveness and recommendations for the use of health service settings</w:t>
      </w:r>
      <w:bookmarkEnd w:id="266"/>
    </w:p>
    <w:tbl>
      <w:tblPr>
        <w:tblStyle w:val="TableGrid"/>
        <w:tblW w:w="9280" w:type="dxa"/>
        <w:tblLook w:val="04A0" w:firstRow="1" w:lastRow="0" w:firstColumn="1" w:lastColumn="0" w:noHBand="0" w:noVBand="1"/>
      </w:tblPr>
      <w:tblGrid>
        <w:gridCol w:w="4692"/>
        <w:gridCol w:w="4488"/>
        <w:gridCol w:w="100"/>
      </w:tblGrid>
      <w:tr w:rsidR="007B6EA9" w:rsidRPr="00F9373F" w14:paraId="4BBFF213" w14:textId="77777777" w:rsidTr="007B6EA9">
        <w:trPr>
          <w:gridAfter w:val="1"/>
          <w:wAfter w:w="100" w:type="dxa"/>
          <w:trHeight w:val="430"/>
        </w:trPr>
        <w:tc>
          <w:tcPr>
            <w:tcW w:w="9180" w:type="dxa"/>
            <w:gridSpan w:val="2"/>
            <w:tcBorders>
              <w:top w:val="single" w:sz="8" w:space="0" w:color="auto"/>
              <w:left w:val="nil"/>
              <w:bottom w:val="single" w:sz="8" w:space="0" w:color="auto"/>
              <w:right w:val="nil"/>
            </w:tcBorders>
            <w:vAlign w:val="center"/>
          </w:tcPr>
          <w:p w14:paraId="0314B066" w14:textId="77777777" w:rsidR="007B6EA9" w:rsidRPr="00F9373F" w:rsidRDefault="007B6EA9" w:rsidP="007B6EA9">
            <w:pPr>
              <w:rPr>
                <w:b/>
                <w:szCs w:val="24"/>
              </w:rPr>
            </w:pPr>
            <w:r>
              <w:rPr>
                <w:b/>
              </w:rPr>
              <w:t>Health service settings</w:t>
            </w:r>
          </w:p>
        </w:tc>
      </w:tr>
      <w:tr w:rsidR="007B6EA9" w:rsidRPr="00C276B3" w14:paraId="62A1CA6B" w14:textId="77777777" w:rsidTr="007B6EA9">
        <w:trPr>
          <w:trHeight w:val="3419"/>
        </w:trPr>
        <w:tc>
          <w:tcPr>
            <w:tcW w:w="4692" w:type="dxa"/>
            <w:tcBorders>
              <w:top w:val="nil"/>
              <w:left w:val="nil"/>
              <w:bottom w:val="single" w:sz="4" w:space="0" w:color="auto"/>
              <w:right w:val="nil"/>
            </w:tcBorders>
          </w:tcPr>
          <w:p w14:paraId="1DB6A583" w14:textId="77777777" w:rsidR="007B6EA9" w:rsidRPr="00C276B3" w:rsidRDefault="007B6EA9" w:rsidP="007B6EA9">
            <w:pPr>
              <w:pStyle w:val="Notesstructure"/>
              <w:spacing w:line="360" w:lineRule="auto"/>
              <w:rPr>
                <w:b/>
                <w:color w:val="auto"/>
                <w:sz w:val="22"/>
              </w:rPr>
            </w:pPr>
            <w:r w:rsidRPr="00C276B3">
              <w:rPr>
                <w:b/>
                <w:color w:val="auto"/>
                <w:sz w:val="22"/>
              </w:rPr>
              <w:t>Effective:</w:t>
            </w:r>
          </w:p>
          <w:p w14:paraId="02F85E92" w14:textId="77777777" w:rsidR="007B6EA9" w:rsidRPr="00C120A8" w:rsidRDefault="007B6EA9" w:rsidP="00C92BD2">
            <w:pPr>
              <w:pStyle w:val="Notesstructure"/>
              <w:numPr>
                <w:ilvl w:val="0"/>
                <w:numId w:val="30"/>
              </w:numPr>
              <w:spacing w:line="360" w:lineRule="auto"/>
              <w:rPr>
                <w:color w:val="auto"/>
                <w:sz w:val="22"/>
              </w:rPr>
            </w:pPr>
            <w:r w:rsidRPr="00C276B3">
              <w:rPr>
                <w:color w:val="auto"/>
                <w:sz w:val="22"/>
              </w:rPr>
              <w:t>Drug-testing services</w:t>
            </w:r>
            <w:r>
              <w:rPr>
                <w:color w:val="auto"/>
                <w:sz w:val="22"/>
              </w:rPr>
              <w:t xml:space="preserve"> </w:t>
            </w:r>
            <w:r w:rsidRPr="00C276B3">
              <w:rPr>
                <w:color w:val="auto"/>
                <w:sz w:val="22"/>
              </w:rPr>
              <w:t xml:space="preserve">located in sexual health centres have been shown to reduce people’s intentions to use drugs and increase </w:t>
            </w:r>
            <w:r>
              <w:rPr>
                <w:color w:val="auto"/>
                <w:sz w:val="22"/>
              </w:rPr>
              <w:t>use of</w:t>
            </w:r>
            <w:r w:rsidRPr="00C276B3">
              <w:rPr>
                <w:color w:val="auto"/>
                <w:sz w:val="22"/>
              </w:rPr>
              <w:t xml:space="preserve"> harm-reduction practices alongside the provision of harm-reduction information</w:t>
            </w:r>
            <w:r>
              <w:rPr>
                <w:color w:val="auto"/>
                <w:sz w:val="22"/>
              </w:rPr>
              <w:t xml:space="preserve"> </w:t>
            </w:r>
            <w:r w:rsidRPr="00C276B3">
              <w:rPr>
                <w:color w:val="auto"/>
                <w:sz w:val="22"/>
                <w:vertAlign w:val="superscript"/>
              </w:rPr>
              <w:t>[B]</w:t>
            </w:r>
            <w:r w:rsidRPr="00C276B3">
              <w:rPr>
                <w:color w:val="auto"/>
                <w:sz w:val="22"/>
              </w:rPr>
              <w:t xml:space="preserve">. </w:t>
            </w:r>
          </w:p>
          <w:p w14:paraId="0D50C190" w14:textId="77777777" w:rsidR="007B6EA9" w:rsidRPr="005614DF" w:rsidRDefault="007B6EA9" w:rsidP="007B6EA9">
            <w:pPr>
              <w:pStyle w:val="Notesstructure"/>
              <w:spacing w:line="360" w:lineRule="auto"/>
              <w:rPr>
                <w:b/>
                <w:color w:val="auto"/>
                <w:sz w:val="22"/>
              </w:rPr>
            </w:pPr>
            <w:r>
              <w:rPr>
                <w:b/>
                <w:color w:val="auto"/>
                <w:sz w:val="22"/>
              </w:rPr>
              <w:t>No evidence</w:t>
            </w:r>
            <w:r w:rsidRPr="00C276B3">
              <w:rPr>
                <w:b/>
                <w:color w:val="auto"/>
                <w:sz w:val="22"/>
              </w:rPr>
              <w:t>:</w:t>
            </w:r>
          </w:p>
          <w:p w14:paraId="6E1E5F78" w14:textId="77777777" w:rsidR="007B6EA9" w:rsidRDefault="007B6EA9" w:rsidP="00C92BD2">
            <w:pPr>
              <w:pStyle w:val="Notesstructure"/>
              <w:numPr>
                <w:ilvl w:val="0"/>
                <w:numId w:val="30"/>
              </w:numPr>
              <w:spacing w:line="360" w:lineRule="auto"/>
              <w:rPr>
                <w:color w:val="auto"/>
                <w:sz w:val="22"/>
              </w:rPr>
            </w:pPr>
            <w:r w:rsidRPr="00C276B3">
              <w:rPr>
                <w:color w:val="auto"/>
                <w:sz w:val="22"/>
              </w:rPr>
              <w:t xml:space="preserve">There is currently a lack of data to inform appropriate NPS harm reduction services, and a lack of evaluation of the effectiveness of these approaches </w:t>
            </w:r>
            <w:r w:rsidRPr="00C276B3">
              <w:rPr>
                <w:color w:val="auto"/>
                <w:sz w:val="22"/>
                <w:vertAlign w:val="superscript"/>
              </w:rPr>
              <w:t>[B]</w:t>
            </w:r>
            <w:r w:rsidRPr="00C276B3">
              <w:rPr>
                <w:color w:val="auto"/>
                <w:sz w:val="22"/>
              </w:rPr>
              <w:t xml:space="preserve">. </w:t>
            </w:r>
          </w:p>
          <w:p w14:paraId="1E416B3C" w14:textId="77777777" w:rsidR="007B6EA9" w:rsidRDefault="007B6EA9" w:rsidP="00C92BD2">
            <w:pPr>
              <w:pStyle w:val="Notesstructure"/>
              <w:numPr>
                <w:ilvl w:val="0"/>
                <w:numId w:val="30"/>
              </w:numPr>
              <w:spacing w:line="360" w:lineRule="auto"/>
              <w:rPr>
                <w:color w:val="auto"/>
                <w:sz w:val="22"/>
              </w:rPr>
            </w:pPr>
            <w:r w:rsidRPr="00C276B3">
              <w:rPr>
                <w:color w:val="auto"/>
                <w:sz w:val="22"/>
              </w:rPr>
              <w:t xml:space="preserve">but there is yet no evidence of reduction of harms relating to NPS use </w:t>
            </w:r>
            <w:r w:rsidRPr="00C276B3">
              <w:rPr>
                <w:color w:val="auto"/>
                <w:sz w:val="22"/>
                <w:vertAlign w:val="superscript"/>
              </w:rPr>
              <w:t>[B]</w:t>
            </w:r>
            <w:r w:rsidRPr="00C276B3">
              <w:rPr>
                <w:color w:val="auto"/>
                <w:sz w:val="22"/>
              </w:rPr>
              <w:t>.</w:t>
            </w:r>
          </w:p>
          <w:p w14:paraId="4EBB8FAC" w14:textId="77777777" w:rsidR="007B6EA9" w:rsidRPr="005614DF" w:rsidRDefault="007B6EA9" w:rsidP="00C92BD2">
            <w:pPr>
              <w:pStyle w:val="Notesstructure"/>
              <w:numPr>
                <w:ilvl w:val="0"/>
                <w:numId w:val="30"/>
              </w:numPr>
              <w:spacing w:line="360" w:lineRule="auto"/>
              <w:rPr>
                <w:color w:val="auto"/>
                <w:sz w:val="22"/>
              </w:rPr>
            </w:pPr>
            <w:r w:rsidRPr="00C276B3">
              <w:rPr>
                <w:color w:val="auto"/>
                <w:sz w:val="22"/>
              </w:rPr>
              <w:t>There is no evidence for the effectiveness of specific NPS interventions</w:t>
            </w:r>
            <w:r>
              <w:rPr>
                <w:color w:val="auto"/>
                <w:sz w:val="22"/>
              </w:rPr>
              <w:t xml:space="preserve"> in health settings</w:t>
            </w:r>
            <w:r w:rsidRPr="00C276B3">
              <w:rPr>
                <w:color w:val="auto"/>
                <w:sz w:val="22"/>
              </w:rPr>
              <w:t xml:space="preserve"> </w:t>
            </w:r>
            <w:r w:rsidRPr="00C276B3">
              <w:rPr>
                <w:color w:val="auto"/>
                <w:sz w:val="22"/>
                <w:vertAlign w:val="superscript"/>
              </w:rPr>
              <w:t>[B]</w:t>
            </w:r>
            <w:r w:rsidRPr="00C276B3">
              <w:rPr>
                <w:color w:val="auto"/>
                <w:sz w:val="22"/>
              </w:rPr>
              <w:t>.</w:t>
            </w:r>
          </w:p>
          <w:p w14:paraId="0C83A024" w14:textId="77777777" w:rsidR="007B6EA9" w:rsidRPr="005614DF" w:rsidRDefault="007B6EA9" w:rsidP="007B6EA9">
            <w:pPr>
              <w:pStyle w:val="Notesstructure"/>
              <w:spacing w:line="360" w:lineRule="auto"/>
              <w:ind w:left="720"/>
              <w:rPr>
                <w:color w:val="auto"/>
                <w:sz w:val="22"/>
              </w:rPr>
            </w:pPr>
          </w:p>
        </w:tc>
        <w:tc>
          <w:tcPr>
            <w:tcW w:w="4588" w:type="dxa"/>
            <w:gridSpan w:val="2"/>
            <w:tcBorders>
              <w:top w:val="nil"/>
              <w:left w:val="nil"/>
              <w:bottom w:val="single" w:sz="4" w:space="0" w:color="auto"/>
              <w:right w:val="nil"/>
            </w:tcBorders>
          </w:tcPr>
          <w:p w14:paraId="30A332B6" w14:textId="77777777" w:rsidR="007B6EA9" w:rsidRPr="00C276B3" w:rsidRDefault="007B6EA9" w:rsidP="007B6EA9">
            <w:pPr>
              <w:pStyle w:val="Notesstructure"/>
              <w:spacing w:line="360" w:lineRule="auto"/>
              <w:rPr>
                <w:b/>
                <w:color w:val="auto"/>
                <w:sz w:val="22"/>
              </w:rPr>
            </w:pPr>
            <w:r w:rsidRPr="00C276B3">
              <w:rPr>
                <w:b/>
                <w:color w:val="auto"/>
                <w:sz w:val="22"/>
              </w:rPr>
              <w:t>Recommended:</w:t>
            </w:r>
          </w:p>
          <w:p w14:paraId="7FDD3B57" w14:textId="77777777" w:rsidR="007B6EA9" w:rsidRDefault="007B6EA9" w:rsidP="00C92BD2">
            <w:pPr>
              <w:pStyle w:val="Notesstructure"/>
              <w:numPr>
                <w:ilvl w:val="0"/>
                <w:numId w:val="29"/>
              </w:numPr>
              <w:spacing w:line="360" w:lineRule="auto"/>
              <w:rPr>
                <w:color w:val="auto"/>
                <w:sz w:val="22"/>
              </w:rPr>
            </w:pPr>
            <w:r w:rsidRPr="00C276B3">
              <w:rPr>
                <w:color w:val="auto"/>
                <w:sz w:val="22"/>
              </w:rPr>
              <w:t xml:space="preserve">EMCDDA recommend the training of sexual health clinic staff in issues associated with NPS use  </w:t>
            </w:r>
          </w:p>
          <w:p w14:paraId="653A86E4" w14:textId="77777777" w:rsidR="007B6EA9" w:rsidRPr="00C120A8" w:rsidRDefault="007B6EA9" w:rsidP="00C92BD2">
            <w:pPr>
              <w:pStyle w:val="Notesstructure"/>
              <w:numPr>
                <w:ilvl w:val="0"/>
                <w:numId w:val="29"/>
              </w:numPr>
              <w:spacing w:line="360" w:lineRule="auto"/>
              <w:rPr>
                <w:color w:val="auto"/>
                <w:sz w:val="22"/>
                <w:szCs w:val="22"/>
              </w:rPr>
            </w:pPr>
            <w:r w:rsidRPr="00EF695F">
              <w:rPr>
                <w:color w:val="auto"/>
                <w:sz w:val="22"/>
                <w:szCs w:val="22"/>
              </w:rPr>
              <w:t>EMCDDA recommend the use of drug testing services</w:t>
            </w:r>
          </w:p>
          <w:p w14:paraId="1155D6A3" w14:textId="77777777" w:rsidR="007B6EA9" w:rsidRDefault="007B6EA9" w:rsidP="00C92BD2">
            <w:pPr>
              <w:pStyle w:val="Notesstructure"/>
              <w:numPr>
                <w:ilvl w:val="0"/>
                <w:numId w:val="29"/>
              </w:numPr>
              <w:spacing w:line="360" w:lineRule="auto"/>
              <w:rPr>
                <w:color w:val="auto"/>
                <w:sz w:val="22"/>
              </w:rPr>
            </w:pPr>
            <w:r w:rsidRPr="00C276B3">
              <w:rPr>
                <w:color w:val="auto"/>
                <w:sz w:val="22"/>
              </w:rPr>
              <w:t>EMCDDA recommend staff training to aid the identification of individuals who require hospital treatment for NPS use and the adapt</w:t>
            </w:r>
            <w:r>
              <w:rPr>
                <w:color w:val="auto"/>
                <w:sz w:val="22"/>
              </w:rPr>
              <w:t>at</w:t>
            </w:r>
            <w:r w:rsidRPr="00C276B3">
              <w:rPr>
                <w:color w:val="auto"/>
                <w:sz w:val="22"/>
              </w:rPr>
              <w:t>ion of existing effective prevention, harm reduction and needle exchange approaches to incorporate NPS</w:t>
            </w:r>
          </w:p>
          <w:p w14:paraId="2517DDB8" w14:textId="77777777" w:rsidR="007B6EA9" w:rsidRDefault="007B6EA9" w:rsidP="00C92BD2">
            <w:pPr>
              <w:pStyle w:val="Notesstructure"/>
              <w:numPr>
                <w:ilvl w:val="0"/>
                <w:numId w:val="29"/>
              </w:numPr>
              <w:spacing w:line="360" w:lineRule="auto"/>
              <w:rPr>
                <w:color w:val="auto"/>
                <w:sz w:val="22"/>
              </w:rPr>
            </w:pPr>
            <w:r w:rsidRPr="00C276B3">
              <w:rPr>
                <w:color w:val="auto"/>
                <w:sz w:val="22"/>
              </w:rPr>
              <w:t xml:space="preserve">HM Government recommend the use of targeted interventions by sexual health services </w:t>
            </w:r>
          </w:p>
          <w:p w14:paraId="1FA19FA8" w14:textId="77777777" w:rsidR="007B6EA9" w:rsidRPr="00C276B3" w:rsidRDefault="007B6EA9" w:rsidP="00C92BD2">
            <w:pPr>
              <w:pStyle w:val="Notesstructure"/>
              <w:numPr>
                <w:ilvl w:val="0"/>
                <w:numId w:val="29"/>
              </w:numPr>
              <w:spacing w:line="360" w:lineRule="auto"/>
              <w:rPr>
                <w:color w:val="auto"/>
                <w:sz w:val="22"/>
              </w:rPr>
            </w:pPr>
            <w:r w:rsidRPr="00C276B3">
              <w:rPr>
                <w:color w:val="auto"/>
                <w:sz w:val="22"/>
              </w:rPr>
              <w:t>NICE recommends drug-use information provision and skills-based interventions in health care settings including sexual health centres</w:t>
            </w:r>
          </w:p>
          <w:p w14:paraId="1676B245" w14:textId="77777777" w:rsidR="007B6EA9" w:rsidRPr="008B6212" w:rsidRDefault="007B6EA9" w:rsidP="007B6EA9">
            <w:pPr>
              <w:pStyle w:val="Notesstructure"/>
              <w:spacing w:line="360" w:lineRule="auto"/>
              <w:rPr>
                <w:color w:val="auto"/>
                <w:sz w:val="22"/>
              </w:rPr>
            </w:pPr>
          </w:p>
        </w:tc>
      </w:tr>
      <w:tr w:rsidR="007B6EA9" w:rsidRPr="003F76C9" w14:paraId="5C1BB515"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113"/>
        </w:trPr>
        <w:tc>
          <w:tcPr>
            <w:tcW w:w="9180" w:type="dxa"/>
            <w:gridSpan w:val="2"/>
            <w:tcBorders>
              <w:top w:val="single" w:sz="4" w:space="0" w:color="auto"/>
            </w:tcBorders>
          </w:tcPr>
          <w:p w14:paraId="73DF6467" w14:textId="77777777" w:rsidR="007B6EA9" w:rsidRPr="005135B8" w:rsidRDefault="007B6EA9" w:rsidP="007B6EA9">
            <w:pPr>
              <w:pStyle w:val="Notesstructure"/>
              <w:spacing w:line="360" w:lineRule="auto"/>
              <w:rPr>
                <w:b/>
                <w:color w:val="auto"/>
                <w:sz w:val="2"/>
              </w:rPr>
            </w:pPr>
          </w:p>
        </w:tc>
      </w:tr>
      <w:tr w:rsidR="007B6EA9" w:rsidRPr="003F76C9" w14:paraId="720AE842"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0" w:type="dxa"/>
          <w:trHeight w:hRule="exact" w:val="284"/>
        </w:trPr>
        <w:tc>
          <w:tcPr>
            <w:tcW w:w="9180" w:type="dxa"/>
            <w:gridSpan w:val="2"/>
          </w:tcPr>
          <w:p w14:paraId="2DFED599"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245528CC" w14:textId="77777777" w:rsidR="007B6EA9" w:rsidRPr="005135B8" w:rsidRDefault="007B6EA9" w:rsidP="007B6EA9">
            <w:pPr>
              <w:pStyle w:val="Notesstructure"/>
              <w:spacing w:line="360" w:lineRule="auto"/>
              <w:rPr>
                <w:b/>
                <w:color w:val="auto"/>
                <w:sz w:val="2"/>
              </w:rPr>
            </w:pPr>
          </w:p>
        </w:tc>
      </w:tr>
    </w:tbl>
    <w:p w14:paraId="35D5D34E" w14:textId="4202D36B" w:rsidR="007B6EA9" w:rsidRDefault="007B6EA9" w:rsidP="007B6EA9">
      <w:pPr>
        <w:pStyle w:val="Heading3"/>
      </w:pPr>
      <w:bookmarkStart w:id="267" w:name="_Toc35892583"/>
      <w:r w:rsidRPr="00653921">
        <w:t>Multi-component approaches</w:t>
      </w:r>
      <w:bookmarkEnd w:id="267"/>
    </w:p>
    <w:p w14:paraId="75E19113" w14:textId="01D31700" w:rsidR="00B31866" w:rsidRDefault="00B31866" w:rsidP="00B31866">
      <w:pPr>
        <w:spacing w:line="480" w:lineRule="auto"/>
      </w:pPr>
      <w:r>
        <w:t>M</w:t>
      </w:r>
      <w:r w:rsidRPr="00653921">
        <w:t xml:space="preserve">ulti-component </w:t>
      </w:r>
      <w:r>
        <w:t>strategies combine elements of other approaches, typically skills</w:t>
      </w:r>
      <w:r w:rsidR="00A868BB">
        <w:t>-</w:t>
      </w:r>
      <w:r>
        <w:t>based approaches. A summary of the recommendations for the use of multi-component approaches is shown in Table 3-2</w:t>
      </w:r>
      <w:r w:rsidR="00FC1DE2">
        <w:t>2</w:t>
      </w:r>
      <w:r>
        <w:t xml:space="preserve"> together with a summary of the evidence on which the recommendations are based.</w:t>
      </w:r>
    </w:p>
    <w:p w14:paraId="22F5E19F" w14:textId="77777777" w:rsidR="007B6EA9" w:rsidRDefault="007B6EA9" w:rsidP="007B6EA9"/>
    <w:p w14:paraId="4DDD5326" w14:textId="79FC6C7E" w:rsidR="007B6EA9" w:rsidRPr="00D378FB" w:rsidRDefault="00C12452" w:rsidP="00D378FB">
      <w:pPr>
        <w:pStyle w:val="TableHeader"/>
        <w:spacing w:line="240" w:lineRule="auto"/>
        <w:rPr>
          <w:b/>
        </w:rPr>
      </w:pPr>
      <w:r>
        <w:rPr>
          <w:b/>
        </w:rPr>
        <w:t xml:space="preserve"> </w:t>
      </w:r>
      <w:bookmarkStart w:id="268" w:name="_Toc9509053"/>
      <w:r w:rsidR="007B6EA9" w:rsidRPr="00D378FB">
        <w:rPr>
          <w:b/>
        </w:rPr>
        <w:t xml:space="preserve">Table </w:t>
      </w:r>
      <w:r w:rsidR="00D378FB" w:rsidRPr="00D378FB">
        <w:rPr>
          <w:b/>
        </w:rPr>
        <w:t>3-</w:t>
      </w:r>
      <w:r w:rsidR="007B6EA9" w:rsidRPr="00D378FB">
        <w:rPr>
          <w:b/>
        </w:rPr>
        <w:t>2</w:t>
      </w:r>
      <w:r w:rsidR="00FC1DE2">
        <w:rPr>
          <w:b/>
        </w:rPr>
        <w:t>2</w:t>
      </w:r>
      <w:r w:rsidR="007B6EA9" w:rsidRPr="00D378FB">
        <w:rPr>
          <w:b/>
        </w:rPr>
        <w:t>. Effectiveness and recommendations for the use of multi-component approaches</w:t>
      </w:r>
      <w:bookmarkEnd w:id="268"/>
    </w:p>
    <w:tbl>
      <w:tblPr>
        <w:tblStyle w:val="TableGrid"/>
        <w:tblW w:w="9180" w:type="dxa"/>
        <w:tblLook w:val="04A0" w:firstRow="1" w:lastRow="0" w:firstColumn="1" w:lastColumn="0" w:noHBand="0" w:noVBand="1"/>
      </w:tblPr>
      <w:tblGrid>
        <w:gridCol w:w="4503"/>
        <w:gridCol w:w="4677"/>
      </w:tblGrid>
      <w:tr w:rsidR="007B6EA9" w:rsidRPr="00F9373F" w14:paraId="272F7A03" w14:textId="77777777" w:rsidTr="007B6EA9">
        <w:trPr>
          <w:trHeight w:val="430"/>
        </w:trPr>
        <w:tc>
          <w:tcPr>
            <w:tcW w:w="9180" w:type="dxa"/>
            <w:gridSpan w:val="2"/>
            <w:tcBorders>
              <w:top w:val="single" w:sz="8" w:space="0" w:color="auto"/>
              <w:left w:val="nil"/>
              <w:bottom w:val="single" w:sz="8" w:space="0" w:color="auto"/>
              <w:right w:val="nil"/>
            </w:tcBorders>
            <w:vAlign w:val="center"/>
          </w:tcPr>
          <w:p w14:paraId="3ECBB019" w14:textId="77777777" w:rsidR="007B6EA9" w:rsidRPr="00F9373F" w:rsidRDefault="007B6EA9" w:rsidP="007B6EA9">
            <w:pPr>
              <w:rPr>
                <w:b/>
                <w:szCs w:val="24"/>
              </w:rPr>
            </w:pPr>
            <w:r>
              <w:rPr>
                <w:b/>
              </w:rPr>
              <w:t xml:space="preserve">Multi-component approaches  </w:t>
            </w:r>
          </w:p>
        </w:tc>
      </w:tr>
      <w:tr w:rsidR="007B6EA9" w:rsidRPr="00C11D82" w14:paraId="1550477D" w14:textId="77777777" w:rsidTr="007B6EA9">
        <w:tc>
          <w:tcPr>
            <w:tcW w:w="4503" w:type="dxa"/>
            <w:tcBorders>
              <w:top w:val="single" w:sz="4" w:space="0" w:color="auto"/>
              <w:left w:val="nil"/>
              <w:bottom w:val="single" w:sz="4" w:space="0" w:color="auto"/>
              <w:right w:val="nil"/>
            </w:tcBorders>
          </w:tcPr>
          <w:p w14:paraId="63689124" w14:textId="77777777" w:rsidR="007B6EA9" w:rsidRPr="00C11D82" w:rsidRDefault="007B6EA9" w:rsidP="007B6EA9">
            <w:pPr>
              <w:pStyle w:val="Notesstructure"/>
              <w:spacing w:line="360" w:lineRule="auto"/>
              <w:rPr>
                <w:color w:val="auto"/>
                <w:sz w:val="22"/>
                <w:szCs w:val="22"/>
              </w:rPr>
            </w:pPr>
            <w:r w:rsidRPr="00C11D82">
              <w:rPr>
                <w:b/>
                <w:color w:val="auto"/>
                <w:sz w:val="22"/>
                <w:szCs w:val="22"/>
              </w:rPr>
              <w:t xml:space="preserve">Effective: </w:t>
            </w:r>
          </w:p>
          <w:p w14:paraId="3D94F9EE" w14:textId="41E38609" w:rsidR="007B6EA9" w:rsidRPr="00C11D82" w:rsidRDefault="007B6EA9" w:rsidP="00C92BD2">
            <w:pPr>
              <w:pStyle w:val="Notesstructure"/>
              <w:numPr>
                <w:ilvl w:val="0"/>
                <w:numId w:val="10"/>
              </w:numPr>
              <w:spacing w:line="360" w:lineRule="auto"/>
              <w:rPr>
                <w:b/>
                <w:color w:val="auto"/>
                <w:sz w:val="22"/>
                <w:szCs w:val="22"/>
              </w:rPr>
            </w:pPr>
            <w:r w:rsidRPr="00C11D82">
              <w:rPr>
                <w:color w:val="auto"/>
                <w:sz w:val="22"/>
                <w:szCs w:val="22"/>
              </w:rPr>
              <w:t>There is modest evidence to show that multi-component drug approaches are more likely to be effective than single</w:t>
            </w:r>
            <w:r w:rsidR="00A868BB">
              <w:rPr>
                <w:color w:val="auto"/>
                <w:sz w:val="22"/>
                <w:szCs w:val="22"/>
              </w:rPr>
              <w:t>-</w:t>
            </w:r>
            <w:r w:rsidRPr="00C11D82">
              <w:rPr>
                <w:color w:val="auto"/>
                <w:sz w:val="22"/>
                <w:szCs w:val="22"/>
              </w:rPr>
              <w:t xml:space="preserve">component programmes that target just the individual </w:t>
            </w:r>
            <w:r w:rsidRPr="00C11D82">
              <w:rPr>
                <w:color w:val="auto"/>
                <w:sz w:val="22"/>
                <w:szCs w:val="22"/>
                <w:vertAlign w:val="superscript"/>
              </w:rPr>
              <w:t>[A][C]</w:t>
            </w:r>
            <w:r>
              <w:rPr>
                <w:color w:val="auto"/>
                <w:sz w:val="22"/>
                <w:szCs w:val="22"/>
                <w:vertAlign w:val="superscript"/>
              </w:rPr>
              <w:t>[E]</w:t>
            </w:r>
          </w:p>
          <w:p w14:paraId="1744EFDD" w14:textId="77777777" w:rsidR="007B6EA9" w:rsidRPr="00C11D82" w:rsidRDefault="007B6EA9" w:rsidP="00C92BD2">
            <w:pPr>
              <w:pStyle w:val="Notesstructure"/>
              <w:numPr>
                <w:ilvl w:val="0"/>
                <w:numId w:val="9"/>
              </w:numPr>
              <w:spacing w:line="360" w:lineRule="auto"/>
              <w:rPr>
                <w:color w:val="auto"/>
                <w:sz w:val="22"/>
                <w:szCs w:val="22"/>
              </w:rPr>
            </w:pPr>
            <w:r w:rsidRPr="00C11D82">
              <w:rPr>
                <w:color w:val="auto"/>
                <w:sz w:val="22"/>
                <w:szCs w:val="22"/>
              </w:rPr>
              <w:t xml:space="preserve">Evidence shows that community-based multi-component approaches can prevent the use of drugs </w:t>
            </w:r>
            <w:r w:rsidRPr="00C11D82">
              <w:rPr>
                <w:color w:val="auto"/>
                <w:sz w:val="22"/>
                <w:szCs w:val="22"/>
                <w:vertAlign w:val="superscript"/>
              </w:rPr>
              <w:t>[E]</w:t>
            </w:r>
          </w:p>
          <w:p w14:paraId="4AB2A0F0" w14:textId="77777777" w:rsidR="007B6EA9" w:rsidRPr="00C11D82" w:rsidRDefault="007B6EA9" w:rsidP="00C92BD2">
            <w:pPr>
              <w:pStyle w:val="Notesstructure"/>
              <w:numPr>
                <w:ilvl w:val="0"/>
                <w:numId w:val="9"/>
              </w:numPr>
              <w:spacing w:line="360" w:lineRule="auto"/>
              <w:rPr>
                <w:color w:val="auto"/>
                <w:sz w:val="22"/>
                <w:szCs w:val="22"/>
              </w:rPr>
            </w:pPr>
            <w:r w:rsidRPr="00C11D82">
              <w:rPr>
                <w:color w:val="auto"/>
                <w:sz w:val="22"/>
                <w:szCs w:val="22"/>
              </w:rPr>
              <w:t xml:space="preserve">Multi-sectorial programmes with multiple components including schools and communities have been found to have beneficial effects </w:t>
            </w:r>
            <w:r w:rsidRPr="00C11D82">
              <w:rPr>
                <w:color w:val="auto"/>
                <w:sz w:val="22"/>
                <w:szCs w:val="22"/>
                <w:vertAlign w:val="superscript"/>
              </w:rPr>
              <w:t>[A]</w:t>
            </w:r>
            <w:r w:rsidRPr="00C11D82">
              <w:rPr>
                <w:color w:val="auto"/>
                <w:sz w:val="22"/>
                <w:szCs w:val="22"/>
                <w:vertAlign w:val="superscript"/>
              </w:rPr>
              <w:br/>
            </w:r>
          </w:p>
        </w:tc>
        <w:tc>
          <w:tcPr>
            <w:tcW w:w="4677" w:type="dxa"/>
            <w:tcBorders>
              <w:top w:val="single" w:sz="4" w:space="0" w:color="auto"/>
              <w:left w:val="nil"/>
              <w:bottom w:val="single" w:sz="4" w:space="0" w:color="auto"/>
              <w:right w:val="nil"/>
            </w:tcBorders>
          </w:tcPr>
          <w:p w14:paraId="41D5051C" w14:textId="77777777" w:rsidR="007B6EA9" w:rsidRPr="00C11D82" w:rsidRDefault="007B6EA9" w:rsidP="007B6EA9">
            <w:pPr>
              <w:pStyle w:val="Notesstructure"/>
              <w:spacing w:line="360" w:lineRule="auto"/>
              <w:rPr>
                <w:b/>
                <w:color w:val="auto"/>
                <w:sz w:val="22"/>
                <w:szCs w:val="22"/>
              </w:rPr>
            </w:pPr>
            <w:r w:rsidRPr="00C11D82">
              <w:rPr>
                <w:b/>
                <w:color w:val="auto"/>
                <w:sz w:val="22"/>
                <w:szCs w:val="22"/>
              </w:rPr>
              <w:t>Recommended:</w:t>
            </w:r>
          </w:p>
          <w:p w14:paraId="2431C88F" w14:textId="77777777" w:rsidR="007B6EA9" w:rsidRDefault="007B6EA9" w:rsidP="00C92BD2">
            <w:pPr>
              <w:pStyle w:val="Notesstructure"/>
              <w:numPr>
                <w:ilvl w:val="0"/>
                <w:numId w:val="19"/>
              </w:numPr>
              <w:spacing w:line="360" w:lineRule="auto"/>
              <w:rPr>
                <w:color w:val="auto"/>
                <w:sz w:val="22"/>
                <w:szCs w:val="22"/>
              </w:rPr>
            </w:pPr>
            <w:r w:rsidRPr="00C11D82">
              <w:rPr>
                <w:color w:val="auto"/>
                <w:sz w:val="22"/>
                <w:szCs w:val="22"/>
              </w:rPr>
              <w:t>EMCDDA recommend that interventions are multi-component, utilise a variety of methodologies and</w:t>
            </w:r>
            <w:r>
              <w:rPr>
                <w:color w:val="auto"/>
                <w:sz w:val="22"/>
                <w:szCs w:val="22"/>
              </w:rPr>
              <w:t xml:space="preserve"> are</w:t>
            </w:r>
            <w:r w:rsidRPr="00C11D82">
              <w:rPr>
                <w:color w:val="auto"/>
                <w:sz w:val="22"/>
                <w:szCs w:val="22"/>
              </w:rPr>
              <w:t xml:space="preserve"> integrated into the community</w:t>
            </w:r>
            <w:r>
              <w:rPr>
                <w:color w:val="auto"/>
                <w:sz w:val="22"/>
                <w:szCs w:val="22"/>
              </w:rPr>
              <w:t>.</w:t>
            </w:r>
          </w:p>
          <w:p w14:paraId="24E7D112" w14:textId="116B4200" w:rsidR="007B6EA9" w:rsidRDefault="007B6EA9" w:rsidP="00C92BD2">
            <w:pPr>
              <w:pStyle w:val="Notesstructure"/>
              <w:numPr>
                <w:ilvl w:val="0"/>
                <w:numId w:val="19"/>
              </w:numPr>
              <w:spacing w:line="360" w:lineRule="auto"/>
              <w:rPr>
                <w:color w:val="auto"/>
                <w:sz w:val="22"/>
                <w:szCs w:val="22"/>
              </w:rPr>
            </w:pPr>
            <w:r>
              <w:rPr>
                <w:color w:val="auto"/>
                <w:sz w:val="22"/>
                <w:szCs w:val="22"/>
              </w:rPr>
              <w:t>Mentor-ADEPIS recommend using multi</w:t>
            </w:r>
            <w:r w:rsidR="00A868BB">
              <w:rPr>
                <w:color w:val="auto"/>
                <w:sz w:val="22"/>
                <w:szCs w:val="22"/>
              </w:rPr>
              <w:t>-</w:t>
            </w:r>
            <w:r>
              <w:rPr>
                <w:color w:val="auto"/>
                <w:sz w:val="22"/>
                <w:szCs w:val="22"/>
              </w:rPr>
              <w:t>component approaches that combine skills education with other programmes and whole</w:t>
            </w:r>
            <w:r w:rsidR="00A868BB">
              <w:rPr>
                <w:color w:val="auto"/>
                <w:sz w:val="22"/>
                <w:szCs w:val="22"/>
              </w:rPr>
              <w:t>-</w:t>
            </w:r>
            <w:r>
              <w:rPr>
                <w:color w:val="auto"/>
                <w:sz w:val="22"/>
                <w:szCs w:val="22"/>
              </w:rPr>
              <w:t xml:space="preserve">school approaches. </w:t>
            </w:r>
          </w:p>
          <w:p w14:paraId="6C4C5F13" w14:textId="77777777" w:rsidR="007B6EA9" w:rsidRPr="00C11D82" w:rsidRDefault="007B6EA9" w:rsidP="00C92BD2">
            <w:pPr>
              <w:pStyle w:val="Notesstructure"/>
              <w:numPr>
                <w:ilvl w:val="0"/>
                <w:numId w:val="19"/>
              </w:numPr>
              <w:spacing w:line="360" w:lineRule="auto"/>
              <w:rPr>
                <w:color w:val="auto"/>
                <w:sz w:val="22"/>
                <w:szCs w:val="22"/>
              </w:rPr>
            </w:pPr>
            <w:r w:rsidRPr="00C11D82">
              <w:rPr>
                <w:color w:val="auto"/>
                <w:sz w:val="22"/>
                <w:szCs w:val="22"/>
              </w:rPr>
              <w:t>UNDOC/WHO recommend the use of evidence-based multi-component approaches in a range of settings and recommend involving</w:t>
            </w:r>
            <w:r>
              <w:rPr>
                <w:color w:val="auto"/>
                <w:sz w:val="22"/>
                <w:szCs w:val="22"/>
              </w:rPr>
              <w:t xml:space="preserve"> communities and</w:t>
            </w:r>
            <w:r w:rsidRPr="00C11D82">
              <w:rPr>
                <w:color w:val="auto"/>
                <w:sz w:val="22"/>
                <w:szCs w:val="22"/>
              </w:rPr>
              <w:t xml:space="preserve"> universities</w:t>
            </w:r>
            <w:r>
              <w:rPr>
                <w:color w:val="auto"/>
                <w:sz w:val="22"/>
                <w:szCs w:val="22"/>
              </w:rPr>
              <w:t>.</w:t>
            </w:r>
            <w:r w:rsidRPr="00C11D82">
              <w:rPr>
                <w:color w:val="auto"/>
                <w:sz w:val="22"/>
                <w:szCs w:val="22"/>
              </w:rPr>
              <w:t xml:space="preserve"> </w:t>
            </w:r>
          </w:p>
          <w:p w14:paraId="48E85D4E" w14:textId="77777777" w:rsidR="007B6EA9" w:rsidRPr="00C11D82" w:rsidRDefault="007B6EA9" w:rsidP="007B6EA9">
            <w:pPr>
              <w:pStyle w:val="Notesstructure"/>
              <w:spacing w:line="360" w:lineRule="auto"/>
              <w:ind w:left="360"/>
              <w:rPr>
                <w:color w:val="auto"/>
                <w:sz w:val="22"/>
                <w:szCs w:val="22"/>
              </w:rPr>
            </w:pPr>
          </w:p>
        </w:tc>
      </w:tr>
      <w:tr w:rsidR="007B6EA9" w:rsidRPr="003F76C9" w14:paraId="1BF88D44"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9180" w:type="dxa"/>
            <w:gridSpan w:val="2"/>
            <w:tcBorders>
              <w:top w:val="single" w:sz="4" w:space="0" w:color="auto"/>
            </w:tcBorders>
          </w:tcPr>
          <w:p w14:paraId="43D34B32" w14:textId="77777777" w:rsidR="007B6EA9" w:rsidRPr="005135B8" w:rsidRDefault="007B6EA9" w:rsidP="007B6EA9">
            <w:pPr>
              <w:pStyle w:val="Notesstructure"/>
              <w:spacing w:line="360" w:lineRule="auto"/>
              <w:rPr>
                <w:b/>
                <w:color w:val="auto"/>
                <w:sz w:val="2"/>
              </w:rPr>
            </w:pPr>
          </w:p>
        </w:tc>
      </w:tr>
      <w:tr w:rsidR="007B6EA9" w:rsidRPr="003F76C9" w14:paraId="6D133C42" w14:textId="77777777" w:rsidTr="007B6E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9180" w:type="dxa"/>
            <w:gridSpan w:val="2"/>
          </w:tcPr>
          <w:p w14:paraId="295023D9" w14:textId="77777777" w:rsidR="007B6EA9" w:rsidRPr="005135B8" w:rsidRDefault="007B6EA9" w:rsidP="007B6EA9">
            <w:pPr>
              <w:spacing w:line="480" w:lineRule="auto"/>
              <w:rPr>
                <w:sz w:val="22"/>
              </w:rPr>
            </w:pPr>
            <w:r w:rsidRPr="005135B8">
              <w:rPr>
                <w:sz w:val="22"/>
              </w:rPr>
              <w:t>Guideline source</w:t>
            </w:r>
            <w:r>
              <w:rPr>
                <w:sz w:val="22"/>
              </w:rPr>
              <w:t>:</w:t>
            </w:r>
            <w:r w:rsidRPr="005135B8">
              <w:rPr>
                <w:sz w:val="22"/>
              </w:rPr>
              <w:t xml:space="preserve"> A=ACMD, B=EMCDDA, C=Mentor-ADEPIS, D=NICE, E=UNODC/WHO </w:t>
            </w:r>
          </w:p>
          <w:p w14:paraId="027C13E0" w14:textId="77777777" w:rsidR="007B6EA9" w:rsidRPr="005135B8" w:rsidRDefault="007B6EA9" w:rsidP="007B6EA9">
            <w:pPr>
              <w:pStyle w:val="Notesstructure"/>
              <w:spacing w:line="360" w:lineRule="auto"/>
              <w:rPr>
                <w:b/>
                <w:color w:val="auto"/>
                <w:sz w:val="2"/>
              </w:rPr>
            </w:pPr>
          </w:p>
        </w:tc>
      </w:tr>
    </w:tbl>
    <w:p w14:paraId="15FB9F8D" w14:textId="77777777" w:rsidR="007B6EA9" w:rsidRDefault="007B6EA9" w:rsidP="007B6EA9">
      <w:pPr>
        <w:spacing w:line="480" w:lineRule="auto"/>
      </w:pPr>
    </w:p>
    <w:p w14:paraId="71249A18" w14:textId="77777777" w:rsidR="007B6EA9" w:rsidRDefault="007B6EA9" w:rsidP="007B6EA9">
      <w:pPr>
        <w:rPr>
          <w:b/>
          <w:bCs/>
          <w:szCs w:val="26"/>
        </w:rPr>
      </w:pPr>
      <w:r>
        <w:br w:type="page"/>
      </w:r>
    </w:p>
    <w:p w14:paraId="24387B90" w14:textId="2956FEA6" w:rsidR="007B6EA9" w:rsidRDefault="007B6EA9" w:rsidP="007B6EA9">
      <w:pPr>
        <w:pStyle w:val="Heading2"/>
      </w:pPr>
      <w:bookmarkStart w:id="269" w:name="_Toc35892584"/>
      <w:r w:rsidRPr="0033479F">
        <w:t>Discussion</w:t>
      </w:r>
      <w:bookmarkEnd w:id="269"/>
    </w:p>
    <w:p w14:paraId="25E90C12" w14:textId="3BE0D54D" w:rsidR="007B6EA9" w:rsidRDefault="007B6EA9" w:rsidP="007B6EA9">
      <w:pPr>
        <w:spacing w:line="480" w:lineRule="auto"/>
      </w:pPr>
      <w:r>
        <w:t>This chapter set out to provide an overview and summary of the types of drug prevention interventions</w:t>
      </w:r>
      <w:r w:rsidRPr="00691139">
        <w:t xml:space="preserve"> </w:t>
      </w:r>
      <w:r>
        <w:t xml:space="preserve">recommended for use in guidelines provided by lead agencies in the field and to assess evidence of their effectiveness. Accordingly, the </w:t>
      </w:r>
      <w:r w:rsidR="00A868BB">
        <w:t>review aimed</w:t>
      </w:r>
      <w:r>
        <w:t xml:space="preserve"> to map the core elements of the interventions described in the guidelines; to evaluate the reported evidence on the effectiveness of each element; and the recommendations for their use. </w:t>
      </w:r>
    </w:p>
    <w:p w14:paraId="7880D053" w14:textId="3B63B2D4" w:rsidR="007B6EA9" w:rsidRDefault="007B6EA9" w:rsidP="007B6EA9">
      <w:pPr>
        <w:spacing w:line="480" w:lineRule="auto"/>
      </w:pPr>
      <w:r>
        <w:t xml:space="preserve">In the following section, the principal findings of the review in relation to these aims are summarised before a discussion of the field in general, drawing on some of </w:t>
      </w:r>
      <w:r w:rsidR="00A868BB">
        <w:t xml:space="preserve">the </w:t>
      </w:r>
      <w:r>
        <w:t xml:space="preserve">tensions which arise between different approaches to intervention and their shifting popularity over time.   </w:t>
      </w:r>
    </w:p>
    <w:p w14:paraId="00C4EC6E" w14:textId="7AD05045" w:rsidR="007B6EA9" w:rsidRDefault="007B6EA9" w:rsidP="007B6EA9">
      <w:pPr>
        <w:spacing w:line="480" w:lineRule="auto"/>
      </w:pPr>
      <w:r>
        <w:t xml:space="preserve">The discussion then moves on to </w:t>
      </w:r>
      <w:r w:rsidR="00A868BB">
        <w:t xml:space="preserve">the </w:t>
      </w:r>
      <w:r>
        <w:t xml:space="preserve">consideration of the implications of these findings for intervention development, as well as the strengths and limitations of the review method and analysis. Finally, the chapter concludes with a summary of the key points contributed by this review towards the overarching aims of this thesis.     </w:t>
      </w:r>
    </w:p>
    <w:p w14:paraId="1DAED735" w14:textId="18C8C0F4" w:rsidR="007B6EA9" w:rsidRDefault="007B6EA9" w:rsidP="007B6EA9">
      <w:pPr>
        <w:pStyle w:val="Heading3"/>
      </w:pPr>
      <w:bookmarkStart w:id="270" w:name="_Toc35892585"/>
      <w:r w:rsidRPr="0033479F">
        <w:t>Principal findings</w:t>
      </w:r>
      <w:bookmarkEnd w:id="270"/>
    </w:p>
    <w:p w14:paraId="5782DC47" w14:textId="77777777" w:rsidR="007B6EA9" w:rsidRDefault="007B6EA9" w:rsidP="007B6EA9">
      <w:pPr>
        <w:spacing w:line="480" w:lineRule="auto"/>
      </w:pPr>
      <w:bookmarkStart w:id="271" w:name="_Hlk6912135"/>
      <w:r>
        <w:t xml:space="preserve">Where there is clear evidence for the effectiveness, or lack of effectiveness, of specific intervention components, the guidelines provided by the relevant organisations typically offer recommendations congruent with that evidence. </w:t>
      </w:r>
    </w:p>
    <w:p w14:paraId="524974D5" w14:textId="2E5B183D" w:rsidR="007B6EA9" w:rsidRPr="00422F3E" w:rsidRDefault="007B6EA9" w:rsidP="007B6EA9">
      <w:pPr>
        <w:spacing w:line="480" w:lineRule="auto"/>
        <w:rPr>
          <w:i/>
        </w:rPr>
      </w:pPr>
      <w:r w:rsidRPr="00422F3E">
        <w:rPr>
          <w:i/>
        </w:rPr>
        <w:t>Effective approaches:</w:t>
      </w:r>
      <w:r>
        <w:rPr>
          <w:i/>
        </w:rPr>
        <w:br/>
      </w:r>
      <w:r>
        <w:t xml:space="preserve">Regarding ‘what works’ and is </w:t>
      </w:r>
      <w:r w:rsidR="007E0F63">
        <w:t>recommended</w:t>
      </w:r>
      <w:r>
        <w:t xml:space="preserve"> in drug prevention there is consistent evidence for the effectiveness of:</w:t>
      </w:r>
    </w:p>
    <w:p w14:paraId="6713FA39" w14:textId="77777777" w:rsidR="007B6EA9" w:rsidRDefault="007B6EA9" w:rsidP="00C92BD2">
      <w:pPr>
        <w:pStyle w:val="ListParagraph"/>
        <w:numPr>
          <w:ilvl w:val="0"/>
          <w:numId w:val="32"/>
        </w:numPr>
        <w:spacing w:line="480" w:lineRule="auto"/>
      </w:pPr>
      <w:r>
        <w:t>Combined skills-based approaches using personal, social and affective elements</w:t>
      </w:r>
    </w:p>
    <w:p w14:paraId="04735DAA" w14:textId="77777777" w:rsidR="007B6EA9" w:rsidRDefault="007B6EA9" w:rsidP="00C92BD2">
      <w:pPr>
        <w:pStyle w:val="ListParagraph"/>
        <w:numPr>
          <w:ilvl w:val="0"/>
          <w:numId w:val="32"/>
        </w:numPr>
        <w:spacing w:line="480" w:lineRule="auto"/>
      </w:pPr>
      <w:r>
        <w:t>Approaches focusing on personal decision-making skills</w:t>
      </w:r>
    </w:p>
    <w:p w14:paraId="58DCE706" w14:textId="110A9C6C" w:rsidR="007B6EA9" w:rsidRDefault="007B6EA9" w:rsidP="00C92BD2">
      <w:pPr>
        <w:pStyle w:val="ListParagraph"/>
        <w:numPr>
          <w:ilvl w:val="0"/>
          <w:numId w:val="32"/>
        </w:numPr>
        <w:spacing w:line="480" w:lineRule="auto"/>
      </w:pPr>
      <w:r>
        <w:t>Social norms-based interventions (skills and informational components)</w:t>
      </w:r>
    </w:p>
    <w:p w14:paraId="5F1F84F8" w14:textId="77777777" w:rsidR="007E7BB9" w:rsidRDefault="007E7BB9" w:rsidP="007E7BB9">
      <w:pPr>
        <w:pStyle w:val="ListParagraph"/>
        <w:spacing w:line="480" w:lineRule="auto"/>
      </w:pPr>
    </w:p>
    <w:p w14:paraId="2D97A7B9" w14:textId="77777777" w:rsidR="007B6EA9" w:rsidRDefault="007B6EA9" w:rsidP="00C92BD2">
      <w:pPr>
        <w:pStyle w:val="ListParagraph"/>
        <w:numPr>
          <w:ilvl w:val="0"/>
          <w:numId w:val="32"/>
        </w:numPr>
        <w:spacing w:line="480" w:lineRule="auto"/>
      </w:pPr>
      <w:r>
        <w:t>Use of a non-judgemental approach</w:t>
      </w:r>
    </w:p>
    <w:p w14:paraId="2E0A362E" w14:textId="77777777" w:rsidR="007B6EA9" w:rsidRDefault="007B6EA9" w:rsidP="00C92BD2">
      <w:pPr>
        <w:pStyle w:val="ListParagraph"/>
        <w:numPr>
          <w:ilvl w:val="0"/>
          <w:numId w:val="32"/>
        </w:numPr>
        <w:spacing w:line="480" w:lineRule="auto"/>
      </w:pPr>
      <w:r>
        <w:t xml:space="preserve">Use of interactive methods </w:t>
      </w:r>
    </w:p>
    <w:p w14:paraId="58CD519C" w14:textId="77777777" w:rsidR="007B6EA9" w:rsidRDefault="007B6EA9" w:rsidP="00C92BD2">
      <w:pPr>
        <w:pStyle w:val="ListParagraph"/>
        <w:numPr>
          <w:ilvl w:val="0"/>
          <w:numId w:val="32"/>
        </w:numPr>
        <w:spacing w:line="480" w:lineRule="auto"/>
      </w:pPr>
      <w:r>
        <w:t xml:space="preserve">Use of trained professionals </w:t>
      </w:r>
    </w:p>
    <w:p w14:paraId="57C0B1C6" w14:textId="77777777" w:rsidR="007B6EA9" w:rsidRDefault="007B6EA9" w:rsidP="00C92BD2">
      <w:pPr>
        <w:pStyle w:val="ListParagraph"/>
        <w:numPr>
          <w:ilvl w:val="0"/>
          <w:numId w:val="32"/>
        </w:numPr>
        <w:spacing w:line="480" w:lineRule="auto"/>
      </w:pPr>
      <w:r>
        <w:t>I</w:t>
      </w:r>
      <w:r w:rsidRPr="003200F4">
        <w:t>nterventions set within health services</w:t>
      </w:r>
    </w:p>
    <w:p w14:paraId="1670EC8C" w14:textId="77777777" w:rsidR="007B6EA9" w:rsidRDefault="007B6EA9" w:rsidP="00C92BD2">
      <w:pPr>
        <w:pStyle w:val="ListParagraph"/>
        <w:numPr>
          <w:ilvl w:val="0"/>
          <w:numId w:val="32"/>
        </w:numPr>
        <w:spacing w:line="480" w:lineRule="auto"/>
      </w:pPr>
      <w:r>
        <w:t>I</w:t>
      </w:r>
      <w:r w:rsidRPr="003200F4">
        <w:t>nterventions set within night</w:t>
      </w:r>
      <w:r>
        <w:t>life/</w:t>
      </w:r>
      <w:r w:rsidRPr="003200F4">
        <w:t xml:space="preserve">entertainment venues </w:t>
      </w:r>
    </w:p>
    <w:p w14:paraId="052F74C1" w14:textId="77777777" w:rsidR="007B6EA9" w:rsidRDefault="007B6EA9" w:rsidP="00C92BD2">
      <w:pPr>
        <w:pStyle w:val="ListParagraph"/>
        <w:numPr>
          <w:ilvl w:val="0"/>
          <w:numId w:val="32"/>
        </w:numPr>
        <w:spacing w:line="480" w:lineRule="auto"/>
      </w:pPr>
      <w:r>
        <w:t>Interventions engaging with youth groups</w:t>
      </w:r>
    </w:p>
    <w:p w14:paraId="089EC4F1" w14:textId="77777777" w:rsidR="007B6EA9" w:rsidRDefault="007B6EA9" w:rsidP="007B6EA9">
      <w:pPr>
        <w:spacing w:line="480" w:lineRule="auto"/>
      </w:pPr>
      <w:r>
        <w:rPr>
          <w:i/>
        </w:rPr>
        <w:t>Mixed evidence of effectiveness</w:t>
      </w:r>
      <w:r w:rsidRPr="00422F3E">
        <w:rPr>
          <w:i/>
        </w:rPr>
        <w:t>:</w:t>
      </w:r>
      <w:r>
        <w:br/>
        <w:t>Other approaches demonstrate mixed findings, with components associated with both positive and negative effects, and in some contexts, counterproductive effects. Recommendations largely reflect the evidence with effective elements recommended for use and ineffective elements not recommended:</w:t>
      </w:r>
    </w:p>
    <w:p w14:paraId="4DF60733" w14:textId="77777777" w:rsidR="007B6EA9" w:rsidRDefault="007B6EA9" w:rsidP="00C92BD2">
      <w:pPr>
        <w:pStyle w:val="ListParagraph"/>
        <w:numPr>
          <w:ilvl w:val="0"/>
          <w:numId w:val="35"/>
        </w:numPr>
        <w:spacing w:line="480" w:lineRule="auto"/>
      </w:pPr>
      <w:r>
        <w:t>Drug-refusal training - mostly reported as effective, and despite some evidence of ineffectiveness, recommended for use.</w:t>
      </w:r>
    </w:p>
    <w:p w14:paraId="727F0B76" w14:textId="77777777" w:rsidR="007B6EA9" w:rsidRDefault="007B6EA9" w:rsidP="00C92BD2">
      <w:pPr>
        <w:pStyle w:val="ListParagraph"/>
        <w:numPr>
          <w:ilvl w:val="0"/>
          <w:numId w:val="35"/>
        </w:numPr>
        <w:spacing w:line="480" w:lineRule="auto"/>
      </w:pPr>
      <w:r>
        <w:t>Social influence approaches - recommended for use due to s</w:t>
      </w:r>
      <w:r w:rsidRPr="00C22F07">
        <w:t>trong evidence of effectiveness</w:t>
      </w:r>
      <w:r>
        <w:t>, although there is some evidence of ineffective/counterproductive effects.</w:t>
      </w:r>
    </w:p>
    <w:p w14:paraId="0EE7A934" w14:textId="77777777" w:rsidR="007B6EA9" w:rsidRDefault="007B6EA9" w:rsidP="00C92BD2">
      <w:pPr>
        <w:pStyle w:val="ListParagraph"/>
        <w:numPr>
          <w:ilvl w:val="0"/>
          <w:numId w:val="35"/>
        </w:numPr>
        <w:spacing w:line="480" w:lineRule="auto"/>
      </w:pPr>
      <w:r>
        <w:t xml:space="preserve">Affective-skills - use of coping skills is effective and recommended, but stand-alone general emotional approaches are not recommended for use due to ineffective or counterproductive effects. </w:t>
      </w:r>
    </w:p>
    <w:p w14:paraId="6852E2C4" w14:textId="410999EA" w:rsidR="007B6EA9" w:rsidRDefault="007B6EA9" w:rsidP="00C92BD2">
      <w:pPr>
        <w:pStyle w:val="ListParagraph"/>
        <w:numPr>
          <w:ilvl w:val="0"/>
          <w:numId w:val="35"/>
        </w:numPr>
        <w:spacing w:line="480" w:lineRule="auto"/>
      </w:pPr>
      <w:r>
        <w:t>K</w:t>
      </w:r>
      <w:r w:rsidRPr="00C22F07">
        <w:t>nowledge</w:t>
      </w:r>
      <w:r>
        <w:t>-</w:t>
      </w:r>
      <w:r w:rsidRPr="00C22F07">
        <w:t xml:space="preserve">based components </w:t>
      </w:r>
      <w:r>
        <w:t xml:space="preserve">– are effective when </w:t>
      </w:r>
      <w:r w:rsidR="00A868BB">
        <w:t>e</w:t>
      </w:r>
      <w:r w:rsidRPr="00C22F07">
        <w:t xml:space="preserve">mbedded within a </w:t>
      </w:r>
      <w:r>
        <w:t xml:space="preserve">multi-component </w:t>
      </w:r>
      <w:r w:rsidRPr="00C22F07">
        <w:t>approach</w:t>
      </w:r>
      <w:r>
        <w:t xml:space="preserve"> but ineffective or harmful used as a stand-alone approach. Recommendations for use are mixed, with most organisations advising against the use of stand-alone information provision, with the recommendation that when needed, k</w:t>
      </w:r>
      <w:r w:rsidRPr="00C22F07">
        <w:t>nowledge</w:t>
      </w:r>
      <w:r>
        <w:t>-</w:t>
      </w:r>
      <w:r w:rsidRPr="00C22F07">
        <w:t xml:space="preserve">based components </w:t>
      </w:r>
      <w:r>
        <w:t xml:space="preserve">should be </w:t>
      </w:r>
      <w:r w:rsidR="00A868BB">
        <w:t>e</w:t>
      </w:r>
      <w:r w:rsidRPr="00C22F07">
        <w:t xml:space="preserve">mbedded within a </w:t>
      </w:r>
      <w:r>
        <w:t xml:space="preserve">multi-component </w:t>
      </w:r>
      <w:r w:rsidRPr="00C22F07">
        <w:t>approach</w:t>
      </w:r>
      <w:r>
        <w:t>.</w:t>
      </w:r>
    </w:p>
    <w:p w14:paraId="4ED25FDB" w14:textId="62CA3C4A" w:rsidR="007B6EA9" w:rsidRDefault="007B6EA9" w:rsidP="00C92BD2">
      <w:pPr>
        <w:pStyle w:val="ListParagraph"/>
        <w:numPr>
          <w:ilvl w:val="0"/>
          <w:numId w:val="35"/>
        </w:numPr>
        <w:spacing w:line="480" w:lineRule="auto"/>
      </w:pPr>
      <w:r>
        <w:t>Use of p</w:t>
      </w:r>
      <w:r w:rsidRPr="00C22F07">
        <w:t>eer</w:t>
      </w:r>
      <w:r>
        <w:t>-</w:t>
      </w:r>
      <w:r w:rsidRPr="00C22F07">
        <w:t xml:space="preserve">educators </w:t>
      </w:r>
      <w:r>
        <w:t xml:space="preserve">– recommended due to </w:t>
      </w:r>
      <w:r w:rsidRPr="00C22F07">
        <w:t>strong evidence of effectiveness</w:t>
      </w:r>
      <w:r>
        <w:t xml:space="preserve">, although </w:t>
      </w:r>
      <w:r w:rsidRPr="003200F4">
        <w:t xml:space="preserve">some </w:t>
      </w:r>
      <w:r>
        <w:t xml:space="preserve">peer-led interventions are reported as ineffective, </w:t>
      </w:r>
      <w:r w:rsidRPr="003200F4">
        <w:t>particularly for high</w:t>
      </w:r>
      <w:r w:rsidR="00A868BB">
        <w:t>-</w:t>
      </w:r>
      <w:r w:rsidRPr="003200F4">
        <w:t>risk groups</w:t>
      </w:r>
      <w:r>
        <w:t>.</w:t>
      </w:r>
    </w:p>
    <w:p w14:paraId="77B4288D" w14:textId="77777777" w:rsidR="007B6EA9" w:rsidRDefault="007B6EA9" w:rsidP="00C92BD2">
      <w:pPr>
        <w:pStyle w:val="ListParagraph"/>
        <w:numPr>
          <w:ilvl w:val="0"/>
          <w:numId w:val="35"/>
        </w:numPr>
        <w:spacing w:line="480" w:lineRule="auto"/>
      </w:pPr>
      <w:r>
        <w:t>W</w:t>
      </w:r>
      <w:r w:rsidRPr="003200F4">
        <w:t>eb</w:t>
      </w:r>
      <w:r>
        <w:t>/mobile-</w:t>
      </w:r>
      <w:r w:rsidRPr="003200F4">
        <w:t>based strategies</w:t>
      </w:r>
      <w:r>
        <w:t xml:space="preserve"> – recommended despite mixed findings for the effectiveness of these </w:t>
      </w:r>
      <w:r w:rsidRPr="003200F4">
        <w:t>strategies</w:t>
      </w:r>
      <w:r>
        <w:t xml:space="preserve"> </w:t>
      </w:r>
    </w:p>
    <w:p w14:paraId="55849AD0" w14:textId="77777777" w:rsidR="007B6EA9" w:rsidRDefault="007B6EA9" w:rsidP="00C92BD2">
      <w:pPr>
        <w:pStyle w:val="ListParagraph"/>
        <w:numPr>
          <w:ilvl w:val="0"/>
          <w:numId w:val="35"/>
        </w:numPr>
        <w:spacing w:line="480" w:lineRule="auto"/>
      </w:pPr>
      <w:r>
        <w:t>M</w:t>
      </w:r>
      <w:r w:rsidRPr="003200F4">
        <w:t>ass media campaigns</w:t>
      </w:r>
      <w:r>
        <w:t xml:space="preserve"> - generally not recommended due to strong evidence of the ineffectiveness of </w:t>
      </w:r>
      <w:r w:rsidRPr="003200F4">
        <w:t>stand</w:t>
      </w:r>
      <w:r>
        <w:t>-</w:t>
      </w:r>
      <w:r w:rsidRPr="003200F4">
        <w:t xml:space="preserve">alone </w:t>
      </w:r>
      <w:r>
        <w:t>i</w:t>
      </w:r>
      <w:r w:rsidRPr="003200F4">
        <w:t>nformation</w:t>
      </w:r>
      <w:r>
        <w:t xml:space="preserve">al approaches. When needed it is recommended that they are used as part of a </w:t>
      </w:r>
      <w:r w:rsidRPr="003200F4">
        <w:t>multi</w:t>
      </w:r>
      <w:r>
        <w:t>-</w:t>
      </w:r>
      <w:r w:rsidRPr="003200F4">
        <w:t xml:space="preserve">component </w:t>
      </w:r>
      <w:r>
        <w:t>approach in line with evidence demonstrating the effectiveness of this strategy.</w:t>
      </w:r>
    </w:p>
    <w:p w14:paraId="5B34057D" w14:textId="77777777" w:rsidR="007B6EA9" w:rsidRDefault="007B6EA9" w:rsidP="00C92BD2">
      <w:pPr>
        <w:pStyle w:val="ListParagraph"/>
        <w:numPr>
          <w:ilvl w:val="0"/>
          <w:numId w:val="35"/>
        </w:numPr>
        <w:spacing w:line="480" w:lineRule="auto"/>
      </w:pPr>
      <w:r w:rsidRPr="00E55138">
        <w:t xml:space="preserve">Interventions within school settings </w:t>
      </w:r>
      <w:r>
        <w:t xml:space="preserve">– recommended, despite the ineffectiveness of </w:t>
      </w:r>
      <w:r w:rsidRPr="00E55138">
        <w:t>stand</w:t>
      </w:r>
      <w:r>
        <w:t>-</w:t>
      </w:r>
      <w:r w:rsidRPr="00E55138">
        <w:t>alone drugs education</w:t>
      </w:r>
      <w:r>
        <w:t>, due to evidence of the effectiveness of skills-</w:t>
      </w:r>
      <w:r w:rsidRPr="00E55138">
        <w:t>based and whole</w:t>
      </w:r>
      <w:r>
        <w:t>-s</w:t>
      </w:r>
      <w:r w:rsidRPr="00E55138">
        <w:t>chool interventions</w:t>
      </w:r>
      <w:r>
        <w:t xml:space="preserve">. </w:t>
      </w:r>
    </w:p>
    <w:p w14:paraId="75C363C6" w14:textId="28A5FC4C" w:rsidR="007B6EA9" w:rsidRDefault="007B6EA9" w:rsidP="00C92BD2">
      <w:pPr>
        <w:pStyle w:val="ListParagraph"/>
        <w:numPr>
          <w:ilvl w:val="0"/>
          <w:numId w:val="35"/>
        </w:numPr>
        <w:spacing w:line="480" w:lineRule="auto"/>
      </w:pPr>
      <w:r>
        <w:t>F</w:t>
      </w:r>
      <w:r w:rsidRPr="00E55138">
        <w:t>amily</w:t>
      </w:r>
      <w:r w:rsidR="00A868BB">
        <w:t>-</w:t>
      </w:r>
      <w:r w:rsidRPr="00E55138">
        <w:t>based interventions</w:t>
      </w:r>
      <w:r>
        <w:t xml:space="preserve"> – Mixed recommendations in line with mixed evidence of effectiveness. </w:t>
      </w:r>
    </w:p>
    <w:p w14:paraId="63D79B30" w14:textId="77777777" w:rsidR="007B6EA9" w:rsidRDefault="007B6EA9" w:rsidP="007B6EA9">
      <w:pPr>
        <w:spacing w:line="480" w:lineRule="auto"/>
      </w:pPr>
      <w:r>
        <w:rPr>
          <w:i/>
        </w:rPr>
        <w:t>Ineffective or counterproductive:</w:t>
      </w:r>
      <w:r>
        <w:br/>
        <w:t>The evidence for what does not work is stronger than for what does (ACMD, 2015), and the following approaches are generally not recommended due to clear evidence for their lack of effectiveness and potential for causing harm:</w:t>
      </w:r>
    </w:p>
    <w:p w14:paraId="61696ECE" w14:textId="77777777" w:rsidR="007B6EA9" w:rsidRDefault="007B6EA9" w:rsidP="00C92BD2">
      <w:pPr>
        <w:pStyle w:val="ListParagraph"/>
        <w:numPr>
          <w:ilvl w:val="0"/>
          <w:numId w:val="33"/>
        </w:numPr>
        <w:spacing w:line="480" w:lineRule="auto"/>
      </w:pPr>
      <w:r>
        <w:t xml:space="preserve">Approaches targeting only self-esteem/ confidence – ineffective and counterproductive </w:t>
      </w:r>
    </w:p>
    <w:p w14:paraId="24CCC408" w14:textId="77777777" w:rsidR="007B6EA9" w:rsidRDefault="007B6EA9" w:rsidP="00C92BD2">
      <w:pPr>
        <w:pStyle w:val="ListParagraph"/>
        <w:numPr>
          <w:ilvl w:val="0"/>
          <w:numId w:val="33"/>
        </w:numPr>
        <w:spacing w:line="480" w:lineRule="auto"/>
      </w:pPr>
      <w:r>
        <w:t xml:space="preserve">Standalone knowledge-based approaches – ineffective and counterproductive </w:t>
      </w:r>
    </w:p>
    <w:p w14:paraId="5E892FA9" w14:textId="77777777" w:rsidR="007B6EA9" w:rsidRDefault="007B6EA9" w:rsidP="00C92BD2">
      <w:pPr>
        <w:pStyle w:val="ListParagraph"/>
        <w:numPr>
          <w:ilvl w:val="0"/>
          <w:numId w:val="33"/>
        </w:numPr>
        <w:spacing w:line="480" w:lineRule="auto"/>
      </w:pPr>
      <w:r>
        <w:t>Fear appeals</w:t>
      </w:r>
      <w:r w:rsidRPr="008B18D2">
        <w:t xml:space="preserve"> </w:t>
      </w:r>
      <w:r>
        <w:t xml:space="preserve">– ineffective and counterproductive </w:t>
      </w:r>
    </w:p>
    <w:p w14:paraId="4FF64E8B" w14:textId="77777777" w:rsidR="007B6EA9" w:rsidRDefault="007B6EA9" w:rsidP="00C92BD2">
      <w:pPr>
        <w:pStyle w:val="ListParagraph"/>
        <w:numPr>
          <w:ilvl w:val="0"/>
          <w:numId w:val="34"/>
        </w:numPr>
        <w:spacing w:line="480" w:lineRule="auto"/>
      </w:pPr>
      <w:r>
        <w:t>A focus on moral/ethical decision making – ineffective</w:t>
      </w:r>
    </w:p>
    <w:p w14:paraId="373016C5" w14:textId="77777777" w:rsidR="007B6EA9" w:rsidRDefault="007B6EA9" w:rsidP="00C92BD2">
      <w:pPr>
        <w:pStyle w:val="ListParagraph"/>
        <w:numPr>
          <w:ilvl w:val="0"/>
          <w:numId w:val="34"/>
        </w:numPr>
        <w:spacing w:line="480" w:lineRule="auto"/>
      </w:pPr>
      <w:r>
        <w:t>Interventions led by ex-users – ineffective</w:t>
      </w:r>
    </w:p>
    <w:p w14:paraId="4AE64919" w14:textId="77777777" w:rsidR="007B6EA9" w:rsidRDefault="007B6EA9" w:rsidP="00C92BD2">
      <w:pPr>
        <w:pStyle w:val="ListParagraph"/>
        <w:numPr>
          <w:ilvl w:val="0"/>
          <w:numId w:val="34"/>
        </w:numPr>
        <w:spacing w:line="480" w:lineRule="auto"/>
      </w:pPr>
      <w:r>
        <w:t>Interventions led by the police – ineffective</w:t>
      </w:r>
    </w:p>
    <w:p w14:paraId="7F8F337F" w14:textId="77777777" w:rsidR="007B6EA9" w:rsidRDefault="007B6EA9" w:rsidP="007B6EA9">
      <w:pPr>
        <w:spacing w:line="480" w:lineRule="auto"/>
      </w:pPr>
      <w:r>
        <w:t xml:space="preserve">The only apparent exception to the advice against using these approaches is the recommendation within UK drugs policy which strongly endorses the use of interventions aiming to build young people’s confidence. </w:t>
      </w:r>
    </w:p>
    <w:p w14:paraId="33B79329" w14:textId="77777777" w:rsidR="007B6EA9" w:rsidRDefault="007B6EA9" w:rsidP="007B6EA9">
      <w:pPr>
        <w:pStyle w:val="Heading3"/>
      </w:pPr>
      <w:bookmarkStart w:id="272" w:name="_Toc35892586"/>
      <w:r>
        <w:t>General discussion</w:t>
      </w:r>
      <w:bookmarkEnd w:id="272"/>
    </w:p>
    <w:p w14:paraId="249567D5" w14:textId="48D7AC3A" w:rsidR="007B6EA9" w:rsidRDefault="004C54E0" w:rsidP="007B6EA9">
      <w:pPr>
        <w:spacing w:line="480" w:lineRule="auto"/>
      </w:pPr>
      <w:r>
        <w:t>D</w:t>
      </w:r>
      <w:r w:rsidR="007B6EA9">
        <w:t>espite some conflicting findings, the existing research evidence appears reasonably consistent, with some clear messages emerging about which approaches are most effective, and which are best avoided or used with caution. The strongest evidence base appears to support the use of combined skill-based approaches, particularly those focusing on social norms, interpersonal skills and personal skills. There is also evidence to indicate that interventions benefit from being interactive, non-judgemental and involving peers in delivery. In addition, evidence shows that it is best to avoid the use of standalone drug-k</w:t>
      </w:r>
      <w:r w:rsidR="007B6EA9" w:rsidRPr="00D21D80">
        <w:t>nowledge components</w:t>
      </w:r>
      <w:r w:rsidR="007B6EA9">
        <w:t xml:space="preserve">, </w:t>
      </w:r>
      <w:r w:rsidR="007B6EA9" w:rsidRPr="00D21D80">
        <w:t>fear appeals</w:t>
      </w:r>
      <w:r w:rsidR="007B6EA9">
        <w:t xml:space="preserve"> and isolated use of esteem/ confidence building approaches and to employ caution when employing social influences and affective skills components. </w:t>
      </w:r>
    </w:p>
    <w:p w14:paraId="12BD2B5A" w14:textId="77777777" w:rsidR="007B6EA9" w:rsidRDefault="007B6EA9" w:rsidP="007B6EA9">
      <w:pPr>
        <w:spacing w:line="480" w:lineRule="auto"/>
      </w:pPr>
      <w:r w:rsidRPr="00A7534B">
        <w:rPr>
          <w:i/>
        </w:rPr>
        <w:t>Contradictions</w:t>
      </w:r>
      <w:r>
        <w:rPr>
          <w:i/>
        </w:rPr>
        <w:t xml:space="preserve"> and tensions </w:t>
      </w:r>
      <w:r>
        <w:br/>
      </w:r>
      <w:r w:rsidRPr="00D21D80">
        <w:t xml:space="preserve">Despite </w:t>
      </w:r>
      <w:r>
        <w:t>the relative consistency of the findings,</w:t>
      </w:r>
      <w:r w:rsidRPr="00D21D80">
        <w:t xml:space="preserve"> </w:t>
      </w:r>
      <w:r>
        <w:t>there are also several contradictions between the evidence base and guidelines. Although most were reasonably minor, two of the more conspicuous contradictions were the continued support for stand-alone information provision, despite strong criticisms directed at stand-alone knowledge-based approaches, and the strong focus of UK policy on building young people’s confidence, despite the lack of evidence for confidence-based approaches.</w:t>
      </w:r>
    </w:p>
    <w:p w14:paraId="7E34CE6B" w14:textId="02CCAF9A" w:rsidR="007B6EA9" w:rsidRDefault="007B6EA9" w:rsidP="007B6EA9">
      <w:pPr>
        <w:spacing w:line="480" w:lineRule="auto"/>
        <w:rPr>
          <w:color w:val="000000"/>
          <w:szCs w:val="24"/>
          <w:lang w:eastAsia="en-GB"/>
        </w:rPr>
      </w:pPr>
      <w:r>
        <w:t xml:space="preserve">These contradictions are symptomatic of ongoing tension that runs through the UK public health context. That is the tension </w:t>
      </w:r>
      <w:r>
        <w:rPr>
          <w:color w:val="000000"/>
          <w:szCs w:val="24"/>
          <w:lang w:eastAsia="en-GB"/>
        </w:rPr>
        <w:t xml:space="preserve">between structuralist perspectives which highlight the importance of social structures in shaping health outcomes and individualist perspectives that emphasise the role of individual agency and personal responsibility for health. </w:t>
      </w:r>
    </w:p>
    <w:p w14:paraId="4ADFDDF3" w14:textId="309CBC67" w:rsidR="007B6EA9" w:rsidRDefault="007B6EA9" w:rsidP="007B6EA9">
      <w:pPr>
        <w:spacing w:line="480" w:lineRule="auto"/>
        <w:rPr>
          <w:color w:val="000000"/>
          <w:szCs w:val="24"/>
          <w:lang w:eastAsia="en-GB"/>
        </w:rPr>
      </w:pPr>
      <w:r>
        <w:rPr>
          <w:color w:val="000000"/>
          <w:szCs w:val="24"/>
          <w:lang w:eastAsia="en-GB"/>
        </w:rPr>
        <w:t xml:space="preserve">In this context, </w:t>
      </w:r>
      <w:r>
        <w:t xml:space="preserve">UK drug strategy and policies present a strongly individualised </w:t>
      </w:r>
      <w:r w:rsidR="001746A4">
        <w:t>perspective</w:t>
      </w:r>
      <w:r>
        <w:t xml:space="preserve"> on drug use while the other guidelines, particularly the European and International guidelines, present a perspective that takes greater account of wider social factors. This emphasis on wider social factors is in line </w:t>
      </w:r>
      <w:r>
        <w:rPr>
          <w:color w:val="000000"/>
          <w:szCs w:val="24"/>
          <w:lang w:eastAsia="en-GB"/>
        </w:rPr>
        <w:t xml:space="preserve">with the ‘social wave’ of public health which emerged alongside growing awareness of the impacts of social inequities on health (e.g., Black, Morris, Smith &amp; Townsend, 1980; Lawn et al., 2008; Davies et. al. 2014). In light of this recognition, the ethical obligation to address health inequalities has steadily gained influence as a political issue and the reduction of health inequalities is now a key strategic priority both internationally (WHO, 2014) and in the UK (Public Health England, 2013). Along with </w:t>
      </w:r>
      <w:r w:rsidRPr="007C13BB">
        <w:rPr>
          <w:color w:val="000000"/>
          <w:szCs w:val="24"/>
          <w:lang w:eastAsia="en-GB"/>
        </w:rPr>
        <w:t>increa</w:t>
      </w:r>
      <w:r>
        <w:rPr>
          <w:color w:val="000000"/>
          <w:szCs w:val="24"/>
          <w:lang w:eastAsia="en-GB"/>
        </w:rPr>
        <w:t>sed</w:t>
      </w:r>
      <w:r w:rsidRPr="007C13BB">
        <w:rPr>
          <w:color w:val="000000"/>
          <w:szCs w:val="24"/>
          <w:lang w:eastAsia="en-GB"/>
        </w:rPr>
        <w:t xml:space="preserve"> </w:t>
      </w:r>
      <w:r>
        <w:rPr>
          <w:color w:val="000000"/>
          <w:szCs w:val="24"/>
          <w:lang w:eastAsia="en-GB"/>
        </w:rPr>
        <w:t>awareness of the social determinants of health came</w:t>
      </w:r>
      <w:r w:rsidRPr="007C13BB">
        <w:rPr>
          <w:color w:val="000000"/>
          <w:szCs w:val="24"/>
          <w:lang w:eastAsia="en-GB"/>
        </w:rPr>
        <w:t xml:space="preserve"> the accompanying recognition that health promotion must also address</w:t>
      </w:r>
      <w:r>
        <w:rPr>
          <w:color w:val="000000"/>
          <w:szCs w:val="24"/>
          <w:lang w:eastAsia="en-GB"/>
        </w:rPr>
        <w:t xml:space="preserve"> the</w:t>
      </w:r>
      <w:r w:rsidRPr="007C13BB">
        <w:rPr>
          <w:color w:val="000000"/>
          <w:szCs w:val="24"/>
          <w:lang w:eastAsia="en-GB"/>
        </w:rPr>
        <w:t xml:space="preserve"> social </w:t>
      </w:r>
      <w:r>
        <w:rPr>
          <w:color w:val="000000"/>
          <w:szCs w:val="24"/>
          <w:lang w:eastAsia="en-GB"/>
        </w:rPr>
        <w:t>and economic factors</w:t>
      </w:r>
      <w:r w:rsidRPr="007C13BB">
        <w:rPr>
          <w:color w:val="000000"/>
          <w:szCs w:val="24"/>
          <w:lang w:eastAsia="en-GB"/>
        </w:rPr>
        <w:t xml:space="preserve"> </w:t>
      </w:r>
      <w:r>
        <w:rPr>
          <w:color w:val="000000"/>
          <w:szCs w:val="24"/>
          <w:lang w:eastAsia="en-GB"/>
        </w:rPr>
        <w:t>that shape behaviour and determine health outcomes (Rose, 1992).</w:t>
      </w:r>
    </w:p>
    <w:p w14:paraId="5A0031FC" w14:textId="1760C84A" w:rsidR="007E7BB9" w:rsidRDefault="007B6EA9" w:rsidP="007B6EA9">
      <w:pPr>
        <w:spacing w:line="480" w:lineRule="auto"/>
      </w:pPr>
      <w:r w:rsidRPr="001D3AAD">
        <w:rPr>
          <w:i/>
          <w:color w:val="000000"/>
          <w:szCs w:val="24"/>
          <w:lang w:eastAsia="en-GB"/>
        </w:rPr>
        <w:t>Informational approaches</w:t>
      </w:r>
      <w:r w:rsidRPr="001D3AAD">
        <w:rPr>
          <w:i/>
          <w:color w:val="000000"/>
          <w:szCs w:val="24"/>
          <w:lang w:eastAsia="en-GB"/>
        </w:rPr>
        <w:br/>
      </w:r>
      <w:r>
        <w:rPr>
          <w:color w:val="000000"/>
          <w:szCs w:val="24"/>
          <w:lang w:eastAsia="en-GB"/>
        </w:rPr>
        <w:t xml:space="preserve">The contradictions seen here arise as a result of continued attempts to apply traditional individualistic approaches to drug prevention despite growing recognition of the impact of wider social and environmental factors on drug use. </w:t>
      </w:r>
      <w:r w:rsidR="00A868BB">
        <w:rPr>
          <w:color w:val="000000"/>
          <w:szCs w:val="24"/>
          <w:lang w:eastAsia="en-GB"/>
        </w:rPr>
        <w:t>Regarding</w:t>
      </w:r>
      <w:r>
        <w:rPr>
          <w:color w:val="000000"/>
          <w:szCs w:val="24"/>
          <w:lang w:eastAsia="en-GB"/>
        </w:rPr>
        <w:t xml:space="preserve"> </w:t>
      </w:r>
      <w:r>
        <w:t>continued support for stand-alone information provision, the reliance on informational approaches rests upon a model of young people as ‘rational consumers’ (ACMD, 2015; HM Government, 2010; 2016; 2017).</w:t>
      </w:r>
      <w:r w:rsidRPr="00720C49">
        <w:t xml:space="preserve"> </w:t>
      </w:r>
      <w:r>
        <w:t>In policy-level papers, the UK Government explicitly state that its demand reduction approach assumes a model in which ‘people’s behaviour is the outcome of rational decision making and if rational individuals are aware of the dangers associated with drugs they will choose not to take them, and by providing information, interventions aim to make drug users more likely to reduce or quit, and non -users less likely to start’ (HM Government, 2010b, p.11). UK Drug policy frames drug use as the outcome of individual choice, placing responsibility for drug use predominantly on the individual. Young people are held</w:t>
      </w:r>
      <w:r w:rsidRPr="001551DB">
        <w:t xml:space="preserve"> accountable for their </w:t>
      </w:r>
      <w:r>
        <w:t xml:space="preserve">own drug </w:t>
      </w:r>
    </w:p>
    <w:p w14:paraId="09528F85" w14:textId="573CFE9A" w:rsidR="007B6EA9" w:rsidRPr="003227BB" w:rsidRDefault="007B6EA9" w:rsidP="007B6EA9">
      <w:pPr>
        <w:spacing w:line="480" w:lineRule="auto"/>
        <w:rPr>
          <w:color w:val="000000"/>
          <w:szCs w:val="24"/>
          <w:lang w:eastAsia="en-GB"/>
        </w:rPr>
      </w:pPr>
      <w:r>
        <w:t xml:space="preserve">use and are presented as </w:t>
      </w:r>
      <w:r w:rsidRPr="001551DB">
        <w:t>responsib</w:t>
      </w:r>
      <w:r>
        <w:t>le</w:t>
      </w:r>
      <w:r w:rsidRPr="001551DB">
        <w:t xml:space="preserve"> for their own health</w:t>
      </w:r>
      <w:r>
        <w:t xml:space="preserve"> (HM Government, 2010).  </w:t>
      </w:r>
    </w:p>
    <w:p w14:paraId="3F58856F" w14:textId="77777777" w:rsidR="007B6EA9" w:rsidRDefault="007B6EA9" w:rsidP="007B6EA9">
      <w:pPr>
        <w:spacing w:line="480" w:lineRule="auto"/>
      </w:pPr>
      <w:r>
        <w:t>The</w:t>
      </w:r>
      <w:r w:rsidRPr="00720C49">
        <w:t xml:space="preserve"> </w:t>
      </w:r>
      <w:r>
        <w:t>problem is well illustrated in the ACMD report (2015) and UK drugs policy (2017). Despite both parties clearly acknowledging that the</w:t>
      </w:r>
      <w:r w:rsidRPr="00C01D66">
        <w:t xml:space="preserve"> programmes least</w:t>
      </w:r>
      <w:r>
        <w:t xml:space="preserve"> </w:t>
      </w:r>
      <w:r w:rsidRPr="00C01D66">
        <w:t xml:space="preserve">effective in preventing substance </w:t>
      </w:r>
      <w:r>
        <w:t>use</w:t>
      </w:r>
      <w:r w:rsidRPr="00C01D66">
        <w:t xml:space="preserve"> are knowledge-only approaches</w:t>
      </w:r>
      <w:r>
        <w:t xml:space="preserve"> and </w:t>
      </w:r>
      <w:r w:rsidRPr="00C01D66">
        <w:t>mass media campaigns</w:t>
      </w:r>
      <w:r>
        <w:t xml:space="preserve">, they each go on to recommend stand-alone media-based drug information provision as a core aspect of their recommended preventative action aimed at young people.  </w:t>
      </w:r>
    </w:p>
    <w:p w14:paraId="4203BBEE" w14:textId="77777777" w:rsidR="007B6EA9" w:rsidRPr="001D3AAD" w:rsidRDefault="007B6EA9" w:rsidP="007B6EA9">
      <w:pPr>
        <w:spacing w:line="480" w:lineRule="auto"/>
        <w:rPr>
          <w:i/>
          <w:color w:val="000000"/>
          <w:szCs w:val="24"/>
          <w:lang w:eastAsia="en-GB"/>
        </w:rPr>
      </w:pPr>
      <w:r>
        <w:rPr>
          <w:i/>
          <w:color w:val="000000"/>
          <w:szCs w:val="24"/>
          <w:lang w:eastAsia="en-GB"/>
        </w:rPr>
        <w:t>The shift toward d</w:t>
      </w:r>
      <w:r w:rsidRPr="001D3AAD">
        <w:rPr>
          <w:i/>
          <w:color w:val="000000"/>
          <w:szCs w:val="24"/>
          <w:lang w:eastAsia="en-GB"/>
        </w:rPr>
        <w:t xml:space="preserve">evelopmental approaches </w:t>
      </w:r>
      <w:r>
        <w:rPr>
          <w:i/>
          <w:color w:val="000000"/>
          <w:szCs w:val="24"/>
          <w:lang w:eastAsia="en-GB"/>
        </w:rPr>
        <w:br/>
      </w:r>
      <w:r>
        <w:rPr>
          <w:color w:val="000000"/>
          <w:szCs w:val="24"/>
          <w:lang w:eastAsia="en-GB"/>
        </w:rPr>
        <w:t xml:space="preserve">This endorsement of </w:t>
      </w:r>
      <w:r w:rsidRPr="00C01D66">
        <w:t>knowledge-only approaches</w:t>
      </w:r>
      <w:r>
        <w:t xml:space="preserve"> runs counter to the general consensus within the drug prevention field in which</w:t>
      </w:r>
      <w:r>
        <w:rPr>
          <w:color w:val="000000"/>
          <w:szCs w:val="24"/>
          <w:lang w:eastAsia="en-GB"/>
        </w:rPr>
        <w:t xml:space="preserve"> d</w:t>
      </w:r>
      <w:r w:rsidRPr="00FF643E">
        <w:t>rug prevention</w:t>
      </w:r>
      <w:r>
        <w:t xml:space="preserve"> activities</w:t>
      </w:r>
      <w:r w:rsidRPr="00FF643E">
        <w:t xml:space="preserve"> ha</w:t>
      </w:r>
      <w:r>
        <w:t>ve</w:t>
      </w:r>
      <w:r w:rsidRPr="00FF643E">
        <w:t xml:space="preserve"> increasingly shifted from</w:t>
      </w:r>
      <w:r>
        <w:t xml:space="preserve"> an emphasis on</w:t>
      </w:r>
      <w:r w:rsidRPr="00FF643E">
        <w:t xml:space="preserve"> information provision </w:t>
      </w:r>
      <w:r>
        <w:t xml:space="preserve">to a focus on </w:t>
      </w:r>
      <w:r w:rsidRPr="00FF643E">
        <w:t xml:space="preserve">developmental </w:t>
      </w:r>
      <w:r>
        <w:t xml:space="preserve">and environmental </w:t>
      </w:r>
      <w:r w:rsidRPr="00FF643E">
        <w:t>approaches</w:t>
      </w:r>
      <w:r>
        <w:t xml:space="preserve"> that pay greater attention to wider factors and view young people as embedded within the wider social and environmental context. T</w:t>
      </w:r>
      <w:r w:rsidRPr="00FF643E">
        <w:t xml:space="preserve">his </w:t>
      </w:r>
      <w:r>
        <w:t xml:space="preserve">shift </w:t>
      </w:r>
      <w:r w:rsidRPr="00FF643E">
        <w:t xml:space="preserve">is reflected in the strong emphasis placed on skill-based approaches in the evidence-base and guideline recommendations. </w:t>
      </w:r>
    </w:p>
    <w:p w14:paraId="244D73AD" w14:textId="76F080F7" w:rsidR="007B6EA9" w:rsidRPr="00A7534B" w:rsidRDefault="007B6EA9" w:rsidP="007B6EA9">
      <w:pPr>
        <w:spacing w:line="480" w:lineRule="auto"/>
        <w:rPr>
          <w:color w:val="000000"/>
          <w:szCs w:val="24"/>
          <w:lang w:eastAsia="en-GB"/>
        </w:rPr>
      </w:pPr>
      <w:r>
        <w:t xml:space="preserve">Although many skill-based approaches still contain a decision-making component, drug use is framed as rooted in developmental risk and protective factors, including a young person’s socio-economic position and material circumstances. The developmental perspective shifts intervention activities from prevention of drug use, to </w:t>
      </w:r>
      <w:r w:rsidR="00A868BB">
        <w:t xml:space="preserve">the </w:t>
      </w:r>
      <w:r>
        <w:t xml:space="preserve">prevention of the development of health and social problems (ACMD, 2015). Universal prevention activities become life-course approaches that aim to promote health and well-being with the goal of enhancing strengths so as to reduce the risk of problematic outcomes later (ACMD, 2015; HM Government, 2017). </w:t>
      </w:r>
    </w:p>
    <w:p w14:paraId="5F95AD50" w14:textId="77777777" w:rsidR="007E7BB9" w:rsidRDefault="007B6EA9" w:rsidP="007B6EA9">
      <w:pPr>
        <w:spacing w:line="480" w:lineRule="auto"/>
      </w:pPr>
      <w:r>
        <w:t xml:space="preserve">This shift towards a strengths-based perspective is reflected in the strong focus on building young people’s confidence and resilience in UK drug strategy. Universal action to promote health is aimed at giving young people the confidence, resilience and risk management skills </w:t>
      </w:r>
    </w:p>
    <w:p w14:paraId="4A5B81FF" w14:textId="03908BE1" w:rsidR="007B6EA9" w:rsidRDefault="007B6EA9" w:rsidP="007B6EA9">
      <w:pPr>
        <w:spacing w:line="480" w:lineRule="auto"/>
      </w:pPr>
      <w:r>
        <w:t>to resist risky behaviour (HM Government, 2017). However, in relying upon a very individualised conceptualisation of resilience, UK drugs policy manages to ratify an individualistic model of behaviour with a developmental perspective. Although within the field of resilience research, the concept of resilience has evolved from an individual-level internal trait or capacity to a more ecological understanding that</w:t>
      </w:r>
      <w:r w:rsidRPr="00CB3C76">
        <w:t xml:space="preserve"> encompas</w:t>
      </w:r>
      <w:r>
        <w:t xml:space="preserve">ses </w:t>
      </w:r>
      <w:r w:rsidRPr="00CB3C76">
        <w:t>wider social factors</w:t>
      </w:r>
      <w:r>
        <w:t xml:space="preserve"> (Masten, 2007), UK drug strategy presents an internalised concept of resilience more in line with early definitions. In emphasising the need for young people to be more resilient to the range of risks they face, young people continue to be framed as personally responsible for ameliorating the risk factors underpinning drug use and ensuring they keep themselves healthy (HM Government, 2017).</w:t>
      </w:r>
    </w:p>
    <w:p w14:paraId="3396FEC9" w14:textId="77777777" w:rsidR="007B6EA9" w:rsidRDefault="007B6EA9" w:rsidP="007B6EA9">
      <w:pPr>
        <w:spacing w:line="480" w:lineRule="auto"/>
      </w:pPr>
      <w:r>
        <w:t>The significance of an individualised understanding of drug use is in the implications this has for addressing health and social inequalities.</w:t>
      </w:r>
      <w:r>
        <w:rPr>
          <w:color w:val="000000"/>
          <w:szCs w:val="24"/>
          <w:lang w:eastAsia="en-GB"/>
        </w:rPr>
        <w:t xml:space="preserve"> If drug use is seen as solely or largely the responsibility of the individual, then the influence of structural factors associated with drug use are deemphasised and the </w:t>
      </w:r>
      <w:r>
        <w:t xml:space="preserve">responsibility the State bears to address the structural influences contributing to drug harms </w:t>
      </w:r>
      <w:r>
        <w:rPr>
          <w:color w:val="000000"/>
          <w:szCs w:val="24"/>
          <w:lang w:eastAsia="en-GB"/>
        </w:rPr>
        <w:t xml:space="preserve">is diminished. Where those structural factors are related social and health inequalities, the individual then becomes burdened with the reduction of health inequalities in the expectation that they should overcome the impact of social inequalities </w:t>
      </w:r>
      <w:r>
        <w:t>contributing to their drug use through their own efforts.</w:t>
      </w:r>
    </w:p>
    <w:p w14:paraId="42B9351E" w14:textId="14E1FD32" w:rsidR="007B6EA9" w:rsidRPr="001D3AAD" w:rsidRDefault="007B6EA9" w:rsidP="007B6EA9">
      <w:pPr>
        <w:spacing w:line="480" w:lineRule="auto"/>
        <w:rPr>
          <w:i/>
        </w:rPr>
      </w:pPr>
      <w:r>
        <w:rPr>
          <w:i/>
        </w:rPr>
        <w:t>The growing popularity of e</w:t>
      </w:r>
      <w:r w:rsidRPr="001D3AAD">
        <w:rPr>
          <w:i/>
        </w:rPr>
        <w:t xml:space="preserve">nvironmental approaches </w:t>
      </w:r>
      <w:r>
        <w:rPr>
          <w:i/>
        </w:rPr>
        <w:br/>
      </w:r>
      <w:r>
        <w:t xml:space="preserve">While developmental approaches seek to influence risk and protective factors that precede and prevent later drug use, environmental approaches aim to alter the young person’s immediate </w:t>
      </w:r>
      <w:r w:rsidRPr="00B92192">
        <w:t>cultural, social, physical, and economic environments</w:t>
      </w:r>
      <w:r>
        <w:t xml:space="preserve"> </w:t>
      </w:r>
      <w:r w:rsidRPr="00B92192">
        <w:t>in which</w:t>
      </w:r>
      <w:r>
        <w:t xml:space="preserve"> they</w:t>
      </w:r>
      <w:r w:rsidRPr="00B92192">
        <w:t xml:space="preserve"> make their choices about drug use</w:t>
      </w:r>
      <w:r>
        <w:t xml:space="preserve"> (EMCDDA, 2011). An environmental </w:t>
      </w:r>
      <w:r w:rsidR="00194219">
        <w:t>perspective</w:t>
      </w:r>
      <w:r>
        <w:t xml:space="preserve"> acknowledges that young people’s drug use is not based solely on individual-level factors or personal characteristics. Young people are viewed instead as being </w:t>
      </w:r>
      <w:r w:rsidRPr="00B92192">
        <w:t>influenced by a complex set of</w:t>
      </w:r>
      <w:r>
        <w:t xml:space="preserve"> individual and environmental </w:t>
      </w:r>
      <w:r w:rsidRPr="00B92192">
        <w:t>factors</w:t>
      </w:r>
      <w:r>
        <w:t xml:space="preserve"> including</w:t>
      </w:r>
      <w:r w:rsidRPr="00B92192">
        <w:t xml:space="preserve"> </w:t>
      </w:r>
      <w:r>
        <w:t>social norms</w:t>
      </w:r>
      <w:r w:rsidRPr="00B92192">
        <w:t xml:space="preserve">; </w:t>
      </w:r>
      <w:r>
        <w:t xml:space="preserve">laws and </w:t>
      </w:r>
      <w:r w:rsidRPr="00B92192">
        <w:t xml:space="preserve">regulations and taxes; </w:t>
      </w:r>
      <w:r>
        <w:t xml:space="preserve">exposure to </w:t>
      </w:r>
      <w:r w:rsidRPr="00B92192">
        <w:t xml:space="preserve">publicity messages; and the availability of </w:t>
      </w:r>
      <w:r>
        <w:t xml:space="preserve">drugs. </w:t>
      </w:r>
    </w:p>
    <w:p w14:paraId="5637A068" w14:textId="78B15413" w:rsidR="007B6EA9" w:rsidRDefault="007B6EA9" w:rsidP="00D378FB">
      <w:pPr>
        <w:spacing w:line="480" w:lineRule="auto"/>
      </w:pPr>
      <w:r w:rsidRPr="00D52907">
        <w:t xml:space="preserve">Environmental approaches can focus on levels close to young people, or more distal levels. A useful tool for </w:t>
      </w:r>
      <w:r>
        <w:t>considering the</w:t>
      </w:r>
      <w:r w:rsidRPr="00D52907">
        <w:t xml:space="preserve"> social and environmental levels is Brofenbrenner</w:t>
      </w:r>
      <w:r>
        <w:t>’</w:t>
      </w:r>
      <w:r w:rsidRPr="00D52907">
        <w:t xml:space="preserve">s </w:t>
      </w:r>
      <w:r>
        <w:t xml:space="preserve">(1977, 1986) </w:t>
      </w:r>
      <w:r w:rsidRPr="00D52907">
        <w:t xml:space="preserve">ecological model of development (see </w:t>
      </w:r>
      <w:r>
        <w:t>F</w:t>
      </w:r>
      <w:r w:rsidRPr="00D52907">
        <w:t xml:space="preserve">igure </w:t>
      </w:r>
      <w:r w:rsidR="00311FB4">
        <w:t>3-1</w:t>
      </w:r>
      <w:r w:rsidRPr="00D52907">
        <w:t xml:space="preserve">). </w:t>
      </w:r>
    </w:p>
    <w:p w14:paraId="2F118DD3" w14:textId="6E248F9A" w:rsidR="007B6EA9" w:rsidRDefault="007B6EA9" w:rsidP="00D378FB">
      <w:pPr>
        <w:pStyle w:val="FigureHeading"/>
      </w:pPr>
      <w:bookmarkStart w:id="273" w:name="_Toc9509129"/>
      <w:r w:rsidRPr="004E4D04">
        <w:t xml:space="preserve">Figure </w:t>
      </w:r>
      <w:r w:rsidR="00D378FB">
        <w:t>3-</w:t>
      </w:r>
      <w:r w:rsidRPr="004E4D04">
        <w:t>1. Brofenbrenner</w:t>
      </w:r>
      <w:r>
        <w:t>’</w:t>
      </w:r>
      <w:r w:rsidRPr="004E4D04">
        <w:t xml:space="preserve">s </w:t>
      </w:r>
      <w:r>
        <w:t xml:space="preserve">(1977, 1986) </w:t>
      </w:r>
      <w:r w:rsidRPr="004E4D04">
        <w:t>ecological model of development</w:t>
      </w:r>
      <w:bookmarkEnd w:id="273"/>
      <w:r w:rsidRPr="004E4D04">
        <w:t xml:space="preserve"> </w:t>
      </w:r>
    </w:p>
    <w:p w14:paraId="4F7A9B89" w14:textId="77777777" w:rsidR="007B6EA9" w:rsidRDefault="007B6EA9" w:rsidP="007B6EA9">
      <w:pPr>
        <w:spacing w:line="480" w:lineRule="auto"/>
      </w:pPr>
      <w:r>
        <w:rPr>
          <w:noProof/>
          <w:lang w:val="en-US" w:eastAsia="en-US"/>
        </w:rPr>
        <w:drawing>
          <wp:inline distT="0" distB="0" distL="0" distR="0" wp14:anchorId="065998E1" wp14:editId="364AACCE">
            <wp:extent cx="4855210" cy="5557652"/>
            <wp:effectExtent l="495300" t="0" r="516890"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E043F1" w14:textId="77777777" w:rsidR="007E7BB9" w:rsidRDefault="007B6EA9" w:rsidP="007B6EA9">
      <w:pPr>
        <w:spacing w:line="480" w:lineRule="auto"/>
      </w:pPr>
      <w:r w:rsidRPr="00D52907">
        <w:t xml:space="preserve">The immediate environment in which the individual is embedded is the microsystem, </w:t>
      </w:r>
      <w:r>
        <w:t xml:space="preserve">that is, </w:t>
      </w:r>
      <w:r w:rsidRPr="00D52907">
        <w:t xml:space="preserve">the contexts of everyday life which provide the settings for many environmental </w:t>
      </w:r>
    </w:p>
    <w:p w14:paraId="2DADC657" w14:textId="0CEF26A8" w:rsidR="007B6EA9" w:rsidRPr="003C7C2A" w:rsidRDefault="007B6EA9" w:rsidP="007B6EA9">
      <w:pPr>
        <w:spacing w:line="480" w:lineRule="auto"/>
        <w:rPr>
          <w:color w:val="365F91" w:themeColor="accent1" w:themeShade="BF"/>
        </w:rPr>
      </w:pPr>
      <w:r w:rsidRPr="00D52907">
        <w:t>interventions. The evidence base provided evidence for environmental interventions set in schools, families, health services and nightlife/entertainment venues. In targeting the environments that young people engage with directly and the social norms and polic</w:t>
      </w:r>
      <w:r w:rsidR="00A868BB">
        <w:t>i</w:t>
      </w:r>
      <w:r w:rsidRPr="00D52907">
        <w:t>es that operate in those environments</w:t>
      </w:r>
      <w:r>
        <w:t>,</w:t>
      </w:r>
      <w:r w:rsidRPr="00D52907">
        <w:t xml:space="preserve"> these interventions operate largely at micro and meso levels. Environmental interventions can also target influences which shape micro and meso systems, though actions operating at </w:t>
      </w:r>
      <w:r w:rsidR="00A868BB">
        <w:t>E</w:t>
      </w:r>
      <w:r w:rsidRPr="00D52907">
        <w:t xml:space="preserve">xo and macro levels, such as changes to the education system or regulatory measures.  </w:t>
      </w:r>
    </w:p>
    <w:p w14:paraId="7E9EBCD6" w14:textId="4DAAAB22" w:rsidR="007B6EA9" w:rsidRDefault="007B6EA9" w:rsidP="00D378FB">
      <w:pPr>
        <w:spacing w:line="480" w:lineRule="auto"/>
      </w:pPr>
      <w:r>
        <w:t xml:space="preserve">Although environmental approaches are gaining in popularity (EMCDDA, 2011) </w:t>
      </w:r>
      <w:r w:rsidR="004C54E0">
        <w:t xml:space="preserve">they are not as well represented in the guideline </w:t>
      </w:r>
      <w:r>
        <w:t>evidence base</w:t>
      </w:r>
      <w:r w:rsidR="004C54E0">
        <w:t xml:space="preserve"> as</w:t>
      </w:r>
      <w:r w:rsidRPr="003815C0">
        <w:t xml:space="preserve"> </w:t>
      </w:r>
      <w:r>
        <w:t>developmental approaches. One example of an environmental approach is the whole-school approach. Whole-school approaches aim to influence risk and protective factors to reduce the</w:t>
      </w:r>
      <w:r w:rsidRPr="003815C0">
        <w:t xml:space="preserve"> </w:t>
      </w:r>
      <w:r>
        <w:t>likelihood that young people will take drugs th</w:t>
      </w:r>
      <w:r w:rsidR="00A868BB">
        <w:t>r</w:t>
      </w:r>
      <w:r>
        <w:t>ough increasing young peoples’ attachment to</w:t>
      </w:r>
      <w:r w:rsidRPr="003C7C2A">
        <w:t xml:space="preserve"> </w:t>
      </w:r>
      <w:r>
        <w:t>school and improving their relationships with staff and peers. Whole-school approaches to drug use have shown positive results with illicit drug use, and there is no reason to suspect they would be less effective for NPS use than illicit drugs as they target general risk factors for substance use. However, as they are focused on generic risk factors, they are unlikely to require significant adaptation for use with NPS.</w:t>
      </w:r>
    </w:p>
    <w:p w14:paraId="2ABF57A7" w14:textId="77777777" w:rsidR="007B6EA9" w:rsidRDefault="007B6EA9" w:rsidP="00D378FB">
      <w:pPr>
        <w:spacing w:line="480" w:lineRule="auto"/>
      </w:pPr>
      <w:r>
        <w:t>What constitutes an environmental approach is not always clear cut, and as</w:t>
      </w:r>
      <w:r w:rsidRPr="006B3B10">
        <w:t xml:space="preserve"> with </w:t>
      </w:r>
      <w:r>
        <w:t xml:space="preserve">informational approaches there can be an environmental component to intervention programmes. While interventions targeting levels more distal from the individual such as policies and legislation might be more easily labelled as environmental interventions, activities targeted at the micro and meso levels which individuals interact with more directly commonly involve multiple components that interact with both the individual and the environment. </w:t>
      </w:r>
    </w:p>
    <w:p w14:paraId="09926987" w14:textId="277428B8" w:rsidR="007B6EA9" w:rsidRDefault="007B6EA9" w:rsidP="00D378FB">
      <w:pPr>
        <w:spacing w:line="480" w:lineRule="auto"/>
      </w:pPr>
      <w:r w:rsidRPr="00D378FB">
        <w:rPr>
          <w:i/>
        </w:rPr>
        <w:t xml:space="preserve">Multi-component and multi-level approaches </w:t>
      </w:r>
      <w:r w:rsidRPr="00D378FB">
        <w:rPr>
          <w:i/>
        </w:rPr>
        <w:br/>
      </w:r>
      <w:r>
        <w:t>There is strong support for the use of multi-component approaches within the guidelines (ACMD, 2015; EMCDDA, 2011; Mentor-ADEPIS, 2014; UNODC, 2018) with several problematic intervention components being recommended for use only within wider strategies.  However, multi-component approaches can be challenging to implement and evaluate, and as a result</w:t>
      </w:r>
      <w:r w:rsidR="00A868BB">
        <w:t>,</w:t>
      </w:r>
      <w:r>
        <w:t xml:space="preserve"> there is a limited evidence base for these approaches. Nevertheless, multi-component approaches are considered to hold promise as the efficacy of various intervention components appears to be improved when part of a wider multi-component approach (Brotherhood, et. al., 2013; EMCDDA, 2011). </w:t>
      </w:r>
    </w:p>
    <w:p w14:paraId="50E71AF0" w14:textId="77777777" w:rsidR="007B6EA9" w:rsidRPr="00D378FB" w:rsidRDefault="007B6EA9" w:rsidP="00F354D7">
      <w:pPr>
        <w:spacing w:line="480" w:lineRule="auto"/>
      </w:pPr>
      <w:r>
        <w:t xml:space="preserve">Although multi-component approaches can refer to multiple domains at the same level, as with skills-based approaches which combine more than one skill domain (e.g. social skills, communication skills, affective skills, cognitive skills etc.), multi-component is also used to describe multi-level approaches which combine intervention activities across levels such as combining skills-based programmes with whole schools approaches and community-based initiatives. </w:t>
      </w:r>
    </w:p>
    <w:p w14:paraId="4D013A2F" w14:textId="0B941B05" w:rsidR="007B6EA9" w:rsidRPr="00AF2F1D" w:rsidRDefault="007B6EA9" w:rsidP="00F354D7">
      <w:pPr>
        <w:spacing w:line="480" w:lineRule="auto"/>
      </w:pPr>
      <w:r>
        <w:t xml:space="preserve">Interventions in health service and nightlife/entertainment settings, although distinguished by the environment in which they are implemented, are examples of multi-component interventions. For </w:t>
      </w:r>
      <w:r w:rsidRPr="00790AC0">
        <w:t>example, intervention programmes implemented in nightlife settings can involve changes to; the physical environment such as chill</w:t>
      </w:r>
      <w:r w:rsidR="00A868BB">
        <w:t>-</w:t>
      </w:r>
      <w:r w:rsidRPr="00790AC0">
        <w:t xml:space="preserve">out rooms; staff training to recognise when people are under the influence; attitudes and drug-taking norms; provision of </w:t>
      </w:r>
      <w:r>
        <w:t xml:space="preserve">drug-risk </w:t>
      </w:r>
      <w:r w:rsidRPr="00790AC0">
        <w:t xml:space="preserve">information and </w:t>
      </w:r>
      <w:r>
        <w:t xml:space="preserve">harm-reduction </w:t>
      </w:r>
      <w:r w:rsidRPr="00790AC0">
        <w:t xml:space="preserve">education; provision of drug testing services; and the sharing of drug information with early warning systems (Charlois, 2009; </w:t>
      </w:r>
      <w:r w:rsidRPr="00AF2F1D">
        <w:t xml:space="preserve">EMCDDA, 2012; Brunt </w:t>
      </w:r>
      <w:r w:rsidR="007E0F63">
        <w:t>&amp;</w:t>
      </w:r>
      <w:r w:rsidRPr="00AF2F1D">
        <w:t xml:space="preserve"> Niesink, 2011; Valente et al., 2015).</w:t>
      </w:r>
    </w:p>
    <w:p w14:paraId="4322047A" w14:textId="77777777" w:rsidR="007B6EA9" w:rsidRPr="00AF2F1D" w:rsidRDefault="007B6EA9" w:rsidP="00F354D7">
      <w:pPr>
        <w:spacing w:line="480" w:lineRule="auto"/>
      </w:pPr>
      <w:r w:rsidRPr="00AF2F1D">
        <w:t>Although there is no evidence demonstrating the effectiveness of this sort of program</w:t>
      </w:r>
      <w:r>
        <w:t>me</w:t>
      </w:r>
      <w:r w:rsidRPr="00AF2F1D">
        <w:t xml:space="preserve"> with NPS, there is some evidence that some initiatives are associated with positive drug prevention </w:t>
      </w:r>
      <w:r w:rsidRPr="00D378FB">
        <w:t>outcomes, particularly when combined with a community approach (Fletcher et. al., 2010). The</w:t>
      </w:r>
      <w:r w:rsidRPr="00AF2F1D">
        <w:t xml:space="preserve"> EMCDDA advise that interventions in nightlife settings a</w:t>
      </w:r>
      <w:r>
        <w:t>re</w:t>
      </w:r>
      <w:r w:rsidRPr="00AF2F1D">
        <w:t xml:space="preserve"> suitable for use with NPS and recommend that they are adapted to include NPS. The selective nature of nightlife settings allows the intervention program to be targeted at an appropriate population, for whom drug-specific information is relevant. Although drug-testing services can be controversial due to the perception that drug-use is being condoned, support for nightlife-based interventions is growing in the UK (EMCDDA, 2016)</w:t>
      </w:r>
    </w:p>
    <w:p w14:paraId="0B128946" w14:textId="00E93892" w:rsidR="007B6EA9" w:rsidRPr="00D378FB" w:rsidRDefault="007B6EA9" w:rsidP="00F354D7">
      <w:pPr>
        <w:spacing w:line="480" w:lineRule="auto"/>
      </w:pPr>
      <w:r>
        <w:t xml:space="preserve">Similarly, drug-testing services and information provision located in health settings, such as sexual health clinics, are suitable for targeting NPS users as drug use and NPS use is higher in some of the populations which most frequently use sexual health clinics such as MSM and LGBT+ groups. However, night-life settings may be better suited to engaging young recreational drug users </w:t>
      </w:r>
      <w:r w:rsidRPr="00AF2F1D">
        <w:t xml:space="preserve">as drug interventions in sexual health settings target </w:t>
      </w:r>
      <w:r>
        <w:t>only a</w:t>
      </w:r>
      <w:r w:rsidRPr="00AF2F1D">
        <w:t xml:space="preserve"> small minority of drug users, typically MSM, who engage in high</w:t>
      </w:r>
      <w:r w:rsidR="00A868BB">
        <w:t>-</w:t>
      </w:r>
      <w:r w:rsidRPr="00AF2F1D">
        <w:t>risk drug practices and chemsex</w:t>
      </w:r>
      <w:r>
        <w:t xml:space="preserve"> (EMCDDA, 2016)</w:t>
      </w:r>
      <w:r w:rsidRPr="00AF2F1D">
        <w:t>.</w:t>
      </w:r>
    </w:p>
    <w:p w14:paraId="61290ACF" w14:textId="77777777" w:rsidR="007B6EA9" w:rsidRPr="00B665C3" w:rsidRDefault="007B6EA9" w:rsidP="007B6EA9">
      <w:pPr>
        <w:pStyle w:val="Heading3"/>
      </w:pPr>
      <w:bookmarkStart w:id="274" w:name="_Toc35892587"/>
      <w:r>
        <w:t>I</w:t>
      </w:r>
      <w:r w:rsidRPr="00CD3AD7">
        <w:t>mplications for intervention development</w:t>
      </w:r>
      <w:bookmarkEnd w:id="274"/>
    </w:p>
    <w:p w14:paraId="7E9092DE" w14:textId="46093688" w:rsidR="007B6EA9" w:rsidRPr="004D17AB" w:rsidRDefault="007B6EA9" w:rsidP="007B6EA9">
      <w:pPr>
        <w:spacing w:line="480" w:lineRule="auto"/>
        <w:rPr>
          <w:i/>
        </w:rPr>
      </w:pPr>
      <w:r w:rsidRPr="004D17AB">
        <w:rPr>
          <w:i/>
        </w:rPr>
        <w:t xml:space="preserve">Ethical principals </w:t>
      </w:r>
      <w:r>
        <w:rPr>
          <w:i/>
        </w:rPr>
        <w:br/>
      </w:r>
      <w:r>
        <w:t>In consideration of ethical principles of intervention development, from a health inequalities perspective</w:t>
      </w:r>
      <w:r w:rsidR="00A868BB">
        <w:t>,</w:t>
      </w:r>
      <w:r>
        <w:t xml:space="preserve"> it is important to consider the relationship between wider structural factors and the drug use of the target population and to pay attention to the impact of social inequalities. Furthermore, it is important to consider the way in which any intervention may interact with social inequalities as not only can social inequalities undermine the effectiveness of intervention activities, but interventions may exacerbate health inequalities (Jepson, Harris, Platt &amp; Tannahill, 2010). If interventions fail to account sufficiently for differential impacts on different groups as well as their different needs, inequalities can be perpetuated and compounded. Equally, interventions also have the positive potential to reduce inequalities, so it is important to consider any opportunities for interventions activities to address inequalities and their causes. </w:t>
      </w:r>
    </w:p>
    <w:p w14:paraId="0B5F4F87" w14:textId="77777777" w:rsidR="007B6EA9" w:rsidRDefault="007B6EA9" w:rsidP="007B6EA9">
      <w:pPr>
        <w:spacing w:line="480" w:lineRule="auto"/>
      </w:pPr>
      <w:r>
        <w:t xml:space="preserve">One way in which interventions might contribute to the exacerbation of inequalities highlighted by this review is the potential for explanations of drug use to be reduced to individual-level factors and failing to sufficiently acknowledge the influence of wider social, environmental and structural influences. When designing drug interventions, it is important to remain sensitive to any potential for the intervention approach or activities to be perceived as victim-blaming.  </w:t>
      </w:r>
    </w:p>
    <w:p w14:paraId="627AB1B4" w14:textId="6B4F8A2C" w:rsidR="007B6EA9" w:rsidRDefault="007B6EA9" w:rsidP="007B6EA9">
      <w:pPr>
        <w:spacing w:line="480" w:lineRule="auto"/>
      </w:pPr>
      <w:r>
        <w:t>It is worth noting that at systematic review level the evidence base offered little evidence able to contribute to an understanding of the impact of inequalities on intervention effectiveness. One review of interventions by Jepson et al.</w:t>
      </w:r>
      <w:r w:rsidR="004C4795">
        <w:t>,</w:t>
      </w:r>
      <w:r>
        <w:t xml:space="preserve"> (2010) noted that the systematic reviews within their review of reviews largely failed to take account of the inequalities agenda and concluded that it is crucial that researchers and interventionists </w:t>
      </w:r>
      <w:r w:rsidRPr="008775B0">
        <w:t>make health inequalities a central concern</w:t>
      </w:r>
      <w:r>
        <w:t xml:space="preserve">. </w:t>
      </w:r>
    </w:p>
    <w:p w14:paraId="1800210E" w14:textId="2918FAF8" w:rsidR="007B6EA9" w:rsidRDefault="004C54E0" w:rsidP="007B6EA9">
      <w:pPr>
        <w:spacing w:line="480" w:lineRule="auto"/>
      </w:pPr>
      <w:r>
        <w:t>T</w:t>
      </w:r>
      <w:r w:rsidR="007B6EA9">
        <w:t>he association of several intervention components with counterproductive effects demonstrates that drug interventions have significant potential for negative unintended consequences. Interventions should</w:t>
      </w:r>
      <w:r w:rsidR="00A868BB">
        <w:t>, therefore,</w:t>
      </w:r>
      <w:r w:rsidR="007B6EA9">
        <w:t xml:space="preserve"> be designed with care and based on the best available scientific evidence to minimise the likelihood of iatrogenic effects. The potential for knowledge</w:t>
      </w:r>
      <w:r w:rsidR="00A868BB">
        <w:t>-</w:t>
      </w:r>
      <w:r w:rsidR="007B6EA9">
        <w:t>based approaches to have counterproductive effects is especially concerning as many interventions necessarily include relevant drug-information. To reduce the potential for information provision to encourage drug use, selected populations should be careful</w:t>
      </w:r>
      <w:r w:rsidR="00A868BB">
        <w:t>ly</w:t>
      </w:r>
      <w:r w:rsidR="007B6EA9">
        <w:t xml:space="preserve"> targeted, and intervention design supported by the use of needs assessments and partnership work with targeted groups.</w:t>
      </w:r>
    </w:p>
    <w:p w14:paraId="2966632B" w14:textId="77777777" w:rsidR="007E7BB9" w:rsidRDefault="007B6EA9" w:rsidP="007B6EA9">
      <w:pPr>
        <w:spacing w:line="480" w:lineRule="auto"/>
      </w:pPr>
      <w:r>
        <w:t xml:space="preserve">A further ethical concern for consideration is the acceptability of interventions with those who they engage. The findings of the review offered evidence pointing toward the importance of a non-judgemental approach for interventions to be successful. Authoritarian, didactic styles </w:t>
      </w:r>
    </w:p>
    <w:p w14:paraId="5800E7AF" w14:textId="3E60C91C" w:rsidR="007B6EA9" w:rsidRDefault="007B6EA9" w:rsidP="007B6EA9">
      <w:pPr>
        <w:spacing w:line="480" w:lineRule="auto"/>
      </w:pPr>
      <w:r>
        <w:t xml:space="preserve">and the use of lectures were noted to be unpopular as well as ineffective (EMCDDA, 2011; NICE, 2017). This highlights the importance of paying attention to </w:t>
      </w:r>
      <w:r w:rsidR="00A868BB">
        <w:t xml:space="preserve">the </w:t>
      </w:r>
      <w:r>
        <w:t>dynamics of power and authority if drug interventions are to be acceptable to young people.</w:t>
      </w:r>
    </w:p>
    <w:p w14:paraId="35C4F6FF" w14:textId="77777777" w:rsidR="007B6EA9" w:rsidRPr="001D3AAD" w:rsidRDefault="007B6EA9" w:rsidP="007B6EA9">
      <w:pPr>
        <w:spacing w:after="160" w:line="480" w:lineRule="auto"/>
      </w:pPr>
      <w:r w:rsidRPr="004D17AB">
        <w:rPr>
          <w:i/>
        </w:rPr>
        <w:t xml:space="preserve">Interventions effectiveness </w:t>
      </w:r>
      <w:r>
        <w:rPr>
          <w:i/>
        </w:rPr>
        <w:br/>
      </w:r>
      <w:r>
        <w:t xml:space="preserve">Turning attention to intervention effectiveness, the findings of the review point toward important considerations for the relevance of interventions in respect of components, populations and levels of intervention. </w:t>
      </w:r>
    </w:p>
    <w:p w14:paraId="604466FB" w14:textId="6BD87DE1" w:rsidR="007B6EA9" w:rsidRDefault="007B6EA9" w:rsidP="007B6EA9">
      <w:pPr>
        <w:spacing w:line="480" w:lineRule="auto"/>
      </w:pPr>
      <w:r>
        <w:t xml:space="preserve">The difficulty with universal approaches targeting whole populations is the knowledge problem, that is the tendency for information provision and drug-education to have counterproductive effects when used with an unsuitable population. To some extent, the knowledge problem reflects the condition that information is a component part of most drug-focused interventions, and the distinction between informational approaches and other approaches is not always clear. Developmental skills-based approaches are grounded in knowledge exchange, as are various environmental approaches such as drug-testing services and interventions targeting social norms. Knowledge is </w:t>
      </w:r>
      <w:r w:rsidR="00A868BB">
        <w:t xml:space="preserve">a </w:t>
      </w:r>
      <w:r>
        <w:t xml:space="preserve">key currency within all interventions designed to purposefully engage with young people, and that knowledge embodies a variety of domains. From the interventions reviewed here several domains are discernible; health-risk knowledge, drug-specific knowledge, social knowledge, affect-based knowledge, knowledge about services etc. These domains of knowledge interact across intervention types and levels and are not limited to a single type or level of intervention. From this </w:t>
      </w:r>
      <w:r w:rsidR="00D378FB">
        <w:t>perspective</w:t>
      </w:r>
      <w:r w:rsidR="00A868BB">
        <w:t>,</w:t>
      </w:r>
      <w:r>
        <w:t xml:space="preserve"> we appreciate that it is not drug-specific information in and of itself that constitutes the problem, but the counterproductive effects that can occur when drug-specific information is presented in the presence or absence of other important mediating influences (including age and/or level of drug experience). Inevitably, many drug-focused interventions will require engagement with drug-specific information, what is vital to understand then, is what other mediating factors interact with drug-specific information to make it more or less likely to encourage drug</w:t>
      </w:r>
      <w:r w:rsidR="00A868BB">
        <w:t>-</w:t>
      </w:r>
      <w:r>
        <w:t xml:space="preserve">taking behaviour. </w:t>
      </w:r>
    </w:p>
    <w:p w14:paraId="3B2F9CED" w14:textId="6B6200B8" w:rsidR="007B6EA9" w:rsidRDefault="007B6EA9" w:rsidP="007B6EA9">
      <w:pPr>
        <w:spacing w:after="160" w:line="480" w:lineRule="auto"/>
      </w:pPr>
      <w:r>
        <w:t>Developmental skills-based interventions can side-step the knowledge problem, as, in targeting the precursors of drug use</w:t>
      </w:r>
      <w:r w:rsidRPr="00FA45CD">
        <w:t xml:space="preserve"> </w:t>
      </w:r>
      <w:r>
        <w:t xml:space="preserve">rather than drug use itself, these approaches do not necessarily need to refer to drugs explicitly. Consequently, developmental skills-based activities are suitable for use as universal interventions. Another advantage of developmental approaches is the potential they offer for addressing risk factors which impact multiple health risk behaviours, of which illicit drug use is just one. Health risk behaviours tend to cluster and are associated with shared risk and protective factors (ACMD, 2015, UKCPD, 2012). Intervening early to address risk and protective factors common to </w:t>
      </w:r>
      <w:r w:rsidR="00A868BB">
        <w:t xml:space="preserve">a </w:t>
      </w:r>
      <w:r>
        <w:t>variety of risk behaviours has clear benefits. However, connecting general health and well-being activities with later drug-related outcomes can be extremely challenging (ACMD, 2015).</w:t>
      </w:r>
    </w:p>
    <w:p w14:paraId="2CA3FF99" w14:textId="77777777" w:rsidR="007B6EA9" w:rsidRDefault="007B6EA9" w:rsidP="007B6EA9">
      <w:pPr>
        <w:spacing w:line="480" w:lineRule="auto"/>
      </w:pPr>
      <w:r>
        <w:t xml:space="preserve">The turn toward a developmental perspective has been accompanied by an increasing emphasis on intervention aimed at younger age groups within drug policy (HM Government, 2008; 2010; 2017). Examples from UK drug strategy include support for midwives, local authorities and schools to improve the health and well-being of infants and young children before typical ages of drug initiation. </w:t>
      </w:r>
    </w:p>
    <w:p w14:paraId="2A915FB5" w14:textId="6F91BAE0" w:rsidR="007B6EA9" w:rsidRDefault="007B6EA9" w:rsidP="007B6EA9">
      <w:pPr>
        <w:spacing w:line="480" w:lineRule="auto"/>
      </w:pPr>
      <w:r>
        <w:t>While approaches targeted at younger ages might side-step the knowledge problem, developmental approaches engaging with young people who are likely to encounter drugs may need to refer to drugs explicitly if they are to offer young people the best support. Even if these approaches continue to retain a focus on general life skills (e.g. problem</w:t>
      </w:r>
      <w:r w:rsidR="00A868BB">
        <w:t>-</w:t>
      </w:r>
      <w:r>
        <w:t xml:space="preserve">solving, decision making, social competence, communication, managing emotions) they may also engage with drug-focused components (e.g. social influence, drug refusal skills, drug education). Reviewing the evidence-base it was not always clear whether skills-based approaches were intended for young people expected to encounter drugs, or indeed if generic skill components were part of a wider drug-focused intervention. This is important because drug-focused interventions and general developmental interventions, despite sharing the same overarching health and well-being goals, may have differing objectives. While general developmental approaches seek to influence risk and protective factors such that young people are less likely to be exposed to drug promoting influences, drug-focused interventions are required to help young people navigate within environments in which drug use is encountered. The skills which help young people avoid high-risk contexts in the first place may not be the same as the skills which help young people navigate contexts in which drug use is encouraged, and these skills may be different again to the harm-reduction skills required by young people already engaging in drug use. It is important to understand which skills, in which contexts, are the most effective for supporting healthy outcomes. </w:t>
      </w:r>
    </w:p>
    <w:p w14:paraId="26117567" w14:textId="5A5C35FE" w:rsidR="007B6EA9" w:rsidRDefault="007B6EA9" w:rsidP="007B6EA9">
      <w:pPr>
        <w:spacing w:line="480" w:lineRule="auto"/>
      </w:pPr>
      <w:r>
        <w:t>As this project is interested in drug interventions with a view to assessing their appropriateness for use with NPS, developmental interventions targeting generic risk factors of substance use are less directly relevant, as they are unlikely to need adaptation to accommodate specific NPS-related issues. Even for drug-focused skills-based interventions aimed at young people first encountering drug use</w:t>
      </w:r>
      <w:r w:rsidR="00A868BB">
        <w:t>,</w:t>
      </w:r>
      <w:r>
        <w:t xml:space="preserve"> it seems unlikely that the competencies being taught will need adaptation to address NPS </w:t>
      </w:r>
      <w:r w:rsidR="00A868BB">
        <w:t>e</w:t>
      </w:r>
      <w:r>
        <w:t xml:space="preserve">specially (e.g. social competence and drug refusal skills), however, drug knowledge components may require adaptation to include relevant NPS information alongside the other substances targeted.    </w:t>
      </w:r>
    </w:p>
    <w:p w14:paraId="06D1B14F" w14:textId="1E904783" w:rsidR="007B6EA9" w:rsidRDefault="007B6EA9" w:rsidP="007B6EA9">
      <w:pPr>
        <w:spacing w:line="480" w:lineRule="auto"/>
      </w:pPr>
      <w:r>
        <w:t>It is of interest to note the strong emphasis placed on developmental approaches within policy, guidelines and the evidence base, as perhaps, to some extent</w:t>
      </w:r>
      <w:r w:rsidR="00A868BB">
        <w:t>,</w:t>
      </w:r>
      <w:r>
        <w:t xml:space="preserve"> this explains why the prevailing recommendation for NPS-based approaches is not to implement specific NPS interventions but to adapt existing drug-focused interventions to include NPS. In regard to existing developmental approaches targeting multiple substances, adaptation and inclusion of age-appropriate NPS knowledge may be a suitable course of action.  </w:t>
      </w:r>
    </w:p>
    <w:p w14:paraId="358BE2B7" w14:textId="20143832" w:rsidR="007B6EA9" w:rsidRPr="00F354D7" w:rsidRDefault="007B6EA9" w:rsidP="00F354D7">
      <w:pPr>
        <w:spacing w:line="480" w:lineRule="auto"/>
      </w:pPr>
      <w:r w:rsidRPr="00F354D7">
        <w:rPr>
          <w:i/>
        </w:rPr>
        <w:t xml:space="preserve">Evidence-base </w:t>
      </w:r>
      <w:r w:rsidRPr="00F354D7">
        <w:rPr>
          <w:i/>
        </w:rPr>
        <w:br/>
      </w:r>
      <w:r w:rsidRPr="00CE62C1">
        <w:t xml:space="preserve">While the intervention evidence base is informative, the evidence remains more limited than necessary as many studies do not specify which principles or components were used. In some cases, broad associations can still be made, for example, whole-schools approaches were associated with positive outcomes, but without further description of a presumed mechanism of action it is not possible to link positive outcomes with specific pathways (e.g. changes to policies, norms, pupil attachment, truancy levels, mentoring programs etc.). Although to some extent this is a consequence of reporting where </w:t>
      </w:r>
      <w:r w:rsidR="00A868BB">
        <w:t xml:space="preserve">the </w:t>
      </w:r>
      <w:r w:rsidRPr="00CE62C1">
        <w:t xml:space="preserve">information available in primary studies is not reported at review level (Jepson et. al., 2006), however, some reviewers did note a lack of specificity within the studies (e.g. Brotherhood et. al., 2013, Novakovic et. al., 2016). </w:t>
      </w:r>
    </w:p>
    <w:p w14:paraId="5285571A" w14:textId="578E7804" w:rsidR="007B6EA9" w:rsidRDefault="007B6EA9" w:rsidP="007B6EA9">
      <w:pPr>
        <w:spacing w:line="480" w:lineRule="auto"/>
      </w:pPr>
      <w:r>
        <w:t xml:space="preserve">The situation could be significantly improved by the use of theory in intervention development (EMCDDA, 2012). By specifying intervention concepts and elements and describing the proposed relationships between the theoretical models clarify assumptions about </w:t>
      </w:r>
      <w:r w:rsidRPr="0090316F">
        <w:rPr>
          <w:i/>
        </w:rPr>
        <w:t>what</w:t>
      </w:r>
      <w:r>
        <w:t xml:space="preserve"> works and </w:t>
      </w:r>
      <w:r w:rsidRPr="0090316F">
        <w:rPr>
          <w:i/>
        </w:rPr>
        <w:t>why</w:t>
      </w:r>
      <w:r>
        <w:t>. Grounding interventions in theory not only improves their effectiveness but also improves the quality of the evidence base, ideally creating a positive cycle of continued intervention improvement. Within the evidence base interventions linked to a solid theoretical basis have been found to be more effective (Brotherhood et al., 2013; UNODC, 2018) and the EDPQS strongly advocated the use of theory in all interventions (EMCDDA; 2010; 2011).</w:t>
      </w:r>
    </w:p>
    <w:p w14:paraId="606B6B5E" w14:textId="77777777" w:rsidR="007B6EA9" w:rsidRDefault="007B6EA9" w:rsidP="007B6EA9">
      <w:pPr>
        <w:spacing w:line="480" w:lineRule="auto"/>
      </w:pPr>
      <w:r>
        <w:t>Although the EPDQS do not advocate for use of a particular theory, as a starting point they do highlight social cognitive theories.</w:t>
      </w:r>
      <w:r w:rsidRPr="00652949">
        <w:t xml:space="preserve"> </w:t>
      </w:r>
      <w:r>
        <w:t xml:space="preserve">Theories reportedly used within the review evidence base were social learning theories, social cognitive theories and stages of change models (Brotherhood et al., 2013; Jepson &amp; Jepson, 2010; Jepson et. al., 2006). However, the small number of interventions mentioning theoretical approaches prevents an assessment of their relative efficacy of illicit drug use (Jepson et. al., 2006). </w:t>
      </w:r>
    </w:p>
    <w:p w14:paraId="1402D6B5" w14:textId="6506F153" w:rsidR="007B6EA9" w:rsidRDefault="007B6EA9" w:rsidP="007B01B4">
      <w:pPr>
        <w:pStyle w:val="Heading3"/>
      </w:pPr>
      <w:bookmarkStart w:id="275" w:name="_Toc35892588"/>
      <w:bookmarkEnd w:id="271"/>
      <w:r>
        <w:t>Strengths and limitations of the review</w:t>
      </w:r>
      <w:bookmarkEnd w:id="275"/>
    </w:p>
    <w:p w14:paraId="4BF3A443" w14:textId="62983864" w:rsidR="007B6EA9" w:rsidRDefault="007B6EA9" w:rsidP="007B6EA9">
      <w:pPr>
        <w:spacing w:line="480" w:lineRule="auto"/>
      </w:pPr>
      <w:r>
        <w:t>By adopting a pragmatic approach centred on the guidelines published by leading organisations within the drug prevention field the findings of this review are strongly rooted in evidence and issues most relevant to those interested in NPS intervention development. However, as a result</w:t>
      </w:r>
      <w:r w:rsidR="00A868BB">
        <w:t>,</w:t>
      </w:r>
      <w:r>
        <w:t xml:space="preserve"> the evidence reviewed is not exhaustive, and several effective intervention approaches are likely to have been excluded, particularly those which may be less conventional or more recent. In this way</w:t>
      </w:r>
      <w:r w:rsidR="00A868BB">
        <w:t>,</w:t>
      </w:r>
      <w:r>
        <w:t xml:space="preserve"> the review findings offer little counterpoint to dominant mainstream approaches and therefore run the risk of continuing to perpetuate common biases with the field.  </w:t>
      </w:r>
    </w:p>
    <w:p w14:paraId="5CF17541" w14:textId="04B8489F" w:rsidR="007B6EA9" w:rsidRDefault="007B6EA9" w:rsidP="007B6EA9">
      <w:pPr>
        <w:spacing w:line="480" w:lineRule="auto"/>
      </w:pPr>
      <w:r>
        <w:t>As a result of this pragmatic approach</w:t>
      </w:r>
      <w:r w:rsidR="00A868BB">
        <w:t>,</w:t>
      </w:r>
      <w:r>
        <w:t xml:space="preserve"> the summary of the evidence is based on a heterogeneous set of materials at differing levels of analysis (largely reviews and reviews of reviews). Consequently, some of the findings presented are unevenly weighted with the finding of small-scale reviews overrepresented in comparison to larger scale reviews. As the aim was to provide a broad overview of common interventions this imbalance has been tolerated in favour of coverage, but caution is advised when drawing conclusions from the data tables. </w:t>
      </w:r>
    </w:p>
    <w:p w14:paraId="362C336D" w14:textId="2CC6ABA4" w:rsidR="007B6EA9" w:rsidRDefault="007B6EA9" w:rsidP="007B6EA9">
      <w:pPr>
        <w:spacing w:line="480" w:lineRule="auto"/>
      </w:pPr>
      <w:r>
        <w:t>Given the brea</w:t>
      </w:r>
      <w:r w:rsidR="00A868BB">
        <w:t>d</w:t>
      </w:r>
      <w:r>
        <w:t xml:space="preserve">th and heterogeneity of interventions included in has not been possible to examine any particular intervention approach in great depth. Similarly, the reliance on data sources once or twice removed from the primary studies means the review is limited in the extent to which it can provide detailed evidence regarding a particular intervention component or group of young people. </w:t>
      </w:r>
    </w:p>
    <w:p w14:paraId="58BDBD41" w14:textId="5CB38F0A" w:rsidR="007B6EA9" w:rsidRDefault="007B6EA9" w:rsidP="007B6EA9">
      <w:pPr>
        <w:spacing w:line="480" w:lineRule="auto"/>
      </w:pPr>
      <w:r>
        <w:t>Without more detailed analysis of primary studies</w:t>
      </w:r>
      <w:r w:rsidR="00A868BB">
        <w:t>,</w:t>
      </w:r>
      <w:r>
        <w:t xml:space="preserve"> the review is reliant on the labels applied in review studies, and the degree of variation in the content of component labels is unknown. Broad categories such as general skills-based approaches do not always allow distinction between effective and ineffective elements. Similarly, the same label can include a variety of delivery modes, settings, knowledge domains, which may account for some of the conflicting findings as important influences may unaccounted for. For example, non-judgemental delivery appears to be an important factor, but one that is rarely reported. </w:t>
      </w:r>
    </w:p>
    <w:p w14:paraId="02124C98" w14:textId="77777777" w:rsidR="007B6EA9" w:rsidRDefault="007B6EA9" w:rsidP="007B6EA9">
      <w:pPr>
        <w:spacing w:line="480" w:lineRule="auto"/>
      </w:pPr>
      <w:r>
        <w:t>The lack of detail also means the differential effects of components on different sub-groups was not apparent, with reviewers noting that data allowing sub-group analysis were rarely reported (Brotherhood et. al, EMCDDA, 2011; 2013; Jepson &amp; Jepson, 2010). Consideration of the differential effects on sub-groups is important for establishing whether interventions have the potential to reduce inequalities or run the risk of exacerbating them.</w:t>
      </w:r>
    </w:p>
    <w:p w14:paraId="13111EDD" w14:textId="77777777" w:rsidR="007B6EA9" w:rsidRDefault="007B6EA9" w:rsidP="007B6EA9">
      <w:pPr>
        <w:spacing w:line="480" w:lineRule="auto"/>
      </w:pPr>
      <w:r>
        <w:t xml:space="preserve">This review is interested in young people, but distinguishing studies by age presents a challenge. Reviews typically separate children from adults (e.g 18 and under) and over 18’s are often classed as adults with no further differentiation. Reviewers have noted that isolating data from the 19-25 age group is particularly challenging (Brotherhood, et. al., 2013; Thomas, et. al., 2011). As a result, the majority of the findings of this review are based on children and adolescents. </w:t>
      </w:r>
    </w:p>
    <w:p w14:paraId="12D9CE3F" w14:textId="200F61B7" w:rsidR="007B6EA9" w:rsidRDefault="007B6EA9" w:rsidP="007B6EA9">
      <w:pPr>
        <w:spacing w:line="480" w:lineRule="auto"/>
      </w:pPr>
      <w:r>
        <w:t xml:space="preserve">The heterogeneity of data sources also means there is very likely a large variation in the quality of the primary studies included. As data sources were included </w:t>
      </w:r>
      <w:r w:rsidR="00A868BB">
        <w:t>based on</w:t>
      </w:r>
      <w:r>
        <w:t xml:space="preserve"> their relationship to key guidelines; no attempt was made to control for the quality of the primary studies. Although most of the reviews are systematic reviews selected by organisations because of </w:t>
      </w:r>
      <w:r w:rsidR="002751DD">
        <w:t>their</w:t>
      </w:r>
      <w:r>
        <w:t xml:space="preserve"> quality, high</w:t>
      </w:r>
      <w:r w:rsidR="00A868BB">
        <w:t>-</w:t>
      </w:r>
      <w:r>
        <w:t>quality reviews can still include poor</w:t>
      </w:r>
      <w:r w:rsidR="00A868BB">
        <w:t>-</w:t>
      </w:r>
      <w:r>
        <w:t>quality evidence if that is all that is available. The quality criteria of the reviews were variable, with some deliberately including only evidence of good quality or higher, others collating evidence of an acceptable standard or above, and with some scoping studies not applying quality criteria. It is not clear whether gaps in the evidence base were the result of a lack of any available evidence or a lack of high</w:t>
      </w:r>
      <w:r w:rsidR="00A868BB">
        <w:t>-</w:t>
      </w:r>
      <w:r>
        <w:t xml:space="preserve">quality evidence.       </w:t>
      </w:r>
    </w:p>
    <w:p w14:paraId="48C9F5B7" w14:textId="09245EAF" w:rsidR="007B6EA9" w:rsidRDefault="007B6EA9" w:rsidP="007B6EA9">
      <w:pPr>
        <w:spacing w:line="480" w:lineRule="auto"/>
      </w:pPr>
      <w:r>
        <w:t xml:space="preserve">It is also worth noting that there is </w:t>
      </w:r>
      <w:r w:rsidR="00A868BB">
        <w:t xml:space="preserve">a </w:t>
      </w:r>
      <w:r>
        <w:t>significant degree of interrelatedness between the guidelines in so far as they reference each other, collaborate with a number of the same professionals and draw on at least some of the same evidence. Although an attempt was made to exclude review sources with excessive overlap, the extent to which the reviews shared the same primary data was not verified.</w:t>
      </w:r>
    </w:p>
    <w:p w14:paraId="06E45B7B" w14:textId="6820EDB8" w:rsidR="007B6EA9" w:rsidRPr="005B3B20" w:rsidRDefault="007B6EA9" w:rsidP="007B6EA9">
      <w:pPr>
        <w:spacing w:line="480" w:lineRule="auto"/>
      </w:pPr>
      <w:r>
        <w:t>The generalisability of findings is unknown, but reviewers have raised doubt about the applicability of the evidence to Europe and the UK as much of the primary data applies to a North American context and many studies are more than a decade old (Brotherhood et. al., 2013). In addition, it is not known how many studies apply to real</w:t>
      </w:r>
      <w:r w:rsidR="00A868BB">
        <w:t>-</w:t>
      </w:r>
      <w:r>
        <w:t xml:space="preserve">world contexts, as it is possible that many were undertaken in controlled contexts.   </w:t>
      </w:r>
    </w:p>
    <w:p w14:paraId="019623AD" w14:textId="4FB4F361" w:rsidR="007B6EA9" w:rsidRDefault="007B6EA9" w:rsidP="007B6EA9">
      <w:pPr>
        <w:pStyle w:val="Heading2"/>
      </w:pPr>
      <w:bookmarkStart w:id="276" w:name="_Toc35892589"/>
      <w:r>
        <w:t>Conclusions</w:t>
      </w:r>
      <w:bookmarkEnd w:id="276"/>
    </w:p>
    <w:p w14:paraId="77E35AD8" w14:textId="08DD97DC" w:rsidR="007B6EA9" w:rsidRDefault="007B6EA9" w:rsidP="007B6EA9">
      <w:pPr>
        <w:spacing w:line="480" w:lineRule="auto"/>
      </w:pPr>
      <w:r>
        <w:t>Despite a lack of evidence demonstrating the effectiveness of interventions based on traditional illicit drugs when applied to young people’s NPS use, leading drug prevention organisations do not recommend the use of specific NPS-based interventions. In mapping the types and efficacy of existing drug interventions, the findings of this review indicate that for developmental interventions which target general risk factors underlying use of tobacco, alcohol and drugs</w:t>
      </w:r>
      <w:r w:rsidR="00A868BB">
        <w:t>,</w:t>
      </w:r>
      <w:r>
        <w:t xml:space="preserve"> use this advice is appropriate. Developmental skill-based approaches appear to make up the bulk of intervention activities in the UK, most of which are universal school-based programmes that may not need to refer to drugs explicitly. Consequently, little or no adaptation would be required </w:t>
      </w:r>
      <w:r w:rsidR="00A868BB">
        <w:t>to</w:t>
      </w:r>
      <w:r>
        <w:t xml:space="preserve"> these interventions to ensure coverage of NPS alongside other psychoactive substances. </w:t>
      </w:r>
    </w:p>
    <w:p w14:paraId="171A47C7" w14:textId="77777777" w:rsidR="003D4E79" w:rsidRDefault="007B6EA9" w:rsidP="007B6EA9">
      <w:pPr>
        <w:spacing w:line="480" w:lineRule="auto"/>
      </w:pPr>
      <w:r>
        <w:t xml:space="preserve">For young people likely to be exposed to NPS however, the need to explicitly refer to these substances will require that drug-focused information components are revised and developed to include NPS. Given that NPS differ from traditional illicit drugs in important ways, further </w:t>
      </w:r>
    </w:p>
    <w:p w14:paraId="6820F6BF" w14:textId="38178F3D" w:rsidR="007B6EA9" w:rsidRDefault="007B6EA9" w:rsidP="007B6EA9">
      <w:pPr>
        <w:spacing w:line="480" w:lineRule="auto"/>
      </w:pPr>
      <w:r>
        <w:t>research will be required to investigate young people’s relationship with NPS to ensure that NPS-specific information components are relevant and appropriate. When NPS information provision is to form part of an intervention, the findings of this review highlight the importance of ensuring that it is not delivered as a stand-alone element, but as part of a wider strategy carefully targeted at suitable groups. Evidence from the review findings also show</w:t>
      </w:r>
      <w:r w:rsidR="00A868BB">
        <w:t>s</w:t>
      </w:r>
      <w:r>
        <w:t xml:space="preserve"> that the efficacy of an NPS-focused intervention is likely to be enhanced if it is part of a combined-skills based approach using interactive delivery methods and implemented in a non-judgemental environment by trained professionals or peer educators. </w:t>
      </w:r>
    </w:p>
    <w:p w14:paraId="53A6E084" w14:textId="77777777" w:rsidR="007B6EA9" w:rsidRDefault="007B6EA9" w:rsidP="007B6EA9">
      <w:pPr>
        <w:spacing w:line="480" w:lineRule="auto"/>
      </w:pPr>
      <w:r>
        <w:t xml:space="preserve">Other approaches which look particularly promising for use with NPS are multi-component approaches based in health settings and nightlife/entertainment venues. Nightlife/ entertainment settings-based approaches especially appear to offer a constructive way to engage with young people who might use NPS recreationally. </w:t>
      </w:r>
    </w:p>
    <w:p w14:paraId="44000DB5" w14:textId="77777777" w:rsidR="007B6EA9" w:rsidRDefault="007B6EA9" w:rsidP="007B6EA9">
      <w:pPr>
        <w:spacing w:line="480" w:lineRule="auto"/>
      </w:pPr>
      <w:r>
        <w:t xml:space="preserve">The analysis of guidelines and drug policy conducted in this review also highlighted the importance of ensuring that NPS-focused interventions incorporate the use of theory, pay close attention to interactions with health and social inequalities, and avoid invoking explanations of behaviour or drug use that rest on individual characteristics and neglect the influence of wider societal factors. </w:t>
      </w:r>
    </w:p>
    <w:p w14:paraId="511AA5DB" w14:textId="77777777" w:rsidR="007B6EA9" w:rsidRDefault="007B6EA9" w:rsidP="007B6EA9">
      <w:pPr>
        <w:rPr>
          <w:b/>
        </w:rPr>
      </w:pPr>
    </w:p>
    <w:p w14:paraId="1AE06F69" w14:textId="77777777" w:rsidR="009266A2" w:rsidRDefault="009266A2" w:rsidP="00443002">
      <w:pPr>
        <w:pStyle w:val="Heading1"/>
        <w:spacing w:line="480" w:lineRule="auto"/>
        <w:sectPr w:rsidR="009266A2" w:rsidSect="00FB7B83">
          <w:headerReference w:type="default" r:id="rId59"/>
          <w:pgSz w:w="11900" w:h="16840"/>
          <w:pgMar w:top="1418" w:right="1418" w:bottom="993" w:left="1418" w:header="709" w:footer="709" w:gutter="0"/>
          <w:cols w:space="708"/>
          <w:docGrid w:linePitch="360"/>
        </w:sectPr>
      </w:pPr>
    </w:p>
    <w:p w14:paraId="42934C13" w14:textId="3DCDF4ED" w:rsidR="00443002" w:rsidRDefault="00443002" w:rsidP="00C42A80">
      <w:pPr>
        <w:pStyle w:val="Heading1"/>
        <w:spacing w:line="240" w:lineRule="auto"/>
        <w:ind w:left="431" w:hanging="431"/>
      </w:pPr>
      <w:bookmarkStart w:id="277" w:name="_Toc35892590"/>
      <w:r>
        <w:t>Systematic literature review of reasons why people use or do not use NPS</w:t>
      </w:r>
      <w:bookmarkEnd w:id="277"/>
      <w:r>
        <w:t xml:space="preserve"> </w:t>
      </w:r>
    </w:p>
    <w:p w14:paraId="27DA5569" w14:textId="77777777" w:rsidR="00443002" w:rsidRDefault="00443002" w:rsidP="00443002">
      <w:pPr>
        <w:pStyle w:val="Nonumberheading"/>
      </w:pPr>
    </w:p>
    <w:p w14:paraId="7E0B752F" w14:textId="57F67F6C" w:rsidR="00443002" w:rsidRPr="00C42A80" w:rsidRDefault="00443002" w:rsidP="00C42A80">
      <w:pPr>
        <w:pStyle w:val="Heading2"/>
      </w:pPr>
      <w:bookmarkStart w:id="278" w:name="_Toc35892591"/>
      <w:r w:rsidRPr="00C42A80">
        <w:t>Introduction</w:t>
      </w:r>
      <w:bookmarkEnd w:id="278"/>
      <w:r w:rsidRPr="00C42A80">
        <w:t xml:space="preserve"> </w:t>
      </w:r>
    </w:p>
    <w:p w14:paraId="189B7653" w14:textId="62E18398" w:rsidR="00443002" w:rsidRDefault="00443002" w:rsidP="00443002">
      <w:pPr>
        <w:spacing w:line="480" w:lineRule="auto"/>
      </w:pPr>
      <w:r>
        <w:t>The purpose of the second part of the literature review is to bring together and analyse evidence from available studies which have examined users’ and potential users’ reasons for using or not using NPS.  The aims of this chapter are to provide an overview of what is known, to identify similarities and differences between study findings and consider what insights they offer for intervention development. To achieve this, a systematic review of research published in peer</w:t>
      </w:r>
      <w:r w:rsidR="00A868BB">
        <w:t>-</w:t>
      </w:r>
      <w:r>
        <w:t>reviewed journals and reputable sources was conducted to identify the empirical work to contribute to our understanding of why people use or avoid using, NPS.</w:t>
      </w:r>
    </w:p>
    <w:p w14:paraId="1F171782" w14:textId="419744FE" w:rsidR="00443002" w:rsidRPr="00C42A80" w:rsidRDefault="00443002" w:rsidP="00C42A80">
      <w:pPr>
        <w:pStyle w:val="Heading3"/>
      </w:pPr>
      <w:bookmarkStart w:id="279" w:name="_Toc35892592"/>
      <w:r w:rsidRPr="00C42A80">
        <w:t>Review scope and objectives</w:t>
      </w:r>
      <w:bookmarkEnd w:id="279"/>
    </w:p>
    <w:p w14:paraId="53EDA965" w14:textId="00823763" w:rsidR="00443002" w:rsidRDefault="00443002" w:rsidP="00443002">
      <w:pPr>
        <w:spacing w:line="480" w:lineRule="auto"/>
      </w:pPr>
      <w:r>
        <w:t xml:space="preserve">Although the focus of this work is young people and NPS, the area of research is not yet sufficiently mature to have a viable set of studies which centre exclusively on this age group. Similarly, in this rapidly developing field, </w:t>
      </w:r>
      <w:r w:rsidR="00A868BB">
        <w:t xml:space="preserve">the </w:t>
      </w:r>
      <w:r>
        <w:t>terminology has yet to settle on agreed conventions for what to call this heterogeneous group of substances. Accordingly, this review takes a broad perspective, including any studies of NPS, legal highs or specific named NPS which address motivations for use in any population. The objectives of the review are to:</w:t>
      </w:r>
    </w:p>
    <w:p w14:paraId="5F88795B" w14:textId="77777777" w:rsidR="00443002" w:rsidRDefault="00443002" w:rsidP="00C92BD2">
      <w:pPr>
        <w:pStyle w:val="ListParagraph"/>
        <w:numPr>
          <w:ilvl w:val="0"/>
          <w:numId w:val="36"/>
        </w:numPr>
        <w:spacing w:line="480" w:lineRule="auto"/>
        <w:ind w:left="714" w:hanging="357"/>
      </w:pPr>
      <w:r>
        <w:t>Provide an overview and summary of studies that have been undertaken which include investigation of people’s reasons for using and/or not using NPS.</w:t>
      </w:r>
    </w:p>
    <w:p w14:paraId="11A486F5" w14:textId="77777777" w:rsidR="00443002" w:rsidRDefault="00443002" w:rsidP="00C92BD2">
      <w:pPr>
        <w:pStyle w:val="ListParagraph"/>
        <w:numPr>
          <w:ilvl w:val="0"/>
          <w:numId w:val="36"/>
        </w:numPr>
        <w:spacing w:line="480" w:lineRule="auto"/>
        <w:ind w:left="714" w:hanging="357"/>
      </w:pPr>
      <w:r>
        <w:t>Map the range and types of reasons highlighted by the studies.</w:t>
      </w:r>
    </w:p>
    <w:p w14:paraId="6FDA11E2" w14:textId="77777777" w:rsidR="00443002" w:rsidRDefault="00443002" w:rsidP="00C92BD2">
      <w:pPr>
        <w:pStyle w:val="ListParagraph"/>
        <w:numPr>
          <w:ilvl w:val="0"/>
          <w:numId w:val="36"/>
        </w:numPr>
        <w:spacing w:line="480" w:lineRule="auto"/>
        <w:ind w:left="714" w:hanging="357"/>
      </w:pPr>
      <w:r>
        <w:t xml:space="preserve">Assess whether the reasons found vary according to discernible differences between studies, such as differences in the methodology employed, or differences between the regions, populations or substances under investigation.  </w:t>
      </w:r>
    </w:p>
    <w:p w14:paraId="1BED03BD" w14:textId="3257FAA8" w:rsidR="00443002" w:rsidRDefault="00443002" w:rsidP="00C42A80">
      <w:pPr>
        <w:pStyle w:val="Heading2"/>
      </w:pPr>
      <w:bookmarkStart w:id="280" w:name="_Toc35892593"/>
      <w:r>
        <w:t>Method</w:t>
      </w:r>
      <w:bookmarkEnd w:id="280"/>
    </w:p>
    <w:p w14:paraId="6EB52E38" w14:textId="042058C4" w:rsidR="00443002" w:rsidRDefault="00443002" w:rsidP="00C42A80">
      <w:pPr>
        <w:pStyle w:val="Heading3"/>
      </w:pPr>
      <w:bookmarkStart w:id="281" w:name="_Toc35892594"/>
      <w:r>
        <w:t>Search strategy</w:t>
      </w:r>
      <w:bookmarkEnd w:id="281"/>
      <w:r>
        <w:t xml:space="preserve"> </w:t>
      </w:r>
    </w:p>
    <w:p w14:paraId="37BAFBE7" w14:textId="5F324591" w:rsidR="00443002" w:rsidRDefault="00443002" w:rsidP="00443002">
      <w:pPr>
        <w:spacing w:line="480" w:lineRule="auto"/>
      </w:pPr>
      <w:r>
        <w:t>An initial scoping review was undertaken to determine an appropriate search strategy and suitable inclusion and exclusion criteria. The scoping review revealed that search terminology around NPS is problematic</w:t>
      </w:r>
      <w:r w:rsidR="004C54E0">
        <w:t xml:space="preserve"> due</w:t>
      </w:r>
      <w:r w:rsidR="00A868BB">
        <w:t xml:space="preserve"> to</w:t>
      </w:r>
      <w:r w:rsidR="004C54E0">
        <w:t xml:space="preserve"> the variety and inconsistency of the terms used</w:t>
      </w:r>
      <w:r>
        <w:t xml:space="preserve">. On the one hand, generic terms such as ‘legal highs’ tend to exclude key papers that refer to individual named substances such as mephedrone, but on the other hand, a search based on the names of specific NPS was considered unfeasible due to the abundance of chemical compounds classed as NPS. </w:t>
      </w:r>
      <w:r w:rsidR="00A868BB">
        <w:t>Also</w:t>
      </w:r>
      <w:r>
        <w:t xml:space="preserve">, several generic terms such as ‘designer drugs’ were found to be insufficiently specific to capture the phenomena of interest.  To strike a balance, several generic search terms were used to identify studies in the first instance, which was followed up by a manual search of the reference lists of the studies identified as relevant to this review. Accordingly, inclusion was not limited to the generic terms, as studies investigating specific substances were included if they were identified by the authors as an NPS / legal high or highlighted within the literature as a key paper (see Table 1). In this way, research on substances such as mephedrone and benzylpiperazine were incorporated from the period when they were considered to central to the issue, but not later periods, when they were no longer deemed to be representative of legal highs. </w:t>
      </w:r>
    </w:p>
    <w:p w14:paraId="1B5E9394" w14:textId="26A3C5C6" w:rsidR="00443002" w:rsidRDefault="00443002" w:rsidP="00443002">
      <w:pPr>
        <w:spacing w:line="480" w:lineRule="auto"/>
      </w:pPr>
      <w:r>
        <w:t xml:space="preserve">Once the search terms were determined, a comprehensive search of published literature was undertaken using the bibliographic databases </w:t>
      </w:r>
      <w:r w:rsidRPr="00FC7090">
        <w:rPr>
          <w:color w:val="000000" w:themeColor="text1"/>
          <w:kern w:val="24"/>
          <w:lang w:val="en-US"/>
        </w:rPr>
        <w:t>PsychINFO</w:t>
      </w:r>
      <w:r>
        <w:rPr>
          <w:color w:val="000000" w:themeColor="text1"/>
          <w:kern w:val="24"/>
          <w:lang w:val="en-US"/>
        </w:rPr>
        <w:t>,</w:t>
      </w:r>
      <w:r w:rsidRPr="00FC7090">
        <w:rPr>
          <w:color w:val="000000" w:themeColor="text1"/>
          <w:kern w:val="24"/>
          <w:lang w:val="en-US"/>
        </w:rPr>
        <w:t xml:space="preserve"> PsychARTICLES</w:t>
      </w:r>
      <w:r>
        <w:rPr>
          <w:color w:val="000000" w:themeColor="text1"/>
          <w:kern w:val="24"/>
          <w:lang w:val="en-US"/>
        </w:rPr>
        <w:t xml:space="preserve">, </w:t>
      </w:r>
      <w:r w:rsidRPr="00FC7090">
        <w:rPr>
          <w:color w:val="000000" w:themeColor="text1"/>
          <w:kern w:val="24"/>
          <w:lang w:val="en-US"/>
        </w:rPr>
        <w:t>MEDLINE</w:t>
      </w:r>
      <w:r>
        <w:rPr>
          <w:color w:val="000000" w:themeColor="text1"/>
          <w:kern w:val="24"/>
          <w:lang w:val="en-US"/>
        </w:rPr>
        <w:t xml:space="preserve"> and </w:t>
      </w:r>
      <w:r w:rsidRPr="00FC7090">
        <w:rPr>
          <w:color w:val="000000" w:themeColor="text1"/>
          <w:kern w:val="24"/>
          <w:lang w:val="en-US"/>
        </w:rPr>
        <w:t>Web of Science</w:t>
      </w:r>
      <w:r>
        <w:t xml:space="preserve">. A flow diagram of the search process is shown in Figure </w:t>
      </w:r>
      <w:r w:rsidR="004864B0">
        <w:t>4-</w:t>
      </w:r>
      <w:r>
        <w:t xml:space="preserve">1. </w:t>
      </w:r>
    </w:p>
    <w:p w14:paraId="73E702E9" w14:textId="212C419A" w:rsidR="00A868BB" w:rsidRDefault="00A868BB" w:rsidP="00443002">
      <w:pPr>
        <w:spacing w:line="480" w:lineRule="auto"/>
      </w:pPr>
    </w:p>
    <w:p w14:paraId="39DD6F96" w14:textId="29D9FF99" w:rsidR="00A868BB" w:rsidRDefault="00A868BB" w:rsidP="00443002">
      <w:pPr>
        <w:spacing w:line="480" w:lineRule="auto"/>
      </w:pPr>
    </w:p>
    <w:p w14:paraId="59D72233" w14:textId="77777777" w:rsidR="00A868BB" w:rsidRDefault="00A868BB" w:rsidP="00443002">
      <w:pPr>
        <w:spacing w:line="480" w:lineRule="auto"/>
      </w:pPr>
    </w:p>
    <w:bookmarkStart w:id="282" w:name="_Toc9509130"/>
    <w:bookmarkStart w:id="283" w:name="_Hlk6503385"/>
    <w:p w14:paraId="16505342" w14:textId="531F3F90" w:rsidR="00443002" w:rsidRPr="00697879" w:rsidRDefault="00443002" w:rsidP="00C42A80">
      <w:pPr>
        <w:pStyle w:val="FigureHeading"/>
      </w:pPr>
      <w:r>
        <mc:AlternateContent>
          <mc:Choice Requires="wpg">
            <w:drawing>
              <wp:anchor distT="0" distB="0" distL="114300" distR="114300" simplePos="0" relativeHeight="253709312" behindDoc="0" locked="0" layoutInCell="1" allowOverlap="1" wp14:anchorId="4315DC61" wp14:editId="38B4487C">
                <wp:simplePos x="0" y="0"/>
                <wp:positionH relativeFrom="column">
                  <wp:posOffset>2095</wp:posOffset>
                </wp:positionH>
                <wp:positionV relativeFrom="paragraph">
                  <wp:posOffset>37721</wp:posOffset>
                </wp:positionV>
                <wp:extent cx="5798820" cy="8828405"/>
                <wp:effectExtent l="0" t="0" r="11430" b="10795"/>
                <wp:wrapNone/>
                <wp:docPr id="241" name="Group 241"/>
                <wp:cNvGraphicFramePr/>
                <a:graphic xmlns:a="http://schemas.openxmlformats.org/drawingml/2006/main">
                  <a:graphicData uri="http://schemas.microsoft.com/office/word/2010/wordprocessingGroup">
                    <wpg:wgp>
                      <wpg:cNvGrpSpPr/>
                      <wpg:grpSpPr>
                        <a:xfrm>
                          <a:off x="0" y="0"/>
                          <a:ext cx="5798820" cy="8828405"/>
                          <a:chOff x="0" y="0"/>
                          <a:chExt cx="5799284" cy="8828716"/>
                        </a:xfrm>
                      </wpg:grpSpPr>
                      <wps:wsp>
                        <wps:cNvPr id="249" name="Rectangle 249"/>
                        <wps:cNvSpPr>
                          <a:spLocks noChangeArrowheads="1"/>
                        </wps:cNvSpPr>
                        <wps:spPr bwMode="auto">
                          <a:xfrm>
                            <a:off x="3234519" y="3998794"/>
                            <a:ext cx="2564130" cy="2137568"/>
                          </a:xfrm>
                          <a:prstGeom prst="rect">
                            <a:avLst/>
                          </a:prstGeom>
                          <a:solidFill>
                            <a:srgbClr val="FFFFFF"/>
                          </a:solidFill>
                          <a:ln w="19050">
                            <a:solidFill>
                              <a:srgbClr val="000000"/>
                            </a:solidFill>
                            <a:miter lim="800000"/>
                            <a:headEnd/>
                            <a:tailEnd/>
                          </a:ln>
                        </wps:spPr>
                        <wps:txbx>
                          <w:txbxContent>
                            <w:p w14:paraId="1B3E2000" w14:textId="77777777" w:rsidR="00777EE0" w:rsidRPr="00FC7090" w:rsidRDefault="00777EE0" w:rsidP="00443002">
                              <w:pPr>
                                <w:pStyle w:val="NormalWeb"/>
                                <w:kinsoku w:val="0"/>
                                <w:overflowPunct w:val="0"/>
                                <w:spacing w:before="0" w:beforeAutospacing="0" w:after="0" w:afterAutospacing="0" w:line="340" w:lineRule="atLeast"/>
                                <w:textAlignment w:val="baseline"/>
                              </w:pPr>
                              <w:r>
                                <w:rPr>
                                  <w:b/>
                                  <w:bCs/>
                                  <w:color w:val="000000" w:themeColor="text1"/>
                                  <w:kern w:val="24"/>
                                  <w:lang w:val="en-US"/>
                                </w:rPr>
                                <w:t>Records</w:t>
                              </w:r>
                              <w:r w:rsidRPr="00FC7090">
                                <w:rPr>
                                  <w:b/>
                                  <w:bCs/>
                                  <w:color w:val="000000" w:themeColor="text1"/>
                                  <w:kern w:val="24"/>
                                  <w:lang w:val="en-US"/>
                                </w:rPr>
                                <w:t xml:space="preserve"> scanned for relevance</w:t>
                              </w:r>
                              <w:r w:rsidRPr="00FC7090">
                                <w:rPr>
                                  <w:color w:val="000000" w:themeColor="text1"/>
                                  <w:kern w:val="24"/>
                                  <w:lang w:val="en-US"/>
                                </w:rPr>
                                <w:t xml:space="preserve"> </w:t>
                              </w:r>
                              <w:r w:rsidRPr="00FC7090">
                                <w:rPr>
                                  <w:color w:val="000000" w:themeColor="text1"/>
                                  <w:kern w:val="24"/>
                                  <w:lang w:val="en-US"/>
                                </w:rPr>
                                <w:br/>
                                <w:t xml:space="preserve">Records excluded </w:t>
                              </w:r>
                              <w:r w:rsidRPr="00BD3CE8">
                                <w:rPr>
                                  <w:color w:val="000000" w:themeColor="text1"/>
                                  <w:kern w:val="24"/>
                                  <w:sz w:val="22"/>
                                  <w:lang w:val="en-US"/>
                                </w:rPr>
                                <w:t>(N=1487)</w:t>
                              </w:r>
                              <w:r w:rsidRPr="00FC7090">
                                <w:rPr>
                                  <w:color w:val="000000" w:themeColor="text1"/>
                                  <w:kern w:val="24"/>
                                  <w:lang w:val="en-US"/>
                                </w:rPr>
                                <w:br/>
                                <w:t>Duplicates removed</w:t>
                              </w:r>
                              <w:r>
                                <w:rPr>
                                  <w:color w:val="000000" w:themeColor="text1"/>
                                  <w:kern w:val="24"/>
                                  <w:lang w:val="en-US"/>
                                </w:rPr>
                                <w:t xml:space="preserve"> </w:t>
                              </w:r>
                              <w:r w:rsidRPr="00BD3CE8">
                                <w:rPr>
                                  <w:color w:val="000000" w:themeColor="text1"/>
                                  <w:kern w:val="24"/>
                                  <w:sz w:val="22"/>
                                  <w:lang w:val="en-US"/>
                                </w:rPr>
                                <w:t>(N=29)</w:t>
                              </w:r>
                              <w:r w:rsidRPr="00FC7090">
                                <w:rPr>
                                  <w:color w:val="000000" w:themeColor="text1"/>
                                  <w:kern w:val="24"/>
                                  <w:lang w:val="en-US"/>
                                </w:rPr>
                                <w:br/>
                                <w:t>Non-relevant papers:</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General commentary</w:t>
                              </w:r>
                              <w:r>
                                <w:rPr>
                                  <w:color w:val="000000" w:themeColor="text1"/>
                                  <w:kern w:val="24"/>
                                  <w:lang w:val="en-US"/>
                                </w:rPr>
                                <w:t xml:space="preserve"> </w:t>
                              </w:r>
                              <w:r w:rsidRPr="00BD3CE8">
                                <w:rPr>
                                  <w:color w:val="000000" w:themeColor="text1"/>
                                  <w:kern w:val="24"/>
                                  <w:sz w:val="22"/>
                                  <w:lang w:val="en-US"/>
                                </w:rPr>
                                <w:t xml:space="preserve">(N=187) </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Toxicology/Pharmacology</w:t>
                              </w:r>
                              <w:r>
                                <w:rPr>
                                  <w:color w:val="000000" w:themeColor="text1"/>
                                  <w:kern w:val="24"/>
                                  <w:lang w:val="en-US"/>
                                </w:rPr>
                                <w:t xml:space="preserve"> </w:t>
                              </w:r>
                              <w:r w:rsidRPr="00BD3CE8">
                                <w:rPr>
                                  <w:color w:val="000000" w:themeColor="text1"/>
                                  <w:kern w:val="24"/>
                                  <w:sz w:val="22"/>
                                  <w:lang w:val="en-US"/>
                                </w:rPr>
                                <w:t>(N=1258)</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Prescription drugs</w:t>
                              </w:r>
                              <w:r>
                                <w:rPr>
                                  <w:color w:val="000000" w:themeColor="text1"/>
                                  <w:kern w:val="24"/>
                                  <w:lang w:val="en-US"/>
                                </w:rPr>
                                <w:t xml:space="preserve"> </w:t>
                              </w:r>
                              <w:r w:rsidRPr="008B13BF">
                                <w:rPr>
                                  <w:color w:val="000000" w:themeColor="text1"/>
                                  <w:kern w:val="24"/>
                                  <w:sz w:val="22"/>
                                  <w:lang w:val="en-US"/>
                                </w:rPr>
                                <w:t>(N=6)</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Illicit drugs</w:t>
                              </w:r>
                              <w:r>
                                <w:rPr>
                                  <w:color w:val="000000" w:themeColor="text1"/>
                                  <w:kern w:val="24"/>
                                  <w:lang w:val="en-US"/>
                                </w:rPr>
                                <w:t xml:space="preserve"> </w:t>
                              </w:r>
                              <w:r w:rsidRPr="008B13BF">
                                <w:rPr>
                                  <w:color w:val="000000" w:themeColor="text1"/>
                                  <w:kern w:val="24"/>
                                  <w:sz w:val="22"/>
                                  <w:lang w:val="en-US"/>
                                </w:rPr>
                                <w:t>(N=3)</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Law</w:t>
                              </w:r>
                              <w:r>
                                <w:rPr>
                                  <w:color w:val="000000" w:themeColor="text1"/>
                                  <w:kern w:val="24"/>
                                  <w:lang w:val="en-US"/>
                                </w:rPr>
                                <w:t xml:space="preserve"> </w:t>
                              </w:r>
                              <w:r w:rsidRPr="008B13BF">
                                <w:rPr>
                                  <w:color w:val="000000" w:themeColor="text1"/>
                                  <w:kern w:val="24"/>
                                  <w:sz w:val="22"/>
                                  <w:lang w:val="en-US"/>
                                </w:rPr>
                                <w:t>(N=4)</w:t>
                              </w:r>
                            </w:p>
                          </w:txbxContent>
                        </wps:txbx>
                        <wps:bodyPr vert="horz" wrap="square" lIns="91440" tIns="91440" rIns="91440" bIns="91440" numCol="1" anchor="t" anchorCtr="0" compatLnSpc="1">
                          <a:prstTxWarp prst="textNoShape">
                            <a:avLst/>
                          </a:prstTxWarp>
                          <a:noAutofit/>
                        </wps:bodyPr>
                      </wps:wsp>
                      <wps:wsp>
                        <wps:cNvPr id="250" name="Rectangle 250"/>
                        <wps:cNvSpPr>
                          <a:spLocks noChangeArrowheads="1"/>
                        </wps:cNvSpPr>
                        <wps:spPr bwMode="auto">
                          <a:xfrm>
                            <a:off x="3234519" y="6264322"/>
                            <a:ext cx="2564765" cy="2558059"/>
                          </a:xfrm>
                          <a:prstGeom prst="rect">
                            <a:avLst/>
                          </a:prstGeom>
                          <a:solidFill>
                            <a:srgbClr val="FFFFFF"/>
                          </a:solidFill>
                          <a:ln w="19050">
                            <a:solidFill>
                              <a:srgbClr val="000000"/>
                            </a:solidFill>
                            <a:miter lim="800000"/>
                            <a:headEnd/>
                            <a:tailEnd/>
                          </a:ln>
                        </wps:spPr>
                        <wps:txbx>
                          <w:txbxContent>
                            <w:p w14:paraId="395E52E1" w14:textId="77777777" w:rsidR="00777EE0" w:rsidRDefault="00777EE0" w:rsidP="00443002">
                              <w:pPr>
                                <w:pStyle w:val="NormalWeb"/>
                                <w:kinsoku w:val="0"/>
                                <w:overflowPunct w:val="0"/>
                                <w:spacing w:before="0" w:beforeAutospacing="0" w:after="0" w:afterAutospacing="0" w:line="340" w:lineRule="atLeast"/>
                                <w:textAlignment w:val="baseline"/>
                              </w:pPr>
                              <w:r>
                                <w:rPr>
                                  <w:b/>
                                  <w:bCs/>
                                  <w:color w:val="000000" w:themeColor="text1"/>
                                  <w:kern w:val="24"/>
                                  <w:lang w:val="en-US"/>
                                </w:rPr>
                                <w:t>Articles assessed for eligibility</w:t>
                              </w:r>
                            </w:p>
                            <w:p w14:paraId="729E4206"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Studies excluded </w:t>
                              </w:r>
                              <w:r w:rsidRPr="008B13BF">
                                <w:rPr>
                                  <w:color w:val="000000" w:themeColor="text1"/>
                                  <w:kern w:val="24"/>
                                  <w:sz w:val="22"/>
                                  <w:lang w:val="en-US"/>
                                </w:rPr>
                                <w:t>(N=3</w:t>
                              </w:r>
                              <w:r>
                                <w:rPr>
                                  <w:color w:val="000000" w:themeColor="text1"/>
                                  <w:kern w:val="24"/>
                                  <w:sz w:val="22"/>
                                  <w:lang w:val="en-US"/>
                                </w:rPr>
                                <w:t>2</w:t>
                              </w:r>
                              <w:r w:rsidRPr="008B13BF">
                                <w:rPr>
                                  <w:color w:val="000000" w:themeColor="text1"/>
                                  <w:kern w:val="24"/>
                                  <w:sz w:val="22"/>
                                  <w:lang w:val="en-US"/>
                                </w:rPr>
                                <w:t>)</w:t>
                              </w:r>
                            </w:p>
                            <w:p w14:paraId="3C57DA8A"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Inaccessible </w:t>
                              </w:r>
                              <w:r w:rsidRPr="008B13BF">
                                <w:rPr>
                                  <w:color w:val="000000" w:themeColor="text1"/>
                                  <w:kern w:val="24"/>
                                  <w:sz w:val="22"/>
                                  <w:lang w:val="en-US"/>
                                </w:rPr>
                                <w:t>(N= 1)</w:t>
                              </w:r>
                            </w:p>
                            <w:p w14:paraId="1167AB70"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No data collected </w:t>
                              </w:r>
                              <w:r w:rsidRPr="008B13BF">
                                <w:rPr>
                                  <w:color w:val="000000" w:themeColor="text1"/>
                                  <w:kern w:val="24"/>
                                  <w:sz w:val="22"/>
                                  <w:lang w:val="en-US"/>
                                </w:rPr>
                                <w:t>(N = 18)</w:t>
                              </w:r>
                            </w:p>
                            <w:p w14:paraId="5128B038"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No motives/reasons in outcomes:     </w:t>
                              </w:r>
                            </w:p>
                            <w:p w14:paraId="20FD2797"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sym w:font="Wingdings" w:char="F09F"/>
                              </w:r>
                              <w:r>
                                <w:rPr>
                                  <w:color w:val="000000" w:themeColor="text1"/>
                                  <w:kern w:val="24"/>
                                  <w:lang w:val="en-US"/>
                                </w:rPr>
                                <w:t xml:space="preserve">  Prevalence only </w:t>
                              </w:r>
                              <w:r w:rsidRPr="008B13BF">
                                <w:rPr>
                                  <w:color w:val="000000" w:themeColor="text1"/>
                                  <w:kern w:val="24"/>
                                  <w:sz w:val="22"/>
                                  <w:lang w:val="en-US"/>
                                </w:rPr>
                                <w:t>(N=</w:t>
                              </w:r>
                              <w:r>
                                <w:rPr>
                                  <w:color w:val="000000" w:themeColor="text1"/>
                                  <w:kern w:val="24"/>
                                  <w:sz w:val="22"/>
                                  <w:lang w:val="en-US"/>
                                </w:rPr>
                                <w:t>6</w:t>
                              </w:r>
                              <w:r w:rsidRPr="008B13BF">
                                <w:rPr>
                                  <w:color w:val="000000" w:themeColor="text1"/>
                                  <w:kern w:val="24"/>
                                  <w:sz w:val="22"/>
                                  <w:lang w:val="en-US"/>
                                </w:rPr>
                                <w:t xml:space="preserve">)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Online activity </w:t>
                              </w:r>
                              <w:r w:rsidRPr="008B13BF">
                                <w:rPr>
                                  <w:color w:val="000000" w:themeColor="text1"/>
                                  <w:kern w:val="24"/>
                                  <w:sz w:val="22"/>
                                  <w:lang w:val="en-US"/>
                                </w:rPr>
                                <w:t xml:space="preserve">(N=2)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Awareness </w:t>
                              </w:r>
                              <w:r w:rsidRPr="008B13BF">
                                <w:rPr>
                                  <w:color w:val="000000" w:themeColor="text1"/>
                                  <w:kern w:val="24"/>
                                  <w:sz w:val="22"/>
                                  <w:lang w:val="en-US"/>
                                </w:rPr>
                                <w:t>(N=1)</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Use of drug services </w:t>
                              </w:r>
                              <w:r w:rsidRPr="008B13BF">
                                <w:rPr>
                                  <w:color w:val="000000" w:themeColor="text1"/>
                                  <w:kern w:val="24"/>
                                  <w:sz w:val="22"/>
                                  <w:lang w:val="en-US"/>
                                </w:rPr>
                                <w:t xml:space="preserve">(N=1)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Type of products </w:t>
                              </w:r>
                              <w:r w:rsidRPr="008B13BF">
                                <w:rPr>
                                  <w:color w:val="000000" w:themeColor="text1"/>
                                  <w:kern w:val="24"/>
                                  <w:sz w:val="22"/>
                                  <w:lang w:val="en-US"/>
                                </w:rPr>
                                <w:t>(N=2)</w:t>
                              </w:r>
                              <w:r>
                                <w:rPr>
                                  <w:color w:val="000000" w:themeColor="text1"/>
                                  <w:kern w:val="24"/>
                                  <w:sz w:val="22"/>
                                  <w:lang w:val="en-US"/>
                                </w:rPr>
                                <w:br/>
                              </w:r>
                              <w:r>
                                <w:rPr>
                                  <w:color w:val="000000" w:themeColor="text1"/>
                                  <w:kern w:val="24"/>
                                  <w:lang w:val="en-US"/>
                                </w:rPr>
                                <w:sym w:font="Wingdings" w:char="F09F"/>
                              </w:r>
                              <w:r>
                                <w:rPr>
                                  <w:color w:val="000000" w:themeColor="text1"/>
                                  <w:kern w:val="24"/>
                                  <w:lang w:val="en-US"/>
                                </w:rPr>
                                <w:t xml:space="preserve">  Subjective effects </w:t>
                              </w:r>
                              <w:r w:rsidRPr="008B13BF">
                                <w:rPr>
                                  <w:color w:val="000000" w:themeColor="text1"/>
                                  <w:kern w:val="24"/>
                                  <w:sz w:val="22"/>
                                  <w:lang w:val="en-US"/>
                                </w:rPr>
                                <w:t>(N=</w:t>
                              </w:r>
                              <w:r>
                                <w:rPr>
                                  <w:color w:val="000000" w:themeColor="text1"/>
                                  <w:kern w:val="24"/>
                                  <w:sz w:val="22"/>
                                  <w:lang w:val="en-US"/>
                                </w:rPr>
                                <w:t>1</w:t>
                              </w:r>
                              <w:r w:rsidRPr="008B13BF">
                                <w:rPr>
                                  <w:color w:val="000000" w:themeColor="text1"/>
                                  <w:kern w:val="24"/>
                                  <w:sz w:val="22"/>
                                  <w:lang w:val="en-US"/>
                                </w:rPr>
                                <w:t>)</w:t>
                              </w:r>
                            </w:p>
                          </w:txbxContent>
                        </wps:txbx>
                        <wps:bodyPr vert="horz" wrap="square" lIns="91440" tIns="91440" rIns="91440" bIns="91440" numCol="1" anchor="t" anchorCtr="0" compatLnSpc="1">
                          <a:prstTxWarp prst="textNoShape">
                            <a:avLst/>
                          </a:prstTxWarp>
                          <a:noAutofit/>
                        </wps:bodyPr>
                      </wps:wsp>
                      <wpg:grpSp>
                        <wpg:cNvPr id="251" name="Group 251"/>
                        <wpg:cNvGrpSpPr/>
                        <wpg:grpSpPr>
                          <a:xfrm>
                            <a:off x="919802" y="3744888"/>
                            <a:ext cx="1006475" cy="749300"/>
                            <a:chOff x="1100240" y="3301476"/>
                            <a:chExt cx="999460" cy="829132"/>
                          </a:xfrm>
                        </wpg:grpSpPr>
                        <wps:wsp>
                          <wps:cNvPr id="252" name="Diamond 252"/>
                          <wps:cNvSpPr/>
                          <wps:spPr>
                            <a:xfrm>
                              <a:off x="1100240" y="3301476"/>
                              <a:ext cx="999460" cy="829132"/>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1163634" y="3408122"/>
                              <a:ext cx="892810" cy="514586"/>
                            </a:xfrm>
                            <a:prstGeom prst="rect">
                              <a:avLst/>
                            </a:prstGeom>
                            <a:noFill/>
                            <a:ln w="9525">
                              <a:noFill/>
                              <a:miter lim="800000"/>
                              <a:headEnd/>
                              <a:tailEnd/>
                            </a:ln>
                          </wps:spPr>
                          <wps:txbx>
                            <w:txbxContent>
                              <w:p w14:paraId="2AE49E21"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 xml:space="preserve">Check </w:t>
                                </w:r>
                                <w:r>
                                  <w:rPr>
                                    <w:rFonts w:cstheme="minorBidi"/>
                                    <w:color w:val="000000" w:themeColor="text1"/>
                                    <w:kern w:val="24"/>
                                    <w:sz w:val="22"/>
                                    <w:szCs w:val="22"/>
                                  </w:rPr>
                                  <w:br/>
                                  <w:t>relevance</w:t>
                                </w:r>
                              </w:p>
                            </w:txbxContent>
                          </wps:txbx>
                          <wps:bodyPr rot="0" vert="horz" wrap="square" lIns="91440" tIns="45720" rIns="91440" bIns="45720" anchor="t" anchorCtr="0">
                            <a:noAutofit/>
                          </wps:bodyPr>
                        </wps:wsp>
                      </wpg:grpSp>
                      <wps:wsp>
                        <wps:cNvPr id="261" name="Rectangle 261"/>
                        <wps:cNvSpPr>
                          <a:spLocks noChangeArrowheads="1"/>
                        </wps:cNvSpPr>
                        <wps:spPr bwMode="auto">
                          <a:xfrm>
                            <a:off x="3234519" y="0"/>
                            <a:ext cx="2554920" cy="3848018"/>
                          </a:xfrm>
                          <a:prstGeom prst="rect">
                            <a:avLst/>
                          </a:prstGeom>
                          <a:solidFill>
                            <a:srgbClr val="FFFFFF"/>
                          </a:solidFill>
                          <a:ln w="19050">
                            <a:solidFill>
                              <a:srgbClr val="000000"/>
                            </a:solidFill>
                            <a:miter lim="800000"/>
                            <a:headEnd/>
                            <a:tailEnd/>
                          </a:ln>
                        </wps:spPr>
                        <wps:txbx>
                          <w:txbxContent>
                            <w:p w14:paraId="1F931C66" w14:textId="77777777" w:rsidR="00777EE0" w:rsidRPr="00FC7090" w:rsidRDefault="00777EE0" w:rsidP="00443002">
                              <w:pPr>
                                <w:pStyle w:val="NormalWeb"/>
                                <w:kinsoku w:val="0"/>
                                <w:overflowPunct w:val="0"/>
                                <w:spacing w:before="0" w:beforeAutospacing="0" w:after="240" w:afterAutospacing="0" w:line="340" w:lineRule="atLeast"/>
                                <w:textAlignment w:val="baseline"/>
                              </w:pPr>
                              <w:r w:rsidRPr="00FC7090">
                                <w:rPr>
                                  <w:b/>
                                  <w:bCs/>
                                  <w:color w:val="000000" w:themeColor="text1"/>
                                  <w:kern w:val="24"/>
                                  <w:lang w:val="en-US"/>
                                </w:rPr>
                                <w:t>Search terms</w:t>
                              </w:r>
                              <w:r w:rsidRPr="00FC7090">
                                <w:rPr>
                                  <w:color w:val="000000"/>
                                  <w:kern w:val="24"/>
                                  <w:lang w:val="en-US"/>
                                </w:rPr>
                                <w:br/>
                                <w:t xml:space="preserve">legal high* </w:t>
                              </w:r>
                              <w:r w:rsidRPr="00FC7090">
                                <w:rPr>
                                  <w:color w:val="000000"/>
                                  <w:kern w:val="24"/>
                                  <w:lang w:val="en-US"/>
                                </w:rPr>
                                <w:br/>
                                <w:t>novel psychoactive substance*</w:t>
                              </w:r>
                              <w:r w:rsidRPr="00FC7090">
                                <w:rPr>
                                  <w:color w:val="000000"/>
                                  <w:kern w:val="24"/>
                                  <w:lang w:val="en-US"/>
                                </w:rPr>
                                <w:br/>
                                <w:t>new psychoactive substance*</w:t>
                              </w:r>
                              <w:r>
                                <w:rPr>
                                  <w:color w:val="000000"/>
                                  <w:kern w:val="24"/>
                                  <w:lang w:val="en-US"/>
                                </w:rPr>
                                <w:br/>
                                <w:t>novel psychoactive compound*</w:t>
                              </w:r>
                              <w:r w:rsidRPr="00FC7090">
                                <w:rPr>
                                  <w:color w:val="000000"/>
                                  <w:kern w:val="24"/>
                                  <w:lang w:val="en-US"/>
                                </w:rPr>
                                <w:br/>
                                <w:t>new psychoactive compound*</w:t>
                              </w:r>
                              <w:r w:rsidRPr="00FC7090">
                                <w:rPr>
                                  <w:color w:val="000000"/>
                                  <w:kern w:val="24"/>
                                  <w:lang w:val="en-US"/>
                                </w:rPr>
                                <w:br/>
                                <w:t>emerging psychoactive substance*</w:t>
                              </w:r>
                              <w:r w:rsidRPr="00FC7090">
                                <w:rPr>
                                  <w:color w:val="000000"/>
                                  <w:kern w:val="24"/>
                                  <w:lang w:val="en-US"/>
                                </w:rPr>
                                <w:br/>
                              </w:r>
                              <w:r w:rsidRPr="00FC7090">
                                <w:rPr>
                                  <w:color w:val="FF0000"/>
                                  <w:kern w:val="24"/>
                                  <w:lang w:val="en-US"/>
                                </w:rPr>
                                <w:br/>
                              </w:r>
                              <w:r w:rsidRPr="00FC7090">
                                <w:rPr>
                                  <w:b/>
                                  <w:bCs/>
                                  <w:color w:val="000000" w:themeColor="text1"/>
                                  <w:kern w:val="24"/>
                                  <w:lang w:val="en-US"/>
                                </w:rPr>
                                <w:t>Sources</w:t>
                              </w:r>
                              <w:r w:rsidRPr="00FC7090">
                                <w:rPr>
                                  <w:color w:val="000000" w:themeColor="text1"/>
                                  <w:kern w:val="24"/>
                                  <w:lang w:val="en-US"/>
                                </w:rPr>
                                <w:br/>
                                <w:t xml:space="preserve">Databases searched </w:t>
                              </w:r>
                              <w:r w:rsidRPr="008B13BF">
                                <w:rPr>
                                  <w:color w:val="000000" w:themeColor="text1"/>
                                  <w:kern w:val="24"/>
                                  <w:sz w:val="22"/>
                                  <w:lang w:val="en-US"/>
                                </w:rPr>
                                <w:t>(N = 1524)</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PsychARTICLES</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PsychINFO</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Web of Science</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MEDLINE</w:t>
                              </w:r>
                              <w:r w:rsidRPr="00FC7090">
                                <w:rPr>
                                  <w:color w:val="000000" w:themeColor="text1"/>
                                  <w:kern w:val="24"/>
                                  <w:lang w:val="en-US"/>
                                </w:rPr>
                                <w:br/>
                                <w:t xml:space="preserve">Other sources </w:t>
                              </w:r>
                              <w:r w:rsidRPr="00BD3CE8">
                                <w:rPr>
                                  <w:color w:val="000000" w:themeColor="text1"/>
                                  <w:kern w:val="24"/>
                                  <w:sz w:val="22"/>
                                  <w:lang w:val="en-US"/>
                                </w:rPr>
                                <w:t>(N = 2</w:t>
                              </w:r>
                              <w:r>
                                <w:rPr>
                                  <w:color w:val="000000" w:themeColor="text1"/>
                                  <w:kern w:val="24"/>
                                  <w:sz w:val="22"/>
                                  <w:lang w:val="en-US"/>
                                </w:rPr>
                                <w:t>6</w:t>
                              </w:r>
                              <w:r w:rsidRPr="00BD3CE8">
                                <w:rPr>
                                  <w:color w:val="000000" w:themeColor="text1"/>
                                  <w:kern w:val="24"/>
                                  <w:sz w:val="22"/>
                                  <w:lang w:val="en-US"/>
                                </w:rPr>
                                <w:t>)</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Grey literature</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Bibliographies</w:t>
                              </w:r>
                            </w:p>
                          </w:txbxContent>
                        </wps:txbx>
                        <wps:bodyPr vert="horz" wrap="square" lIns="91440" tIns="91440" rIns="91440" bIns="91440" numCol="1" anchor="t" anchorCtr="0" compatLnSpc="1">
                          <a:prstTxWarp prst="textNoShape">
                            <a:avLst/>
                          </a:prstTxWarp>
                          <a:noAutofit/>
                        </wps:bodyPr>
                      </wps:wsp>
                      <wpg:grpSp>
                        <wpg:cNvPr id="268" name="Group 268"/>
                        <wpg:cNvGrpSpPr/>
                        <wpg:grpSpPr>
                          <a:xfrm>
                            <a:off x="0" y="5322626"/>
                            <a:ext cx="2805987" cy="575310"/>
                            <a:chOff x="222816" y="4800430"/>
                            <a:chExt cx="3242931" cy="637953"/>
                          </a:xfrm>
                        </wpg:grpSpPr>
                        <wps:wsp>
                          <wps:cNvPr id="269" name="Rectangle 269"/>
                          <wps:cNvSpPr>
                            <a:spLocks noChangeArrowheads="1"/>
                          </wps:cNvSpPr>
                          <wps:spPr bwMode="auto">
                            <a:xfrm>
                              <a:off x="222816" y="4800430"/>
                              <a:ext cx="3242931" cy="633512"/>
                            </a:xfrm>
                            <a:prstGeom prst="rect">
                              <a:avLst/>
                            </a:prstGeom>
                            <a:solidFill>
                              <a:srgbClr val="FFFFFF"/>
                            </a:solidFill>
                            <a:ln w="19050">
                              <a:solidFill>
                                <a:schemeClr val="tx1"/>
                              </a:solidFill>
                              <a:miter lim="800000"/>
                              <a:headEnd/>
                              <a:tailEnd/>
                            </a:ln>
                          </wps:spPr>
                          <wps:txbx>
                            <w:txbxContent>
                              <w:p w14:paraId="69B548AC" w14:textId="77777777" w:rsidR="00777EE0" w:rsidRDefault="00777EE0" w:rsidP="00443002">
                                <w:pPr>
                                  <w:pStyle w:val="NormalWeb"/>
                                  <w:spacing w:before="0" w:beforeAutospacing="0" w:after="200" w:afterAutospacing="0" w:line="276" w:lineRule="auto"/>
                                  <w:jc w:val="center"/>
                                </w:pPr>
                                <w:r>
                                  <w:rPr>
                                    <w:rFonts w:cstheme="minorBidi"/>
                                    <w:b/>
                                    <w:bCs/>
                                    <w:color w:val="000000" w:themeColor="text1"/>
                                    <w:kern w:val="24"/>
                                  </w:rPr>
                                  <w:t xml:space="preserve">Full-text articles retrieved </w:t>
                                </w:r>
                                <w:r>
                                  <w:rPr>
                                    <w:rFonts w:cstheme="minorBidi"/>
                                    <w:b/>
                                    <w:bCs/>
                                    <w:color w:val="000000" w:themeColor="text1"/>
                                    <w:kern w:val="24"/>
                                  </w:rPr>
                                  <w:br/>
                                  <w:t>N= 63</w:t>
                                </w:r>
                              </w:p>
                            </w:txbxContent>
                          </wps:txbx>
                          <wps:bodyPr rot="0" vert="horz" wrap="square" lIns="91440" tIns="91440" rIns="91440" bIns="91440" anchor="t" anchorCtr="0" upright="1">
                            <a:noAutofit/>
                          </wps:bodyPr>
                        </wps:wsp>
                        <wps:wsp>
                          <wps:cNvPr id="270" name="Rectangle 270"/>
                          <wps:cNvSpPr/>
                          <wps:spPr>
                            <a:xfrm>
                              <a:off x="222816" y="4800430"/>
                              <a:ext cx="3242931" cy="6379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a:off x="892506" y="6692805"/>
                            <a:ext cx="1006475" cy="748665"/>
                            <a:chOff x="1087646" y="6033197"/>
                            <a:chExt cx="999460" cy="829132"/>
                          </a:xfrm>
                        </wpg:grpSpPr>
                        <wps:wsp>
                          <wps:cNvPr id="272" name="Diamond 272"/>
                          <wps:cNvSpPr/>
                          <wps:spPr>
                            <a:xfrm>
                              <a:off x="1087646" y="6033197"/>
                              <a:ext cx="999460" cy="829132"/>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Text Box 2"/>
                          <wps:cNvSpPr txBox="1">
                            <a:spLocks noChangeArrowheads="1"/>
                          </wps:cNvSpPr>
                          <wps:spPr bwMode="auto">
                            <a:xfrm>
                              <a:off x="1139111" y="6145136"/>
                              <a:ext cx="892810" cy="659664"/>
                            </a:xfrm>
                            <a:prstGeom prst="rect">
                              <a:avLst/>
                            </a:prstGeom>
                            <a:noFill/>
                            <a:ln w="9525">
                              <a:noFill/>
                              <a:miter lim="800000"/>
                              <a:headEnd/>
                              <a:tailEnd/>
                            </a:ln>
                          </wps:spPr>
                          <wps:txbx>
                            <w:txbxContent>
                              <w:p w14:paraId="6AB1E398"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Assess</w:t>
                                </w:r>
                                <w:r>
                                  <w:rPr>
                                    <w:rFonts w:cstheme="minorBidi"/>
                                    <w:color w:val="000000" w:themeColor="text1"/>
                                    <w:kern w:val="24"/>
                                    <w:sz w:val="22"/>
                                    <w:szCs w:val="22"/>
                                  </w:rPr>
                                  <w:br/>
                                  <w:t>Eligibility</w:t>
                                </w:r>
                              </w:p>
                            </w:txbxContent>
                          </wps:txbx>
                          <wps:bodyPr rot="0" vert="horz" wrap="square" lIns="91440" tIns="45720" rIns="91440" bIns="45720" anchor="t" anchorCtr="0">
                            <a:noAutofit/>
                          </wps:bodyPr>
                        </wps:wsp>
                      </wpg:grpSp>
                      <wpg:grpSp>
                        <wpg:cNvPr id="274" name="Group 274"/>
                        <wpg:cNvGrpSpPr/>
                        <wpg:grpSpPr>
                          <a:xfrm>
                            <a:off x="27295" y="2374710"/>
                            <a:ext cx="2806065" cy="622300"/>
                            <a:chOff x="210789" y="1946144"/>
                            <a:chExt cx="3242931" cy="689027"/>
                          </a:xfrm>
                        </wpg:grpSpPr>
                        <wps:wsp>
                          <wps:cNvPr id="275" name="Rectangle 275"/>
                          <wps:cNvSpPr>
                            <a:spLocks noChangeArrowheads="1"/>
                          </wps:cNvSpPr>
                          <wps:spPr bwMode="auto">
                            <a:xfrm>
                              <a:off x="235522" y="1988637"/>
                              <a:ext cx="3155580" cy="646534"/>
                            </a:xfrm>
                            <a:prstGeom prst="rect">
                              <a:avLst/>
                            </a:prstGeom>
                            <a:solidFill>
                              <a:srgbClr val="FFFFFF"/>
                            </a:solidFill>
                            <a:ln w="9525">
                              <a:noFill/>
                              <a:miter lim="800000"/>
                              <a:headEnd/>
                              <a:tailEnd/>
                            </a:ln>
                          </wps:spPr>
                          <wps:txbx>
                            <w:txbxContent>
                              <w:p w14:paraId="45753AC0" w14:textId="77777777" w:rsidR="00777EE0" w:rsidRDefault="00777EE0" w:rsidP="00443002">
                                <w:pPr>
                                  <w:pStyle w:val="NormalWeb"/>
                                  <w:spacing w:before="0" w:beforeAutospacing="0" w:after="200" w:afterAutospacing="0" w:line="276" w:lineRule="auto"/>
                                  <w:jc w:val="center"/>
                                </w:pPr>
                                <w:r>
                                  <w:rPr>
                                    <w:rFonts w:cstheme="minorBidi"/>
                                    <w:b/>
                                    <w:bCs/>
                                    <w:color w:val="000000" w:themeColor="text1"/>
                                    <w:kern w:val="24"/>
                                  </w:rPr>
                                  <w:t>Total number of records</w:t>
                                </w:r>
                                <w:r>
                                  <w:rPr>
                                    <w:rFonts w:cstheme="minorBidi"/>
                                    <w:b/>
                                    <w:bCs/>
                                    <w:color w:val="000000" w:themeColor="text1"/>
                                    <w:kern w:val="24"/>
                                  </w:rPr>
                                  <w:br/>
                                  <w:t>N = 1550</w:t>
                                </w:r>
                              </w:p>
                              <w:p w14:paraId="3D5BAD3E"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rPr>
                                  <w:t> </w:t>
                                </w:r>
                              </w:p>
                            </w:txbxContent>
                          </wps:txbx>
                          <wps:bodyPr rot="0" vert="horz" wrap="square" lIns="91440" tIns="91440" rIns="91440" bIns="91440" anchor="t" anchorCtr="0" upright="1">
                            <a:noAutofit/>
                          </wps:bodyPr>
                        </wps:wsp>
                        <wps:wsp>
                          <wps:cNvPr id="276" name="Rectangle 276"/>
                          <wps:cNvSpPr/>
                          <wps:spPr>
                            <a:xfrm>
                              <a:off x="210789" y="1946144"/>
                              <a:ext cx="3242931" cy="6379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7" name="Rectangle 277"/>
                        <wps:cNvSpPr>
                          <a:spLocks noChangeArrowheads="1"/>
                        </wps:cNvSpPr>
                        <wps:spPr bwMode="auto">
                          <a:xfrm>
                            <a:off x="13647" y="8243247"/>
                            <a:ext cx="2806065" cy="585469"/>
                          </a:xfrm>
                          <a:prstGeom prst="rect">
                            <a:avLst/>
                          </a:prstGeom>
                          <a:solidFill>
                            <a:srgbClr val="FFFFFF"/>
                          </a:solidFill>
                          <a:ln w="19050">
                            <a:solidFill>
                              <a:schemeClr val="tx1"/>
                            </a:solidFill>
                            <a:miter lim="800000"/>
                            <a:headEnd/>
                            <a:tailEnd/>
                          </a:ln>
                        </wps:spPr>
                        <wps:txbx>
                          <w:txbxContent>
                            <w:p w14:paraId="01120708" w14:textId="77777777" w:rsidR="00777EE0" w:rsidRDefault="00777EE0" w:rsidP="00443002">
                              <w:pPr>
                                <w:pStyle w:val="NormalWeb"/>
                                <w:spacing w:before="0" w:beforeAutospacing="0" w:after="0" w:afterAutospacing="0" w:line="276" w:lineRule="auto"/>
                                <w:jc w:val="center"/>
                              </w:pPr>
                              <w:r>
                                <w:rPr>
                                  <w:rFonts w:cstheme="minorBidi"/>
                                  <w:b/>
                                  <w:bCs/>
                                  <w:color w:val="000000" w:themeColor="text1"/>
                                  <w:kern w:val="24"/>
                                </w:rPr>
                                <w:t xml:space="preserve">Studies included in review </w:t>
                              </w:r>
                              <w:r>
                                <w:rPr>
                                  <w:rFonts w:cstheme="minorBidi"/>
                                  <w:b/>
                                  <w:bCs/>
                                  <w:color w:val="000000" w:themeColor="text1"/>
                                  <w:kern w:val="24"/>
                                </w:rPr>
                                <w:br/>
                                <w:t>N = 31</w:t>
                              </w:r>
                            </w:p>
                            <w:p w14:paraId="2BA479C7"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rPr>
                                <w:t> </w:t>
                              </w:r>
                            </w:p>
                          </w:txbxContent>
                        </wps:txbx>
                        <wps:bodyPr rot="0" vert="horz" wrap="square" lIns="91440" tIns="91440" rIns="91440" bIns="91440" anchor="t" anchorCtr="0" upright="1">
                          <a:noAutofit/>
                        </wps:bodyPr>
                      </wps:wsp>
                      <wpg:grpSp>
                        <wpg:cNvPr id="278" name="Group 278"/>
                        <wpg:cNvGrpSpPr/>
                        <wpg:grpSpPr>
                          <a:xfrm>
                            <a:off x="906154" y="824267"/>
                            <a:ext cx="1006475" cy="748665"/>
                            <a:chOff x="1093414" y="402098"/>
                            <a:chExt cx="999460" cy="829132"/>
                          </a:xfrm>
                        </wpg:grpSpPr>
                        <wps:wsp>
                          <wps:cNvPr id="279" name="Diamond 279"/>
                          <wps:cNvSpPr/>
                          <wps:spPr>
                            <a:xfrm>
                              <a:off x="1093414" y="402098"/>
                              <a:ext cx="999460" cy="829132"/>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Text Box 2"/>
                          <wps:cNvSpPr txBox="1">
                            <a:spLocks noChangeArrowheads="1"/>
                          </wps:cNvSpPr>
                          <wps:spPr bwMode="auto">
                            <a:xfrm>
                              <a:off x="1145116" y="558887"/>
                              <a:ext cx="892810" cy="535928"/>
                            </a:xfrm>
                            <a:prstGeom prst="rect">
                              <a:avLst/>
                            </a:prstGeom>
                            <a:noFill/>
                            <a:ln w="9525">
                              <a:noFill/>
                              <a:miter lim="800000"/>
                              <a:headEnd/>
                              <a:tailEnd/>
                            </a:ln>
                          </wps:spPr>
                          <wps:txbx>
                            <w:txbxContent>
                              <w:p w14:paraId="5FE07FCA"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Conduct</w:t>
                                </w:r>
                                <w:r>
                                  <w:rPr>
                                    <w:rFonts w:cstheme="minorBidi"/>
                                    <w:color w:val="000000" w:themeColor="text1"/>
                                    <w:kern w:val="24"/>
                                    <w:sz w:val="22"/>
                                    <w:szCs w:val="22"/>
                                  </w:rPr>
                                  <w:br/>
                                  <w:t>search</w:t>
                                </w:r>
                              </w:p>
                            </w:txbxContent>
                          </wps:txbx>
                          <wps:bodyPr rot="0" vert="horz" wrap="square" lIns="91440" tIns="45720" rIns="91440" bIns="45720" anchor="t" anchorCtr="0">
                            <a:noAutofit/>
                          </wps:bodyPr>
                        </wps:wsp>
                      </wpg:grpSp>
                      <wpg:grpSp>
                        <wpg:cNvPr id="281" name="Group 281"/>
                        <wpg:cNvGrpSpPr/>
                        <wpg:grpSpPr>
                          <a:xfrm>
                            <a:off x="1354610" y="1569492"/>
                            <a:ext cx="95250" cy="799465"/>
                            <a:chOff x="-23814" y="0"/>
                            <a:chExt cx="95250" cy="800045"/>
                          </a:xfrm>
                        </wpg:grpSpPr>
                        <wps:wsp>
                          <wps:cNvPr id="282" name="Arrow: Down 282"/>
                          <wps:cNvSpPr/>
                          <wps:spPr>
                            <a:xfrm>
                              <a:off x="11947" y="0"/>
                              <a:ext cx="45719" cy="75763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Isosceles Triangle 283"/>
                          <wps:cNvSpPr/>
                          <wps:spPr>
                            <a:xfrm rot="10800000">
                              <a:off x="-23814" y="699715"/>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4" name="Group 284"/>
                        <wpg:cNvGrpSpPr/>
                        <wpg:grpSpPr>
                          <a:xfrm>
                            <a:off x="1378424" y="2961564"/>
                            <a:ext cx="95250" cy="799465"/>
                            <a:chOff x="0" y="0"/>
                            <a:chExt cx="95250" cy="800045"/>
                          </a:xfrm>
                        </wpg:grpSpPr>
                        <wps:wsp>
                          <wps:cNvPr id="285" name="Arrow: Down 285"/>
                          <wps:cNvSpPr/>
                          <wps:spPr>
                            <a:xfrm>
                              <a:off x="23854" y="0"/>
                              <a:ext cx="45719" cy="75763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Isosceles Triangle 286"/>
                          <wps:cNvSpPr/>
                          <wps:spPr>
                            <a:xfrm rot="10800000">
                              <a:off x="0" y="699715"/>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Group 287"/>
                        <wpg:cNvGrpSpPr/>
                        <wpg:grpSpPr>
                          <a:xfrm>
                            <a:off x="1378424" y="4503761"/>
                            <a:ext cx="95250" cy="799465"/>
                            <a:chOff x="0" y="0"/>
                            <a:chExt cx="95250" cy="800045"/>
                          </a:xfrm>
                        </wpg:grpSpPr>
                        <wps:wsp>
                          <wps:cNvPr id="211" name="Arrow: Down 211"/>
                          <wps:cNvSpPr/>
                          <wps:spPr>
                            <a:xfrm>
                              <a:off x="23854" y="0"/>
                              <a:ext cx="45719" cy="75763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Isosceles Triangle 212"/>
                          <wps:cNvSpPr/>
                          <wps:spPr>
                            <a:xfrm rot="10800000">
                              <a:off x="0" y="699715"/>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1364776" y="5909480"/>
                            <a:ext cx="95250" cy="799465"/>
                            <a:chOff x="0" y="0"/>
                            <a:chExt cx="95250" cy="800045"/>
                          </a:xfrm>
                        </wpg:grpSpPr>
                        <wps:wsp>
                          <wps:cNvPr id="214" name="Arrow: Down 214"/>
                          <wps:cNvSpPr/>
                          <wps:spPr>
                            <a:xfrm>
                              <a:off x="23854" y="0"/>
                              <a:ext cx="45719" cy="75763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Isosceles Triangle 288"/>
                          <wps:cNvSpPr/>
                          <wps:spPr>
                            <a:xfrm rot="10800000">
                              <a:off x="0" y="699715"/>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oup 289"/>
                        <wpg:cNvGrpSpPr/>
                        <wpg:grpSpPr>
                          <a:xfrm>
                            <a:off x="1364776" y="7438029"/>
                            <a:ext cx="95250" cy="799465"/>
                            <a:chOff x="0" y="0"/>
                            <a:chExt cx="95250" cy="800045"/>
                          </a:xfrm>
                        </wpg:grpSpPr>
                        <wps:wsp>
                          <wps:cNvPr id="290" name="Arrow: Down 290"/>
                          <wps:cNvSpPr/>
                          <wps:spPr>
                            <a:xfrm>
                              <a:off x="23854" y="0"/>
                              <a:ext cx="45719" cy="75763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Isosceles Triangle 291"/>
                          <wps:cNvSpPr/>
                          <wps:spPr>
                            <a:xfrm rot="10800000">
                              <a:off x="0" y="699715"/>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2" name="Group 292"/>
                        <wpg:cNvGrpSpPr/>
                        <wpg:grpSpPr>
                          <a:xfrm>
                            <a:off x="1924334" y="1146411"/>
                            <a:ext cx="1310560" cy="95250"/>
                            <a:chOff x="0" y="0"/>
                            <a:chExt cx="1310560" cy="95250"/>
                          </a:xfrm>
                        </wpg:grpSpPr>
                        <wps:wsp>
                          <wps:cNvPr id="293" name="Arrow: Down 293"/>
                          <wps:cNvSpPr/>
                          <wps:spPr>
                            <a:xfrm rot="5400000">
                              <a:off x="652621" y="-585946"/>
                              <a:ext cx="45719" cy="127015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Isosceles Triangle 294"/>
                          <wps:cNvSpPr/>
                          <wps:spPr>
                            <a:xfrm rot="16200000">
                              <a:off x="2540" y="-2540"/>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wpg:grpSpPr>
                          <a:xfrm rot="10800000">
                            <a:off x="1924334" y="4068773"/>
                            <a:ext cx="1310005" cy="95250"/>
                            <a:chOff x="0" y="11907"/>
                            <a:chExt cx="1310560" cy="95250"/>
                          </a:xfrm>
                        </wpg:grpSpPr>
                        <wps:wsp>
                          <wps:cNvPr id="296" name="Arrow: Down 296"/>
                          <wps:cNvSpPr/>
                          <wps:spPr>
                            <a:xfrm rot="5400000">
                              <a:off x="652621" y="-585946"/>
                              <a:ext cx="45719" cy="127015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Isosceles Triangle 297"/>
                          <wps:cNvSpPr/>
                          <wps:spPr>
                            <a:xfrm rot="16200000">
                              <a:off x="2540" y="9367"/>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Group 298"/>
                        <wpg:cNvGrpSpPr/>
                        <wpg:grpSpPr>
                          <a:xfrm rot="10800000">
                            <a:off x="1897038" y="7014949"/>
                            <a:ext cx="1326693" cy="106657"/>
                            <a:chOff x="0" y="0"/>
                            <a:chExt cx="1310560" cy="95250"/>
                          </a:xfrm>
                        </wpg:grpSpPr>
                        <wps:wsp>
                          <wps:cNvPr id="299" name="Arrow: Down 299"/>
                          <wps:cNvSpPr/>
                          <wps:spPr>
                            <a:xfrm rot="5400000">
                              <a:off x="652621" y="-585946"/>
                              <a:ext cx="45719" cy="1270158"/>
                            </a:xfrm>
                            <a:prstGeom prst="downArrow">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Isosceles Triangle 300"/>
                          <wps:cNvSpPr/>
                          <wps:spPr>
                            <a:xfrm rot="16200000">
                              <a:off x="2540" y="-2540"/>
                              <a:ext cx="95250" cy="10033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15DC61" id="Group 241" o:spid="_x0000_s1070" style="position:absolute;margin-left:.15pt;margin-top:2.95pt;width:456.6pt;height:695.15pt;z-index:253709312" coordsize="57992,8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8ygsAANt8AAAOAAAAZHJzL2Uyb0RvYy54bWzsXdtu20gSfV9g/4HQe2I27xTiDDy5YYDs&#10;TDDJYp5pirKEkUgtSUfOfP2e6hsvIi3JF8VOOg+O2CKb7GJ31alTVa1Xv9ysV9bXrKyWRX4+YS/t&#10;iZXlaTFb5lfnk/9+ef8imlhVneSzZFXk2fnkW1ZNfnn973+92m6mmVMsitUsKy10klfT7eZ8sqjr&#10;zfTsrEoX2TqpXhabLMeX86JcJzUOy6uzWZls0ft6debYdnC2LcrZpizSrKrQ+lZ8OXnN+5/Ps7T+&#10;Yz6vstpanU/wbDX/W/K/l/T37PWrZHpVJpvFMpWPkdzhKdbJMsdNdVdvkzqxrsvlTlfrZVoWVTGv&#10;X6bF+qyYz5dpxseA0TC7N5oPZXG94WO5mm6vNlpMEG1PTnfuNv3966fSWs7OJ47HJlaerPGS+H0t&#10;aoB4tpurKc76UG4+bz6VsuFKHNGIb+blmv7HWKwbLthvWrDZTW2laPTDOIocyD/Fd/gUebYvRJ8u&#10;8H52rksX75orY5zeXBmygK48Uzc+o+fTj7PdYBpVjaSq+0nq8yLZZPwFVCQDLalYSepPTLAkv1pl&#10;kFYspMXPJFGRUKrNxyL9u7Ly4s0C52UXZVlsF1kyw4Nx6eLxWxfQQYVLrcvtf4oZ3kRyXRd8XvWk&#10;7Dqu5zM8BuTpxnEUxp6Qp5K44wcec6XEHeaGfhB15JZMN2VVf8iKtUUfziclhsJvlXz9WNVCxOoU&#10;PpRitZy9X65W/KC8unyzKq2vCdbVe/5P9l61T1vl1hYDjW3f5l13vqzafdj831Af62UNDbFarjFz&#10;9EnJlIT4Lp/hOZNpnSxX4jOmxSrH7FCCpOlbTeubyxs+xz2X7kBNl8XsG+QMzYWhL4ryn4m1hRY4&#10;n1T/u07KbGKtfsvxjmLmeaQ22gdl++CyfZBfr98UEAgWUpKn6PV8UquPb2qhdbDsN0n9Mf+8SelE&#10;enyS8pebv5JyI19Fjbf4e6EmXzLtvRFxLl2ZFxeYIPMlf13NsKQAsBDEYB9/ReD9St3RWhFolNLG&#10;2jnligicwHMdh+6eTNsrIgx8oUkc349sn69YrUl+zhXB9UYzdX6KFSENhrZtSq/7fQuIBj6Dj7KA&#10;MYsj2xGqOfS8KOKKt5mIDLDFC+VEDL3YtSUM0baQ4RSH9A5pd9dmXshtXjJt7GIcx14g1XvkxMzl&#10;s13P5e9hFX2MWeCHt8tkXeQzy0FTVwPII7JxtDZ7Vm103GoN7xn1zgqeiQe5zazlBdk0rilut1aE&#10;SDNt8+obYb5h4huDN2x9qvrbKqPRrvI/sznsEACRI8xht88kTbO8FjahWiSzTJhXn6weyRHdc1xM&#10;T8GPeIfU8xxD0H3LDob7Ft3I87l65CBZXyzt9G0XZ+oKfucir/XF62VelEMjW2FU8s7ifGWihWha&#10;6qcsBESvNun7Jezix6SqPyUlMDkm+1HW2vNDQpwD1lp+07LWuBs33HR+vVIf52Wx/gvuxQVhBHyl&#10;bHpal+pAWXU4KGl2ccFP+0EtvKtW9xdajb8WN1Z/cVv1DZoVqnks6MtY4AYuPAJSjp4dsb6hj+Aw&#10;MLwu8jV85vlR12HYURL7gO+Ohoh9x+ezvPXNg6JU7hsNLIqHnf9qOvchKi3rA4BlY2JOBTIDbZ5b&#10;IBON0CwkrBODTGm0lWkCovRi5eK6kRfZzDhcE4+vvdZUPmoKS+9rQIXLb1oqfGw2W6dXx2PwEh54&#10;l2ARLvmdCBYf/g3cHJr7DbJ0yKeJQqn6Qt+FGuQnaGTpONCNAdedmKG2B4ZAnvBOEi6u4zmxi5VG&#10;6jNww9jnPvN3RZbBEN+CxtMt/DG5qdXfk5rrsy4eP9rotFAlUF+bKbkr29KFdIP4NZk+qBkL1QuS&#10;ZIvCdg+rA0YX/vWmXF4tAN0EID7ApJGeenyuJAQ2EX5Sy4yhsTub5dGIp3TkfNxZxUfPxxbUMW4S&#10;wXzSu9obE46a8t/w6qAujZv0tNykLl4ds9GhxpgyCIIGvhSPooDggvi2MLNBAHdERTuUuehRQFEA&#10;XhJ3IYJHhkOYHYUB0BN5OYHtuizm2vSJU0DhLgWEJqnKJD6XRyOKbXTcSnSGAlKG3FBA+wI2hgLS&#10;gfSjAsQq8iS9akWPh0+HAnJjxqCpSTmC4WFuzxFqU0CBHwcBj3JoH+b+6OfRKSDOHbT85jth573z&#10;fww734kCGjWp4Oo6eQWhjDkdZVKd0IkRM8Ebd9zQC5Vnq8wCbGxgq+he4Di7QRWH2WEkIuYMsRME&#10;dpXJfTfo+kax7XCbq6dNgyAoenEiZwFj3nUWNEF4As7LcX0fFCtJHoGtCJSAkJuSvMt8CqZKwsAL&#10;fHCzsPFaakcvtru7vo++KjXlYDzadj4MwpMDk1RTfwcBv7HlqafZHl7q6GlmPFrKjtOxO+PRPrvA&#10;X2OPTmaNwC3vWiPN853AGgHqeXgIGKPIQY4PPnO/WWmJDgzwI98TLPH3MEZjWW/KfROc0Ql42CYN&#10;6/lYrVEs2Q+hhBIoH4UlYztgvoggYxY5QW8SHcLOxK7HRA+e7dixTPF50vk5oY6i6PwcNB1HzgwP&#10;W60+w82oxW24GcPN8FjSqSwzOWDCMn/39BzwMTLEDL8wQji6Y6Hb1Izv+iDH7+ct7sD4x3YCVU6o&#10;ziF/xtRM1I92oIEbhKPMKXOBsyjjiigCP4iRB9N95/RKJEEQUt5qP9jxwnEjaU138hFa11L6v8ev&#10;1XiugcCno2QiHeTg1RxT622xzS0HzUfZUpBQAsjKISsjCtKOCjso/SL0w8Ddsz5muDl/Dh6R7FUK&#10;UHkHD1Q2Oao7UcsRBCqivC5DorJgA2WaLEQ/UGFhclwnD5jj+gcyJOarAqUzhfw0sahGZaj9qGSK&#10;vYRwK6HK5MQ2ZYUjAZFIB0R+q4oqzVZZZX0pl7IgDN/uVQgWNx4IeorKJlppso6upRODOA6Z1JlK&#10;S7TUItwVFAnQvbRa3CHDavlUD64kjG44cf77kA4wuoFXz4m5uLcirsEMBM7HmAaqOe1ErdBwF2gU&#10;Rp4jiAInBusgIpFNymZrHQ9CI4GqngMq0oGqLirqh6qkShxJ/wAQlMSMQUWoXjCVP63KH6P5SMH1&#10;EP4TrAVGvY3UnIOo6ICw4DgqEurQACJTEKgLAo1auK9aOBAQ6difzIwVzN6R1SvYiUIDIs+33VDU&#10;b/2AgIjy0wSA7AAiNO/1CumFSjfQAKKpKYUeKYU2mu++mu80OXyoBbsFEIlKMZlq+xkbIwx4SAYQ&#10;dSts6L0btWDUwiPtmXQYIGKa/ZWACA13YYiQ0EQJlIj3+LEdoyyXevkRAZFm1LqASPJquoB/QP8Z&#10;QKRqC43mw36SY3vDGEBE0+MZMEQ6i2+QIZIpfbcpBAOIDCBSeziq/BujFh5tE8nDABFVV3VDZjK9&#10;9MhsogYQhZ6LrfR4Lz8gIIrBZg8wRGiWEOiwwhkTMjOuoHEFH8kVPA1DFGuueAgQ4du9CsEAIgOI&#10;DCA62a7ahwEi5EF3AZFIjD42ZBaj0k1ueMmYh33duT5oABHDPm++2gxYJBRxBklvJjOSRDR8nU4i&#10;bMZ4utzqWHNqHY4IzQdqQN/byaQMfOyUJzaLeIGSQOSfdwm2VsI1c0Kb+SbjOpsTkfAT7SpsmKPn&#10;wRzhZy5uCaWJH8E4KJQW4Mdj8I/nQ6tQO3QHp+FfOPSJq1CTbi02Pf9p6xmNYrivYmhgxG3p1rS3&#10;T4c7QgM3+fu5o3HXh7WQk2cHUYgdrDrLmhCQjc35eLXVOHJiqOWXZYxNhfdTRE8687KLng5OuTTo&#10;aWxPT1oFhmYyNNPzppl0CucgzcRV3L3RU+z299No1biYWjXjVZk6VvzSG9mTA3YkPxA86Xi6zEQS&#10;+9EcwjPdAp6iOLRRfU6JSWBFPJT198GTg82NQdhQqTqzsYexxkhyE+NnxDvp0GUXOR2wP46QoEFO&#10;BjnJTRDIgvZ22jKpCY+WmnCSAB3tJjvOO8m9Zu+NnAzvxFk3BCD0DysY3slsAQLGBlOi+ZHcO0An&#10;DqPwC9q8J/lr3/QT3e1jfG7/Jvnr/wMAAP//AwBQSwMEFAAGAAgAAAAhAJVS5RDdAAAABwEAAA8A&#10;AABkcnMvZG93bnJldi54bWxMjsFKw0AURfeC/zA8wZ2dpCHFxExKKeqqCLaCuHvNvCahmZmQmSbp&#10;3/tc2eXlHu49xXo2nRhp8K2zCuJFBIJs5XRrawVfh7enZxA+oNXYOUsKruRhXd7fFZhrN9lPGveh&#10;FjxifY4KmhD6XEpfNWTQL1xPlruTGwwGjkMt9YATj5tOLqNoJQ22lh8a7GnbUHXeX4yC9wmnTRK/&#10;jrvzaXv9OaQf37uYlHp8mDcvIALN4R+GP31Wh5Kdju5itRedgoQ5BWkGgsssTlIQR6aSbLUEWRby&#10;1r/8BQAA//8DAFBLAQItABQABgAIAAAAIQC2gziS/gAAAOEBAAATAAAAAAAAAAAAAAAAAAAAAABb&#10;Q29udGVudF9UeXBlc10ueG1sUEsBAi0AFAAGAAgAAAAhADj9If/WAAAAlAEAAAsAAAAAAAAAAAAA&#10;AAAALwEAAF9yZWxzLy5yZWxzUEsBAi0AFAAGAAgAAAAhAL5wOzzKCwAA23wAAA4AAAAAAAAAAAAA&#10;AAAALgIAAGRycy9lMm9Eb2MueG1sUEsBAi0AFAAGAAgAAAAhAJVS5RDdAAAABwEAAA8AAAAAAAAA&#10;AAAAAAAAJA4AAGRycy9kb3ducmV2LnhtbFBLBQYAAAAABAAEAPMAAAAuDwAAAAA=&#10;">
                <v:rect id="Rectangle 249" o:spid="_x0000_s1071" style="position:absolute;left:32345;top:39987;width:25641;height:2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s/xgAAANwAAAAPAAAAZHJzL2Rvd25yZXYueG1sRI9Ba8JA&#10;FITvBf/D8oReim6UYG3qKjZU6K2Y6P2RfU1Cs29jdqNJf323IPQ4zMw3zGY3mEZcqXO1ZQWLeQSC&#10;uLC65lLBKT/M1iCcR9bYWCYFIznYbScPG0y0vfGRrpkvRYCwS1BB5X2bSOmKigy6uW2Jg/dlO4M+&#10;yK6UusNbgJtGLqNoJQ3WHBYqbCmtqPjOeqMgPcY/vs0u2eHp/D7W/SX/fHvOlXqcDvtXEJ4G/x++&#10;tz+0gmX8An9nwhGQ218AAAD//wMAUEsBAi0AFAAGAAgAAAAhANvh9svuAAAAhQEAABMAAAAAAAAA&#10;AAAAAAAAAAAAAFtDb250ZW50X1R5cGVzXS54bWxQSwECLQAUAAYACAAAACEAWvQsW78AAAAVAQAA&#10;CwAAAAAAAAAAAAAAAAAfAQAAX3JlbHMvLnJlbHNQSwECLQAUAAYACAAAACEAFnObP8YAAADcAAAA&#10;DwAAAAAAAAAAAAAAAAAHAgAAZHJzL2Rvd25yZXYueG1sUEsFBgAAAAADAAMAtwAAAPoCAAAAAA==&#10;" strokeweight="1.5pt">
                  <v:textbox inset=",7.2pt,,7.2pt">
                    <w:txbxContent>
                      <w:p w14:paraId="1B3E2000" w14:textId="77777777" w:rsidR="00777EE0" w:rsidRPr="00FC7090" w:rsidRDefault="00777EE0" w:rsidP="00443002">
                        <w:pPr>
                          <w:pStyle w:val="NormalWeb"/>
                          <w:kinsoku w:val="0"/>
                          <w:overflowPunct w:val="0"/>
                          <w:spacing w:before="0" w:beforeAutospacing="0" w:after="0" w:afterAutospacing="0" w:line="340" w:lineRule="atLeast"/>
                          <w:textAlignment w:val="baseline"/>
                        </w:pPr>
                        <w:r>
                          <w:rPr>
                            <w:b/>
                            <w:bCs/>
                            <w:color w:val="000000" w:themeColor="text1"/>
                            <w:kern w:val="24"/>
                            <w:lang w:val="en-US"/>
                          </w:rPr>
                          <w:t>Records</w:t>
                        </w:r>
                        <w:r w:rsidRPr="00FC7090">
                          <w:rPr>
                            <w:b/>
                            <w:bCs/>
                            <w:color w:val="000000" w:themeColor="text1"/>
                            <w:kern w:val="24"/>
                            <w:lang w:val="en-US"/>
                          </w:rPr>
                          <w:t xml:space="preserve"> scanned for relevance</w:t>
                        </w:r>
                        <w:r w:rsidRPr="00FC7090">
                          <w:rPr>
                            <w:color w:val="000000" w:themeColor="text1"/>
                            <w:kern w:val="24"/>
                            <w:lang w:val="en-US"/>
                          </w:rPr>
                          <w:t xml:space="preserve"> </w:t>
                        </w:r>
                        <w:r w:rsidRPr="00FC7090">
                          <w:rPr>
                            <w:color w:val="000000" w:themeColor="text1"/>
                            <w:kern w:val="24"/>
                            <w:lang w:val="en-US"/>
                          </w:rPr>
                          <w:br/>
                          <w:t xml:space="preserve">Records excluded </w:t>
                        </w:r>
                        <w:r w:rsidRPr="00BD3CE8">
                          <w:rPr>
                            <w:color w:val="000000" w:themeColor="text1"/>
                            <w:kern w:val="24"/>
                            <w:sz w:val="22"/>
                            <w:lang w:val="en-US"/>
                          </w:rPr>
                          <w:t>(N=1487)</w:t>
                        </w:r>
                        <w:r w:rsidRPr="00FC7090">
                          <w:rPr>
                            <w:color w:val="000000" w:themeColor="text1"/>
                            <w:kern w:val="24"/>
                            <w:lang w:val="en-US"/>
                          </w:rPr>
                          <w:br/>
                          <w:t>Duplicates removed</w:t>
                        </w:r>
                        <w:r>
                          <w:rPr>
                            <w:color w:val="000000" w:themeColor="text1"/>
                            <w:kern w:val="24"/>
                            <w:lang w:val="en-US"/>
                          </w:rPr>
                          <w:t xml:space="preserve"> </w:t>
                        </w:r>
                        <w:r w:rsidRPr="00BD3CE8">
                          <w:rPr>
                            <w:color w:val="000000" w:themeColor="text1"/>
                            <w:kern w:val="24"/>
                            <w:sz w:val="22"/>
                            <w:lang w:val="en-US"/>
                          </w:rPr>
                          <w:t>(N=29)</w:t>
                        </w:r>
                        <w:r w:rsidRPr="00FC7090">
                          <w:rPr>
                            <w:color w:val="000000" w:themeColor="text1"/>
                            <w:kern w:val="24"/>
                            <w:lang w:val="en-US"/>
                          </w:rPr>
                          <w:br/>
                          <w:t>Non-relevant papers:</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General commentary</w:t>
                        </w:r>
                        <w:r>
                          <w:rPr>
                            <w:color w:val="000000" w:themeColor="text1"/>
                            <w:kern w:val="24"/>
                            <w:lang w:val="en-US"/>
                          </w:rPr>
                          <w:t xml:space="preserve"> </w:t>
                        </w:r>
                        <w:r w:rsidRPr="00BD3CE8">
                          <w:rPr>
                            <w:color w:val="000000" w:themeColor="text1"/>
                            <w:kern w:val="24"/>
                            <w:sz w:val="22"/>
                            <w:lang w:val="en-US"/>
                          </w:rPr>
                          <w:t xml:space="preserve">(N=187) </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Toxicology/Pharmacology</w:t>
                        </w:r>
                        <w:r>
                          <w:rPr>
                            <w:color w:val="000000" w:themeColor="text1"/>
                            <w:kern w:val="24"/>
                            <w:lang w:val="en-US"/>
                          </w:rPr>
                          <w:t xml:space="preserve"> </w:t>
                        </w:r>
                        <w:r w:rsidRPr="00BD3CE8">
                          <w:rPr>
                            <w:color w:val="000000" w:themeColor="text1"/>
                            <w:kern w:val="24"/>
                            <w:sz w:val="22"/>
                            <w:lang w:val="en-US"/>
                          </w:rPr>
                          <w:t>(N=1258)</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Prescription drugs</w:t>
                        </w:r>
                        <w:r>
                          <w:rPr>
                            <w:color w:val="000000" w:themeColor="text1"/>
                            <w:kern w:val="24"/>
                            <w:lang w:val="en-US"/>
                          </w:rPr>
                          <w:t xml:space="preserve"> </w:t>
                        </w:r>
                        <w:r w:rsidRPr="008B13BF">
                          <w:rPr>
                            <w:color w:val="000000" w:themeColor="text1"/>
                            <w:kern w:val="24"/>
                            <w:sz w:val="22"/>
                            <w:lang w:val="en-US"/>
                          </w:rPr>
                          <w:t>(N=6)</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Illicit drugs</w:t>
                        </w:r>
                        <w:r>
                          <w:rPr>
                            <w:color w:val="000000" w:themeColor="text1"/>
                            <w:kern w:val="24"/>
                            <w:lang w:val="en-US"/>
                          </w:rPr>
                          <w:t xml:space="preserve"> </w:t>
                        </w:r>
                        <w:r w:rsidRPr="008B13BF">
                          <w:rPr>
                            <w:color w:val="000000" w:themeColor="text1"/>
                            <w:kern w:val="24"/>
                            <w:sz w:val="22"/>
                            <w:lang w:val="en-US"/>
                          </w:rPr>
                          <w:t>(N=3)</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Law</w:t>
                        </w:r>
                        <w:r>
                          <w:rPr>
                            <w:color w:val="000000" w:themeColor="text1"/>
                            <w:kern w:val="24"/>
                            <w:lang w:val="en-US"/>
                          </w:rPr>
                          <w:t xml:space="preserve"> </w:t>
                        </w:r>
                        <w:r w:rsidRPr="008B13BF">
                          <w:rPr>
                            <w:color w:val="000000" w:themeColor="text1"/>
                            <w:kern w:val="24"/>
                            <w:sz w:val="22"/>
                            <w:lang w:val="en-US"/>
                          </w:rPr>
                          <w:t>(N=4)</w:t>
                        </w:r>
                      </w:p>
                    </w:txbxContent>
                  </v:textbox>
                </v:rect>
                <v:rect id="Rectangle 250" o:spid="_x0000_s1072" style="position:absolute;left:32345;top:62643;width:25647;height:2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R/wQAAANwAAAAPAAAAZHJzL2Rvd25yZXYueG1sRE9Ni8Iw&#10;EL0L/ocwwl5kmyq6LtUorih4E1v3PjSzbbGZ1CZq9debg7DHx/terDpTixu1rrKsYBTFIIhzqysu&#10;FJyy3ec3COeRNdaWScGDHKyW/d4CE23vfKRb6gsRQtglqKD0vkmkdHlJBl1kG+LA/dnWoA+wLaRu&#10;8R7CTS3HcfwlDVYcGkpsaFNSfk6vRsHmOHn6Jr2ku+Hv9lFdL9nhZ5Yp9THo1nMQnjr/L36791rB&#10;eBrmhzPhCMjlCwAA//8DAFBLAQItABQABgAIAAAAIQDb4fbL7gAAAIUBAAATAAAAAAAAAAAAAAAA&#10;AAAAAABbQ29udGVudF9UeXBlc10ueG1sUEsBAi0AFAAGAAgAAAAhAFr0LFu/AAAAFQEAAAsAAAAA&#10;AAAAAAAAAAAAHwEAAF9yZWxzLy5yZWxzUEsBAi0AFAAGAAgAAAAhAAKQpH/BAAAA3AAAAA8AAAAA&#10;AAAAAAAAAAAABwIAAGRycy9kb3ducmV2LnhtbFBLBQYAAAAAAwADALcAAAD1AgAAAAA=&#10;" strokeweight="1.5pt">
                  <v:textbox inset=",7.2pt,,7.2pt">
                    <w:txbxContent>
                      <w:p w14:paraId="395E52E1" w14:textId="77777777" w:rsidR="00777EE0" w:rsidRDefault="00777EE0" w:rsidP="00443002">
                        <w:pPr>
                          <w:pStyle w:val="NormalWeb"/>
                          <w:kinsoku w:val="0"/>
                          <w:overflowPunct w:val="0"/>
                          <w:spacing w:before="0" w:beforeAutospacing="0" w:after="0" w:afterAutospacing="0" w:line="340" w:lineRule="atLeast"/>
                          <w:textAlignment w:val="baseline"/>
                        </w:pPr>
                        <w:r>
                          <w:rPr>
                            <w:b/>
                            <w:bCs/>
                            <w:color w:val="000000" w:themeColor="text1"/>
                            <w:kern w:val="24"/>
                            <w:lang w:val="en-US"/>
                          </w:rPr>
                          <w:t>Articles assessed for eligibility</w:t>
                        </w:r>
                      </w:p>
                      <w:p w14:paraId="729E4206"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Studies excluded </w:t>
                        </w:r>
                        <w:r w:rsidRPr="008B13BF">
                          <w:rPr>
                            <w:color w:val="000000" w:themeColor="text1"/>
                            <w:kern w:val="24"/>
                            <w:sz w:val="22"/>
                            <w:lang w:val="en-US"/>
                          </w:rPr>
                          <w:t>(N=3</w:t>
                        </w:r>
                        <w:r>
                          <w:rPr>
                            <w:color w:val="000000" w:themeColor="text1"/>
                            <w:kern w:val="24"/>
                            <w:sz w:val="22"/>
                            <w:lang w:val="en-US"/>
                          </w:rPr>
                          <w:t>2</w:t>
                        </w:r>
                        <w:r w:rsidRPr="008B13BF">
                          <w:rPr>
                            <w:color w:val="000000" w:themeColor="text1"/>
                            <w:kern w:val="24"/>
                            <w:sz w:val="22"/>
                            <w:lang w:val="en-US"/>
                          </w:rPr>
                          <w:t>)</w:t>
                        </w:r>
                      </w:p>
                      <w:p w14:paraId="3C57DA8A"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Inaccessible </w:t>
                        </w:r>
                        <w:r w:rsidRPr="008B13BF">
                          <w:rPr>
                            <w:color w:val="000000" w:themeColor="text1"/>
                            <w:kern w:val="24"/>
                            <w:sz w:val="22"/>
                            <w:lang w:val="en-US"/>
                          </w:rPr>
                          <w:t>(N= 1)</w:t>
                        </w:r>
                      </w:p>
                      <w:p w14:paraId="1167AB70"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No data collected </w:t>
                        </w:r>
                        <w:r w:rsidRPr="008B13BF">
                          <w:rPr>
                            <w:color w:val="000000" w:themeColor="text1"/>
                            <w:kern w:val="24"/>
                            <w:sz w:val="22"/>
                            <w:lang w:val="en-US"/>
                          </w:rPr>
                          <w:t>(N = 18)</w:t>
                        </w:r>
                      </w:p>
                      <w:p w14:paraId="5128B038"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t xml:space="preserve">No motives/reasons in outcomes:     </w:t>
                        </w:r>
                      </w:p>
                      <w:p w14:paraId="20FD2797" w14:textId="77777777" w:rsidR="00777EE0" w:rsidRDefault="00777EE0" w:rsidP="00443002">
                        <w:pPr>
                          <w:pStyle w:val="NormalWeb"/>
                          <w:kinsoku w:val="0"/>
                          <w:overflowPunct w:val="0"/>
                          <w:spacing w:before="0" w:beforeAutospacing="0" w:after="0" w:afterAutospacing="0" w:line="340" w:lineRule="atLeast"/>
                          <w:textAlignment w:val="baseline"/>
                        </w:pPr>
                        <w:r>
                          <w:rPr>
                            <w:color w:val="000000" w:themeColor="text1"/>
                            <w:kern w:val="24"/>
                            <w:lang w:val="en-US"/>
                          </w:rPr>
                          <w:sym w:font="Wingdings" w:char="F09F"/>
                        </w:r>
                        <w:r>
                          <w:rPr>
                            <w:color w:val="000000" w:themeColor="text1"/>
                            <w:kern w:val="24"/>
                            <w:lang w:val="en-US"/>
                          </w:rPr>
                          <w:t xml:space="preserve">  Prevalence only </w:t>
                        </w:r>
                        <w:r w:rsidRPr="008B13BF">
                          <w:rPr>
                            <w:color w:val="000000" w:themeColor="text1"/>
                            <w:kern w:val="24"/>
                            <w:sz w:val="22"/>
                            <w:lang w:val="en-US"/>
                          </w:rPr>
                          <w:t>(N=</w:t>
                        </w:r>
                        <w:r>
                          <w:rPr>
                            <w:color w:val="000000" w:themeColor="text1"/>
                            <w:kern w:val="24"/>
                            <w:sz w:val="22"/>
                            <w:lang w:val="en-US"/>
                          </w:rPr>
                          <w:t>6</w:t>
                        </w:r>
                        <w:r w:rsidRPr="008B13BF">
                          <w:rPr>
                            <w:color w:val="000000" w:themeColor="text1"/>
                            <w:kern w:val="24"/>
                            <w:sz w:val="22"/>
                            <w:lang w:val="en-US"/>
                          </w:rPr>
                          <w:t xml:space="preserve">)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Online activity </w:t>
                        </w:r>
                        <w:r w:rsidRPr="008B13BF">
                          <w:rPr>
                            <w:color w:val="000000" w:themeColor="text1"/>
                            <w:kern w:val="24"/>
                            <w:sz w:val="22"/>
                            <w:lang w:val="en-US"/>
                          </w:rPr>
                          <w:t xml:space="preserve">(N=2)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Awareness </w:t>
                        </w:r>
                        <w:r w:rsidRPr="008B13BF">
                          <w:rPr>
                            <w:color w:val="000000" w:themeColor="text1"/>
                            <w:kern w:val="24"/>
                            <w:sz w:val="22"/>
                            <w:lang w:val="en-US"/>
                          </w:rPr>
                          <w:t>(N=1)</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Use of drug services </w:t>
                        </w:r>
                        <w:r w:rsidRPr="008B13BF">
                          <w:rPr>
                            <w:color w:val="000000" w:themeColor="text1"/>
                            <w:kern w:val="24"/>
                            <w:sz w:val="22"/>
                            <w:lang w:val="en-US"/>
                          </w:rPr>
                          <w:t xml:space="preserve">(N=1) </w:t>
                        </w:r>
                        <w:r>
                          <w:rPr>
                            <w:color w:val="000000" w:themeColor="text1"/>
                            <w:kern w:val="24"/>
                            <w:lang w:val="en-US"/>
                          </w:rPr>
                          <w:br/>
                        </w:r>
                        <w:r>
                          <w:rPr>
                            <w:color w:val="000000" w:themeColor="text1"/>
                            <w:kern w:val="24"/>
                            <w:lang w:val="en-US"/>
                          </w:rPr>
                          <w:sym w:font="Wingdings" w:char="F09F"/>
                        </w:r>
                        <w:r>
                          <w:rPr>
                            <w:color w:val="000000" w:themeColor="text1"/>
                            <w:kern w:val="24"/>
                            <w:lang w:val="en-US"/>
                          </w:rPr>
                          <w:t xml:space="preserve">  Type of products </w:t>
                        </w:r>
                        <w:r w:rsidRPr="008B13BF">
                          <w:rPr>
                            <w:color w:val="000000" w:themeColor="text1"/>
                            <w:kern w:val="24"/>
                            <w:sz w:val="22"/>
                            <w:lang w:val="en-US"/>
                          </w:rPr>
                          <w:t>(N=2)</w:t>
                        </w:r>
                        <w:r>
                          <w:rPr>
                            <w:color w:val="000000" w:themeColor="text1"/>
                            <w:kern w:val="24"/>
                            <w:sz w:val="22"/>
                            <w:lang w:val="en-US"/>
                          </w:rPr>
                          <w:br/>
                        </w:r>
                        <w:r>
                          <w:rPr>
                            <w:color w:val="000000" w:themeColor="text1"/>
                            <w:kern w:val="24"/>
                            <w:lang w:val="en-US"/>
                          </w:rPr>
                          <w:sym w:font="Wingdings" w:char="F09F"/>
                        </w:r>
                        <w:r>
                          <w:rPr>
                            <w:color w:val="000000" w:themeColor="text1"/>
                            <w:kern w:val="24"/>
                            <w:lang w:val="en-US"/>
                          </w:rPr>
                          <w:t xml:space="preserve">  Subjective effects </w:t>
                        </w:r>
                        <w:r w:rsidRPr="008B13BF">
                          <w:rPr>
                            <w:color w:val="000000" w:themeColor="text1"/>
                            <w:kern w:val="24"/>
                            <w:sz w:val="22"/>
                            <w:lang w:val="en-US"/>
                          </w:rPr>
                          <w:t>(N=</w:t>
                        </w:r>
                        <w:r>
                          <w:rPr>
                            <w:color w:val="000000" w:themeColor="text1"/>
                            <w:kern w:val="24"/>
                            <w:sz w:val="22"/>
                            <w:lang w:val="en-US"/>
                          </w:rPr>
                          <w:t>1</w:t>
                        </w:r>
                        <w:r w:rsidRPr="008B13BF">
                          <w:rPr>
                            <w:color w:val="000000" w:themeColor="text1"/>
                            <w:kern w:val="24"/>
                            <w:sz w:val="22"/>
                            <w:lang w:val="en-US"/>
                          </w:rPr>
                          <w:t>)</w:t>
                        </w:r>
                      </w:p>
                    </w:txbxContent>
                  </v:textbox>
                </v:rect>
                <v:group id="Group 251" o:spid="_x0000_s1073" style="position:absolute;left:9198;top:37448;width:10064;height:7493" coordorigin="11002,33014" coordsize="9994,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type id="_x0000_t4" coordsize="21600,21600" o:spt="4" path="m10800,l,10800,10800,21600,21600,10800xe">
                    <v:stroke joinstyle="miter"/>
                    <v:path gradientshapeok="t" o:connecttype="rect" textboxrect="5400,5400,16200,16200"/>
                  </v:shapetype>
                  <v:shape id="Diamond 252" o:spid="_x0000_s1074" type="#_x0000_t4" style="position:absolute;left:11002;top:33014;width:9995;height:8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YRxQAAANwAAAAPAAAAZHJzL2Rvd25yZXYueG1sRI/BasMw&#10;EETvhf6D2EAvpZFrSAlOlBACpYEeSuJ8wNba2MLWykhqbPfrq0Cgx2Fm3jDr7Wg7cSUfjGMFr/MM&#10;BHHltOFawbl8f1mCCBFZY+eYFEwUYLt5fFhjod3AR7qeYi0ShEOBCpoY+0LKUDVkMcxdT5y8i/MW&#10;Y5K+ltrjkOC2k3mWvUmLhtNCgz3tG6ra049VcJieW/kph4+p/Pr2xuzb8teflXqajbsViEhj/A/f&#10;2wetIF/kcDuTjoDc/AEAAP//AwBQSwECLQAUAAYACAAAACEA2+H2y+4AAACFAQAAEwAAAAAAAAAA&#10;AAAAAAAAAAAAW0NvbnRlbnRfVHlwZXNdLnhtbFBLAQItABQABgAIAAAAIQBa9CxbvwAAABUBAAAL&#10;AAAAAAAAAAAAAAAAAB8BAABfcmVscy8ucmVsc1BLAQItABQABgAIAAAAIQDjIZYRxQAAANwAAAAP&#10;AAAAAAAAAAAAAAAAAAcCAABkcnMvZG93bnJldi54bWxQSwUGAAAAAAMAAwC3AAAA+QIAAAAA&#10;" filled="f" strokecolor="black [3213]" strokeweight="1.5pt"/>
                  <v:shape id="_x0000_s1075" type="#_x0000_t202" style="position:absolute;left:11636;top:34081;width:8928;height: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2AE49E21"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 xml:space="preserve">Check </w:t>
                          </w:r>
                          <w:r>
                            <w:rPr>
                              <w:rFonts w:cstheme="minorBidi"/>
                              <w:color w:val="000000" w:themeColor="text1"/>
                              <w:kern w:val="24"/>
                              <w:sz w:val="22"/>
                              <w:szCs w:val="22"/>
                            </w:rPr>
                            <w:br/>
                            <w:t>relevance</w:t>
                          </w:r>
                        </w:p>
                      </w:txbxContent>
                    </v:textbox>
                  </v:shape>
                </v:group>
                <v:rect id="Rectangle 261" o:spid="_x0000_s1076" style="position:absolute;left:32345;width:25549;height:3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tZwwAAANwAAAAPAAAAZHJzL2Rvd25yZXYueG1sRI9Bi8Iw&#10;FITvC/6H8AQvi6aKqFSjuLKCt8VW74/m2Rabl9pErf76jSB4HGbmG2axak0lbtS40rKC4SACQZxZ&#10;XXKu4JBu+zMQziNrrCyTggc5WC07XwuMtb3znm6Jz0WAsItRQeF9HUvpsoIMuoGtiYN3so1BH2ST&#10;S93gPcBNJUdRNJEGSw4LBda0KSg7J1ejYLMfP32dXJLt9/H3UV4v6d/PNFWq123XcxCeWv8Jv9s7&#10;rWA0GcLrTDgCcvkPAAD//wMAUEsBAi0AFAAGAAgAAAAhANvh9svuAAAAhQEAABMAAAAAAAAAAAAA&#10;AAAAAAAAAFtDb250ZW50X1R5cGVzXS54bWxQSwECLQAUAAYACAAAACEAWvQsW78AAAAVAQAACwAA&#10;AAAAAAAAAAAAAAAfAQAAX3JlbHMvLnJlbHNQSwECLQAUAAYACAAAACEAo7DLWcMAAADcAAAADwAA&#10;AAAAAAAAAAAAAAAHAgAAZHJzL2Rvd25yZXYueG1sUEsFBgAAAAADAAMAtwAAAPcCAAAAAA==&#10;" strokeweight="1.5pt">
                  <v:textbox inset=",7.2pt,,7.2pt">
                    <w:txbxContent>
                      <w:p w14:paraId="1F931C66" w14:textId="77777777" w:rsidR="00777EE0" w:rsidRPr="00FC7090" w:rsidRDefault="00777EE0" w:rsidP="00443002">
                        <w:pPr>
                          <w:pStyle w:val="NormalWeb"/>
                          <w:kinsoku w:val="0"/>
                          <w:overflowPunct w:val="0"/>
                          <w:spacing w:before="0" w:beforeAutospacing="0" w:after="240" w:afterAutospacing="0" w:line="340" w:lineRule="atLeast"/>
                          <w:textAlignment w:val="baseline"/>
                        </w:pPr>
                        <w:r w:rsidRPr="00FC7090">
                          <w:rPr>
                            <w:b/>
                            <w:bCs/>
                            <w:color w:val="000000" w:themeColor="text1"/>
                            <w:kern w:val="24"/>
                            <w:lang w:val="en-US"/>
                          </w:rPr>
                          <w:t>Search terms</w:t>
                        </w:r>
                        <w:r w:rsidRPr="00FC7090">
                          <w:rPr>
                            <w:color w:val="000000"/>
                            <w:kern w:val="24"/>
                            <w:lang w:val="en-US"/>
                          </w:rPr>
                          <w:br/>
                          <w:t xml:space="preserve">legal high* </w:t>
                        </w:r>
                        <w:r w:rsidRPr="00FC7090">
                          <w:rPr>
                            <w:color w:val="000000"/>
                            <w:kern w:val="24"/>
                            <w:lang w:val="en-US"/>
                          </w:rPr>
                          <w:br/>
                          <w:t>novel psychoactive substance*</w:t>
                        </w:r>
                        <w:r w:rsidRPr="00FC7090">
                          <w:rPr>
                            <w:color w:val="000000"/>
                            <w:kern w:val="24"/>
                            <w:lang w:val="en-US"/>
                          </w:rPr>
                          <w:br/>
                          <w:t>new psychoactive substance*</w:t>
                        </w:r>
                        <w:r>
                          <w:rPr>
                            <w:color w:val="000000"/>
                            <w:kern w:val="24"/>
                            <w:lang w:val="en-US"/>
                          </w:rPr>
                          <w:br/>
                          <w:t>novel psychoactive compound*</w:t>
                        </w:r>
                        <w:r w:rsidRPr="00FC7090">
                          <w:rPr>
                            <w:color w:val="000000"/>
                            <w:kern w:val="24"/>
                            <w:lang w:val="en-US"/>
                          </w:rPr>
                          <w:br/>
                          <w:t>new psychoactive compound*</w:t>
                        </w:r>
                        <w:r w:rsidRPr="00FC7090">
                          <w:rPr>
                            <w:color w:val="000000"/>
                            <w:kern w:val="24"/>
                            <w:lang w:val="en-US"/>
                          </w:rPr>
                          <w:br/>
                          <w:t>emerging psychoactive substance*</w:t>
                        </w:r>
                        <w:r w:rsidRPr="00FC7090">
                          <w:rPr>
                            <w:color w:val="000000"/>
                            <w:kern w:val="24"/>
                            <w:lang w:val="en-US"/>
                          </w:rPr>
                          <w:br/>
                        </w:r>
                        <w:r w:rsidRPr="00FC7090">
                          <w:rPr>
                            <w:color w:val="FF0000"/>
                            <w:kern w:val="24"/>
                            <w:lang w:val="en-US"/>
                          </w:rPr>
                          <w:br/>
                        </w:r>
                        <w:r w:rsidRPr="00FC7090">
                          <w:rPr>
                            <w:b/>
                            <w:bCs/>
                            <w:color w:val="000000" w:themeColor="text1"/>
                            <w:kern w:val="24"/>
                            <w:lang w:val="en-US"/>
                          </w:rPr>
                          <w:t>Sources</w:t>
                        </w:r>
                        <w:r w:rsidRPr="00FC7090">
                          <w:rPr>
                            <w:color w:val="000000" w:themeColor="text1"/>
                            <w:kern w:val="24"/>
                            <w:lang w:val="en-US"/>
                          </w:rPr>
                          <w:br/>
                          <w:t xml:space="preserve">Databases searched </w:t>
                        </w:r>
                        <w:r w:rsidRPr="008B13BF">
                          <w:rPr>
                            <w:color w:val="000000" w:themeColor="text1"/>
                            <w:kern w:val="24"/>
                            <w:sz w:val="22"/>
                            <w:lang w:val="en-US"/>
                          </w:rPr>
                          <w:t>(N = 1524)</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PsychARTICLES</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PsychINFO</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Web of Science</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MEDLINE</w:t>
                        </w:r>
                        <w:r w:rsidRPr="00FC7090">
                          <w:rPr>
                            <w:color w:val="000000" w:themeColor="text1"/>
                            <w:kern w:val="24"/>
                            <w:lang w:val="en-US"/>
                          </w:rPr>
                          <w:br/>
                          <w:t xml:space="preserve">Other sources </w:t>
                        </w:r>
                        <w:r w:rsidRPr="00BD3CE8">
                          <w:rPr>
                            <w:color w:val="000000" w:themeColor="text1"/>
                            <w:kern w:val="24"/>
                            <w:sz w:val="22"/>
                            <w:lang w:val="en-US"/>
                          </w:rPr>
                          <w:t>(N = 2</w:t>
                        </w:r>
                        <w:r>
                          <w:rPr>
                            <w:color w:val="000000" w:themeColor="text1"/>
                            <w:kern w:val="24"/>
                            <w:sz w:val="22"/>
                            <w:lang w:val="en-US"/>
                          </w:rPr>
                          <w:t>6</w:t>
                        </w:r>
                        <w:r w:rsidRPr="00BD3CE8">
                          <w:rPr>
                            <w:color w:val="000000" w:themeColor="text1"/>
                            <w:kern w:val="24"/>
                            <w:sz w:val="22"/>
                            <w:lang w:val="en-US"/>
                          </w:rPr>
                          <w:t>)</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Grey literature</w:t>
                        </w:r>
                        <w:r w:rsidRPr="00FC7090">
                          <w:rPr>
                            <w:color w:val="000000" w:themeColor="text1"/>
                            <w:kern w:val="24"/>
                            <w:lang w:val="en-US"/>
                          </w:rPr>
                          <w:br/>
                        </w:r>
                        <w:r>
                          <w:rPr>
                            <w:color w:val="000000" w:themeColor="text1"/>
                            <w:kern w:val="24"/>
                            <w:lang w:val="en-US"/>
                          </w:rPr>
                          <w:sym w:font="Wingdings" w:char="F09F"/>
                        </w:r>
                        <w:r w:rsidRPr="00FC7090">
                          <w:rPr>
                            <w:color w:val="000000" w:themeColor="text1"/>
                            <w:kern w:val="24"/>
                            <w:lang w:val="en-US"/>
                          </w:rPr>
                          <w:t xml:space="preserve">  Bibliographies</w:t>
                        </w:r>
                      </w:p>
                    </w:txbxContent>
                  </v:textbox>
                </v:rect>
                <v:group id="Group 268" o:spid="_x0000_s1077" style="position:absolute;top:53226;width:28059;height:5753" coordorigin="2228,48004" coordsize="32429,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078" style="position:absolute;left:2228;top:48004;width:32429;height: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p2xAAAANwAAAAPAAAAZHJzL2Rvd25yZXYueG1sRI9Pi8Iw&#10;FMTvC36H8ARva6oHcatRRPHfwcOqoN6ezbMtNi+1iVq//WZB8DjMzG+Y4bg2hXhQ5XLLCjrtCARx&#10;YnXOqYL9bv7dB+E8ssbCMil4kYPxqPE1xFjbJ//SY+tTESDsYlSQeV/GUrokI4OubUvi4F1sZdAH&#10;WaVSV/gMcFPIbhT1pMGcw0KGJU0zSq7bu1GwXp4Kul027rY4XI9nf3edGSdKtZr1ZADCU+0/4Xd7&#10;pRV0ez/wfyYcATn6AwAA//8DAFBLAQItABQABgAIAAAAIQDb4fbL7gAAAIUBAAATAAAAAAAAAAAA&#10;AAAAAAAAAABbQ29udGVudF9UeXBlc10ueG1sUEsBAi0AFAAGAAgAAAAhAFr0LFu/AAAAFQEAAAsA&#10;AAAAAAAAAAAAAAAAHwEAAF9yZWxzLy5yZWxzUEsBAi0AFAAGAAgAAAAhALE5+nbEAAAA3AAAAA8A&#10;AAAAAAAAAAAAAAAABwIAAGRycy9kb3ducmV2LnhtbFBLBQYAAAAAAwADALcAAAD4AgAAAAA=&#10;" strokecolor="black [3213]" strokeweight="1.5pt">
                    <v:textbox inset=",7.2pt,,7.2pt">
                      <w:txbxContent>
                        <w:p w14:paraId="69B548AC" w14:textId="77777777" w:rsidR="00777EE0" w:rsidRDefault="00777EE0" w:rsidP="00443002">
                          <w:pPr>
                            <w:pStyle w:val="NormalWeb"/>
                            <w:spacing w:before="0" w:beforeAutospacing="0" w:after="200" w:afterAutospacing="0" w:line="276" w:lineRule="auto"/>
                            <w:jc w:val="center"/>
                          </w:pPr>
                          <w:r>
                            <w:rPr>
                              <w:rFonts w:cstheme="minorBidi"/>
                              <w:b/>
                              <w:bCs/>
                              <w:color w:val="000000" w:themeColor="text1"/>
                              <w:kern w:val="24"/>
                            </w:rPr>
                            <w:t xml:space="preserve">Full-text articles retrieved </w:t>
                          </w:r>
                          <w:r>
                            <w:rPr>
                              <w:rFonts w:cstheme="minorBidi"/>
                              <w:b/>
                              <w:bCs/>
                              <w:color w:val="000000" w:themeColor="text1"/>
                              <w:kern w:val="24"/>
                            </w:rPr>
                            <w:br/>
                            <w:t>N= 63</w:t>
                          </w:r>
                        </w:p>
                      </w:txbxContent>
                    </v:textbox>
                  </v:rect>
                  <v:rect id="Rectangle 270" o:spid="_x0000_s1079" style="position:absolute;left:2228;top:48004;width:32429;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bPwgAAANwAAAAPAAAAZHJzL2Rvd25yZXYueG1sRE+7bsIw&#10;FN0r8Q/WRepWHECiKGAQ4lGVioXAwnaJL3FEfB3Fbgh/j4dKHY/Oe77sbCVaanzpWMFwkIAgzp0u&#10;uVBwPu0+piB8QNZYOSYFT/KwXPTe5phq9+AjtVkoRAxhn6ICE0KdSulzQxb9wNXEkbu5xmKIsCmk&#10;bvARw20lR0kykRZLjg0Ga1obyu/Zr1Vwq6/jw+V4SbLr/me9/dJGblqj1Hu/W81ABOrCv/jP/a0V&#10;jD7j/HgmHgG5eAEAAP//AwBQSwECLQAUAAYACAAAACEA2+H2y+4AAACFAQAAEwAAAAAAAAAAAAAA&#10;AAAAAAAAW0NvbnRlbnRfVHlwZXNdLnhtbFBLAQItABQABgAIAAAAIQBa9CxbvwAAABUBAAALAAAA&#10;AAAAAAAAAAAAAB8BAABfcmVscy8ucmVsc1BLAQItABQABgAIAAAAIQCGpxbPwgAAANwAAAAPAAAA&#10;AAAAAAAAAAAAAAcCAABkcnMvZG93bnJldi54bWxQSwUGAAAAAAMAAwC3AAAA9gIAAAAA&#10;" filled="f" strokecolor="black [3213]" strokeweight="1.5pt"/>
                </v:group>
                <v:group id="Group 271" o:spid="_x0000_s1080" style="position:absolute;left:8925;top:66928;width:10064;height:7486" coordorigin="10876,60331" coordsize="9994,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Diamond 272" o:spid="_x0000_s1081" type="#_x0000_t4" style="position:absolute;left:10876;top:60331;width:9995;height:8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pxxQAAANwAAAAPAAAAZHJzL2Rvd25yZXYueG1sRI/BasMw&#10;EETvhf6D2EAvpZHrQxqcKCEESgM9lMT5gK21sYWtlZHU2O7XV4FAj8PMvGHW29F24ko+GMcKXucZ&#10;COLKacO1gnP5/rIEESKyxs4xKZgowHbz+LDGQruBj3Q9xVokCIcCFTQx9oWUoWrIYpi7njh5F+ct&#10;xiR9LbXHIcFtJ/MsW0iLhtNCgz3tG6ra049VcJieW/kph4+p/Pr2xuzb8teflXqajbsViEhj/A/f&#10;2wetIH/L4XYmHQG5+QMAAP//AwBQSwECLQAUAAYACAAAACEA2+H2y+4AAACFAQAAEwAAAAAAAAAA&#10;AAAAAAAAAAAAW0NvbnRlbnRfVHlwZXNdLnhtbFBLAQItABQABgAIAAAAIQBa9CxbvwAAABUBAAAL&#10;AAAAAAAAAAAAAAAAAB8BAABfcmVscy8ucmVsc1BLAQItABQABgAIAAAAIQColMpxxQAAANwAAAAP&#10;AAAAAAAAAAAAAAAAAAcCAABkcnMvZG93bnJldi54bWxQSwUGAAAAAAMAAwC3AAAA+QIAAAAA&#10;" filled="f" strokecolor="black [3213]" strokeweight="1.5pt"/>
                  <v:shape id="_x0000_s1082" type="#_x0000_t202" style="position:absolute;left:11391;top:61451;width:8928;height:6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6AB1E398"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Assess</w:t>
                          </w:r>
                          <w:r>
                            <w:rPr>
                              <w:rFonts w:cstheme="minorBidi"/>
                              <w:color w:val="000000" w:themeColor="text1"/>
                              <w:kern w:val="24"/>
                              <w:sz w:val="22"/>
                              <w:szCs w:val="22"/>
                            </w:rPr>
                            <w:br/>
                            <w:t>Eligibility</w:t>
                          </w:r>
                        </w:p>
                      </w:txbxContent>
                    </v:textbox>
                  </v:shape>
                </v:group>
                <v:group id="Group 274" o:spid="_x0000_s1083" style="position:absolute;left:272;top:23747;width:28061;height:6223" coordorigin="2107,19461" coordsize="32429,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75" o:spid="_x0000_s1084" style="position:absolute;left:2355;top:19886;width:31556;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TxgAAANwAAAAPAAAAZHJzL2Rvd25yZXYueG1sRI/dagIx&#10;FITvC32HcAre1WylWtkapQpFQfEf2svTzenu0s3JkkR3fXsjCL0cZuYbZjRpTSXO5HxpWcFLNwFB&#10;nFldcq7gePh8HoLwAVljZZkUXMjDZPz4MMJU24Z3dN6HXEQI+xQVFCHUqZQ+K8ig79qaOHq/1hkM&#10;UbpcaodNhJtK9pJkIA2WHBcKrGlWUPa3PxkFy9e1DcON29b+5/K9On3Nl9NmrlTnqf14BxGoDf/h&#10;e3uhFfTe+nA7E4+AHF8BAAD//wMAUEsBAi0AFAAGAAgAAAAhANvh9svuAAAAhQEAABMAAAAAAAAA&#10;AAAAAAAAAAAAAFtDb250ZW50X1R5cGVzXS54bWxQSwECLQAUAAYACAAAACEAWvQsW78AAAAVAQAA&#10;CwAAAAAAAAAAAAAAAAAfAQAAX3JlbHMvLnJlbHNQSwECLQAUAAYACAAAACEAll/+E8YAAADcAAAA&#10;DwAAAAAAAAAAAAAAAAAHAgAAZHJzL2Rvd25yZXYueG1sUEsFBgAAAAADAAMAtwAAAPoCAAAAAA==&#10;" stroked="f">
                    <v:textbox inset=",7.2pt,,7.2pt">
                      <w:txbxContent>
                        <w:p w14:paraId="45753AC0" w14:textId="77777777" w:rsidR="00777EE0" w:rsidRDefault="00777EE0" w:rsidP="00443002">
                          <w:pPr>
                            <w:pStyle w:val="NormalWeb"/>
                            <w:spacing w:before="0" w:beforeAutospacing="0" w:after="200" w:afterAutospacing="0" w:line="276" w:lineRule="auto"/>
                            <w:jc w:val="center"/>
                          </w:pPr>
                          <w:r>
                            <w:rPr>
                              <w:rFonts w:cstheme="minorBidi"/>
                              <w:b/>
                              <w:bCs/>
                              <w:color w:val="000000" w:themeColor="text1"/>
                              <w:kern w:val="24"/>
                            </w:rPr>
                            <w:t>Total number of records</w:t>
                          </w:r>
                          <w:r>
                            <w:rPr>
                              <w:rFonts w:cstheme="minorBidi"/>
                              <w:b/>
                              <w:bCs/>
                              <w:color w:val="000000" w:themeColor="text1"/>
                              <w:kern w:val="24"/>
                            </w:rPr>
                            <w:br/>
                            <w:t>N = 1550</w:t>
                          </w:r>
                        </w:p>
                        <w:p w14:paraId="3D5BAD3E"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rPr>
                            <w:t> </w:t>
                          </w:r>
                        </w:p>
                      </w:txbxContent>
                    </v:textbox>
                  </v:rect>
                  <v:rect id="Rectangle 276" o:spid="_x0000_s1085" style="position:absolute;left:2107;top:19461;width:32430;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sgxgAAANwAAAAPAAAAZHJzL2Rvd25yZXYueG1sRI9Ba8JA&#10;FITvQv/D8gq91Y0KVmJWEVvFFi+mvXh7Zl+ywezbkN3G9N93CwWPw8x8w2TrwTaip87XjhVMxgkI&#10;4sLpmisFX5+75wUIH5A1No5JwQ95WK8eRhmm2t34RH0eKhEh7FNUYEJoUyl9YciiH7uWOHql6yyG&#10;KLtK6g5vEW4bOU2SubRYc1ww2NLWUHHNv62Csr3MjufTOckv7x/bt7028rU3Sj09DpsliEBDuIf/&#10;2wetYPoyh78z8QjI1S8AAAD//wMAUEsBAi0AFAAGAAgAAAAhANvh9svuAAAAhQEAABMAAAAAAAAA&#10;AAAAAAAAAAAAAFtDb250ZW50X1R5cGVzXS54bWxQSwECLQAUAAYACAAAACEAWvQsW78AAAAVAQAA&#10;CwAAAAAAAAAAAAAAAAAfAQAAX3JlbHMvLnJlbHNQSwECLQAUAAYACAAAACEAZgIrIMYAAADcAAAA&#10;DwAAAAAAAAAAAAAAAAAHAgAAZHJzL2Rvd25yZXYueG1sUEsFBgAAAAADAAMAtwAAAPoCAAAAAA==&#10;" filled="f" strokecolor="black [3213]" strokeweight="1.5pt"/>
                </v:group>
                <v:rect id="Rectangle 277" o:spid="_x0000_s1086" style="position:absolute;left:136;top:82432;width:2806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1CxAAAANwAAAAPAAAAZHJzL2Rvd25yZXYueG1sRI9Bi8Iw&#10;FITvgv8hPMGbpnrQpRpFFHf1sIdVQb09m2dbbF5qE7X7740geBxm5htmPK1NIe5Uudyygl43AkGc&#10;WJ1zqmC3XXa+QDiPrLGwTAr+ycF00myMMdb2wX903/hUBAi7GBVk3pexlC7JyKDr2pI4eGdbGfRB&#10;VqnUFT4C3BSyH0UDaTDnsJBhSfOMksvmZhSsf44FXc+/7vq9vxxO/uZ6C06Uarfq2QiEp9p/wu/2&#10;SivoD4fwOhOOgJw8AQAA//8DAFBLAQItABQABgAIAAAAIQDb4fbL7gAAAIUBAAATAAAAAAAAAAAA&#10;AAAAAAAAAABbQ29udGVudF9UeXBlc10ueG1sUEsBAi0AFAAGAAgAAAAhAFr0LFu/AAAAFQEAAAsA&#10;AAAAAAAAAAAAAAAAHwEAAF9yZWxzLy5yZWxzUEsBAi0AFAAGAAgAAAAhACozXULEAAAA3AAAAA8A&#10;AAAAAAAAAAAAAAAABwIAAGRycy9kb3ducmV2LnhtbFBLBQYAAAAAAwADALcAAAD4AgAAAAA=&#10;" strokecolor="black [3213]" strokeweight="1.5pt">
                  <v:textbox inset=",7.2pt,,7.2pt">
                    <w:txbxContent>
                      <w:p w14:paraId="01120708" w14:textId="77777777" w:rsidR="00777EE0" w:rsidRDefault="00777EE0" w:rsidP="00443002">
                        <w:pPr>
                          <w:pStyle w:val="NormalWeb"/>
                          <w:spacing w:before="0" w:beforeAutospacing="0" w:after="0" w:afterAutospacing="0" w:line="276" w:lineRule="auto"/>
                          <w:jc w:val="center"/>
                        </w:pPr>
                        <w:r>
                          <w:rPr>
                            <w:rFonts w:cstheme="minorBidi"/>
                            <w:b/>
                            <w:bCs/>
                            <w:color w:val="000000" w:themeColor="text1"/>
                            <w:kern w:val="24"/>
                          </w:rPr>
                          <w:t xml:space="preserve">Studies included in review </w:t>
                        </w:r>
                        <w:r>
                          <w:rPr>
                            <w:rFonts w:cstheme="minorBidi"/>
                            <w:b/>
                            <w:bCs/>
                            <w:color w:val="000000" w:themeColor="text1"/>
                            <w:kern w:val="24"/>
                          </w:rPr>
                          <w:br/>
                          <w:t>N = 31</w:t>
                        </w:r>
                      </w:p>
                      <w:p w14:paraId="2BA479C7"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rPr>
                          <w:t> </w:t>
                        </w:r>
                      </w:p>
                    </w:txbxContent>
                  </v:textbox>
                </v:rect>
                <v:group id="Group 278" o:spid="_x0000_s1087" style="position:absolute;left:9061;top:8242;width:10065;height:7487" coordorigin="10934,4020" coordsize="9994,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Diamond 279" o:spid="_x0000_s1088" type="#_x0000_t4" style="position:absolute;left:10934;top:4020;width:9994;height:8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gAxgAAANwAAAAPAAAAZHJzL2Rvd25yZXYueG1sRI9Ba8JA&#10;FITvhf6H5RV6KXVTD1ajqxShVPAgNf6A1+wzWZJ9G3a3Jumv7wqCx2FmvmFWm8G24kI+GMcK3iYZ&#10;COLSacOVglPx+ToHESKyxtYxKRgpwGb9+LDCXLuev+lyjJVIEA45Kqhj7HIpQ1mTxTBxHXHyzs5b&#10;jEn6SmqPfYLbVk6zbCYtGk4LNXa0ralsjr9WwW58aeRe9l9jcfjxxmyb4s+flHp+Gj6WICIN8R6+&#10;tXdawfR9Adcz6QjI9T8AAAD//wMAUEsBAi0AFAAGAAgAAAAhANvh9svuAAAAhQEAABMAAAAAAAAA&#10;AAAAAAAAAAAAAFtDb250ZW50X1R5cGVzXS54bWxQSwECLQAUAAYACAAAACEAWvQsW78AAAAVAQAA&#10;CwAAAAAAAAAAAAAAAAAfAQAAX3JlbHMvLnJlbHNQSwECLQAUAAYACAAAACEApjBYAMYAAADcAAAA&#10;DwAAAAAAAAAAAAAAAAAHAgAAZHJzL2Rvd25yZXYueG1sUEsFBgAAAAADAAMAtwAAAPoCAAAAAA==&#10;" filled="f" strokecolor="black [3213]" strokeweight="1.5pt"/>
                  <v:shape id="_x0000_s1089" type="#_x0000_t202" style="position:absolute;left:11451;top:5588;width:8928;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5FE07FCA" w14:textId="77777777" w:rsidR="00777EE0" w:rsidRDefault="00777EE0" w:rsidP="00443002">
                          <w:pPr>
                            <w:pStyle w:val="NormalWeb"/>
                            <w:spacing w:before="0" w:beforeAutospacing="0" w:after="200" w:afterAutospacing="0" w:line="276" w:lineRule="auto"/>
                            <w:jc w:val="center"/>
                          </w:pPr>
                          <w:r>
                            <w:rPr>
                              <w:rFonts w:cstheme="minorBidi"/>
                              <w:color w:val="000000" w:themeColor="text1"/>
                              <w:kern w:val="24"/>
                              <w:sz w:val="22"/>
                              <w:szCs w:val="22"/>
                            </w:rPr>
                            <w:t>Conduct</w:t>
                          </w:r>
                          <w:r>
                            <w:rPr>
                              <w:rFonts w:cstheme="minorBidi"/>
                              <w:color w:val="000000" w:themeColor="text1"/>
                              <w:kern w:val="24"/>
                              <w:sz w:val="22"/>
                              <w:szCs w:val="22"/>
                            </w:rPr>
                            <w:br/>
                            <w:t>search</w:t>
                          </w:r>
                        </w:p>
                      </w:txbxContent>
                    </v:textbox>
                  </v:shape>
                </v:group>
                <v:group id="Group 281" o:spid="_x0000_s1090" style="position:absolute;left:13546;top:15694;width:952;height:7995" coordorigin="-238" coordsize="95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2" o:spid="_x0000_s1091" type="#_x0000_t67" style="position:absolute;left:119;width:457;height: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jUxAAAANwAAAAPAAAAZHJzL2Rvd25yZXYueG1sRI9Ba8JA&#10;FITvgv9heYXezMYURKKrNKLgqVIVxNtr9jUJZt+G3TXGf98tFHocZr4ZZrkeTCt6cr6xrGCapCCI&#10;S6sbrhScT7vJHIQPyBpby6TgSR7Wq/Foibm2D/6k/hgqEUvY56igDqHLpfRlTQZ9Yjvi6H1bZzBE&#10;6SqpHT5iuWlllqYzabDhuFBjR5uaytvxbhRkH2+Xvijc1y3NnkW/nV7toeiUen0Z3hcgAg3hP/xH&#10;73Xk5hn8nolHQK5+AAAA//8DAFBLAQItABQABgAIAAAAIQDb4fbL7gAAAIUBAAATAAAAAAAAAAAA&#10;AAAAAAAAAABbQ29udGVudF9UeXBlc10ueG1sUEsBAi0AFAAGAAgAAAAhAFr0LFu/AAAAFQEAAAsA&#10;AAAAAAAAAAAAAAAAHwEAAF9yZWxzLy5yZWxzUEsBAi0AFAAGAAgAAAAhAEIWaNTEAAAA3AAAAA8A&#10;AAAAAAAAAAAAAAAABwIAAGRycy9kb3ducmV2LnhtbFBLBQYAAAAAAwADALcAAAD4AgAAAAA=&#10;" adj="20948" fillcolor="black [3213]" stroked="f"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3" o:spid="_x0000_s1092" type="#_x0000_t5" style="position:absolute;left:-238;top:6997;width:952;height:1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EgxQAAANwAAAAPAAAAZHJzL2Rvd25yZXYueG1sRI9Ba8JA&#10;FITvgv9heYI33RhLSVPXIIVCD+3BVKrHZ/aZhGbfptltEv+9KxR6HGbmG2aTjaYRPXWutqxgtYxA&#10;EBdW11wqOHy+LhIQziNrbCyTgis5yLbTyQZTbQfeU5/7UgQIuxQVVN63qZSuqMigW9qWOHgX2xn0&#10;QXal1B0OAW4aGUfRozRYc1iosKWXiorv/NcoaJ569/CefxxPh+KL7SX6OesjKjWfjbtnEJ5G/x/+&#10;a79pBXGyhvuZcATk9gYAAP//AwBQSwECLQAUAAYACAAAACEA2+H2y+4AAACFAQAAEwAAAAAAAAAA&#10;AAAAAAAAAAAAW0NvbnRlbnRfVHlwZXNdLnhtbFBLAQItABQABgAIAAAAIQBa9CxbvwAAABUBAAAL&#10;AAAAAAAAAAAAAAAAAB8BAABfcmVscy8ucmVsc1BLAQItABQABgAIAAAAIQAy2lEgxQAAANwAAAAP&#10;AAAAAAAAAAAAAAAAAAcCAABkcnMvZG93bnJldi54bWxQSwUGAAAAAAMAAwC3AAAA+QIAAAAA&#10;" fillcolor="black [3213]" stroked="f" strokeweight="2pt"/>
                </v:group>
                <v:group id="Group 284" o:spid="_x0000_s1093" style="position:absolute;left:13784;top:29615;width:952;height:7995" coordsize="95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Arrow: Down 285" o:spid="_x0000_s1094" type="#_x0000_t67" style="position:absolute;left:238;width:457;height: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xQAAANwAAAAPAAAAZHJzL2Rvd25yZXYueG1sRI9Ba8JA&#10;FITvQv/D8gq96caUikTX0JQWeqqoheLtmX0mIdm3YXcb4793CwWPw8w3w6zz0XRiIOcbywrmswQE&#10;cWl1w5WC78PHdAnCB2SNnWVScCUP+eZhssZM2wvvaNiHSsQS9hkqqEPoMyl9WZNBP7M9cfTO1hkM&#10;UbpKaoeXWG46mSbJQhpsOC7U2NNbTWW7/zUK0q/nn6Eo3KlN0msxvM+Pdlv0Sj09jq8rEIHGcA//&#10;0586cssX+DsTj4Dc3AAAAP//AwBQSwECLQAUAAYACAAAACEA2+H2y+4AAACFAQAAEwAAAAAAAAAA&#10;AAAAAAAAAAAAW0NvbnRlbnRfVHlwZXNdLnhtbFBLAQItABQABgAIAAAAIQBa9CxbvwAAABUBAAAL&#10;AAAAAAAAAAAAAAAAAB8BAABfcmVscy8ucmVsc1BLAQItABQABgAIAAAAIQDN//CgxQAAANwAAAAP&#10;AAAAAAAAAAAAAAAAAAcCAABkcnMvZG93bnJldi54bWxQSwUGAAAAAAMAAwC3AAAA+QIAAAAA&#10;" adj="20948" fillcolor="black [3213]" stroked="f" strokeweight=".25pt"/>
                  <v:shape id="Isosceles Triangle 286" o:spid="_x0000_s1095" type="#_x0000_t5" style="position:absolute;top:6997;width:952;height:1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K4xQAAANwAAAAPAAAAZHJzL2Rvd25yZXYueG1sRI9Ba8JA&#10;FITvgv9heUJvujEUSVPXIILQQ3toGpoeX7PPJJh9G7PbmP57Vyj0OMzMN8w2m0wnRhpca1nBehWB&#10;IK6sbrlWUHwclwkI55E1dpZJwS85yHbz2RZTba/8TmPuaxEg7FJU0Hjfp1K6qiGDbmV74uCd7GDQ&#10;BznUUg94DXDTyTiKNtJgy2GhwZ4ODVXn/Mco6J5G9/iav5VfRfXJ9hRdvnWJSj0spv0zCE+T/w//&#10;tV+0gjjZwP1MOAJydwMAAP//AwBQSwECLQAUAAYACAAAACEA2+H2y+4AAACFAQAAEwAAAAAAAAAA&#10;AAAAAAAAAAAAW0NvbnRlbnRfVHlwZXNdLnhtbFBLAQItABQABgAIAAAAIQBa9CxbvwAAABUBAAAL&#10;AAAAAAAAAAAAAAAAAB8BAABfcmVscy8ucmVsc1BLAQItABQABgAIAAAAIQAirfK4xQAAANwAAAAP&#10;AAAAAAAAAAAAAAAAAAcCAABkcnMvZG93bnJldi54bWxQSwUGAAAAAAMAAwC3AAAA+QIAAAAA&#10;" fillcolor="black [3213]" stroked="f" strokeweight="2pt"/>
                </v:group>
                <v:group id="Group 287" o:spid="_x0000_s1096" style="position:absolute;left:13784;top:45037;width:952;height:7995" coordsize="95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Arrow: Down 211" o:spid="_x0000_s1097" type="#_x0000_t67" style="position:absolute;left:238;width:457;height: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MkxAAAANwAAAAPAAAAZHJzL2Rvd25yZXYueG1sRI9Pa8JA&#10;FMTvQr/D8gredJMURFJXaUqFnhT/QOntNfuaBLNvw+4a47d3BcHjMPObYRarwbSiJ+cbywrSaQKC&#10;uLS64UrB8bCezEH4gKyxtUwKruRhtXwZLTDX9sI76vehErGEfY4K6hC6XEpf1mTQT21HHL1/6wyG&#10;KF0ltcNLLDetzJJkJg02HBdq7OizpvK0PxsF2ebtpy8K93dKsmvRf6W/dlt0So1fh493EIGG8Aw/&#10;6G8duTSF+5l4BOTyBgAA//8DAFBLAQItABQABgAIAAAAIQDb4fbL7gAAAIUBAAATAAAAAAAAAAAA&#10;AAAAAAAAAABbQ29udGVudF9UeXBlc10ueG1sUEsBAi0AFAAGAAgAAAAhAFr0LFu/AAAAFQEAAAsA&#10;AAAAAAAAAAAAAAAAHwEAAF9yZWxzLy5yZWxzUEsBAi0AFAAGAAgAAAAhAFrOYyTEAAAA3AAAAA8A&#10;AAAAAAAAAAAAAAAABwIAAGRycy9kb3ducmV2LnhtbFBLBQYAAAAAAwADALcAAAD4AgAAAAA=&#10;" adj="20948" fillcolor="black [3213]" stroked="f" strokeweight=".25pt"/>
                  <v:shape id="Isosceles Triangle 212" o:spid="_x0000_s1098" type="#_x0000_t5" style="position:absolute;top:6997;width:952;height:1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E8xQAAANwAAAAPAAAAZHJzL2Rvd25yZXYueG1sRI9Ba8JA&#10;FITvBf/D8oTemk2ClBpdRYRCD/bQVIzHZ/aZBLNv0+w2Sf99t1DwOMzMN8x6O5lWDNS7xrKCJIpB&#10;EJdWN1wpOH6+Pr2AcB5ZY2uZFPyQg+1m9rDGTNuRP2jIfSUChF2GCmrvu0xKV9Zk0EW2Iw7e1fYG&#10;fZB9JXWPY4CbVqZx/CwNNhwWauxoX1N5y7+NgnY5uMUhfy/Ox/LE9hp/XXSBSj3Op90KhKfJ38P/&#10;7TetIE1S+DsTjoDc/AIAAP//AwBQSwECLQAUAAYACAAAACEA2+H2y+4AAACFAQAAEwAAAAAAAAAA&#10;AAAAAAAAAAAAW0NvbnRlbnRfVHlwZXNdLnhtbFBLAQItABQABgAIAAAAIQBa9CxbvwAAABUBAAAL&#10;AAAAAAAAAAAAAAAAAB8BAABfcmVscy8ucmVsc1BLAQItABQABgAIAAAAIQC1nGE8xQAAANwAAAAP&#10;AAAAAAAAAAAAAAAAAAcCAABkcnMvZG93bnJldi54bWxQSwUGAAAAAAMAAwC3AAAA+QIAAAAA&#10;" fillcolor="black [3213]" stroked="f" strokeweight="2pt"/>
                </v:group>
                <v:group id="Group 213" o:spid="_x0000_s1099" style="position:absolute;left:13647;top:59094;width:953;height:7995" coordsize="95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rrow: Down 214" o:spid="_x0000_s1100" type="#_x0000_t67" style="position:absolute;left:238;width:457;height: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C8xAAAANwAAAAPAAAAZHJzL2Rvd25yZXYueG1sRI9Ba8JA&#10;FITvhf6H5RV6q5vEIhJdpSkKPVXUQvH2mn1Ngtm3YXeN8d+7guBxmPlmmPlyMK3oyfnGsoJ0lIAg&#10;Lq1uuFLws1+/TUH4gKyxtUwKLuRhuXh+mmOu7Zm31O9CJWIJ+xwV1CF0uZS+rMmgH9mOOHr/1hkM&#10;UbpKaofnWG5amSXJRBpsOC7U2NFnTeVxdzIKsu/xb18U7u+YZJeiX6UHuyk6pV5fho8ZiEBDeITv&#10;9JeOXPoOtzPxCMjFFQAA//8DAFBLAQItABQABgAIAAAAIQDb4fbL7gAAAIUBAAATAAAAAAAAAAAA&#10;AAAAAAAAAABbQ29udGVudF9UeXBlc10ueG1sUEsBAi0AFAAGAAgAAAAhAFr0LFu/AAAAFQEAAAsA&#10;AAAAAAAAAAAAAAAAHwEAAF9yZWxzLy5yZWxzUEsBAi0AFAAGAAgAAAAhAEq5wLzEAAAA3AAAAA8A&#10;AAAAAAAAAAAAAAAABwIAAGRycy9kb3ducmV2LnhtbFBLBQYAAAAAAwADALcAAAD4AgAAAAA=&#10;" adj="20948" fillcolor="black [3213]" stroked="f" strokeweight=".25pt"/>
                  <v:shape id="Isosceles Triangle 288" o:spid="_x0000_s1101" type="#_x0000_t5" style="position:absolute;top:6997;width:952;height:1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NRwgAAANwAAAAPAAAAZHJzL2Rvd25yZXYueG1sRE9Na8JA&#10;EL0L/odlhN50o5SSRlcRodCDPTSGxuOYHZNgdjZm1yT9991DwePjfW92o2lET52rLStYLiIQxIXV&#10;NZcKstPHPAbhPLLGxjIp+CUHu+10ssFE24G/qU99KUIIuwQVVN63iZSuqMigW9iWOHBX2xn0AXal&#10;1B0OIdw0chVFb9JgzaGhwpYOFRW39GEUNO+9ez2mX/k5K37YXqP7Reeo1Mts3K9BeBr9U/zv/tQK&#10;VnFYG86EIyC3fwAAAP//AwBQSwECLQAUAAYACAAAACEA2+H2y+4AAACFAQAAEwAAAAAAAAAAAAAA&#10;AAAAAAAAW0NvbnRlbnRfVHlwZXNdLnhtbFBLAQItABQABgAIAAAAIQBa9CxbvwAAABUBAAALAAAA&#10;AAAAAAAAAAAAAB8BAABfcmVscy8ucmVsc1BLAQItABQABgAIAAAAIQA8fsNRwgAAANwAAAAPAAAA&#10;AAAAAAAAAAAAAAcCAABkcnMvZG93bnJldi54bWxQSwUGAAAAAAMAAwC3AAAA9gIAAAAA&#10;" fillcolor="black [3213]" stroked="f" strokeweight="2pt"/>
                </v:group>
                <v:group id="Group 289" o:spid="_x0000_s1102" style="position:absolute;left:13647;top:74380;width:953;height:7994" coordsize="95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rrow: Down 290" o:spid="_x0000_s1103" type="#_x0000_t67" style="position:absolute;left:238;width:457;height: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XlwgAAANwAAAAPAAAAZHJzL2Rvd25yZXYueG1sRE9Na8JA&#10;EL0X/A/LFLzVjRFKG12lkQqeWmoF8TbNTpNgdjbsbmP8951DocfH+15tRtepgUJsPRuYzzJQxJW3&#10;LdcGjp+7hydQMSFb7DyTgRtF2KwndyssrL/yBw2HVCsJ4ViggSalvtA6Vg05jDPfEwv37YPDJDDU&#10;2ga8SrjrdJ5lj9phy9LQYE/bhqrL4ccZyN8Wp6Esw9cly2/l8Do/+/eyN2Z6P74sQSUa07/4z723&#10;4nuW+XJGjoBe/wIAAP//AwBQSwECLQAUAAYACAAAACEA2+H2y+4AAACFAQAAEwAAAAAAAAAAAAAA&#10;AAAAAAAAW0NvbnRlbnRfVHlwZXNdLnhtbFBLAQItABQABgAIAAAAIQBa9CxbvwAAABUBAAALAAAA&#10;AAAAAAAAAAAAAB8BAABfcmVscy8ucmVsc1BLAQItABQABgAIAAAAIQBYUcXlwgAAANwAAAAPAAAA&#10;AAAAAAAAAAAAAAcCAABkcnMvZG93bnJldi54bWxQSwUGAAAAAAMAAwC3AAAA9gIAAAAA&#10;" adj="20948" fillcolor="black [3213]" stroked="f" strokeweight=".25pt"/>
                  <v:shape id="Isosceles Triangle 291" o:spid="_x0000_s1104" type="#_x0000_t5" style="position:absolute;top:6997;width:952;height:1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wRwwAAANwAAAAPAAAAZHJzL2Rvd25yZXYueG1sRI9Bi8Iw&#10;FITvgv8hPMGbpoosWo0iguBBD1ZZPT6bZ1tsXmoTa/33m4WFPQ4z8w2zWLWmFA3VrrCsYDSMQBCn&#10;VhecKTiftoMpCOeRNZaWScGHHKyW3c4CY23ffKQm8ZkIEHYxKsi9r2IpXZqTQTe0FXHw7rY26IOs&#10;M6lrfAe4KeU4ir6kwYLDQo4VbXJKH8nLKChnjZvsk8Plek6/2d6j501fUKl+r13PQXhq/X/4r73T&#10;CsazEfyeCUdALn8AAAD//wMAUEsBAi0AFAAGAAgAAAAhANvh9svuAAAAhQEAABMAAAAAAAAAAAAA&#10;AAAAAAAAAFtDb250ZW50X1R5cGVzXS54bWxQSwECLQAUAAYACAAAACEAWvQsW78AAAAVAQAACwAA&#10;AAAAAAAAAAAAAAAfAQAAX3JlbHMvLnJlbHNQSwECLQAUAAYACAAAACEAKJ38EcMAAADcAAAADwAA&#10;AAAAAAAAAAAAAAAHAgAAZHJzL2Rvd25yZXYueG1sUEsFBgAAAAADAAMAtwAAAPcCAAAAAA==&#10;" fillcolor="black [3213]" stroked="f" strokeweight="2pt"/>
                </v:group>
                <v:group id="Group 292" o:spid="_x0000_s1105" style="position:absolute;left:19243;top:11464;width:13105;height:952" coordsize="1310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Arrow: Down 293" o:spid="_x0000_s1106" type="#_x0000_t67" style="position:absolute;left:6526;top:-5860;width:457;height:127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jBwwAAANwAAAAPAAAAZHJzL2Rvd25yZXYueG1sRI/NasMw&#10;EITvhb6D2EIvJZF/wCROFBMKpaY3J3mAxdrYJtLKsZTEffuqUOhxmJlvmG01WyPuNPnBsYJ0mYAg&#10;bp0euFNwOn4sViB8QNZoHJOCb/JQ7Z6ftlhq9+CG7ofQiQhhX6KCPoSxlNK3PVn0SzcSR+/sJosh&#10;yqmTesJHhFsjsyQppMWB40KPI7331F4ON6vgzTAZe70VpnVN+lnnxXzpvpR6fZn3GxCB5vAf/mvX&#10;WkG2zuH3TDwCcvcDAAD//wMAUEsBAi0AFAAGAAgAAAAhANvh9svuAAAAhQEAABMAAAAAAAAAAAAA&#10;AAAAAAAAAFtDb250ZW50X1R5cGVzXS54bWxQSwECLQAUAAYACAAAACEAWvQsW78AAAAVAQAACwAA&#10;AAAAAAAAAAAAAAAfAQAAX3JlbHMvLnJlbHNQSwECLQAUAAYACAAAACEAkOUYwcMAAADcAAAADwAA&#10;AAAAAAAAAAAAAAAHAgAAZHJzL2Rvd25yZXYueG1sUEsFBgAAAAADAAMAtwAAAPcCAAAAAA==&#10;" adj="21211" fillcolor="black [3213]" stroked="f" strokeweight=".25pt"/>
                  <v:shape id="Isosceles Triangle 294" o:spid="_x0000_s1107" type="#_x0000_t5" style="position:absolute;left:26;top:-26;width:952;height:1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w1xgAAANwAAAAPAAAAZHJzL2Rvd25yZXYueG1sRI9Ba8JA&#10;FITvhf6H5RV6azYNUWzqKkWpBNRCtZfeXrOvSTD7NmRXE/+9Kwgeh5n5hpnOB9OIE3WutqzgNYpB&#10;EBdW11wq+Nl/vkxAOI+ssbFMCs7kYD57fJhipm3P33Ta+VIECLsMFVTet5mUrqjIoItsSxy8f9sZ&#10;9EF2pdQd9gFuGpnE8VgarDksVNjSoqLisDsaBds1+dGydPnhK//9W6XJpN+nG6Wen4aPdxCeBn8P&#10;39q5VpC8pXA9E46AnF0AAAD//wMAUEsBAi0AFAAGAAgAAAAhANvh9svuAAAAhQEAABMAAAAAAAAA&#10;AAAAAAAAAAAAAFtDb250ZW50X1R5cGVzXS54bWxQSwECLQAUAAYACAAAACEAWvQsW78AAAAVAQAA&#10;CwAAAAAAAAAAAAAAAAAfAQAAX3JlbHMvLnJlbHNQSwECLQAUAAYACAAAACEAdq6MNcYAAADcAAAA&#10;DwAAAAAAAAAAAAAAAAAHAgAAZHJzL2Rvd25yZXYueG1sUEsFBgAAAAADAAMAtwAAAPoCAAAAAA==&#10;" fillcolor="black [3213]" stroked="f" strokeweight="2pt"/>
                </v:group>
                <v:group id="Group 295" o:spid="_x0000_s1108" style="position:absolute;left:19243;top:40687;width:13100;height:953;rotation:180" coordorigin=",119" coordsize="1310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2u1xAAAANwAAAAPAAAAZHJzL2Rvd25yZXYueG1sRI9BawIx&#10;FITvBf9DeEJvNevqSrs1igjSPRWqgtfH5rnZunlZkqjbf98IhR6HmfmGWa4H24kb+dA6VjCdZCCI&#10;a6dbbhQcD7uXVxAhImvsHJOCHwqwXo2ellhqd+cvuu1jIxKEQ4kKTIx9KWWoDVkME9cTJ+/svMWY&#10;pG+k9nhPcNvJPMsW0mLLacFgT1tD9WV/tQr0PMyOVFUbn39+H4q2+DDN+aTU83jYvIOINMT/8F+7&#10;0grytwIeZ9IRkKtfAAAA//8DAFBLAQItABQABgAIAAAAIQDb4fbL7gAAAIUBAAATAAAAAAAAAAAA&#10;AAAAAAAAAABbQ29udGVudF9UeXBlc10ueG1sUEsBAi0AFAAGAAgAAAAhAFr0LFu/AAAAFQEAAAsA&#10;AAAAAAAAAAAAAAAAHwEAAF9yZWxzLy5yZWxzUEsBAi0AFAAGAAgAAAAhALefa7XEAAAA3AAAAA8A&#10;AAAAAAAAAAAAAAAABwIAAGRycy9kb3ducmV2LnhtbFBLBQYAAAAAAwADALcAAAD4AgAAAAA=&#10;">
                  <v:shape id="Arrow: Down 296" o:spid="_x0000_s1109" type="#_x0000_t67" style="position:absolute;left:6526;top:-5860;width:457;height:127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tZwgAAANwAAAAPAAAAZHJzL2Rvd25yZXYueG1sRI/disIw&#10;FITvhX2HcIS9EU11oexWUxFBlL3z5wEOzbEtTU66TardtzeC4OUwM98wq/VgjbhR52vHCuazBARx&#10;4XTNpYLLeTf9BuEDskbjmBT8k4d1/jFaYabdnY90O4VSRAj7DBVUIbSZlL6oyKKfuZY4elfXWQxR&#10;dqXUHd4j3Bq5SJJUWqw5LlTY0raiojn1VsHEMBn716emcMf5/vCVDk35q9TneNgsQQQawjv8ah+0&#10;gsVPCs8z8QjI/AEAAP//AwBQSwECLQAUAAYACAAAACEA2+H2y+4AAACFAQAAEwAAAAAAAAAAAAAA&#10;AAAAAAAAW0NvbnRlbnRfVHlwZXNdLnhtbFBLAQItABQABgAIAAAAIQBa9CxbvwAAABUBAAALAAAA&#10;AAAAAAAAAAAAAB8BAABfcmVscy8ucmVsc1BLAQItABQABgAIAAAAIQCAkrtZwgAAANwAAAAPAAAA&#10;AAAAAAAAAAAAAAcCAABkcnMvZG93bnJldi54bWxQSwUGAAAAAAMAAwC3AAAA9gIAAAAA&#10;" adj="21211" fillcolor="black [3213]" stroked="f" strokeweight=".25pt"/>
                  <v:shape id="Isosceles Triangle 297" o:spid="_x0000_s1110" type="#_x0000_t5" style="position:absolute;left:26;top:93;width:952;height:1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JCxgAAANwAAAAPAAAAZHJzL2Rvd25yZXYueG1sRI9Pa8JA&#10;FMTvQr/D8oTe6sagVaOrlJaWQFXwz8XbM/tMgtm3Ibs18dt3CwWPw8z8hlmsOlOJGzWutKxgOIhA&#10;EGdWl5wrOB4+X6YgnEfWWFkmBXdysFo+9RaYaNvyjm57n4sAYZeggsL7OpHSZQUZdANbEwfvYhuD&#10;Psgml7rBNsBNJeMoepUGSw4LBdb0XlB23f8YBZtv8uOP3KXXbXo6f43iaXsYrZV67ndvcxCeOv8I&#10;/7dTrSCeTeDvTDgCcvkLAAD//wMAUEsBAi0AFAAGAAgAAAAhANvh9svuAAAAhQEAABMAAAAAAAAA&#10;AAAAAAAAAAAAAFtDb250ZW50X1R5cGVzXS54bWxQSwECLQAUAAYACAAAACEAWvQsW78AAAAVAQAA&#10;CwAAAAAAAAAAAAAAAAAfAQAAX3JlbHMvLnJlbHNQSwECLQAUAAYACAAAACEAhnwSQsYAAADcAAAA&#10;DwAAAAAAAAAAAAAAAAAHAgAAZHJzL2Rvd25yZXYueG1sUEsFBgAAAAADAAMAtwAAAPoCAAAAAA==&#10;" fillcolor="black [3213]" stroked="f" strokeweight="2pt"/>
                </v:group>
                <v:group id="Group 298" o:spid="_x0000_s1111" style="position:absolute;left:18970;top:70149;width:13267;height:1067;rotation:180" coordsize="1310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QrwQAAANwAAAAPAAAAZHJzL2Rvd25yZXYueG1sRE/Pa8Iw&#10;FL4P/B/CE3abqZ3KrEYRYawnwSrs+mieTbfmpSSZdv+9OQgeP77f6+1gO3ElH1rHCqaTDARx7XTL&#10;jYLz6fPtA0SIyBo7x6TgnwJsN6OXNRba3fhI1yo2IoVwKFCBibEvpAy1IYth4nrixF2ctxgT9I3U&#10;Hm8p3HYyz7KFtNhyajDY095Q/Vv9WQV6Ft7PVJY7nx9+TvN2/mWay7dSr+NhtwIRaYhP8cNdagX5&#10;Mq1NZ9IRkJs7AAAA//8DAFBLAQItABQABgAIAAAAIQDb4fbL7gAAAIUBAAATAAAAAAAAAAAAAAAA&#10;AAAAAABbQ29udGVudF9UeXBlc10ueG1sUEsBAi0AFAAGAAgAAAAhAFr0LFu/AAAAFQEAAAsAAAAA&#10;AAAAAAAAAAAAHwEAAF9yZWxzLy5yZWxzUEsBAi0AFAAGAAgAAAAhAFmexCvBAAAA3AAAAA8AAAAA&#10;AAAAAAAAAAAABwIAAGRycy9kb3ducmV2LnhtbFBLBQYAAAAAAwADALcAAAD1AgAAAAA=&#10;">
                  <v:shape id="Arrow: Down 299" o:spid="_x0000_s1112" type="#_x0000_t67" style="position:absolute;left:6526;top:-5860;width:457;height:127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8rwgAAANwAAAAPAAAAZHJzL2Rvd25yZXYueG1sRI/disIw&#10;FITvBd8hnAVvRFMVinYbZVkQxTt/HuDQHNvS5KQ2UevbbxYEL4eZ+YbJN7014kGdrx0rmE0TEMSF&#10;0zWXCi7n7WQJwgdkjcYxKXiRh816OMgx0+7JR3qcQikihH2GCqoQ2kxKX1Rk0U9dSxy9q+sshii7&#10;UuoOnxFujZwnSSot1hwXKmzpt6KiOd2tgrFhMvZ2T03hjrPdfpH2TXlQavTV/3yDCNSHT/jd3msF&#10;89UK/s/EIyDXfwAAAP//AwBQSwECLQAUAAYACAAAACEA2+H2y+4AAACFAQAAEwAAAAAAAAAAAAAA&#10;AAAAAAAAW0NvbnRlbnRfVHlwZXNdLnhtbFBLAQItABQABgAIAAAAIQBa9CxbvwAAABUBAAALAAAA&#10;AAAAAAAAAAAAAB8BAABfcmVscy8ucmVsc1BLAQItABQABgAIAAAAIQDxDS8rwgAAANwAAAAPAAAA&#10;AAAAAAAAAAAAAAcCAABkcnMvZG93bnJldi54bWxQSwUGAAAAAAMAAwC3AAAA9gIAAAAA&#10;" adj="21211" fillcolor="black [3213]" stroked="f" strokeweight=".25pt"/>
                  <v:shape id="Isosceles Triangle 300" o:spid="_x0000_s1113" type="#_x0000_t5" style="position:absolute;left:26;top:-26;width:952;height:1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AsxAAAANwAAAAPAAAAZHJzL2Rvd25yZXYueG1sRE/LasJA&#10;FN0L/sNwC+7qpGmUkDqKtLQEfEBjN93dZm6TYOZOyIwm/XtnUXB5OO/VZjStuFLvGssKnuYRCOLS&#10;6oYrBV+n98cUhPPIGlvLpOCPHGzW08kKM20H/qRr4SsRQthlqKD2vsukdGVNBt3cdsSB+7W9QR9g&#10;X0nd4xDCTSvjKFpKgw2Hhho7eq2pPBcXo+CwI794q1x+PubfPx9JnA6nZK/U7GHcvoDwNPq7+N+d&#10;awXPUZgfzoQjINc3AAAA//8DAFBLAQItABQABgAIAAAAIQDb4fbL7gAAAIUBAAATAAAAAAAAAAAA&#10;AAAAAAAAAABbQ29udGVudF9UeXBlc10ueG1sUEsBAi0AFAAGAAgAAAAhAFr0LFu/AAAAFQEAAAsA&#10;AAAAAAAAAAAAAAAAHwEAAF9yZWxzLy5yZWxzUEsBAi0AFAAGAAgAAAAhAJd+ECzEAAAA3AAAAA8A&#10;AAAAAAAAAAAAAAAABwIAAGRycy9kb3ducmV2LnhtbFBLBQYAAAAAAwADALcAAAD4AgAAAAA=&#10;" fillcolor="black [3213]" stroked="f" strokeweight="2pt"/>
                </v:group>
              </v:group>
            </w:pict>
          </mc:Fallback>
        </mc:AlternateContent>
      </w:r>
      <w:r w:rsidRPr="00697879">
        <w:t xml:space="preserve">Figure </w:t>
      </w:r>
      <w:r w:rsidR="004864B0">
        <w:t>4-</w:t>
      </w:r>
      <w:r w:rsidRPr="00697879">
        <w:t xml:space="preserve">1. </w:t>
      </w:r>
      <w:r>
        <w:t>Literature review search process</w:t>
      </w:r>
      <w:bookmarkEnd w:id="282"/>
    </w:p>
    <w:bookmarkEnd w:id="283"/>
    <w:p w14:paraId="2296D130" w14:textId="77777777" w:rsidR="00443002" w:rsidRDefault="00443002" w:rsidP="00443002">
      <w:r>
        <w:br w:type="page"/>
      </w:r>
    </w:p>
    <w:p w14:paraId="0EE3D97C" w14:textId="60E3F3E4" w:rsidR="00443002" w:rsidRDefault="00443002" w:rsidP="00443002">
      <w:pPr>
        <w:spacing w:line="480" w:lineRule="auto"/>
      </w:pPr>
      <w:r>
        <w:t xml:space="preserve">The search terms shown in Table </w:t>
      </w:r>
      <w:r w:rsidR="00C50864">
        <w:t>4-</w:t>
      </w:r>
      <w:r>
        <w:t>1 were adapted as appropriate for the conventions of each database, searching for papers which included any of the terms within the keywords, title or abstract.  A grey literature search was manually performed focusing on UK Government papers and reports by key drugs charities, local councils and healthcare organisations.  The search period included studies conducted prior to the ban of legal highs in May 2016.</w:t>
      </w:r>
    </w:p>
    <w:p w14:paraId="4612A306" w14:textId="10993B59" w:rsidR="00C72865" w:rsidRPr="00C72865" w:rsidRDefault="00C72865" w:rsidP="00C72865">
      <w:pPr>
        <w:pStyle w:val="TableHeader"/>
        <w:rPr>
          <w:b/>
        </w:rPr>
      </w:pPr>
      <w:bookmarkStart w:id="284" w:name="_Toc9509054"/>
      <w:r w:rsidRPr="00C72865">
        <w:rPr>
          <w:b/>
        </w:rPr>
        <w:t xml:space="preserve">Table </w:t>
      </w:r>
      <w:r w:rsidR="005E0305">
        <w:rPr>
          <w:b/>
        </w:rPr>
        <w:t>4-</w:t>
      </w:r>
      <w:r w:rsidRPr="00C72865">
        <w:rPr>
          <w:b/>
        </w:rPr>
        <w:t>1. Search term suitability</w:t>
      </w:r>
      <w:bookmarkEnd w:id="284"/>
    </w:p>
    <w:tbl>
      <w:tblPr>
        <w:tblW w:w="8482" w:type="dxa"/>
        <w:tblLayout w:type="fixed"/>
        <w:tblLook w:val="00A0" w:firstRow="1" w:lastRow="0" w:firstColumn="1" w:lastColumn="0" w:noHBand="0" w:noVBand="0"/>
      </w:tblPr>
      <w:tblGrid>
        <w:gridCol w:w="4786"/>
        <w:gridCol w:w="3696"/>
      </w:tblGrid>
      <w:tr w:rsidR="00443002" w:rsidRPr="006A3339" w14:paraId="1BD18831" w14:textId="77777777" w:rsidTr="003D4E79">
        <w:trPr>
          <w:trHeight w:val="315"/>
        </w:trPr>
        <w:tc>
          <w:tcPr>
            <w:tcW w:w="4786" w:type="dxa"/>
            <w:tcBorders>
              <w:top w:val="single" w:sz="4" w:space="0" w:color="auto"/>
              <w:bottom w:val="single" w:sz="4" w:space="0" w:color="auto"/>
            </w:tcBorders>
            <w:shd w:val="clear" w:color="auto" w:fill="auto"/>
            <w:vAlign w:val="center"/>
          </w:tcPr>
          <w:p w14:paraId="6598C9A6" w14:textId="77777777" w:rsidR="00443002" w:rsidRPr="006A3339" w:rsidRDefault="00443002" w:rsidP="003D4E79">
            <w:pPr>
              <w:spacing w:before="120" w:after="120" w:line="360" w:lineRule="auto"/>
              <w:rPr>
                <w:b/>
                <w:bCs/>
                <w:szCs w:val="20"/>
              </w:rPr>
            </w:pPr>
            <w:r>
              <w:rPr>
                <w:b/>
                <w:bCs/>
                <w:szCs w:val="20"/>
              </w:rPr>
              <w:t>Optimal search terms</w:t>
            </w:r>
            <w:r w:rsidRPr="006A3339">
              <w:rPr>
                <w:b/>
                <w:bCs/>
                <w:szCs w:val="20"/>
              </w:rPr>
              <w:t xml:space="preserve"> </w:t>
            </w:r>
          </w:p>
        </w:tc>
        <w:tc>
          <w:tcPr>
            <w:tcW w:w="3696" w:type="dxa"/>
            <w:tcBorders>
              <w:top w:val="single" w:sz="4" w:space="0" w:color="auto"/>
              <w:bottom w:val="single" w:sz="4" w:space="0" w:color="auto"/>
            </w:tcBorders>
            <w:shd w:val="clear" w:color="auto" w:fill="auto"/>
            <w:vAlign w:val="center"/>
          </w:tcPr>
          <w:p w14:paraId="317CCD02" w14:textId="77777777" w:rsidR="00443002" w:rsidRPr="006A3339" w:rsidRDefault="00443002" w:rsidP="003D4E79">
            <w:pPr>
              <w:spacing w:before="120" w:after="120" w:line="360" w:lineRule="auto"/>
              <w:rPr>
                <w:b/>
                <w:bCs/>
                <w:szCs w:val="20"/>
              </w:rPr>
            </w:pPr>
            <w:r>
              <w:rPr>
                <w:b/>
                <w:bCs/>
                <w:szCs w:val="20"/>
              </w:rPr>
              <w:t>Suboptimal search terms</w:t>
            </w:r>
          </w:p>
        </w:tc>
      </w:tr>
      <w:tr w:rsidR="00443002" w:rsidRPr="00173323" w14:paraId="716FE22B" w14:textId="77777777" w:rsidTr="00443002">
        <w:trPr>
          <w:trHeight w:hRule="exact" w:val="193"/>
        </w:trPr>
        <w:tc>
          <w:tcPr>
            <w:tcW w:w="4786" w:type="dxa"/>
            <w:tcBorders>
              <w:top w:val="single" w:sz="4" w:space="0" w:color="auto"/>
            </w:tcBorders>
            <w:shd w:val="clear" w:color="auto" w:fill="auto"/>
          </w:tcPr>
          <w:p w14:paraId="506277B2" w14:textId="77777777" w:rsidR="00443002" w:rsidRPr="00850E7C" w:rsidRDefault="00443002" w:rsidP="003D4E79">
            <w:pPr>
              <w:spacing w:line="360" w:lineRule="auto"/>
              <w:rPr>
                <w:b/>
                <w:bCs/>
                <w:sz w:val="2"/>
                <w:szCs w:val="4"/>
              </w:rPr>
            </w:pPr>
          </w:p>
        </w:tc>
        <w:tc>
          <w:tcPr>
            <w:tcW w:w="3696" w:type="dxa"/>
            <w:tcBorders>
              <w:top w:val="single" w:sz="4" w:space="0" w:color="auto"/>
            </w:tcBorders>
            <w:shd w:val="clear" w:color="auto" w:fill="auto"/>
          </w:tcPr>
          <w:p w14:paraId="6C96D4D5" w14:textId="77777777" w:rsidR="00443002" w:rsidRPr="00173323" w:rsidRDefault="00443002" w:rsidP="003D4E79">
            <w:pPr>
              <w:spacing w:line="360" w:lineRule="auto"/>
              <w:rPr>
                <w:b/>
                <w:bCs/>
                <w:sz w:val="4"/>
                <w:szCs w:val="4"/>
              </w:rPr>
            </w:pPr>
          </w:p>
        </w:tc>
      </w:tr>
      <w:tr w:rsidR="00443002" w:rsidRPr="006A3339" w14:paraId="25FF1D2A" w14:textId="77777777" w:rsidTr="00443002">
        <w:trPr>
          <w:trHeight w:val="2319"/>
        </w:trPr>
        <w:tc>
          <w:tcPr>
            <w:tcW w:w="4786" w:type="dxa"/>
            <w:tcBorders>
              <w:bottom w:val="single" w:sz="4" w:space="0" w:color="auto"/>
            </w:tcBorders>
            <w:shd w:val="clear" w:color="auto" w:fill="auto"/>
          </w:tcPr>
          <w:p w14:paraId="6C446FF3" w14:textId="77777777" w:rsidR="00443002" w:rsidRPr="006A3339" w:rsidRDefault="00443002" w:rsidP="003D4E79">
            <w:pPr>
              <w:spacing w:line="360" w:lineRule="auto"/>
              <w:rPr>
                <w:szCs w:val="20"/>
              </w:rPr>
            </w:pPr>
            <w:r w:rsidRPr="00FC7090">
              <w:rPr>
                <w:color w:val="000000"/>
                <w:kern w:val="24"/>
                <w:lang w:val="en-US"/>
              </w:rPr>
              <w:t xml:space="preserve">legal high* </w:t>
            </w:r>
            <w:r w:rsidRPr="00FC7090">
              <w:rPr>
                <w:color w:val="000000"/>
                <w:kern w:val="24"/>
                <w:lang w:val="en-US"/>
              </w:rPr>
              <w:br/>
              <w:t>novel psychoactive substance*</w:t>
            </w:r>
            <w:r w:rsidRPr="00FC7090">
              <w:rPr>
                <w:color w:val="000000"/>
                <w:kern w:val="24"/>
                <w:lang w:val="en-US"/>
              </w:rPr>
              <w:br/>
              <w:t>new psychoactive substance*</w:t>
            </w:r>
            <w:r>
              <w:rPr>
                <w:color w:val="000000"/>
                <w:kern w:val="24"/>
                <w:lang w:val="en-US"/>
              </w:rPr>
              <w:br/>
              <w:t>novel psychoactive compound*</w:t>
            </w:r>
            <w:r w:rsidRPr="00FC7090">
              <w:rPr>
                <w:color w:val="000000"/>
                <w:kern w:val="24"/>
                <w:lang w:val="en-US"/>
              </w:rPr>
              <w:br/>
              <w:t>new psychoactive compound*</w:t>
            </w:r>
            <w:r w:rsidRPr="00FC7090">
              <w:rPr>
                <w:color w:val="000000"/>
                <w:kern w:val="24"/>
                <w:lang w:val="en-US"/>
              </w:rPr>
              <w:br/>
              <w:t>emerging psychoactive substance*</w:t>
            </w:r>
          </w:p>
        </w:tc>
        <w:tc>
          <w:tcPr>
            <w:tcW w:w="3696" w:type="dxa"/>
            <w:tcBorders>
              <w:bottom w:val="single" w:sz="4" w:space="0" w:color="auto"/>
            </w:tcBorders>
            <w:shd w:val="clear" w:color="auto" w:fill="auto"/>
          </w:tcPr>
          <w:p w14:paraId="18879F83" w14:textId="77777777" w:rsidR="00443002" w:rsidRPr="006A3339" w:rsidRDefault="00443002" w:rsidP="003D4E79">
            <w:pPr>
              <w:spacing w:line="360" w:lineRule="auto"/>
              <w:rPr>
                <w:szCs w:val="20"/>
              </w:rPr>
            </w:pPr>
            <w:r>
              <w:rPr>
                <w:szCs w:val="20"/>
              </w:rPr>
              <w:t>club drug*</w:t>
            </w:r>
            <w:r>
              <w:rPr>
                <w:szCs w:val="20"/>
              </w:rPr>
              <w:br/>
              <w:t>research chemical*</w:t>
            </w:r>
            <w:r>
              <w:rPr>
                <w:szCs w:val="20"/>
              </w:rPr>
              <w:br/>
              <w:t xml:space="preserve">designer drug* </w:t>
            </w:r>
            <w:r>
              <w:rPr>
                <w:szCs w:val="20"/>
              </w:rPr>
              <w:br/>
              <w:t xml:space="preserve">legal drug* </w:t>
            </w:r>
          </w:p>
        </w:tc>
      </w:tr>
      <w:tr w:rsidR="00443002" w:rsidRPr="00850E7C" w14:paraId="613E49B8" w14:textId="77777777" w:rsidTr="00443002">
        <w:trPr>
          <w:trHeight w:hRule="exact" w:val="96"/>
        </w:trPr>
        <w:tc>
          <w:tcPr>
            <w:tcW w:w="4786" w:type="dxa"/>
            <w:tcBorders>
              <w:top w:val="single" w:sz="4" w:space="0" w:color="auto"/>
            </w:tcBorders>
            <w:shd w:val="clear" w:color="auto" w:fill="auto"/>
          </w:tcPr>
          <w:p w14:paraId="470E8D0E" w14:textId="77777777" w:rsidR="00443002" w:rsidRPr="00850E7C" w:rsidRDefault="00443002" w:rsidP="00443002">
            <w:pPr>
              <w:spacing w:line="360" w:lineRule="auto"/>
              <w:rPr>
                <w:color w:val="000000"/>
                <w:kern w:val="24"/>
                <w:sz w:val="2"/>
                <w:lang w:val="en-US"/>
              </w:rPr>
            </w:pPr>
          </w:p>
        </w:tc>
        <w:tc>
          <w:tcPr>
            <w:tcW w:w="3696" w:type="dxa"/>
            <w:tcBorders>
              <w:top w:val="single" w:sz="4" w:space="0" w:color="auto"/>
            </w:tcBorders>
            <w:shd w:val="clear" w:color="auto" w:fill="auto"/>
          </w:tcPr>
          <w:p w14:paraId="14461FCA" w14:textId="77777777" w:rsidR="00443002" w:rsidRPr="00850E7C" w:rsidRDefault="00443002" w:rsidP="00443002">
            <w:pPr>
              <w:spacing w:line="360" w:lineRule="auto"/>
              <w:rPr>
                <w:sz w:val="2"/>
                <w:szCs w:val="20"/>
              </w:rPr>
            </w:pPr>
          </w:p>
        </w:tc>
      </w:tr>
    </w:tbl>
    <w:p w14:paraId="2D9F00AB" w14:textId="77777777" w:rsidR="00443002" w:rsidRDefault="00443002" w:rsidP="00443002">
      <w:pPr>
        <w:spacing w:line="480" w:lineRule="auto"/>
      </w:pPr>
      <w:r>
        <w:t xml:space="preserve">Note: the symbol * allows for the plural form in addition to the singular form </w:t>
      </w:r>
    </w:p>
    <w:p w14:paraId="47E97E61" w14:textId="694313D1" w:rsidR="00443002" w:rsidRDefault="00443002" w:rsidP="00443002">
      <w:pPr>
        <w:spacing w:line="480" w:lineRule="auto"/>
      </w:pPr>
      <w:r>
        <w:t xml:space="preserve">Once the initial search was conducted, document records were collated, duplicates removed, and abstracts/executive summaries screened for relevance. All relevant papers/reports were then downloaded and stored in the reference management software Mendeley (version 1.19.3), where the full-text articles were assessed according to the inclusion criteria shown in Table </w:t>
      </w:r>
      <w:r w:rsidR="00C50864">
        <w:t>4-</w:t>
      </w:r>
      <w:r>
        <w:t xml:space="preserve">2.  </w:t>
      </w:r>
    </w:p>
    <w:p w14:paraId="63A23C68" w14:textId="01617ED5" w:rsidR="00443002" w:rsidRDefault="00443002" w:rsidP="00C42A80">
      <w:pPr>
        <w:pStyle w:val="Heading3"/>
      </w:pPr>
      <w:bookmarkStart w:id="285" w:name="_Toc35892595"/>
      <w:r>
        <w:t>Results</w:t>
      </w:r>
      <w:bookmarkEnd w:id="285"/>
    </w:p>
    <w:p w14:paraId="61F45492" w14:textId="4D2205B7" w:rsidR="00443002" w:rsidRDefault="00443002" w:rsidP="00443002">
      <w:pPr>
        <w:spacing w:line="480" w:lineRule="auto"/>
      </w:pPr>
      <w:r>
        <w:t>The field of NPS research appears to be growing rapidly, with the majority of research conducted in the most recent five years covered by the review. However, with more than 80% of papers covering the toxicology and pharmacology of NPS and less than 4% reflecting on social or psychological factors, the psycho-social aspects of NPS use appear underrepresented in the literature base.</w:t>
      </w:r>
    </w:p>
    <w:p w14:paraId="2D422C4D" w14:textId="70445962" w:rsidR="00C72865" w:rsidRPr="00C72865" w:rsidRDefault="00C72865" w:rsidP="00C72865">
      <w:pPr>
        <w:pStyle w:val="TableHeader"/>
        <w:rPr>
          <w:b/>
        </w:rPr>
      </w:pPr>
      <w:bookmarkStart w:id="286" w:name="_Toc9509055"/>
      <w:r w:rsidRPr="00C72865">
        <w:rPr>
          <w:b/>
        </w:rPr>
        <w:t xml:space="preserve">Table </w:t>
      </w:r>
      <w:r w:rsidR="005E0305">
        <w:rPr>
          <w:b/>
        </w:rPr>
        <w:t>4-</w:t>
      </w:r>
      <w:r w:rsidRPr="00C72865">
        <w:rPr>
          <w:b/>
        </w:rPr>
        <w:t>2. Inclusion and exclusion criteria</w:t>
      </w:r>
      <w:bookmarkEnd w:id="286"/>
    </w:p>
    <w:tbl>
      <w:tblPr>
        <w:tblW w:w="8482" w:type="dxa"/>
        <w:tblLayout w:type="fixed"/>
        <w:tblLook w:val="00A0" w:firstRow="1" w:lastRow="0" w:firstColumn="1" w:lastColumn="0" w:noHBand="0" w:noVBand="0"/>
      </w:tblPr>
      <w:tblGrid>
        <w:gridCol w:w="1101"/>
        <w:gridCol w:w="3685"/>
        <w:gridCol w:w="3696"/>
      </w:tblGrid>
      <w:tr w:rsidR="00443002" w:rsidRPr="006A3339" w14:paraId="7B555E5A" w14:textId="77777777" w:rsidTr="00443002">
        <w:trPr>
          <w:trHeight w:hRule="exact" w:val="614"/>
        </w:trPr>
        <w:tc>
          <w:tcPr>
            <w:tcW w:w="1101" w:type="dxa"/>
            <w:tcBorders>
              <w:top w:val="single" w:sz="4" w:space="0" w:color="auto"/>
              <w:bottom w:val="single" w:sz="4" w:space="0" w:color="auto"/>
            </w:tcBorders>
            <w:shd w:val="clear" w:color="auto" w:fill="auto"/>
            <w:vAlign w:val="bottom"/>
          </w:tcPr>
          <w:p w14:paraId="70D7F160" w14:textId="77777777" w:rsidR="00443002" w:rsidRPr="006A3339" w:rsidRDefault="00443002" w:rsidP="00443002">
            <w:pPr>
              <w:rPr>
                <w:b/>
                <w:bCs/>
                <w:szCs w:val="20"/>
              </w:rPr>
            </w:pPr>
            <w:r w:rsidRPr="006A3339">
              <w:rPr>
                <w:b/>
                <w:bCs/>
                <w:szCs w:val="20"/>
              </w:rPr>
              <w:t>Criteria</w:t>
            </w:r>
          </w:p>
        </w:tc>
        <w:tc>
          <w:tcPr>
            <w:tcW w:w="3685" w:type="dxa"/>
            <w:tcBorders>
              <w:top w:val="single" w:sz="4" w:space="0" w:color="auto"/>
              <w:bottom w:val="single" w:sz="4" w:space="0" w:color="auto"/>
            </w:tcBorders>
            <w:shd w:val="clear" w:color="auto" w:fill="auto"/>
            <w:vAlign w:val="bottom"/>
          </w:tcPr>
          <w:p w14:paraId="2753DA20" w14:textId="77777777" w:rsidR="00443002" w:rsidRPr="006A3339" w:rsidRDefault="00443002" w:rsidP="00443002">
            <w:pPr>
              <w:rPr>
                <w:b/>
                <w:bCs/>
                <w:szCs w:val="20"/>
              </w:rPr>
            </w:pPr>
            <w:r w:rsidRPr="006A3339">
              <w:rPr>
                <w:b/>
                <w:bCs/>
                <w:szCs w:val="20"/>
              </w:rPr>
              <w:t xml:space="preserve">Inclusion </w:t>
            </w:r>
          </w:p>
        </w:tc>
        <w:tc>
          <w:tcPr>
            <w:tcW w:w="3696" w:type="dxa"/>
            <w:tcBorders>
              <w:top w:val="single" w:sz="4" w:space="0" w:color="auto"/>
              <w:bottom w:val="single" w:sz="4" w:space="0" w:color="auto"/>
            </w:tcBorders>
            <w:shd w:val="clear" w:color="auto" w:fill="auto"/>
            <w:vAlign w:val="bottom"/>
          </w:tcPr>
          <w:p w14:paraId="56E3C6FB" w14:textId="77777777" w:rsidR="00443002" w:rsidRPr="006A3339" w:rsidRDefault="00443002" w:rsidP="00443002">
            <w:pPr>
              <w:rPr>
                <w:b/>
                <w:bCs/>
                <w:szCs w:val="20"/>
              </w:rPr>
            </w:pPr>
            <w:r w:rsidRPr="006A3339">
              <w:rPr>
                <w:b/>
                <w:bCs/>
                <w:szCs w:val="20"/>
              </w:rPr>
              <w:t>Exclusion</w:t>
            </w:r>
          </w:p>
        </w:tc>
      </w:tr>
      <w:tr w:rsidR="00443002" w:rsidRPr="006A3339" w14:paraId="19C6CF75" w14:textId="77777777" w:rsidTr="00443002">
        <w:trPr>
          <w:trHeight w:val="3077"/>
        </w:trPr>
        <w:tc>
          <w:tcPr>
            <w:tcW w:w="1101" w:type="dxa"/>
            <w:tcBorders>
              <w:top w:val="single" w:sz="4" w:space="0" w:color="auto"/>
            </w:tcBorders>
            <w:shd w:val="clear" w:color="auto" w:fill="auto"/>
          </w:tcPr>
          <w:p w14:paraId="1511945D" w14:textId="77777777" w:rsidR="00443002" w:rsidRPr="00173323" w:rsidRDefault="00443002" w:rsidP="00443002">
            <w:pPr>
              <w:spacing w:line="360" w:lineRule="auto"/>
              <w:rPr>
                <w:b/>
                <w:bCs/>
                <w:szCs w:val="20"/>
              </w:rPr>
            </w:pPr>
            <w:r>
              <w:rPr>
                <w:b/>
                <w:bCs/>
                <w:szCs w:val="20"/>
              </w:rPr>
              <w:br/>
            </w:r>
            <w:r w:rsidRPr="00173323">
              <w:rPr>
                <w:b/>
                <w:bCs/>
                <w:szCs w:val="20"/>
              </w:rPr>
              <w:t>1</w:t>
            </w:r>
            <w:r>
              <w:rPr>
                <w:b/>
                <w:bCs/>
                <w:szCs w:val="20"/>
              </w:rPr>
              <w:t>.</w:t>
            </w:r>
          </w:p>
        </w:tc>
        <w:tc>
          <w:tcPr>
            <w:tcW w:w="3685" w:type="dxa"/>
            <w:tcBorders>
              <w:top w:val="single" w:sz="4" w:space="0" w:color="auto"/>
            </w:tcBorders>
            <w:shd w:val="clear" w:color="auto" w:fill="auto"/>
          </w:tcPr>
          <w:p w14:paraId="5E757C64" w14:textId="2AA37E4E" w:rsidR="00443002" w:rsidRDefault="00443002" w:rsidP="00443002">
            <w:pPr>
              <w:spacing w:line="360" w:lineRule="auto"/>
              <w:rPr>
                <w:szCs w:val="20"/>
              </w:rPr>
            </w:pPr>
            <w:r>
              <w:rPr>
                <w:szCs w:val="20"/>
              </w:rPr>
              <w:br/>
            </w:r>
            <w:r w:rsidRPr="006A3339">
              <w:rPr>
                <w:szCs w:val="20"/>
              </w:rPr>
              <w:t>Empirical</w:t>
            </w:r>
            <w:r>
              <w:rPr>
                <w:szCs w:val="20"/>
              </w:rPr>
              <w:t xml:space="preserve"> </w:t>
            </w:r>
            <w:r w:rsidRPr="006A3339">
              <w:rPr>
                <w:szCs w:val="20"/>
              </w:rPr>
              <w:t>studies, published in a peer</w:t>
            </w:r>
            <w:r w:rsidR="00A868BB">
              <w:rPr>
                <w:szCs w:val="20"/>
              </w:rPr>
              <w:t>-</w:t>
            </w:r>
            <w:r w:rsidRPr="006A3339">
              <w:rPr>
                <w:szCs w:val="20"/>
              </w:rPr>
              <w:t>reviewed journal</w:t>
            </w:r>
            <w:r>
              <w:rPr>
                <w:szCs w:val="20"/>
              </w:rPr>
              <w:t xml:space="preserve"> or by a reputable organisation (e.g. charity or local council)</w:t>
            </w:r>
          </w:p>
          <w:p w14:paraId="5C31E28A" w14:textId="77777777" w:rsidR="00443002" w:rsidRPr="006A3339" w:rsidRDefault="00443002" w:rsidP="00443002">
            <w:pPr>
              <w:spacing w:line="360" w:lineRule="auto"/>
              <w:rPr>
                <w:szCs w:val="20"/>
              </w:rPr>
            </w:pPr>
            <w:r>
              <w:rPr>
                <w:szCs w:val="20"/>
              </w:rPr>
              <w:br/>
              <w:t>AND</w:t>
            </w:r>
          </w:p>
        </w:tc>
        <w:tc>
          <w:tcPr>
            <w:tcW w:w="3696" w:type="dxa"/>
            <w:tcBorders>
              <w:top w:val="single" w:sz="4" w:space="0" w:color="auto"/>
            </w:tcBorders>
            <w:shd w:val="clear" w:color="auto" w:fill="auto"/>
            <w:vAlign w:val="center"/>
          </w:tcPr>
          <w:p w14:paraId="00CCBCA7" w14:textId="2D8D32E0" w:rsidR="00443002" w:rsidRDefault="00443002" w:rsidP="00443002">
            <w:pPr>
              <w:spacing w:line="360" w:lineRule="auto"/>
              <w:rPr>
                <w:szCs w:val="20"/>
              </w:rPr>
            </w:pPr>
            <w:r>
              <w:rPr>
                <w:szCs w:val="20"/>
              </w:rPr>
              <w:br/>
            </w:r>
            <w:r w:rsidRPr="006A3339">
              <w:rPr>
                <w:szCs w:val="20"/>
              </w:rPr>
              <w:t>Non</w:t>
            </w:r>
            <w:r w:rsidR="00A868BB">
              <w:rPr>
                <w:szCs w:val="20"/>
              </w:rPr>
              <w:t>-</w:t>
            </w:r>
            <w:r w:rsidRPr="006A3339">
              <w:rPr>
                <w:szCs w:val="20"/>
              </w:rPr>
              <w:t>empirical studies</w:t>
            </w:r>
            <w:r>
              <w:rPr>
                <w:szCs w:val="20"/>
              </w:rPr>
              <w:t xml:space="preserve"> such as</w:t>
            </w:r>
            <w:r w:rsidRPr="006A3339">
              <w:rPr>
                <w:szCs w:val="20"/>
              </w:rPr>
              <w:t xml:space="preserve"> </w:t>
            </w:r>
            <w:r>
              <w:rPr>
                <w:szCs w:val="20"/>
              </w:rPr>
              <w:t xml:space="preserve">general </w:t>
            </w:r>
            <w:r w:rsidRPr="006A3339">
              <w:rPr>
                <w:szCs w:val="20"/>
              </w:rPr>
              <w:t>commentaries</w:t>
            </w:r>
            <w:r>
              <w:rPr>
                <w:szCs w:val="20"/>
              </w:rPr>
              <w:t xml:space="preserve">, opinion pieces, theoretical articles </w:t>
            </w:r>
            <w:r w:rsidRPr="006A3339">
              <w:rPr>
                <w:szCs w:val="20"/>
              </w:rPr>
              <w:t>etc</w:t>
            </w:r>
            <w:r>
              <w:rPr>
                <w:szCs w:val="20"/>
              </w:rPr>
              <w:t>.</w:t>
            </w:r>
            <w:r w:rsidRPr="006A3339">
              <w:rPr>
                <w:szCs w:val="20"/>
              </w:rPr>
              <w:t xml:space="preserve"> </w:t>
            </w:r>
            <w:r>
              <w:rPr>
                <w:szCs w:val="20"/>
              </w:rPr>
              <w:t xml:space="preserve">and papers </w:t>
            </w:r>
            <w:r w:rsidRPr="006A3339">
              <w:rPr>
                <w:szCs w:val="20"/>
              </w:rPr>
              <w:t>published in a non-peer reviewed journal</w:t>
            </w:r>
            <w:r>
              <w:rPr>
                <w:szCs w:val="20"/>
              </w:rPr>
              <w:t>.</w:t>
            </w:r>
          </w:p>
          <w:p w14:paraId="496DF117" w14:textId="77777777" w:rsidR="00443002" w:rsidRPr="006A3339" w:rsidRDefault="00443002" w:rsidP="00443002">
            <w:pPr>
              <w:spacing w:line="360" w:lineRule="auto"/>
              <w:rPr>
                <w:szCs w:val="20"/>
              </w:rPr>
            </w:pPr>
            <w:r>
              <w:rPr>
                <w:szCs w:val="20"/>
              </w:rPr>
              <w:t>OR</w:t>
            </w:r>
          </w:p>
        </w:tc>
      </w:tr>
      <w:tr w:rsidR="00443002" w:rsidRPr="006A3339" w14:paraId="344546BC" w14:textId="77777777" w:rsidTr="00443002">
        <w:trPr>
          <w:trHeight w:val="1397"/>
        </w:trPr>
        <w:tc>
          <w:tcPr>
            <w:tcW w:w="1101" w:type="dxa"/>
            <w:shd w:val="clear" w:color="auto" w:fill="auto"/>
          </w:tcPr>
          <w:p w14:paraId="7B11811C" w14:textId="77777777" w:rsidR="00443002" w:rsidRPr="00173323" w:rsidRDefault="00443002" w:rsidP="00443002">
            <w:pPr>
              <w:spacing w:line="360" w:lineRule="auto"/>
              <w:rPr>
                <w:b/>
                <w:bCs/>
                <w:szCs w:val="20"/>
              </w:rPr>
            </w:pPr>
            <w:r w:rsidRPr="00173323">
              <w:rPr>
                <w:b/>
                <w:bCs/>
                <w:szCs w:val="20"/>
              </w:rPr>
              <w:t>2</w:t>
            </w:r>
            <w:r>
              <w:rPr>
                <w:b/>
                <w:bCs/>
                <w:szCs w:val="20"/>
              </w:rPr>
              <w:t>.</w:t>
            </w:r>
          </w:p>
        </w:tc>
        <w:tc>
          <w:tcPr>
            <w:tcW w:w="3685" w:type="dxa"/>
            <w:shd w:val="clear" w:color="auto" w:fill="auto"/>
          </w:tcPr>
          <w:p w14:paraId="6993058E" w14:textId="77777777" w:rsidR="00443002" w:rsidRDefault="00443002" w:rsidP="00443002">
            <w:pPr>
              <w:spacing w:line="360" w:lineRule="auto"/>
              <w:rPr>
                <w:szCs w:val="20"/>
              </w:rPr>
            </w:pPr>
            <w:r w:rsidRPr="006A3339">
              <w:rPr>
                <w:szCs w:val="20"/>
              </w:rPr>
              <w:t xml:space="preserve">Main focus of paper on </w:t>
            </w:r>
            <w:r>
              <w:rPr>
                <w:szCs w:val="20"/>
              </w:rPr>
              <w:t xml:space="preserve">use of new psychoactive substances </w:t>
            </w:r>
          </w:p>
          <w:p w14:paraId="4849187D" w14:textId="77777777" w:rsidR="00443002" w:rsidRPr="006A3339" w:rsidRDefault="00443002" w:rsidP="00443002">
            <w:pPr>
              <w:spacing w:line="360" w:lineRule="auto"/>
              <w:rPr>
                <w:szCs w:val="20"/>
              </w:rPr>
            </w:pPr>
            <w:r>
              <w:rPr>
                <w:szCs w:val="20"/>
              </w:rPr>
              <w:br/>
              <w:t>AND</w:t>
            </w:r>
          </w:p>
        </w:tc>
        <w:tc>
          <w:tcPr>
            <w:tcW w:w="3696" w:type="dxa"/>
            <w:shd w:val="clear" w:color="auto" w:fill="auto"/>
            <w:vAlign w:val="center"/>
          </w:tcPr>
          <w:p w14:paraId="373D4F93" w14:textId="77777777" w:rsidR="00443002" w:rsidRDefault="00443002" w:rsidP="00443002">
            <w:pPr>
              <w:spacing w:line="360" w:lineRule="auto"/>
              <w:rPr>
                <w:szCs w:val="20"/>
              </w:rPr>
            </w:pPr>
            <w:r w:rsidRPr="006A3339">
              <w:rPr>
                <w:szCs w:val="20"/>
              </w:rPr>
              <w:t xml:space="preserve">Main focus </w:t>
            </w:r>
            <w:r>
              <w:rPr>
                <w:szCs w:val="20"/>
              </w:rPr>
              <w:t>on traditional illicit drugs</w:t>
            </w:r>
            <w:r w:rsidRPr="006A3339">
              <w:rPr>
                <w:szCs w:val="20"/>
              </w:rPr>
              <w:t xml:space="preserve"> </w:t>
            </w:r>
            <w:r>
              <w:rPr>
                <w:szCs w:val="20"/>
              </w:rPr>
              <w:t>or toxicology, pharmacology or treatment of NPS harms</w:t>
            </w:r>
          </w:p>
          <w:p w14:paraId="46227DEA" w14:textId="77777777" w:rsidR="00443002" w:rsidRPr="006A3339" w:rsidRDefault="00443002" w:rsidP="00443002">
            <w:pPr>
              <w:spacing w:line="360" w:lineRule="auto"/>
              <w:rPr>
                <w:szCs w:val="20"/>
              </w:rPr>
            </w:pPr>
            <w:r>
              <w:rPr>
                <w:szCs w:val="20"/>
              </w:rPr>
              <w:t>OR</w:t>
            </w:r>
          </w:p>
        </w:tc>
      </w:tr>
      <w:tr w:rsidR="00443002" w:rsidRPr="006A3339" w14:paraId="618C974C" w14:textId="77777777" w:rsidTr="00443002">
        <w:trPr>
          <w:trHeight w:val="2256"/>
        </w:trPr>
        <w:tc>
          <w:tcPr>
            <w:tcW w:w="1101" w:type="dxa"/>
            <w:shd w:val="clear" w:color="auto" w:fill="auto"/>
          </w:tcPr>
          <w:p w14:paraId="60B77422" w14:textId="77777777" w:rsidR="00443002" w:rsidRPr="00173323" w:rsidRDefault="00443002" w:rsidP="00443002">
            <w:pPr>
              <w:spacing w:line="360" w:lineRule="auto"/>
              <w:rPr>
                <w:b/>
                <w:bCs/>
                <w:szCs w:val="20"/>
              </w:rPr>
            </w:pPr>
            <w:r w:rsidRPr="00173323">
              <w:rPr>
                <w:b/>
                <w:bCs/>
                <w:szCs w:val="20"/>
              </w:rPr>
              <w:t>3</w:t>
            </w:r>
            <w:r>
              <w:rPr>
                <w:b/>
                <w:bCs/>
                <w:szCs w:val="20"/>
              </w:rPr>
              <w:t>.</w:t>
            </w:r>
          </w:p>
        </w:tc>
        <w:tc>
          <w:tcPr>
            <w:tcW w:w="3685" w:type="dxa"/>
            <w:shd w:val="clear" w:color="auto" w:fill="auto"/>
          </w:tcPr>
          <w:p w14:paraId="78EF3462" w14:textId="77777777" w:rsidR="00443002" w:rsidRDefault="00443002" w:rsidP="00443002">
            <w:pPr>
              <w:spacing w:after="0" w:line="360" w:lineRule="auto"/>
              <w:rPr>
                <w:szCs w:val="20"/>
              </w:rPr>
            </w:pPr>
            <w:r>
              <w:rPr>
                <w:szCs w:val="20"/>
              </w:rPr>
              <w:t>Reasons for use cited based on analysis of data collected as part of study</w:t>
            </w:r>
            <w:r>
              <w:rPr>
                <w:szCs w:val="20"/>
              </w:rPr>
              <w:br/>
            </w:r>
          </w:p>
          <w:p w14:paraId="0BB9935C" w14:textId="77777777" w:rsidR="00443002" w:rsidRPr="006A3339" w:rsidRDefault="00443002" w:rsidP="00443002">
            <w:pPr>
              <w:spacing w:after="0" w:line="360" w:lineRule="auto"/>
              <w:rPr>
                <w:szCs w:val="20"/>
              </w:rPr>
            </w:pPr>
            <w:r>
              <w:rPr>
                <w:szCs w:val="20"/>
              </w:rPr>
              <w:t>AND</w:t>
            </w:r>
          </w:p>
        </w:tc>
        <w:tc>
          <w:tcPr>
            <w:tcW w:w="3696" w:type="dxa"/>
            <w:shd w:val="clear" w:color="auto" w:fill="auto"/>
          </w:tcPr>
          <w:p w14:paraId="6956D85B" w14:textId="77777777" w:rsidR="00443002" w:rsidRDefault="00443002" w:rsidP="00443002">
            <w:pPr>
              <w:spacing w:after="0" w:line="360" w:lineRule="auto"/>
              <w:rPr>
                <w:szCs w:val="20"/>
              </w:rPr>
            </w:pPr>
            <w:r>
              <w:rPr>
                <w:szCs w:val="20"/>
              </w:rPr>
              <w:t xml:space="preserve">No reasons for use cited or reasons based on assumptions or second hand sources </w:t>
            </w:r>
          </w:p>
          <w:p w14:paraId="43B71425" w14:textId="77777777" w:rsidR="00443002" w:rsidRPr="006A3339" w:rsidRDefault="00443002" w:rsidP="00443002">
            <w:pPr>
              <w:spacing w:after="0" w:line="360" w:lineRule="auto"/>
              <w:rPr>
                <w:szCs w:val="20"/>
              </w:rPr>
            </w:pPr>
            <w:r>
              <w:rPr>
                <w:szCs w:val="20"/>
              </w:rPr>
              <w:br/>
              <w:t>OR</w:t>
            </w:r>
          </w:p>
        </w:tc>
      </w:tr>
      <w:tr w:rsidR="00443002" w:rsidRPr="006A3339" w14:paraId="6FF6D330" w14:textId="77777777" w:rsidTr="00443002">
        <w:trPr>
          <w:trHeight w:val="984"/>
        </w:trPr>
        <w:tc>
          <w:tcPr>
            <w:tcW w:w="1101" w:type="dxa"/>
            <w:tcBorders>
              <w:bottom w:val="single" w:sz="4" w:space="0" w:color="auto"/>
            </w:tcBorders>
            <w:shd w:val="clear" w:color="auto" w:fill="auto"/>
          </w:tcPr>
          <w:p w14:paraId="69951FDD" w14:textId="77777777" w:rsidR="00443002" w:rsidRPr="00173323" w:rsidRDefault="00443002" w:rsidP="00443002">
            <w:pPr>
              <w:spacing w:line="360" w:lineRule="auto"/>
              <w:rPr>
                <w:b/>
                <w:bCs/>
                <w:szCs w:val="20"/>
              </w:rPr>
            </w:pPr>
            <w:r w:rsidRPr="00173323">
              <w:rPr>
                <w:b/>
                <w:bCs/>
                <w:szCs w:val="20"/>
              </w:rPr>
              <w:t>4</w:t>
            </w:r>
            <w:r>
              <w:rPr>
                <w:b/>
                <w:bCs/>
                <w:szCs w:val="20"/>
              </w:rPr>
              <w:t>.</w:t>
            </w:r>
          </w:p>
        </w:tc>
        <w:tc>
          <w:tcPr>
            <w:tcW w:w="3685" w:type="dxa"/>
            <w:tcBorders>
              <w:bottom w:val="single" w:sz="4" w:space="0" w:color="auto"/>
            </w:tcBorders>
            <w:shd w:val="clear" w:color="auto" w:fill="auto"/>
          </w:tcPr>
          <w:p w14:paraId="18F458A6" w14:textId="77777777" w:rsidR="00443002" w:rsidRPr="00585660" w:rsidRDefault="00443002" w:rsidP="00443002">
            <w:pPr>
              <w:spacing w:after="0" w:line="360" w:lineRule="auto"/>
              <w:rPr>
                <w:szCs w:val="20"/>
                <w:lang w:val="en-US"/>
              </w:rPr>
            </w:pPr>
            <w:r w:rsidRPr="006A3339">
              <w:rPr>
                <w:szCs w:val="20"/>
                <w:lang w:val="en-US"/>
              </w:rPr>
              <w:t xml:space="preserve">Articles published in </w:t>
            </w:r>
            <w:r>
              <w:rPr>
                <w:szCs w:val="20"/>
                <w:lang w:val="en-US"/>
              </w:rPr>
              <w:t xml:space="preserve">or translated into </w:t>
            </w:r>
            <w:r w:rsidRPr="006A3339">
              <w:rPr>
                <w:szCs w:val="20"/>
                <w:lang w:val="en-US"/>
              </w:rPr>
              <w:t xml:space="preserve">English </w:t>
            </w:r>
            <w:r>
              <w:rPr>
                <w:szCs w:val="20"/>
                <w:lang w:val="en-US"/>
              </w:rPr>
              <w:t>l</w:t>
            </w:r>
            <w:r w:rsidRPr="006A3339">
              <w:rPr>
                <w:szCs w:val="20"/>
                <w:lang w:val="en-US"/>
              </w:rPr>
              <w:t>anguage</w:t>
            </w:r>
            <w:r>
              <w:rPr>
                <w:szCs w:val="20"/>
                <w:lang w:val="en-US"/>
              </w:rPr>
              <w:t xml:space="preserve"> </w:t>
            </w:r>
          </w:p>
        </w:tc>
        <w:tc>
          <w:tcPr>
            <w:tcW w:w="3696" w:type="dxa"/>
            <w:tcBorders>
              <w:bottom w:val="single" w:sz="4" w:space="0" w:color="auto"/>
            </w:tcBorders>
            <w:shd w:val="clear" w:color="auto" w:fill="auto"/>
          </w:tcPr>
          <w:p w14:paraId="70F99957" w14:textId="77777777" w:rsidR="00443002" w:rsidRPr="006A3339" w:rsidRDefault="00443002" w:rsidP="00443002">
            <w:pPr>
              <w:spacing w:after="0" w:line="360" w:lineRule="auto"/>
              <w:rPr>
                <w:szCs w:val="20"/>
              </w:rPr>
            </w:pPr>
            <w:r w:rsidRPr="006A3339">
              <w:rPr>
                <w:szCs w:val="20"/>
              </w:rPr>
              <w:t>Articles published in any other</w:t>
            </w:r>
          </w:p>
          <w:p w14:paraId="327C91EC" w14:textId="77777777" w:rsidR="00443002" w:rsidRPr="006A3339" w:rsidRDefault="00443002" w:rsidP="00443002">
            <w:pPr>
              <w:spacing w:after="0" w:line="360" w:lineRule="auto"/>
              <w:rPr>
                <w:szCs w:val="20"/>
              </w:rPr>
            </w:pPr>
            <w:r>
              <w:rPr>
                <w:szCs w:val="20"/>
              </w:rPr>
              <w:t>l</w:t>
            </w:r>
            <w:r w:rsidRPr="006A3339">
              <w:rPr>
                <w:szCs w:val="20"/>
              </w:rPr>
              <w:t>anguage</w:t>
            </w:r>
            <w:r>
              <w:rPr>
                <w:szCs w:val="20"/>
              </w:rPr>
              <w:t xml:space="preserve"> without translation</w:t>
            </w:r>
          </w:p>
        </w:tc>
      </w:tr>
    </w:tbl>
    <w:p w14:paraId="6B10CB13" w14:textId="77777777" w:rsidR="00443002" w:rsidRDefault="00443002" w:rsidP="00443002">
      <w:pPr>
        <w:spacing w:line="480" w:lineRule="auto"/>
      </w:pPr>
    </w:p>
    <w:p w14:paraId="7E4B94CE" w14:textId="4B631C2E" w:rsidR="00443002" w:rsidRDefault="00443002" w:rsidP="00C42A80">
      <w:pPr>
        <w:pStyle w:val="Heading2"/>
      </w:pPr>
      <w:bookmarkStart w:id="287" w:name="_Toc35892596"/>
      <w:r>
        <w:t>Included studies</w:t>
      </w:r>
      <w:bookmarkEnd w:id="287"/>
    </w:p>
    <w:p w14:paraId="34989B3F" w14:textId="5C7BB4B2" w:rsidR="00443002" w:rsidRDefault="00296596" w:rsidP="00443002">
      <w:pPr>
        <w:spacing w:line="480" w:lineRule="auto"/>
      </w:pPr>
      <w:r>
        <w:t>Thirty-one</w:t>
      </w:r>
      <w:r w:rsidR="00443002">
        <w:t xml:space="preserve"> studies met the inclusion criteria and were included in the review. The majority of the studies were originated from the UK (England, Wales and Northern Ireland) and Ireland (15), 6 studies were conducted in the USA and 4 in New Zealand, while 3 were international in focus and 1 each originated from Australia, Turkey and the Netherlands. Ten studies examined legal highs or NPS, 9 focused on synthetic cannabinoids, 8 on mephedrone, 3 on benzylpiperazine (BZP) and 3 on synthetic cathinones. Most studies incorporated use of a survey or online survey (15), 13 employed an interview or focus group methodology, 4 studies involved analysis of online forums and 2 studies used analysis of patient records. Open-ended questioning was used to elicit responses in 16 studies while 15 used endorsed statements, rating scales or analysis of existing records/information. At the time of study, the majority of substances investigated were not controlled (26), but 5 studies examined use of NPS that had recently been controlled or used samples that incorporated multiple regions across which controls varied. An overview of the main features of each of the studies included in the review is shown in Table </w:t>
      </w:r>
      <w:r w:rsidR="00C50864">
        <w:t>4-</w:t>
      </w:r>
      <w:r w:rsidR="00443002">
        <w:t xml:space="preserve">3. </w:t>
      </w:r>
    </w:p>
    <w:p w14:paraId="5D8895D4" w14:textId="77777777" w:rsidR="00443002" w:rsidRDefault="00443002" w:rsidP="00443002"/>
    <w:p w14:paraId="5BE8CCF7" w14:textId="77777777" w:rsidR="00443002" w:rsidRDefault="00443002" w:rsidP="00443002">
      <w:pPr>
        <w:spacing w:line="480" w:lineRule="auto"/>
      </w:pPr>
    </w:p>
    <w:p w14:paraId="0D0C0F9A" w14:textId="77777777" w:rsidR="00443002" w:rsidRDefault="00443002" w:rsidP="00443002">
      <w:pPr>
        <w:spacing w:line="480" w:lineRule="auto"/>
      </w:pPr>
    </w:p>
    <w:p w14:paraId="22BF41B1" w14:textId="77777777" w:rsidR="00443002" w:rsidRDefault="00443002" w:rsidP="00443002">
      <w:pPr>
        <w:spacing w:line="480" w:lineRule="auto"/>
      </w:pPr>
    </w:p>
    <w:p w14:paraId="1E47E65D" w14:textId="77777777" w:rsidR="00443002" w:rsidRDefault="00443002" w:rsidP="00443002">
      <w:pPr>
        <w:spacing w:line="480" w:lineRule="auto"/>
      </w:pPr>
    </w:p>
    <w:p w14:paraId="475D4711" w14:textId="77777777" w:rsidR="00443002" w:rsidRDefault="00443002" w:rsidP="00443002">
      <w:pPr>
        <w:spacing w:line="480" w:lineRule="auto"/>
      </w:pPr>
    </w:p>
    <w:p w14:paraId="607C2360" w14:textId="77777777" w:rsidR="00443002" w:rsidRDefault="00443002" w:rsidP="00443002">
      <w:pPr>
        <w:spacing w:line="480" w:lineRule="auto"/>
      </w:pPr>
    </w:p>
    <w:p w14:paraId="15660FAA" w14:textId="77777777" w:rsidR="00443002" w:rsidRDefault="00443002" w:rsidP="00443002">
      <w:pPr>
        <w:spacing w:line="480" w:lineRule="auto"/>
      </w:pPr>
    </w:p>
    <w:p w14:paraId="0773B4EB" w14:textId="77777777" w:rsidR="00443002" w:rsidRDefault="00443002" w:rsidP="00443002">
      <w:pPr>
        <w:spacing w:line="480" w:lineRule="auto"/>
      </w:pPr>
    </w:p>
    <w:p w14:paraId="7CF04BC5" w14:textId="77777777" w:rsidR="00443002" w:rsidRDefault="00443002" w:rsidP="00443002">
      <w:pPr>
        <w:spacing w:line="480" w:lineRule="auto"/>
      </w:pPr>
    </w:p>
    <w:p w14:paraId="4C67EAB8" w14:textId="49A47DD1" w:rsidR="00C72865" w:rsidRDefault="00C72865" w:rsidP="00443002">
      <w:pPr>
        <w:spacing w:line="480" w:lineRule="auto"/>
        <w:rPr>
          <w:color w:val="4F81BD" w:themeColor="accent1"/>
        </w:rPr>
        <w:sectPr w:rsidR="00C72865" w:rsidSect="00443002">
          <w:pgSz w:w="11900" w:h="16840"/>
          <w:pgMar w:top="1418" w:right="1418" w:bottom="1418" w:left="1418" w:header="709" w:footer="709" w:gutter="0"/>
          <w:cols w:space="708"/>
          <w:docGrid w:linePitch="360"/>
        </w:sectPr>
      </w:pPr>
      <w:bookmarkStart w:id="288" w:name="_Hlk6495342"/>
    </w:p>
    <w:p w14:paraId="455065FA" w14:textId="43AA6C21" w:rsidR="00C72865" w:rsidRPr="00C72865" w:rsidRDefault="00C72865" w:rsidP="00C72865">
      <w:pPr>
        <w:pStyle w:val="TableHeader"/>
        <w:rPr>
          <w:b/>
          <w:color w:val="4F81BD" w:themeColor="accent1"/>
        </w:rPr>
      </w:pPr>
      <w:bookmarkStart w:id="289" w:name="_Toc9509056"/>
      <w:r w:rsidRPr="00C72865">
        <w:rPr>
          <w:b/>
          <w:lang w:eastAsia="en-GB"/>
        </w:rPr>
        <w:t xml:space="preserve">Table </w:t>
      </w:r>
      <w:r w:rsidR="005E0305">
        <w:rPr>
          <w:b/>
          <w:lang w:eastAsia="en-GB"/>
        </w:rPr>
        <w:t>4-</w:t>
      </w:r>
      <w:r w:rsidRPr="00C72865">
        <w:rPr>
          <w:b/>
          <w:lang w:eastAsia="en-GB"/>
        </w:rPr>
        <w:t>3. Studies included in the literature review</w:t>
      </w:r>
      <w:bookmarkEnd w:id="289"/>
    </w:p>
    <w:tbl>
      <w:tblPr>
        <w:tblpPr w:leftFromText="180" w:rightFromText="180" w:vertAnchor="text" w:horzAnchor="margin" w:tblpX="-459" w:tblpY="-216"/>
        <w:tblW w:w="14992" w:type="dxa"/>
        <w:tblLayout w:type="fixed"/>
        <w:tblLook w:val="04A0" w:firstRow="1" w:lastRow="0" w:firstColumn="1" w:lastColumn="0" w:noHBand="0" w:noVBand="1"/>
      </w:tblPr>
      <w:tblGrid>
        <w:gridCol w:w="466"/>
        <w:gridCol w:w="660"/>
        <w:gridCol w:w="2101"/>
        <w:gridCol w:w="567"/>
        <w:gridCol w:w="425"/>
        <w:gridCol w:w="851"/>
        <w:gridCol w:w="850"/>
        <w:gridCol w:w="1276"/>
        <w:gridCol w:w="2835"/>
        <w:gridCol w:w="2693"/>
        <w:gridCol w:w="425"/>
        <w:gridCol w:w="851"/>
        <w:gridCol w:w="992"/>
      </w:tblGrid>
      <w:tr w:rsidR="00443002" w:rsidRPr="001E4038" w14:paraId="52819466" w14:textId="77777777" w:rsidTr="00443002">
        <w:trPr>
          <w:trHeight w:val="260"/>
        </w:trPr>
        <w:tc>
          <w:tcPr>
            <w:tcW w:w="466" w:type="dxa"/>
            <w:tcBorders>
              <w:top w:val="single" w:sz="4" w:space="0" w:color="auto"/>
            </w:tcBorders>
            <w:shd w:val="clear" w:color="auto" w:fill="auto"/>
            <w:noWrap/>
            <w:vAlign w:val="bottom"/>
          </w:tcPr>
          <w:p w14:paraId="4E61E89F" w14:textId="037173D4" w:rsidR="00443002" w:rsidRPr="001E4038" w:rsidRDefault="00443002" w:rsidP="00443002">
            <w:pPr>
              <w:spacing w:after="0" w:line="240" w:lineRule="auto"/>
              <w:rPr>
                <w:b/>
                <w:sz w:val="20"/>
                <w:szCs w:val="24"/>
                <w:lang w:eastAsia="en-GB"/>
              </w:rPr>
            </w:pPr>
          </w:p>
        </w:tc>
        <w:tc>
          <w:tcPr>
            <w:tcW w:w="660" w:type="dxa"/>
            <w:tcBorders>
              <w:top w:val="single" w:sz="4" w:space="0" w:color="auto"/>
            </w:tcBorders>
            <w:shd w:val="clear" w:color="auto" w:fill="auto"/>
            <w:noWrap/>
            <w:vAlign w:val="bottom"/>
          </w:tcPr>
          <w:p w14:paraId="1D25E8F1" w14:textId="77777777" w:rsidR="00443002" w:rsidRPr="001E4038" w:rsidRDefault="00443002" w:rsidP="00443002">
            <w:pPr>
              <w:spacing w:after="0" w:line="240" w:lineRule="auto"/>
              <w:rPr>
                <w:b/>
                <w:sz w:val="20"/>
                <w:szCs w:val="20"/>
                <w:lang w:eastAsia="en-GB"/>
              </w:rPr>
            </w:pPr>
            <w:r w:rsidRPr="001E4038">
              <w:rPr>
                <w:b/>
                <w:sz w:val="20"/>
                <w:szCs w:val="20"/>
                <w:lang w:eastAsia="en-GB"/>
              </w:rPr>
              <w:t>Year</w:t>
            </w:r>
          </w:p>
        </w:tc>
        <w:tc>
          <w:tcPr>
            <w:tcW w:w="2101" w:type="dxa"/>
            <w:tcBorders>
              <w:top w:val="single" w:sz="4" w:space="0" w:color="auto"/>
            </w:tcBorders>
            <w:shd w:val="clear" w:color="auto" w:fill="auto"/>
            <w:noWrap/>
            <w:vAlign w:val="bottom"/>
          </w:tcPr>
          <w:p w14:paraId="52661C79" w14:textId="77777777" w:rsidR="00443002" w:rsidRPr="001E4038" w:rsidRDefault="00443002" w:rsidP="00443002">
            <w:pPr>
              <w:spacing w:after="0" w:line="240" w:lineRule="auto"/>
              <w:rPr>
                <w:b/>
                <w:sz w:val="20"/>
                <w:szCs w:val="20"/>
                <w:lang w:eastAsia="en-GB"/>
              </w:rPr>
            </w:pPr>
            <w:r w:rsidRPr="001E4038">
              <w:rPr>
                <w:b/>
                <w:sz w:val="20"/>
                <w:szCs w:val="20"/>
                <w:lang w:eastAsia="en-GB"/>
              </w:rPr>
              <w:t>Authors</w:t>
            </w:r>
          </w:p>
        </w:tc>
        <w:tc>
          <w:tcPr>
            <w:tcW w:w="567" w:type="dxa"/>
            <w:tcBorders>
              <w:top w:val="single" w:sz="4" w:space="0" w:color="auto"/>
            </w:tcBorders>
            <w:shd w:val="clear" w:color="auto" w:fill="auto"/>
            <w:noWrap/>
            <w:vAlign w:val="bottom"/>
          </w:tcPr>
          <w:p w14:paraId="325F2D44" w14:textId="77777777" w:rsidR="00443002" w:rsidRPr="001E4038" w:rsidRDefault="00443002" w:rsidP="00443002">
            <w:pPr>
              <w:spacing w:after="0" w:line="240" w:lineRule="auto"/>
              <w:rPr>
                <w:b/>
                <w:sz w:val="20"/>
                <w:szCs w:val="20"/>
                <w:lang w:eastAsia="en-GB"/>
              </w:rPr>
            </w:pPr>
            <w:r w:rsidRPr="001E4038">
              <w:rPr>
                <w:b/>
                <w:sz w:val="20"/>
                <w:szCs w:val="20"/>
                <w:lang w:eastAsia="en-GB"/>
              </w:rPr>
              <w:t>C</w:t>
            </w:r>
            <w:r>
              <w:rPr>
                <w:b/>
                <w:sz w:val="20"/>
                <w:szCs w:val="20"/>
                <w:lang w:eastAsia="en-GB"/>
              </w:rPr>
              <w:t>o</w:t>
            </w:r>
            <w:r w:rsidRPr="001E4038">
              <w:rPr>
                <w:b/>
                <w:sz w:val="20"/>
                <w:szCs w:val="20"/>
                <w:lang w:eastAsia="en-GB"/>
              </w:rPr>
              <w:t>.</w:t>
            </w:r>
          </w:p>
        </w:tc>
        <w:tc>
          <w:tcPr>
            <w:tcW w:w="2126" w:type="dxa"/>
            <w:gridSpan w:val="3"/>
            <w:tcBorders>
              <w:top w:val="single" w:sz="4" w:space="0" w:color="auto"/>
            </w:tcBorders>
            <w:shd w:val="clear" w:color="auto" w:fill="auto"/>
            <w:noWrap/>
            <w:vAlign w:val="bottom"/>
          </w:tcPr>
          <w:p w14:paraId="08586558" w14:textId="77777777" w:rsidR="00443002" w:rsidRPr="001E4038" w:rsidRDefault="00443002" w:rsidP="00443002">
            <w:pPr>
              <w:spacing w:after="0" w:line="240" w:lineRule="auto"/>
              <w:rPr>
                <w:b/>
                <w:sz w:val="20"/>
                <w:szCs w:val="20"/>
                <w:lang w:eastAsia="en-GB"/>
              </w:rPr>
            </w:pPr>
            <w:r w:rsidRPr="001E4038">
              <w:rPr>
                <w:b/>
                <w:sz w:val="20"/>
                <w:szCs w:val="20"/>
                <w:lang w:eastAsia="en-GB"/>
              </w:rPr>
              <w:t xml:space="preserve">Controlled     </w:t>
            </w:r>
            <w:r>
              <w:rPr>
                <w:b/>
                <w:sz w:val="20"/>
                <w:szCs w:val="20"/>
                <w:lang w:eastAsia="en-GB"/>
              </w:rPr>
              <w:t xml:space="preserve">      </w:t>
            </w:r>
            <w:r w:rsidRPr="001E4038">
              <w:rPr>
                <w:b/>
                <w:sz w:val="20"/>
                <w:szCs w:val="20"/>
                <w:lang w:eastAsia="en-GB"/>
              </w:rPr>
              <w:t xml:space="preserve">     N</w:t>
            </w:r>
          </w:p>
        </w:tc>
        <w:tc>
          <w:tcPr>
            <w:tcW w:w="1276" w:type="dxa"/>
            <w:tcBorders>
              <w:top w:val="single" w:sz="4" w:space="0" w:color="auto"/>
            </w:tcBorders>
            <w:shd w:val="clear" w:color="auto" w:fill="auto"/>
            <w:noWrap/>
            <w:vAlign w:val="bottom"/>
          </w:tcPr>
          <w:p w14:paraId="42349A10" w14:textId="77777777" w:rsidR="00443002" w:rsidRPr="001E4038" w:rsidRDefault="00443002" w:rsidP="00443002">
            <w:pPr>
              <w:spacing w:after="0" w:line="240" w:lineRule="auto"/>
              <w:jc w:val="center"/>
              <w:rPr>
                <w:b/>
                <w:sz w:val="20"/>
                <w:szCs w:val="20"/>
                <w:lang w:eastAsia="en-GB"/>
              </w:rPr>
            </w:pPr>
            <w:r w:rsidRPr="001E4038">
              <w:rPr>
                <w:b/>
                <w:sz w:val="20"/>
                <w:szCs w:val="20"/>
                <w:lang w:eastAsia="en-GB"/>
              </w:rPr>
              <w:t xml:space="preserve">  Age</w:t>
            </w:r>
          </w:p>
        </w:tc>
        <w:tc>
          <w:tcPr>
            <w:tcW w:w="2835" w:type="dxa"/>
            <w:tcBorders>
              <w:top w:val="single" w:sz="4" w:space="0" w:color="auto"/>
            </w:tcBorders>
            <w:shd w:val="clear" w:color="auto" w:fill="auto"/>
            <w:noWrap/>
            <w:vAlign w:val="bottom"/>
          </w:tcPr>
          <w:p w14:paraId="77074162" w14:textId="77777777" w:rsidR="00443002" w:rsidRPr="001E4038" w:rsidRDefault="00443002" w:rsidP="00443002">
            <w:pPr>
              <w:spacing w:after="0" w:line="240" w:lineRule="auto"/>
              <w:rPr>
                <w:b/>
                <w:sz w:val="20"/>
                <w:szCs w:val="20"/>
                <w:lang w:eastAsia="en-GB"/>
              </w:rPr>
            </w:pPr>
            <w:r w:rsidRPr="001E4038">
              <w:rPr>
                <w:b/>
                <w:sz w:val="20"/>
                <w:szCs w:val="20"/>
                <w:lang w:eastAsia="en-GB"/>
              </w:rPr>
              <w:t>Method</w:t>
            </w:r>
          </w:p>
        </w:tc>
        <w:tc>
          <w:tcPr>
            <w:tcW w:w="2693" w:type="dxa"/>
            <w:tcBorders>
              <w:top w:val="single" w:sz="4" w:space="0" w:color="auto"/>
            </w:tcBorders>
            <w:shd w:val="clear" w:color="auto" w:fill="auto"/>
            <w:noWrap/>
            <w:vAlign w:val="bottom"/>
          </w:tcPr>
          <w:p w14:paraId="6C644A2E" w14:textId="77777777" w:rsidR="00443002" w:rsidRPr="001E4038" w:rsidRDefault="00443002" w:rsidP="00443002">
            <w:pPr>
              <w:spacing w:after="0" w:line="240" w:lineRule="auto"/>
              <w:rPr>
                <w:b/>
                <w:sz w:val="20"/>
                <w:szCs w:val="20"/>
                <w:lang w:eastAsia="en-GB"/>
              </w:rPr>
            </w:pPr>
            <w:r w:rsidRPr="001E4038">
              <w:rPr>
                <w:b/>
                <w:sz w:val="20"/>
                <w:szCs w:val="20"/>
                <w:lang w:eastAsia="en-GB"/>
              </w:rPr>
              <w:t>Population</w:t>
            </w:r>
          </w:p>
        </w:tc>
        <w:tc>
          <w:tcPr>
            <w:tcW w:w="1276" w:type="dxa"/>
            <w:gridSpan w:val="2"/>
            <w:tcBorders>
              <w:top w:val="single" w:sz="4" w:space="0" w:color="auto"/>
            </w:tcBorders>
            <w:vAlign w:val="bottom"/>
          </w:tcPr>
          <w:p w14:paraId="5E7EB108" w14:textId="77777777" w:rsidR="00443002" w:rsidRPr="001E4038" w:rsidRDefault="00443002" w:rsidP="00443002">
            <w:pPr>
              <w:spacing w:after="0" w:line="240" w:lineRule="auto"/>
              <w:rPr>
                <w:b/>
                <w:sz w:val="20"/>
                <w:szCs w:val="20"/>
                <w:lang w:eastAsia="en-GB"/>
              </w:rPr>
            </w:pPr>
            <w:r w:rsidRPr="001E4038">
              <w:rPr>
                <w:b/>
                <w:sz w:val="20"/>
                <w:szCs w:val="20"/>
                <w:lang w:eastAsia="en-GB"/>
              </w:rPr>
              <w:t>Open-ended</w:t>
            </w:r>
          </w:p>
        </w:tc>
        <w:tc>
          <w:tcPr>
            <w:tcW w:w="992" w:type="dxa"/>
            <w:tcBorders>
              <w:top w:val="single" w:sz="4" w:space="0" w:color="auto"/>
            </w:tcBorders>
            <w:shd w:val="clear" w:color="auto" w:fill="auto"/>
            <w:noWrap/>
            <w:vAlign w:val="bottom"/>
          </w:tcPr>
          <w:p w14:paraId="3D5A7685" w14:textId="77777777" w:rsidR="00443002" w:rsidRPr="001E4038" w:rsidRDefault="00443002" w:rsidP="00443002">
            <w:pPr>
              <w:spacing w:after="0" w:line="240" w:lineRule="auto"/>
              <w:rPr>
                <w:b/>
                <w:sz w:val="20"/>
                <w:szCs w:val="20"/>
                <w:lang w:eastAsia="en-GB"/>
              </w:rPr>
            </w:pPr>
            <w:r w:rsidRPr="001E4038">
              <w:rPr>
                <w:b/>
                <w:sz w:val="20"/>
                <w:szCs w:val="20"/>
                <w:lang w:eastAsia="en-GB"/>
              </w:rPr>
              <w:t>Drug</w:t>
            </w:r>
            <w:r w:rsidRPr="001E4038">
              <w:rPr>
                <w:b/>
                <w:sz w:val="20"/>
                <w:szCs w:val="20"/>
                <w:vertAlign w:val="superscript"/>
                <w:lang w:eastAsia="en-GB"/>
              </w:rPr>
              <w:t>1</w:t>
            </w:r>
          </w:p>
        </w:tc>
      </w:tr>
      <w:tr w:rsidR="00443002" w:rsidRPr="001E4038" w14:paraId="0D8CB025" w14:textId="77777777" w:rsidTr="00443002">
        <w:trPr>
          <w:trHeight w:val="260"/>
        </w:trPr>
        <w:tc>
          <w:tcPr>
            <w:tcW w:w="466" w:type="dxa"/>
            <w:tcBorders>
              <w:bottom w:val="single" w:sz="4" w:space="0" w:color="auto"/>
            </w:tcBorders>
            <w:shd w:val="clear" w:color="auto" w:fill="auto"/>
            <w:noWrap/>
            <w:vAlign w:val="bottom"/>
          </w:tcPr>
          <w:p w14:paraId="5026DCDA" w14:textId="77777777" w:rsidR="00443002" w:rsidRPr="001E4038" w:rsidRDefault="00443002" w:rsidP="00443002">
            <w:pPr>
              <w:spacing w:after="0" w:line="240" w:lineRule="auto"/>
              <w:rPr>
                <w:b/>
                <w:sz w:val="20"/>
                <w:szCs w:val="24"/>
                <w:lang w:eastAsia="en-GB"/>
              </w:rPr>
            </w:pPr>
          </w:p>
        </w:tc>
        <w:tc>
          <w:tcPr>
            <w:tcW w:w="660" w:type="dxa"/>
            <w:tcBorders>
              <w:bottom w:val="single" w:sz="4" w:space="0" w:color="auto"/>
            </w:tcBorders>
            <w:shd w:val="clear" w:color="auto" w:fill="auto"/>
            <w:noWrap/>
            <w:vAlign w:val="bottom"/>
          </w:tcPr>
          <w:p w14:paraId="7DF38231" w14:textId="77777777" w:rsidR="00443002" w:rsidRPr="001E4038" w:rsidRDefault="00443002" w:rsidP="00443002">
            <w:pPr>
              <w:spacing w:after="0" w:line="240" w:lineRule="auto"/>
              <w:rPr>
                <w:b/>
                <w:sz w:val="20"/>
                <w:szCs w:val="20"/>
                <w:lang w:eastAsia="en-GB"/>
              </w:rPr>
            </w:pPr>
          </w:p>
        </w:tc>
        <w:tc>
          <w:tcPr>
            <w:tcW w:w="2101" w:type="dxa"/>
            <w:tcBorders>
              <w:bottom w:val="single" w:sz="4" w:space="0" w:color="auto"/>
            </w:tcBorders>
            <w:shd w:val="clear" w:color="auto" w:fill="auto"/>
            <w:noWrap/>
            <w:vAlign w:val="bottom"/>
          </w:tcPr>
          <w:p w14:paraId="01D67A54" w14:textId="77777777" w:rsidR="00443002" w:rsidRPr="001E4038" w:rsidRDefault="00443002" w:rsidP="00443002">
            <w:pPr>
              <w:spacing w:after="0" w:line="240" w:lineRule="auto"/>
              <w:rPr>
                <w:b/>
                <w:sz w:val="20"/>
                <w:szCs w:val="20"/>
                <w:lang w:eastAsia="en-GB"/>
              </w:rPr>
            </w:pPr>
          </w:p>
        </w:tc>
        <w:tc>
          <w:tcPr>
            <w:tcW w:w="567" w:type="dxa"/>
            <w:tcBorders>
              <w:bottom w:val="single" w:sz="4" w:space="0" w:color="auto"/>
            </w:tcBorders>
            <w:shd w:val="clear" w:color="auto" w:fill="auto"/>
            <w:noWrap/>
            <w:vAlign w:val="bottom"/>
          </w:tcPr>
          <w:p w14:paraId="1C1FAAFB" w14:textId="77777777" w:rsidR="00443002" w:rsidRPr="001E4038" w:rsidRDefault="00443002" w:rsidP="00443002">
            <w:pPr>
              <w:spacing w:after="0" w:line="240" w:lineRule="auto"/>
              <w:rPr>
                <w:b/>
                <w:sz w:val="20"/>
                <w:szCs w:val="20"/>
                <w:lang w:eastAsia="en-GB"/>
              </w:rPr>
            </w:pPr>
          </w:p>
        </w:tc>
        <w:tc>
          <w:tcPr>
            <w:tcW w:w="2126" w:type="dxa"/>
            <w:gridSpan w:val="3"/>
            <w:tcBorders>
              <w:bottom w:val="single" w:sz="4" w:space="0" w:color="auto"/>
            </w:tcBorders>
            <w:shd w:val="clear" w:color="auto" w:fill="auto"/>
            <w:noWrap/>
            <w:vAlign w:val="bottom"/>
          </w:tcPr>
          <w:p w14:paraId="05EF1716" w14:textId="77777777" w:rsidR="00443002" w:rsidRPr="001E4038" w:rsidRDefault="00443002" w:rsidP="00443002">
            <w:pPr>
              <w:spacing w:after="0" w:line="240" w:lineRule="auto"/>
              <w:rPr>
                <w:b/>
                <w:sz w:val="20"/>
                <w:szCs w:val="20"/>
                <w:lang w:eastAsia="en-GB"/>
              </w:rPr>
            </w:pPr>
            <w:r w:rsidRPr="001E4038">
              <w:rPr>
                <w:b/>
                <w:sz w:val="20"/>
                <w:szCs w:val="20"/>
                <w:lang w:eastAsia="en-GB"/>
              </w:rPr>
              <w:t>substance</w:t>
            </w:r>
          </w:p>
        </w:tc>
        <w:tc>
          <w:tcPr>
            <w:tcW w:w="1276" w:type="dxa"/>
            <w:tcBorders>
              <w:bottom w:val="single" w:sz="4" w:space="0" w:color="auto"/>
            </w:tcBorders>
            <w:shd w:val="clear" w:color="auto" w:fill="auto"/>
            <w:noWrap/>
            <w:vAlign w:val="bottom"/>
          </w:tcPr>
          <w:p w14:paraId="40555E70" w14:textId="77777777" w:rsidR="00443002" w:rsidRPr="001E4038" w:rsidRDefault="00443002" w:rsidP="00443002">
            <w:pPr>
              <w:spacing w:after="0" w:line="240" w:lineRule="auto"/>
              <w:jc w:val="center"/>
              <w:rPr>
                <w:b/>
                <w:sz w:val="20"/>
                <w:szCs w:val="20"/>
                <w:lang w:eastAsia="en-GB"/>
              </w:rPr>
            </w:pPr>
          </w:p>
        </w:tc>
        <w:tc>
          <w:tcPr>
            <w:tcW w:w="2835" w:type="dxa"/>
            <w:tcBorders>
              <w:bottom w:val="single" w:sz="4" w:space="0" w:color="auto"/>
            </w:tcBorders>
            <w:shd w:val="clear" w:color="auto" w:fill="auto"/>
            <w:noWrap/>
            <w:vAlign w:val="bottom"/>
          </w:tcPr>
          <w:p w14:paraId="2614D86A" w14:textId="77777777" w:rsidR="00443002" w:rsidRPr="001E4038" w:rsidRDefault="00443002" w:rsidP="00443002">
            <w:pPr>
              <w:spacing w:after="0" w:line="240" w:lineRule="auto"/>
              <w:rPr>
                <w:b/>
                <w:sz w:val="20"/>
                <w:szCs w:val="20"/>
                <w:lang w:eastAsia="en-GB"/>
              </w:rPr>
            </w:pPr>
          </w:p>
        </w:tc>
        <w:tc>
          <w:tcPr>
            <w:tcW w:w="2693" w:type="dxa"/>
            <w:tcBorders>
              <w:bottom w:val="single" w:sz="4" w:space="0" w:color="auto"/>
            </w:tcBorders>
            <w:shd w:val="clear" w:color="auto" w:fill="auto"/>
            <w:noWrap/>
            <w:vAlign w:val="bottom"/>
          </w:tcPr>
          <w:p w14:paraId="08BF194D" w14:textId="77777777" w:rsidR="00443002" w:rsidRPr="001E4038" w:rsidRDefault="00443002" w:rsidP="00443002">
            <w:pPr>
              <w:spacing w:after="0" w:line="240" w:lineRule="auto"/>
              <w:rPr>
                <w:b/>
                <w:sz w:val="20"/>
                <w:szCs w:val="20"/>
                <w:lang w:eastAsia="en-GB"/>
              </w:rPr>
            </w:pPr>
            <w:r w:rsidRPr="001E4038">
              <w:rPr>
                <w:b/>
                <w:sz w:val="20"/>
                <w:szCs w:val="20"/>
                <w:lang w:eastAsia="en-GB"/>
              </w:rPr>
              <w:t>sampled</w:t>
            </w:r>
          </w:p>
        </w:tc>
        <w:tc>
          <w:tcPr>
            <w:tcW w:w="1276" w:type="dxa"/>
            <w:gridSpan w:val="2"/>
            <w:tcBorders>
              <w:bottom w:val="single" w:sz="4" w:space="0" w:color="auto"/>
            </w:tcBorders>
            <w:vAlign w:val="bottom"/>
          </w:tcPr>
          <w:p w14:paraId="263A5AB1" w14:textId="77777777" w:rsidR="00443002" w:rsidRPr="001E4038" w:rsidRDefault="00443002" w:rsidP="00443002">
            <w:pPr>
              <w:spacing w:after="0" w:line="240" w:lineRule="auto"/>
              <w:rPr>
                <w:b/>
                <w:sz w:val="20"/>
                <w:szCs w:val="20"/>
                <w:lang w:eastAsia="en-GB"/>
              </w:rPr>
            </w:pPr>
            <w:r w:rsidRPr="001E4038">
              <w:rPr>
                <w:b/>
                <w:sz w:val="20"/>
                <w:szCs w:val="20"/>
                <w:lang w:eastAsia="en-GB"/>
              </w:rPr>
              <w:t>questioning</w:t>
            </w:r>
          </w:p>
        </w:tc>
        <w:tc>
          <w:tcPr>
            <w:tcW w:w="992" w:type="dxa"/>
            <w:tcBorders>
              <w:bottom w:val="single" w:sz="4" w:space="0" w:color="auto"/>
            </w:tcBorders>
            <w:shd w:val="clear" w:color="auto" w:fill="auto"/>
            <w:noWrap/>
            <w:vAlign w:val="bottom"/>
          </w:tcPr>
          <w:p w14:paraId="27B6093A" w14:textId="77777777" w:rsidR="00443002" w:rsidRPr="001E4038" w:rsidRDefault="00443002" w:rsidP="00443002">
            <w:pPr>
              <w:spacing w:after="0" w:line="240" w:lineRule="auto"/>
              <w:rPr>
                <w:b/>
                <w:sz w:val="20"/>
                <w:szCs w:val="20"/>
                <w:lang w:eastAsia="en-GB"/>
              </w:rPr>
            </w:pPr>
            <w:r w:rsidRPr="001E4038">
              <w:rPr>
                <w:b/>
                <w:sz w:val="20"/>
                <w:szCs w:val="20"/>
                <w:lang w:eastAsia="en-GB"/>
              </w:rPr>
              <w:t>type</w:t>
            </w:r>
          </w:p>
        </w:tc>
      </w:tr>
      <w:tr w:rsidR="00443002" w:rsidRPr="001E4038" w14:paraId="2BCD0929" w14:textId="77777777" w:rsidTr="00443002">
        <w:trPr>
          <w:trHeight w:val="508"/>
        </w:trPr>
        <w:tc>
          <w:tcPr>
            <w:tcW w:w="466" w:type="dxa"/>
            <w:tcBorders>
              <w:top w:val="single" w:sz="4" w:space="0" w:color="auto"/>
              <w:left w:val="nil"/>
              <w:bottom w:val="nil"/>
              <w:right w:val="nil"/>
            </w:tcBorders>
            <w:shd w:val="clear" w:color="auto" w:fill="auto"/>
            <w:noWrap/>
            <w:vAlign w:val="center"/>
            <w:hideMark/>
          </w:tcPr>
          <w:p w14:paraId="694E2626" w14:textId="77777777" w:rsidR="00443002" w:rsidRPr="001E4038" w:rsidRDefault="00443002" w:rsidP="00443002">
            <w:pPr>
              <w:spacing w:after="0" w:line="240" w:lineRule="auto"/>
              <w:rPr>
                <w:b/>
                <w:sz w:val="20"/>
                <w:szCs w:val="20"/>
                <w:lang w:eastAsia="en-GB"/>
              </w:rPr>
            </w:pPr>
            <w:r w:rsidRPr="001E4038">
              <w:rPr>
                <w:b/>
                <w:sz w:val="20"/>
                <w:szCs w:val="20"/>
                <w:lang w:eastAsia="en-GB"/>
              </w:rPr>
              <w:t>1.</w:t>
            </w:r>
          </w:p>
        </w:tc>
        <w:tc>
          <w:tcPr>
            <w:tcW w:w="660" w:type="dxa"/>
            <w:tcBorders>
              <w:top w:val="single" w:sz="4" w:space="0" w:color="auto"/>
              <w:left w:val="nil"/>
              <w:bottom w:val="nil"/>
              <w:right w:val="nil"/>
            </w:tcBorders>
            <w:shd w:val="clear" w:color="auto" w:fill="auto"/>
            <w:noWrap/>
            <w:vAlign w:val="center"/>
            <w:hideMark/>
          </w:tcPr>
          <w:p w14:paraId="761A6E2C" w14:textId="77777777" w:rsidR="00443002" w:rsidRPr="001E4038" w:rsidRDefault="00443002" w:rsidP="00443002">
            <w:pPr>
              <w:spacing w:after="0" w:line="240" w:lineRule="auto"/>
              <w:rPr>
                <w:sz w:val="20"/>
                <w:szCs w:val="20"/>
                <w:lang w:eastAsia="en-GB"/>
              </w:rPr>
            </w:pPr>
            <w:r w:rsidRPr="001E4038">
              <w:rPr>
                <w:sz w:val="20"/>
                <w:szCs w:val="20"/>
                <w:lang w:eastAsia="en-GB"/>
              </w:rPr>
              <w:t>2007</w:t>
            </w:r>
          </w:p>
        </w:tc>
        <w:tc>
          <w:tcPr>
            <w:tcW w:w="2101" w:type="dxa"/>
            <w:tcBorders>
              <w:top w:val="single" w:sz="4" w:space="0" w:color="auto"/>
              <w:left w:val="nil"/>
              <w:bottom w:val="nil"/>
              <w:right w:val="nil"/>
            </w:tcBorders>
            <w:shd w:val="clear" w:color="auto" w:fill="auto"/>
            <w:noWrap/>
            <w:vAlign w:val="center"/>
            <w:hideMark/>
          </w:tcPr>
          <w:p w14:paraId="6F017D2D"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Butler &amp; Sheridan </w:t>
            </w:r>
          </w:p>
        </w:tc>
        <w:tc>
          <w:tcPr>
            <w:tcW w:w="992" w:type="dxa"/>
            <w:gridSpan w:val="2"/>
            <w:tcBorders>
              <w:top w:val="single" w:sz="4" w:space="0" w:color="auto"/>
              <w:left w:val="nil"/>
              <w:bottom w:val="nil"/>
              <w:right w:val="nil"/>
            </w:tcBorders>
            <w:shd w:val="clear" w:color="auto" w:fill="auto"/>
            <w:noWrap/>
            <w:vAlign w:val="center"/>
            <w:hideMark/>
          </w:tcPr>
          <w:p w14:paraId="272C1678" w14:textId="77777777" w:rsidR="00443002" w:rsidRPr="001E4038" w:rsidRDefault="00443002" w:rsidP="00443002">
            <w:pPr>
              <w:spacing w:after="0" w:line="240" w:lineRule="auto"/>
              <w:rPr>
                <w:sz w:val="18"/>
                <w:szCs w:val="20"/>
                <w:lang w:eastAsia="en-GB"/>
              </w:rPr>
            </w:pPr>
            <w:r w:rsidRPr="001E4038">
              <w:rPr>
                <w:sz w:val="18"/>
                <w:szCs w:val="20"/>
                <w:lang w:eastAsia="en-GB"/>
              </w:rPr>
              <w:t>NZL</w:t>
            </w:r>
          </w:p>
        </w:tc>
        <w:tc>
          <w:tcPr>
            <w:tcW w:w="851" w:type="dxa"/>
            <w:tcBorders>
              <w:top w:val="single" w:sz="4" w:space="0" w:color="auto"/>
              <w:left w:val="nil"/>
              <w:bottom w:val="nil"/>
              <w:right w:val="nil"/>
            </w:tcBorders>
            <w:shd w:val="clear" w:color="auto" w:fill="auto"/>
            <w:noWrap/>
            <w:vAlign w:val="center"/>
            <w:hideMark/>
          </w:tcPr>
          <w:p w14:paraId="6166BB74"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single" w:sz="4" w:space="0" w:color="auto"/>
              <w:left w:val="nil"/>
              <w:bottom w:val="nil"/>
              <w:right w:val="nil"/>
            </w:tcBorders>
            <w:shd w:val="clear" w:color="auto" w:fill="auto"/>
            <w:noWrap/>
            <w:vAlign w:val="center"/>
            <w:hideMark/>
          </w:tcPr>
          <w:p w14:paraId="3D324461"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58</w:t>
            </w:r>
          </w:p>
        </w:tc>
        <w:tc>
          <w:tcPr>
            <w:tcW w:w="1276" w:type="dxa"/>
            <w:tcBorders>
              <w:top w:val="single" w:sz="4" w:space="0" w:color="auto"/>
              <w:left w:val="nil"/>
              <w:bottom w:val="nil"/>
              <w:right w:val="nil"/>
            </w:tcBorders>
            <w:shd w:val="clear" w:color="auto" w:fill="auto"/>
            <w:noWrap/>
            <w:vAlign w:val="center"/>
            <w:hideMark/>
          </w:tcPr>
          <w:p w14:paraId="4C762503"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17-23</w:t>
            </w:r>
          </w:p>
        </w:tc>
        <w:tc>
          <w:tcPr>
            <w:tcW w:w="2835" w:type="dxa"/>
            <w:tcBorders>
              <w:top w:val="single" w:sz="4" w:space="0" w:color="auto"/>
              <w:left w:val="nil"/>
              <w:bottom w:val="nil"/>
              <w:right w:val="nil"/>
            </w:tcBorders>
            <w:shd w:val="clear" w:color="auto" w:fill="auto"/>
            <w:noWrap/>
            <w:vAlign w:val="center"/>
            <w:hideMark/>
          </w:tcPr>
          <w:p w14:paraId="6B76D3E1"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Semi-structured interviews </w:t>
            </w:r>
          </w:p>
        </w:tc>
        <w:tc>
          <w:tcPr>
            <w:tcW w:w="3118" w:type="dxa"/>
            <w:gridSpan w:val="2"/>
            <w:tcBorders>
              <w:top w:val="single" w:sz="4" w:space="0" w:color="auto"/>
              <w:left w:val="nil"/>
              <w:bottom w:val="nil"/>
              <w:right w:val="nil"/>
            </w:tcBorders>
            <w:shd w:val="clear" w:color="auto" w:fill="auto"/>
            <w:noWrap/>
            <w:vAlign w:val="center"/>
            <w:hideMark/>
          </w:tcPr>
          <w:p w14:paraId="48AB5F3D"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BZP users  </w:t>
            </w:r>
          </w:p>
        </w:tc>
        <w:tc>
          <w:tcPr>
            <w:tcW w:w="851" w:type="dxa"/>
            <w:tcBorders>
              <w:top w:val="single" w:sz="4" w:space="0" w:color="auto"/>
              <w:left w:val="nil"/>
              <w:bottom w:val="nil"/>
              <w:right w:val="nil"/>
            </w:tcBorders>
            <w:vAlign w:val="center"/>
          </w:tcPr>
          <w:p w14:paraId="717194C7"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single" w:sz="4" w:space="0" w:color="auto"/>
              <w:left w:val="nil"/>
              <w:bottom w:val="nil"/>
              <w:right w:val="nil"/>
            </w:tcBorders>
            <w:shd w:val="clear" w:color="auto" w:fill="auto"/>
            <w:noWrap/>
            <w:vAlign w:val="center"/>
            <w:hideMark/>
          </w:tcPr>
          <w:p w14:paraId="2D658C88" w14:textId="77777777" w:rsidR="00443002" w:rsidRPr="001E4038" w:rsidRDefault="00443002" w:rsidP="00443002">
            <w:pPr>
              <w:spacing w:after="0" w:line="240" w:lineRule="auto"/>
              <w:rPr>
                <w:sz w:val="18"/>
                <w:szCs w:val="20"/>
                <w:lang w:eastAsia="en-GB"/>
              </w:rPr>
            </w:pPr>
            <w:r w:rsidRPr="001E4038">
              <w:rPr>
                <w:sz w:val="18"/>
                <w:szCs w:val="20"/>
                <w:lang w:eastAsia="en-GB"/>
              </w:rPr>
              <w:t>BZP</w:t>
            </w:r>
          </w:p>
        </w:tc>
      </w:tr>
      <w:tr w:rsidR="00443002" w:rsidRPr="001E4038" w14:paraId="0037E912" w14:textId="77777777" w:rsidTr="00443002">
        <w:trPr>
          <w:trHeight w:val="508"/>
        </w:trPr>
        <w:tc>
          <w:tcPr>
            <w:tcW w:w="466" w:type="dxa"/>
            <w:tcBorders>
              <w:top w:val="nil"/>
              <w:left w:val="nil"/>
              <w:bottom w:val="nil"/>
              <w:right w:val="nil"/>
            </w:tcBorders>
            <w:shd w:val="clear" w:color="auto" w:fill="auto"/>
            <w:noWrap/>
            <w:vAlign w:val="center"/>
            <w:hideMark/>
          </w:tcPr>
          <w:p w14:paraId="73E535DE" w14:textId="77777777" w:rsidR="00443002" w:rsidRPr="001E4038" w:rsidRDefault="00443002" w:rsidP="00443002">
            <w:pPr>
              <w:spacing w:after="0" w:line="240" w:lineRule="auto"/>
              <w:rPr>
                <w:b/>
                <w:sz w:val="20"/>
                <w:szCs w:val="20"/>
                <w:lang w:eastAsia="en-GB"/>
              </w:rPr>
            </w:pPr>
            <w:r w:rsidRPr="001E4038">
              <w:rPr>
                <w:b/>
                <w:sz w:val="20"/>
                <w:szCs w:val="20"/>
                <w:lang w:eastAsia="en-GB"/>
              </w:rPr>
              <w:t>2.</w:t>
            </w:r>
          </w:p>
        </w:tc>
        <w:tc>
          <w:tcPr>
            <w:tcW w:w="660" w:type="dxa"/>
            <w:tcBorders>
              <w:top w:val="nil"/>
              <w:left w:val="nil"/>
              <w:bottom w:val="nil"/>
              <w:right w:val="nil"/>
            </w:tcBorders>
            <w:shd w:val="clear" w:color="auto" w:fill="auto"/>
            <w:noWrap/>
            <w:vAlign w:val="center"/>
            <w:hideMark/>
          </w:tcPr>
          <w:p w14:paraId="3B508CE5" w14:textId="77777777" w:rsidR="00443002" w:rsidRPr="001E4038" w:rsidRDefault="00443002" w:rsidP="00443002">
            <w:pPr>
              <w:spacing w:after="0" w:line="240" w:lineRule="auto"/>
              <w:rPr>
                <w:sz w:val="20"/>
                <w:szCs w:val="20"/>
                <w:lang w:eastAsia="en-GB"/>
              </w:rPr>
            </w:pPr>
            <w:r w:rsidRPr="001E4038">
              <w:rPr>
                <w:sz w:val="20"/>
                <w:szCs w:val="20"/>
                <w:lang w:eastAsia="en-GB"/>
              </w:rPr>
              <w:t>2009</w:t>
            </w:r>
          </w:p>
        </w:tc>
        <w:tc>
          <w:tcPr>
            <w:tcW w:w="2101" w:type="dxa"/>
            <w:tcBorders>
              <w:top w:val="nil"/>
              <w:left w:val="nil"/>
              <w:bottom w:val="nil"/>
              <w:right w:val="nil"/>
            </w:tcBorders>
            <w:shd w:val="clear" w:color="auto" w:fill="auto"/>
            <w:noWrap/>
            <w:vAlign w:val="center"/>
            <w:hideMark/>
          </w:tcPr>
          <w:p w14:paraId="1C3A01CA" w14:textId="77777777" w:rsidR="00443002" w:rsidRPr="001E4038" w:rsidRDefault="00443002" w:rsidP="00443002">
            <w:pPr>
              <w:spacing w:after="0" w:line="240" w:lineRule="auto"/>
              <w:rPr>
                <w:sz w:val="20"/>
                <w:szCs w:val="20"/>
                <w:lang w:eastAsia="en-GB"/>
              </w:rPr>
            </w:pPr>
            <w:r w:rsidRPr="001E4038">
              <w:rPr>
                <w:sz w:val="20"/>
                <w:szCs w:val="20"/>
                <w:lang w:eastAsia="en-GB"/>
              </w:rPr>
              <w:t>Newcombe</w:t>
            </w:r>
          </w:p>
        </w:tc>
        <w:tc>
          <w:tcPr>
            <w:tcW w:w="992" w:type="dxa"/>
            <w:gridSpan w:val="2"/>
            <w:tcBorders>
              <w:top w:val="nil"/>
              <w:left w:val="nil"/>
              <w:bottom w:val="nil"/>
              <w:right w:val="nil"/>
            </w:tcBorders>
            <w:shd w:val="clear" w:color="auto" w:fill="auto"/>
            <w:noWrap/>
            <w:vAlign w:val="center"/>
            <w:hideMark/>
          </w:tcPr>
          <w:p w14:paraId="786358A1"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164C05D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7D87B0A2"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12</w:t>
            </w:r>
          </w:p>
        </w:tc>
        <w:tc>
          <w:tcPr>
            <w:tcW w:w="1276" w:type="dxa"/>
            <w:tcBorders>
              <w:top w:val="nil"/>
              <w:left w:val="nil"/>
              <w:bottom w:val="nil"/>
              <w:right w:val="nil"/>
            </w:tcBorders>
            <w:shd w:val="clear" w:color="auto" w:fill="auto"/>
            <w:noWrap/>
            <w:vAlign w:val="center"/>
            <w:hideMark/>
          </w:tcPr>
          <w:p w14:paraId="59904045"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18-50</w:t>
            </w:r>
          </w:p>
        </w:tc>
        <w:tc>
          <w:tcPr>
            <w:tcW w:w="2835" w:type="dxa"/>
            <w:tcBorders>
              <w:top w:val="nil"/>
              <w:left w:val="nil"/>
              <w:bottom w:val="nil"/>
              <w:right w:val="nil"/>
            </w:tcBorders>
            <w:shd w:val="clear" w:color="auto" w:fill="auto"/>
            <w:noWrap/>
            <w:vAlign w:val="center"/>
            <w:hideMark/>
          </w:tcPr>
          <w:p w14:paraId="0DFE7601" w14:textId="77777777" w:rsidR="00443002" w:rsidRPr="001E4038" w:rsidRDefault="00443002" w:rsidP="00443002">
            <w:pPr>
              <w:spacing w:after="0" w:line="240" w:lineRule="auto"/>
              <w:rPr>
                <w:sz w:val="20"/>
                <w:szCs w:val="20"/>
                <w:lang w:eastAsia="en-GB"/>
              </w:rPr>
            </w:pPr>
            <w:r w:rsidRPr="001E4038">
              <w:rPr>
                <w:sz w:val="20"/>
                <w:szCs w:val="20"/>
                <w:lang w:eastAsia="en-GB"/>
              </w:rPr>
              <w:t>Interviews / focus groups</w:t>
            </w:r>
          </w:p>
        </w:tc>
        <w:tc>
          <w:tcPr>
            <w:tcW w:w="3118" w:type="dxa"/>
            <w:gridSpan w:val="2"/>
            <w:tcBorders>
              <w:top w:val="nil"/>
              <w:left w:val="nil"/>
              <w:bottom w:val="nil"/>
              <w:right w:val="nil"/>
            </w:tcBorders>
            <w:shd w:val="clear" w:color="auto" w:fill="auto"/>
            <w:noWrap/>
            <w:vAlign w:val="center"/>
            <w:hideMark/>
          </w:tcPr>
          <w:p w14:paraId="7601BD28"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 / drug workers</w:t>
            </w:r>
          </w:p>
        </w:tc>
        <w:tc>
          <w:tcPr>
            <w:tcW w:w="851" w:type="dxa"/>
            <w:tcBorders>
              <w:top w:val="nil"/>
              <w:left w:val="nil"/>
              <w:bottom w:val="nil"/>
              <w:right w:val="nil"/>
            </w:tcBorders>
            <w:vAlign w:val="center"/>
          </w:tcPr>
          <w:p w14:paraId="3BC29B99"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33D7FDFF"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2E50B9C7" w14:textId="77777777" w:rsidTr="00443002">
        <w:trPr>
          <w:trHeight w:val="508"/>
        </w:trPr>
        <w:tc>
          <w:tcPr>
            <w:tcW w:w="466" w:type="dxa"/>
            <w:tcBorders>
              <w:top w:val="nil"/>
              <w:left w:val="nil"/>
              <w:bottom w:val="nil"/>
              <w:right w:val="nil"/>
            </w:tcBorders>
            <w:shd w:val="clear" w:color="auto" w:fill="auto"/>
            <w:noWrap/>
            <w:vAlign w:val="center"/>
            <w:hideMark/>
          </w:tcPr>
          <w:p w14:paraId="7BF50B50" w14:textId="77777777" w:rsidR="00443002" w:rsidRPr="001E4038" w:rsidRDefault="00443002" w:rsidP="00443002">
            <w:pPr>
              <w:spacing w:after="0" w:line="240" w:lineRule="auto"/>
              <w:rPr>
                <w:b/>
                <w:sz w:val="20"/>
                <w:szCs w:val="20"/>
                <w:lang w:eastAsia="en-GB"/>
              </w:rPr>
            </w:pPr>
            <w:r w:rsidRPr="001E4038">
              <w:rPr>
                <w:b/>
                <w:sz w:val="20"/>
                <w:szCs w:val="20"/>
                <w:lang w:eastAsia="en-GB"/>
              </w:rPr>
              <w:t>3.</w:t>
            </w:r>
          </w:p>
        </w:tc>
        <w:tc>
          <w:tcPr>
            <w:tcW w:w="660" w:type="dxa"/>
            <w:tcBorders>
              <w:top w:val="nil"/>
              <w:left w:val="nil"/>
              <w:bottom w:val="nil"/>
              <w:right w:val="nil"/>
            </w:tcBorders>
            <w:shd w:val="clear" w:color="auto" w:fill="auto"/>
            <w:noWrap/>
            <w:vAlign w:val="center"/>
            <w:hideMark/>
          </w:tcPr>
          <w:p w14:paraId="02BFE99D" w14:textId="77777777" w:rsidR="00443002" w:rsidRPr="001E4038" w:rsidRDefault="00443002" w:rsidP="00443002">
            <w:pPr>
              <w:spacing w:after="0" w:line="240" w:lineRule="auto"/>
              <w:rPr>
                <w:sz w:val="20"/>
                <w:szCs w:val="20"/>
                <w:lang w:eastAsia="en-GB"/>
              </w:rPr>
            </w:pPr>
            <w:r w:rsidRPr="001E4038">
              <w:rPr>
                <w:sz w:val="20"/>
                <w:szCs w:val="20"/>
                <w:lang w:eastAsia="en-GB"/>
              </w:rPr>
              <w:t>2009</w:t>
            </w:r>
          </w:p>
        </w:tc>
        <w:tc>
          <w:tcPr>
            <w:tcW w:w="2101" w:type="dxa"/>
            <w:tcBorders>
              <w:top w:val="nil"/>
              <w:left w:val="nil"/>
              <w:bottom w:val="nil"/>
              <w:right w:val="nil"/>
            </w:tcBorders>
            <w:shd w:val="clear" w:color="auto" w:fill="auto"/>
            <w:noWrap/>
            <w:vAlign w:val="center"/>
            <w:hideMark/>
          </w:tcPr>
          <w:p w14:paraId="1771DCF7" w14:textId="77777777" w:rsidR="00443002" w:rsidRPr="001E4038" w:rsidRDefault="00443002" w:rsidP="00443002">
            <w:pPr>
              <w:spacing w:after="0" w:line="240" w:lineRule="auto"/>
              <w:rPr>
                <w:sz w:val="20"/>
                <w:szCs w:val="20"/>
                <w:lang w:eastAsia="en-GB"/>
              </w:rPr>
            </w:pPr>
            <w:r w:rsidRPr="001E4038">
              <w:rPr>
                <w:sz w:val="20"/>
                <w:szCs w:val="20"/>
                <w:lang w:eastAsia="en-GB"/>
              </w:rPr>
              <w:t>Schifano et. al.</w:t>
            </w:r>
          </w:p>
        </w:tc>
        <w:tc>
          <w:tcPr>
            <w:tcW w:w="992" w:type="dxa"/>
            <w:gridSpan w:val="2"/>
            <w:tcBorders>
              <w:top w:val="nil"/>
              <w:left w:val="nil"/>
              <w:bottom w:val="nil"/>
              <w:right w:val="nil"/>
            </w:tcBorders>
            <w:shd w:val="clear" w:color="auto" w:fill="auto"/>
            <w:noWrap/>
            <w:vAlign w:val="center"/>
            <w:hideMark/>
          </w:tcPr>
          <w:p w14:paraId="0636BAAA" w14:textId="77777777" w:rsidR="00443002" w:rsidRPr="001E4038" w:rsidRDefault="00443002" w:rsidP="00443002">
            <w:pPr>
              <w:spacing w:after="0" w:line="240" w:lineRule="auto"/>
              <w:rPr>
                <w:sz w:val="18"/>
                <w:szCs w:val="20"/>
                <w:lang w:eastAsia="en-GB"/>
              </w:rPr>
            </w:pPr>
            <w:r w:rsidRPr="001E4038">
              <w:rPr>
                <w:sz w:val="18"/>
                <w:szCs w:val="20"/>
                <w:lang w:eastAsia="en-GB"/>
              </w:rPr>
              <w:t>EUR</w:t>
            </w:r>
          </w:p>
        </w:tc>
        <w:tc>
          <w:tcPr>
            <w:tcW w:w="851" w:type="dxa"/>
            <w:tcBorders>
              <w:top w:val="nil"/>
              <w:left w:val="nil"/>
              <w:bottom w:val="nil"/>
              <w:right w:val="nil"/>
            </w:tcBorders>
            <w:shd w:val="clear" w:color="auto" w:fill="auto"/>
            <w:noWrap/>
            <w:vAlign w:val="center"/>
            <w:hideMark/>
          </w:tcPr>
          <w:p w14:paraId="7CA3C872"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324DC290"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≈200</w:t>
            </w:r>
          </w:p>
        </w:tc>
        <w:tc>
          <w:tcPr>
            <w:tcW w:w="1276" w:type="dxa"/>
            <w:tcBorders>
              <w:top w:val="nil"/>
              <w:left w:val="nil"/>
              <w:bottom w:val="nil"/>
              <w:right w:val="nil"/>
            </w:tcBorders>
            <w:shd w:val="clear" w:color="auto" w:fill="auto"/>
            <w:noWrap/>
            <w:vAlign w:val="center"/>
            <w:hideMark/>
          </w:tcPr>
          <w:p w14:paraId="6C2DDF9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w:t>
            </w:r>
          </w:p>
        </w:tc>
        <w:tc>
          <w:tcPr>
            <w:tcW w:w="2835" w:type="dxa"/>
            <w:tcBorders>
              <w:top w:val="nil"/>
              <w:left w:val="nil"/>
              <w:bottom w:val="nil"/>
              <w:right w:val="nil"/>
            </w:tcBorders>
            <w:shd w:val="clear" w:color="auto" w:fill="auto"/>
            <w:noWrap/>
            <w:vAlign w:val="center"/>
            <w:hideMark/>
          </w:tcPr>
          <w:p w14:paraId="36E84095" w14:textId="77777777" w:rsidR="00443002" w:rsidRPr="001E4038" w:rsidRDefault="00443002" w:rsidP="00443002">
            <w:pPr>
              <w:spacing w:after="0" w:line="240" w:lineRule="auto"/>
              <w:rPr>
                <w:sz w:val="20"/>
                <w:szCs w:val="20"/>
                <w:lang w:eastAsia="en-GB"/>
              </w:rPr>
            </w:pPr>
            <w:r w:rsidRPr="001E4038">
              <w:rPr>
                <w:sz w:val="20"/>
                <w:szCs w:val="20"/>
                <w:lang w:eastAsia="en-GB"/>
              </w:rPr>
              <w:t>Analysis of online forums</w:t>
            </w:r>
          </w:p>
        </w:tc>
        <w:tc>
          <w:tcPr>
            <w:tcW w:w="3118" w:type="dxa"/>
            <w:gridSpan w:val="2"/>
            <w:tcBorders>
              <w:top w:val="nil"/>
              <w:left w:val="nil"/>
              <w:bottom w:val="nil"/>
              <w:right w:val="nil"/>
            </w:tcBorders>
            <w:shd w:val="clear" w:color="auto" w:fill="auto"/>
            <w:noWrap/>
            <w:vAlign w:val="center"/>
            <w:hideMark/>
          </w:tcPr>
          <w:p w14:paraId="070276F7" w14:textId="77777777" w:rsidR="00443002" w:rsidRPr="001E4038" w:rsidRDefault="00443002" w:rsidP="00443002">
            <w:pPr>
              <w:spacing w:after="0" w:line="240" w:lineRule="auto"/>
              <w:rPr>
                <w:sz w:val="20"/>
                <w:szCs w:val="20"/>
                <w:lang w:eastAsia="en-GB"/>
              </w:rPr>
            </w:pPr>
            <w:r w:rsidRPr="001E4038">
              <w:rPr>
                <w:sz w:val="20"/>
                <w:szCs w:val="20"/>
                <w:lang w:eastAsia="en-GB"/>
              </w:rPr>
              <w:t>Existing drug users</w:t>
            </w:r>
          </w:p>
        </w:tc>
        <w:tc>
          <w:tcPr>
            <w:tcW w:w="851" w:type="dxa"/>
            <w:tcBorders>
              <w:top w:val="nil"/>
              <w:left w:val="nil"/>
              <w:bottom w:val="nil"/>
              <w:right w:val="nil"/>
            </w:tcBorders>
            <w:vAlign w:val="center"/>
          </w:tcPr>
          <w:p w14:paraId="049A854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36F69F79"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275E8115" w14:textId="77777777" w:rsidTr="00443002">
        <w:trPr>
          <w:trHeight w:val="508"/>
        </w:trPr>
        <w:tc>
          <w:tcPr>
            <w:tcW w:w="466" w:type="dxa"/>
            <w:tcBorders>
              <w:top w:val="nil"/>
              <w:left w:val="nil"/>
              <w:bottom w:val="nil"/>
              <w:right w:val="nil"/>
            </w:tcBorders>
            <w:shd w:val="clear" w:color="auto" w:fill="auto"/>
            <w:noWrap/>
            <w:vAlign w:val="center"/>
          </w:tcPr>
          <w:p w14:paraId="69F3D272" w14:textId="77777777" w:rsidR="00443002" w:rsidRPr="001E4038" w:rsidRDefault="00443002" w:rsidP="00443002">
            <w:pPr>
              <w:spacing w:after="0" w:line="240" w:lineRule="auto"/>
              <w:rPr>
                <w:b/>
                <w:sz w:val="20"/>
                <w:szCs w:val="20"/>
                <w:lang w:eastAsia="en-GB"/>
              </w:rPr>
            </w:pPr>
            <w:r w:rsidRPr="001E4038">
              <w:rPr>
                <w:b/>
                <w:sz w:val="20"/>
                <w:szCs w:val="20"/>
                <w:lang w:eastAsia="en-GB"/>
              </w:rPr>
              <w:t>4.</w:t>
            </w:r>
          </w:p>
        </w:tc>
        <w:tc>
          <w:tcPr>
            <w:tcW w:w="660" w:type="dxa"/>
            <w:tcBorders>
              <w:top w:val="nil"/>
              <w:left w:val="nil"/>
              <w:bottom w:val="nil"/>
              <w:right w:val="nil"/>
            </w:tcBorders>
            <w:shd w:val="clear" w:color="auto" w:fill="auto"/>
            <w:noWrap/>
            <w:vAlign w:val="center"/>
          </w:tcPr>
          <w:p w14:paraId="49DD405F" w14:textId="77777777" w:rsidR="00443002" w:rsidRPr="001E4038" w:rsidRDefault="00443002" w:rsidP="00443002">
            <w:pPr>
              <w:spacing w:after="0" w:line="240" w:lineRule="auto"/>
              <w:rPr>
                <w:sz w:val="20"/>
                <w:szCs w:val="20"/>
                <w:lang w:eastAsia="en-GB"/>
              </w:rPr>
            </w:pPr>
            <w:r w:rsidRPr="001E4038">
              <w:rPr>
                <w:sz w:val="20"/>
                <w:szCs w:val="20"/>
                <w:lang w:eastAsia="en-GB"/>
              </w:rPr>
              <w:t>2010</w:t>
            </w:r>
          </w:p>
        </w:tc>
        <w:tc>
          <w:tcPr>
            <w:tcW w:w="2101" w:type="dxa"/>
            <w:tcBorders>
              <w:top w:val="nil"/>
              <w:left w:val="nil"/>
              <w:bottom w:val="nil"/>
              <w:right w:val="nil"/>
            </w:tcBorders>
            <w:shd w:val="clear" w:color="auto" w:fill="auto"/>
            <w:noWrap/>
            <w:vAlign w:val="center"/>
          </w:tcPr>
          <w:p w14:paraId="47FB5800" w14:textId="77777777" w:rsidR="00443002" w:rsidRPr="001E4038" w:rsidRDefault="00443002" w:rsidP="00443002">
            <w:pPr>
              <w:spacing w:after="0" w:line="240" w:lineRule="auto"/>
              <w:rPr>
                <w:sz w:val="20"/>
                <w:szCs w:val="20"/>
                <w:lang w:eastAsia="en-GB"/>
              </w:rPr>
            </w:pPr>
            <w:r w:rsidRPr="001E4038">
              <w:rPr>
                <w:sz w:val="20"/>
                <w:szCs w:val="20"/>
                <w:lang w:eastAsia="en-GB"/>
              </w:rPr>
              <w:t>McElrath &amp; O’Neill</w:t>
            </w:r>
          </w:p>
        </w:tc>
        <w:tc>
          <w:tcPr>
            <w:tcW w:w="992" w:type="dxa"/>
            <w:gridSpan w:val="2"/>
            <w:tcBorders>
              <w:top w:val="nil"/>
              <w:left w:val="nil"/>
              <w:bottom w:val="nil"/>
              <w:right w:val="nil"/>
            </w:tcBorders>
            <w:shd w:val="clear" w:color="auto" w:fill="auto"/>
            <w:noWrap/>
            <w:vAlign w:val="center"/>
          </w:tcPr>
          <w:p w14:paraId="106BC986" w14:textId="77777777" w:rsidR="00443002" w:rsidRPr="001E4038" w:rsidRDefault="00443002" w:rsidP="00443002">
            <w:pPr>
              <w:spacing w:after="0" w:line="240" w:lineRule="auto"/>
              <w:rPr>
                <w:sz w:val="18"/>
                <w:szCs w:val="20"/>
                <w:lang w:eastAsia="en-GB"/>
              </w:rPr>
            </w:pPr>
            <w:r w:rsidRPr="001E4038">
              <w:rPr>
                <w:sz w:val="18"/>
                <w:szCs w:val="20"/>
                <w:lang w:eastAsia="en-GB"/>
              </w:rPr>
              <w:t>NI</w:t>
            </w:r>
          </w:p>
        </w:tc>
        <w:tc>
          <w:tcPr>
            <w:tcW w:w="851" w:type="dxa"/>
            <w:tcBorders>
              <w:top w:val="nil"/>
              <w:left w:val="nil"/>
              <w:bottom w:val="nil"/>
              <w:right w:val="nil"/>
            </w:tcBorders>
            <w:shd w:val="clear" w:color="auto" w:fill="auto"/>
            <w:noWrap/>
            <w:vAlign w:val="center"/>
          </w:tcPr>
          <w:p w14:paraId="121EE523"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850" w:type="dxa"/>
            <w:tcBorders>
              <w:top w:val="nil"/>
              <w:left w:val="nil"/>
              <w:bottom w:val="nil"/>
              <w:right w:val="nil"/>
            </w:tcBorders>
            <w:shd w:val="clear" w:color="auto" w:fill="auto"/>
            <w:noWrap/>
            <w:vAlign w:val="center"/>
          </w:tcPr>
          <w:p w14:paraId="46491FD2"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23</w:t>
            </w:r>
          </w:p>
        </w:tc>
        <w:tc>
          <w:tcPr>
            <w:tcW w:w="1276" w:type="dxa"/>
            <w:tcBorders>
              <w:top w:val="nil"/>
              <w:left w:val="nil"/>
              <w:bottom w:val="nil"/>
              <w:right w:val="nil"/>
            </w:tcBorders>
            <w:shd w:val="clear" w:color="auto" w:fill="auto"/>
            <w:noWrap/>
            <w:vAlign w:val="center"/>
          </w:tcPr>
          <w:p w14:paraId="7E56864A"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19-51</w:t>
            </w:r>
          </w:p>
        </w:tc>
        <w:tc>
          <w:tcPr>
            <w:tcW w:w="2835" w:type="dxa"/>
            <w:tcBorders>
              <w:top w:val="nil"/>
              <w:left w:val="nil"/>
              <w:bottom w:val="nil"/>
              <w:right w:val="nil"/>
            </w:tcBorders>
            <w:shd w:val="clear" w:color="auto" w:fill="auto"/>
            <w:noWrap/>
            <w:vAlign w:val="center"/>
          </w:tcPr>
          <w:p w14:paraId="586ABE44"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Semi-structured interviews </w:t>
            </w:r>
          </w:p>
        </w:tc>
        <w:tc>
          <w:tcPr>
            <w:tcW w:w="3118" w:type="dxa"/>
            <w:gridSpan w:val="2"/>
            <w:tcBorders>
              <w:top w:val="nil"/>
              <w:left w:val="nil"/>
              <w:bottom w:val="nil"/>
              <w:right w:val="nil"/>
            </w:tcBorders>
            <w:shd w:val="clear" w:color="auto" w:fill="auto"/>
            <w:noWrap/>
            <w:vAlign w:val="center"/>
          </w:tcPr>
          <w:p w14:paraId="12121A70"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w:t>
            </w:r>
          </w:p>
        </w:tc>
        <w:tc>
          <w:tcPr>
            <w:tcW w:w="851" w:type="dxa"/>
            <w:tcBorders>
              <w:top w:val="nil"/>
              <w:left w:val="nil"/>
              <w:bottom w:val="nil"/>
              <w:right w:val="nil"/>
            </w:tcBorders>
            <w:vAlign w:val="center"/>
          </w:tcPr>
          <w:p w14:paraId="5B8CE518"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tcPr>
          <w:p w14:paraId="473DC294"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41C444CF" w14:textId="77777777" w:rsidTr="00443002">
        <w:trPr>
          <w:trHeight w:val="508"/>
        </w:trPr>
        <w:tc>
          <w:tcPr>
            <w:tcW w:w="466" w:type="dxa"/>
            <w:tcBorders>
              <w:top w:val="nil"/>
              <w:left w:val="nil"/>
              <w:bottom w:val="nil"/>
              <w:right w:val="nil"/>
            </w:tcBorders>
            <w:shd w:val="clear" w:color="auto" w:fill="auto"/>
            <w:noWrap/>
            <w:vAlign w:val="center"/>
          </w:tcPr>
          <w:p w14:paraId="6F8AC9E2" w14:textId="77777777" w:rsidR="00443002" w:rsidRPr="001E4038" w:rsidRDefault="00443002" w:rsidP="00443002">
            <w:pPr>
              <w:spacing w:after="0" w:line="240" w:lineRule="auto"/>
              <w:rPr>
                <w:b/>
                <w:sz w:val="20"/>
                <w:szCs w:val="20"/>
                <w:lang w:eastAsia="en-GB"/>
              </w:rPr>
            </w:pPr>
            <w:r w:rsidRPr="001E4038">
              <w:rPr>
                <w:b/>
                <w:sz w:val="20"/>
                <w:szCs w:val="20"/>
                <w:lang w:eastAsia="en-GB"/>
              </w:rPr>
              <w:t>5.</w:t>
            </w:r>
          </w:p>
        </w:tc>
        <w:tc>
          <w:tcPr>
            <w:tcW w:w="660" w:type="dxa"/>
            <w:tcBorders>
              <w:top w:val="nil"/>
              <w:left w:val="nil"/>
              <w:bottom w:val="nil"/>
              <w:right w:val="nil"/>
            </w:tcBorders>
            <w:shd w:val="clear" w:color="auto" w:fill="auto"/>
            <w:noWrap/>
            <w:vAlign w:val="center"/>
            <w:hideMark/>
          </w:tcPr>
          <w:p w14:paraId="3A6FD957" w14:textId="77777777" w:rsidR="00443002" w:rsidRPr="001E4038" w:rsidRDefault="00443002" w:rsidP="00443002">
            <w:pPr>
              <w:spacing w:after="0" w:line="240" w:lineRule="auto"/>
              <w:rPr>
                <w:sz w:val="20"/>
                <w:szCs w:val="20"/>
                <w:lang w:eastAsia="en-GB"/>
              </w:rPr>
            </w:pPr>
            <w:r w:rsidRPr="001E4038">
              <w:rPr>
                <w:sz w:val="20"/>
                <w:szCs w:val="20"/>
                <w:lang w:eastAsia="en-GB"/>
              </w:rPr>
              <w:t>2010</w:t>
            </w:r>
          </w:p>
        </w:tc>
        <w:tc>
          <w:tcPr>
            <w:tcW w:w="2101" w:type="dxa"/>
            <w:tcBorders>
              <w:top w:val="nil"/>
              <w:left w:val="nil"/>
              <w:bottom w:val="nil"/>
              <w:right w:val="nil"/>
            </w:tcBorders>
            <w:shd w:val="clear" w:color="auto" w:fill="auto"/>
            <w:noWrap/>
            <w:vAlign w:val="center"/>
            <w:hideMark/>
          </w:tcPr>
          <w:p w14:paraId="6FF1AA5B"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Measham et. al. </w:t>
            </w:r>
          </w:p>
        </w:tc>
        <w:tc>
          <w:tcPr>
            <w:tcW w:w="992" w:type="dxa"/>
            <w:gridSpan w:val="2"/>
            <w:tcBorders>
              <w:top w:val="nil"/>
              <w:left w:val="nil"/>
              <w:bottom w:val="nil"/>
              <w:right w:val="nil"/>
            </w:tcBorders>
            <w:shd w:val="clear" w:color="auto" w:fill="auto"/>
            <w:noWrap/>
            <w:vAlign w:val="center"/>
            <w:hideMark/>
          </w:tcPr>
          <w:p w14:paraId="25215767"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0B22C517"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4FEFBF73"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w:t>
            </w:r>
          </w:p>
        </w:tc>
        <w:tc>
          <w:tcPr>
            <w:tcW w:w="1276" w:type="dxa"/>
            <w:tcBorders>
              <w:top w:val="nil"/>
              <w:left w:val="nil"/>
              <w:bottom w:val="nil"/>
              <w:right w:val="nil"/>
            </w:tcBorders>
            <w:shd w:val="clear" w:color="auto" w:fill="auto"/>
            <w:noWrap/>
            <w:vAlign w:val="center"/>
            <w:hideMark/>
          </w:tcPr>
          <w:p w14:paraId="3B906C2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36-38</w:t>
            </w:r>
          </w:p>
        </w:tc>
        <w:tc>
          <w:tcPr>
            <w:tcW w:w="2835" w:type="dxa"/>
            <w:tcBorders>
              <w:top w:val="nil"/>
              <w:left w:val="nil"/>
              <w:bottom w:val="nil"/>
              <w:right w:val="nil"/>
            </w:tcBorders>
            <w:shd w:val="clear" w:color="auto" w:fill="auto"/>
            <w:noWrap/>
            <w:vAlign w:val="center"/>
            <w:hideMark/>
          </w:tcPr>
          <w:p w14:paraId="2E92EC8A" w14:textId="77777777" w:rsidR="00443002" w:rsidRPr="001E4038" w:rsidRDefault="00443002" w:rsidP="00443002">
            <w:pPr>
              <w:spacing w:after="0" w:line="240" w:lineRule="auto"/>
              <w:rPr>
                <w:sz w:val="20"/>
                <w:szCs w:val="20"/>
                <w:lang w:eastAsia="en-GB"/>
              </w:rPr>
            </w:pPr>
            <w:r w:rsidRPr="001E4038">
              <w:rPr>
                <w:sz w:val="20"/>
                <w:szCs w:val="20"/>
                <w:lang w:eastAsia="en-GB"/>
              </w:rPr>
              <w:t>Semi-structured Interviews</w:t>
            </w:r>
          </w:p>
        </w:tc>
        <w:tc>
          <w:tcPr>
            <w:tcW w:w="3118" w:type="dxa"/>
            <w:gridSpan w:val="2"/>
            <w:tcBorders>
              <w:top w:val="nil"/>
              <w:left w:val="nil"/>
              <w:bottom w:val="nil"/>
              <w:right w:val="nil"/>
            </w:tcBorders>
            <w:shd w:val="clear" w:color="auto" w:fill="auto"/>
            <w:noWrap/>
            <w:vAlign w:val="center"/>
            <w:hideMark/>
          </w:tcPr>
          <w:p w14:paraId="55893D14"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w:t>
            </w:r>
          </w:p>
        </w:tc>
        <w:tc>
          <w:tcPr>
            <w:tcW w:w="851" w:type="dxa"/>
            <w:tcBorders>
              <w:top w:val="nil"/>
              <w:left w:val="nil"/>
              <w:bottom w:val="nil"/>
              <w:right w:val="nil"/>
            </w:tcBorders>
            <w:vAlign w:val="center"/>
          </w:tcPr>
          <w:p w14:paraId="0CF90508"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4842B270"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051CE2ED" w14:textId="77777777" w:rsidTr="00443002">
        <w:trPr>
          <w:trHeight w:val="508"/>
        </w:trPr>
        <w:tc>
          <w:tcPr>
            <w:tcW w:w="466" w:type="dxa"/>
            <w:tcBorders>
              <w:top w:val="nil"/>
              <w:left w:val="nil"/>
              <w:bottom w:val="nil"/>
              <w:right w:val="nil"/>
            </w:tcBorders>
            <w:shd w:val="clear" w:color="auto" w:fill="auto"/>
            <w:noWrap/>
            <w:vAlign w:val="center"/>
          </w:tcPr>
          <w:p w14:paraId="2190960A" w14:textId="77777777" w:rsidR="00443002" w:rsidRPr="001E4038" w:rsidRDefault="00443002" w:rsidP="00443002">
            <w:pPr>
              <w:spacing w:after="0" w:line="240" w:lineRule="auto"/>
              <w:rPr>
                <w:b/>
                <w:sz w:val="20"/>
                <w:szCs w:val="20"/>
                <w:lang w:eastAsia="en-GB"/>
              </w:rPr>
            </w:pPr>
            <w:r w:rsidRPr="001E4038">
              <w:rPr>
                <w:b/>
                <w:sz w:val="20"/>
                <w:szCs w:val="20"/>
                <w:lang w:eastAsia="en-GB"/>
              </w:rPr>
              <w:t>6.</w:t>
            </w:r>
          </w:p>
        </w:tc>
        <w:tc>
          <w:tcPr>
            <w:tcW w:w="660" w:type="dxa"/>
            <w:tcBorders>
              <w:top w:val="nil"/>
              <w:left w:val="nil"/>
              <w:bottom w:val="nil"/>
              <w:right w:val="nil"/>
            </w:tcBorders>
            <w:shd w:val="clear" w:color="auto" w:fill="auto"/>
            <w:noWrap/>
            <w:vAlign w:val="center"/>
            <w:hideMark/>
          </w:tcPr>
          <w:p w14:paraId="42D8B322" w14:textId="77777777" w:rsidR="00443002" w:rsidRPr="001E4038" w:rsidRDefault="00443002" w:rsidP="00443002">
            <w:pPr>
              <w:spacing w:after="0" w:line="240" w:lineRule="auto"/>
              <w:rPr>
                <w:sz w:val="20"/>
                <w:szCs w:val="20"/>
                <w:lang w:eastAsia="en-GB"/>
              </w:rPr>
            </w:pPr>
            <w:r w:rsidRPr="001E4038">
              <w:rPr>
                <w:sz w:val="20"/>
                <w:szCs w:val="20"/>
                <w:lang w:eastAsia="en-GB"/>
              </w:rPr>
              <w:t>2010</w:t>
            </w:r>
          </w:p>
        </w:tc>
        <w:tc>
          <w:tcPr>
            <w:tcW w:w="2101" w:type="dxa"/>
            <w:tcBorders>
              <w:top w:val="nil"/>
              <w:left w:val="nil"/>
              <w:bottom w:val="nil"/>
              <w:right w:val="nil"/>
            </w:tcBorders>
            <w:shd w:val="clear" w:color="auto" w:fill="auto"/>
            <w:noWrap/>
            <w:vAlign w:val="center"/>
            <w:hideMark/>
          </w:tcPr>
          <w:p w14:paraId="0E5CED5B"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Sheridan &amp; Butler </w:t>
            </w:r>
          </w:p>
        </w:tc>
        <w:tc>
          <w:tcPr>
            <w:tcW w:w="992" w:type="dxa"/>
            <w:gridSpan w:val="2"/>
            <w:tcBorders>
              <w:top w:val="nil"/>
              <w:left w:val="nil"/>
              <w:bottom w:val="nil"/>
              <w:right w:val="nil"/>
            </w:tcBorders>
            <w:shd w:val="clear" w:color="auto" w:fill="auto"/>
            <w:noWrap/>
            <w:vAlign w:val="center"/>
            <w:hideMark/>
          </w:tcPr>
          <w:p w14:paraId="1E0A72E9" w14:textId="77777777" w:rsidR="00443002" w:rsidRPr="001E4038" w:rsidRDefault="00443002" w:rsidP="00443002">
            <w:pPr>
              <w:spacing w:after="0" w:line="240" w:lineRule="auto"/>
              <w:rPr>
                <w:sz w:val="18"/>
                <w:szCs w:val="20"/>
                <w:lang w:eastAsia="en-GB"/>
              </w:rPr>
            </w:pPr>
            <w:r w:rsidRPr="001E4038">
              <w:rPr>
                <w:sz w:val="18"/>
                <w:szCs w:val="20"/>
                <w:lang w:eastAsia="en-GB"/>
              </w:rPr>
              <w:t>NZL</w:t>
            </w:r>
          </w:p>
        </w:tc>
        <w:tc>
          <w:tcPr>
            <w:tcW w:w="851" w:type="dxa"/>
            <w:tcBorders>
              <w:top w:val="nil"/>
              <w:left w:val="nil"/>
              <w:bottom w:val="nil"/>
              <w:right w:val="nil"/>
            </w:tcBorders>
            <w:shd w:val="clear" w:color="auto" w:fill="auto"/>
            <w:noWrap/>
            <w:vAlign w:val="center"/>
            <w:hideMark/>
          </w:tcPr>
          <w:p w14:paraId="11E706A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66F5E185"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58</w:t>
            </w:r>
          </w:p>
        </w:tc>
        <w:tc>
          <w:tcPr>
            <w:tcW w:w="1276" w:type="dxa"/>
            <w:tcBorders>
              <w:top w:val="nil"/>
              <w:left w:val="nil"/>
              <w:bottom w:val="nil"/>
              <w:right w:val="nil"/>
            </w:tcBorders>
            <w:shd w:val="clear" w:color="auto" w:fill="auto"/>
            <w:noWrap/>
            <w:vAlign w:val="center"/>
            <w:hideMark/>
          </w:tcPr>
          <w:p w14:paraId="01D98A68"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17-23</w:t>
            </w:r>
          </w:p>
        </w:tc>
        <w:tc>
          <w:tcPr>
            <w:tcW w:w="2835" w:type="dxa"/>
            <w:tcBorders>
              <w:top w:val="nil"/>
              <w:left w:val="nil"/>
              <w:bottom w:val="nil"/>
              <w:right w:val="nil"/>
            </w:tcBorders>
            <w:shd w:val="clear" w:color="auto" w:fill="auto"/>
            <w:noWrap/>
            <w:vAlign w:val="center"/>
            <w:hideMark/>
          </w:tcPr>
          <w:p w14:paraId="119F5827" w14:textId="77777777" w:rsidR="00443002" w:rsidRPr="001E4038" w:rsidRDefault="00443002" w:rsidP="00443002">
            <w:pPr>
              <w:spacing w:after="0" w:line="240" w:lineRule="auto"/>
              <w:rPr>
                <w:sz w:val="20"/>
                <w:szCs w:val="20"/>
                <w:lang w:eastAsia="en-GB"/>
              </w:rPr>
            </w:pPr>
            <w:r w:rsidRPr="001E4038">
              <w:rPr>
                <w:sz w:val="20"/>
                <w:szCs w:val="20"/>
                <w:lang w:eastAsia="en-GB"/>
              </w:rPr>
              <w:t>Semi structured interviews</w:t>
            </w:r>
          </w:p>
        </w:tc>
        <w:tc>
          <w:tcPr>
            <w:tcW w:w="3118" w:type="dxa"/>
            <w:gridSpan w:val="2"/>
            <w:tcBorders>
              <w:top w:val="nil"/>
              <w:left w:val="nil"/>
              <w:bottom w:val="nil"/>
              <w:right w:val="nil"/>
            </w:tcBorders>
            <w:shd w:val="clear" w:color="auto" w:fill="auto"/>
            <w:noWrap/>
            <w:vAlign w:val="center"/>
            <w:hideMark/>
          </w:tcPr>
          <w:p w14:paraId="290595A1"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BZP users </w:t>
            </w:r>
          </w:p>
        </w:tc>
        <w:tc>
          <w:tcPr>
            <w:tcW w:w="851" w:type="dxa"/>
            <w:tcBorders>
              <w:top w:val="nil"/>
              <w:left w:val="nil"/>
              <w:bottom w:val="nil"/>
              <w:right w:val="nil"/>
            </w:tcBorders>
            <w:vAlign w:val="center"/>
          </w:tcPr>
          <w:p w14:paraId="564A1A94"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73EA787A" w14:textId="77777777" w:rsidR="00443002" w:rsidRPr="001E4038" w:rsidRDefault="00443002" w:rsidP="00443002">
            <w:pPr>
              <w:spacing w:after="0" w:line="240" w:lineRule="auto"/>
              <w:rPr>
                <w:sz w:val="18"/>
                <w:szCs w:val="20"/>
                <w:lang w:eastAsia="en-GB"/>
              </w:rPr>
            </w:pPr>
            <w:r w:rsidRPr="001E4038">
              <w:rPr>
                <w:sz w:val="18"/>
                <w:szCs w:val="20"/>
                <w:lang w:eastAsia="en-GB"/>
              </w:rPr>
              <w:t>BZP</w:t>
            </w:r>
          </w:p>
        </w:tc>
      </w:tr>
      <w:tr w:rsidR="00443002" w:rsidRPr="001E4038" w14:paraId="3365D028" w14:textId="77777777" w:rsidTr="00443002">
        <w:trPr>
          <w:trHeight w:val="508"/>
        </w:trPr>
        <w:tc>
          <w:tcPr>
            <w:tcW w:w="466" w:type="dxa"/>
            <w:tcBorders>
              <w:top w:val="nil"/>
              <w:left w:val="nil"/>
              <w:bottom w:val="nil"/>
              <w:right w:val="nil"/>
            </w:tcBorders>
            <w:shd w:val="clear" w:color="auto" w:fill="auto"/>
            <w:noWrap/>
            <w:vAlign w:val="center"/>
          </w:tcPr>
          <w:p w14:paraId="403A424A" w14:textId="77777777" w:rsidR="00443002" w:rsidRPr="001E4038" w:rsidRDefault="00443002" w:rsidP="00443002">
            <w:pPr>
              <w:spacing w:after="0" w:line="240" w:lineRule="auto"/>
              <w:rPr>
                <w:b/>
                <w:sz w:val="20"/>
                <w:szCs w:val="20"/>
                <w:lang w:eastAsia="en-GB"/>
              </w:rPr>
            </w:pPr>
            <w:r w:rsidRPr="001E4038">
              <w:rPr>
                <w:b/>
                <w:sz w:val="20"/>
                <w:szCs w:val="20"/>
                <w:lang w:eastAsia="en-GB"/>
              </w:rPr>
              <w:t>7.</w:t>
            </w:r>
          </w:p>
        </w:tc>
        <w:tc>
          <w:tcPr>
            <w:tcW w:w="660" w:type="dxa"/>
            <w:tcBorders>
              <w:top w:val="nil"/>
              <w:left w:val="nil"/>
              <w:bottom w:val="nil"/>
              <w:right w:val="nil"/>
            </w:tcBorders>
            <w:shd w:val="clear" w:color="auto" w:fill="auto"/>
            <w:noWrap/>
            <w:vAlign w:val="center"/>
            <w:hideMark/>
          </w:tcPr>
          <w:p w14:paraId="160DE076" w14:textId="77777777" w:rsidR="00443002" w:rsidRPr="001E4038" w:rsidRDefault="00443002" w:rsidP="00443002">
            <w:pPr>
              <w:spacing w:after="0" w:line="240" w:lineRule="auto"/>
              <w:rPr>
                <w:sz w:val="20"/>
                <w:szCs w:val="20"/>
                <w:lang w:eastAsia="en-GB"/>
              </w:rPr>
            </w:pPr>
            <w:r w:rsidRPr="001E4038">
              <w:rPr>
                <w:sz w:val="20"/>
                <w:szCs w:val="20"/>
                <w:lang w:eastAsia="en-GB"/>
              </w:rPr>
              <w:t>2010</w:t>
            </w:r>
          </w:p>
        </w:tc>
        <w:tc>
          <w:tcPr>
            <w:tcW w:w="2101" w:type="dxa"/>
            <w:tcBorders>
              <w:top w:val="nil"/>
              <w:left w:val="nil"/>
              <w:bottom w:val="nil"/>
              <w:right w:val="nil"/>
            </w:tcBorders>
            <w:shd w:val="clear" w:color="auto" w:fill="auto"/>
            <w:noWrap/>
            <w:vAlign w:val="center"/>
            <w:hideMark/>
          </w:tcPr>
          <w:p w14:paraId="2D68BE99"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Winstock et. al. </w:t>
            </w:r>
          </w:p>
        </w:tc>
        <w:tc>
          <w:tcPr>
            <w:tcW w:w="992" w:type="dxa"/>
            <w:gridSpan w:val="2"/>
            <w:tcBorders>
              <w:top w:val="nil"/>
              <w:left w:val="nil"/>
              <w:bottom w:val="nil"/>
              <w:right w:val="nil"/>
            </w:tcBorders>
            <w:shd w:val="clear" w:color="auto" w:fill="auto"/>
            <w:noWrap/>
            <w:vAlign w:val="center"/>
            <w:hideMark/>
          </w:tcPr>
          <w:p w14:paraId="2664C21C"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02776D7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3AAE1D2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2295</w:t>
            </w:r>
          </w:p>
        </w:tc>
        <w:tc>
          <w:tcPr>
            <w:tcW w:w="1276" w:type="dxa"/>
            <w:tcBorders>
              <w:top w:val="nil"/>
              <w:left w:val="nil"/>
              <w:bottom w:val="nil"/>
              <w:right w:val="nil"/>
            </w:tcBorders>
            <w:shd w:val="clear" w:color="auto" w:fill="auto"/>
            <w:noWrap/>
            <w:vAlign w:val="center"/>
            <w:hideMark/>
          </w:tcPr>
          <w:p w14:paraId="44A25018"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18-27</w:t>
            </w:r>
          </w:p>
        </w:tc>
        <w:tc>
          <w:tcPr>
            <w:tcW w:w="2835" w:type="dxa"/>
            <w:tcBorders>
              <w:top w:val="nil"/>
              <w:left w:val="nil"/>
              <w:bottom w:val="nil"/>
              <w:right w:val="nil"/>
            </w:tcBorders>
            <w:shd w:val="clear" w:color="auto" w:fill="auto"/>
            <w:noWrap/>
            <w:vAlign w:val="center"/>
            <w:hideMark/>
          </w:tcPr>
          <w:p w14:paraId="21E78628"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nil"/>
              <w:right w:val="nil"/>
            </w:tcBorders>
            <w:shd w:val="clear" w:color="auto" w:fill="auto"/>
            <w:noWrap/>
            <w:vAlign w:val="center"/>
            <w:hideMark/>
          </w:tcPr>
          <w:p w14:paraId="4A12736A" w14:textId="77777777" w:rsidR="00443002" w:rsidRPr="001E4038" w:rsidRDefault="00443002" w:rsidP="00443002">
            <w:pPr>
              <w:spacing w:after="0" w:line="240" w:lineRule="auto"/>
              <w:rPr>
                <w:sz w:val="20"/>
                <w:szCs w:val="20"/>
                <w:lang w:eastAsia="en-GB"/>
              </w:rPr>
            </w:pPr>
            <w:r w:rsidRPr="001E4038">
              <w:rPr>
                <w:sz w:val="20"/>
                <w:szCs w:val="20"/>
                <w:lang w:eastAsia="en-GB"/>
              </w:rPr>
              <w:t>Existing drug users</w:t>
            </w:r>
          </w:p>
        </w:tc>
        <w:tc>
          <w:tcPr>
            <w:tcW w:w="851" w:type="dxa"/>
            <w:tcBorders>
              <w:top w:val="nil"/>
              <w:left w:val="nil"/>
              <w:bottom w:val="nil"/>
              <w:right w:val="nil"/>
            </w:tcBorders>
            <w:vAlign w:val="center"/>
          </w:tcPr>
          <w:p w14:paraId="40E27CE7"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4BDE8A20"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0CBA69B5" w14:textId="77777777" w:rsidTr="00443002">
        <w:trPr>
          <w:trHeight w:val="508"/>
        </w:trPr>
        <w:tc>
          <w:tcPr>
            <w:tcW w:w="466" w:type="dxa"/>
            <w:tcBorders>
              <w:top w:val="nil"/>
              <w:left w:val="nil"/>
              <w:bottom w:val="nil"/>
              <w:right w:val="nil"/>
            </w:tcBorders>
            <w:shd w:val="clear" w:color="auto" w:fill="auto"/>
            <w:noWrap/>
            <w:vAlign w:val="center"/>
          </w:tcPr>
          <w:p w14:paraId="63EF62E6" w14:textId="77777777" w:rsidR="00443002" w:rsidRPr="001E4038" w:rsidRDefault="00443002" w:rsidP="00443002">
            <w:pPr>
              <w:spacing w:after="0" w:line="240" w:lineRule="auto"/>
              <w:rPr>
                <w:b/>
                <w:sz w:val="20"/>
                <w:szCs w:val="20"/>
                <w:lang w:eastAsia="en-GB"/>
              </w:rPr>
            </w:pPr>
            <w:r w:rsidRPr="001E4038">
              <w:rPr>
                <w:b/>
                <w:sz w:val="20"/>
                <w:szCs w:val="20"/>
                <w:lang w:eastAsia="en-GB"/>
              </w:rPr>
              <w:t>8.</w:t>
            </w:r>
          </w:p>
        </w:tc>
        <w:tc>
          <w:tcPr>
            <w:tcW w:w="660" w:type="dxa"/>
            <w:tcBorders>
              <w:top w:val="nil"/>
              <w:left w:val="nil"/>
              <w:bottom w:val="nil"/>
              <w:right w:val="nil"/>
            </w:tcBorders>
            <w:shd w:val="clear" w:color="auto" w:fill="auto"/>
            <w:noWrap/>
            <w:vAlign w:val="center"/>
            <w:hideMark/>
          </w:tcPr>
          <w:p w14:paraId="71B1FF9F"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54A87072" w14:textId="77777777" w:rsidR="00443002" w:rsidRPr="001E4038" w:rsidRDefault="00443002" w:rsidP="00443002">
            <w:pPr>
              <w:spacing w:after="0" w:line="240" w:lineRule="auto"/>
              <w:rPr>
                <w:sz w:val="20"/>
                <w:szCs w:val="20"/>
                <w:lang w:eastAsia="en-GB"/>
              </w:rPr>
            </w:pPr>
            <w:r w:rsidRPr="001E4038">
              <w:rPr>
                <w:sz w:val="20"/>
                <w:szCs w:val="20"/>
                <w:lang w:eastAsia="en-GB"/>
              </w:rPr>
              <w:t>Carhart-Harris &amp; Nutt</w:t>
            </w:r>
          </w:p>
        </w:tc>
        <w:tc>
          <w:tcPr>
            <w:tcW w:w="992" w:type="dxa"/>
            <w:gridSpan w:val="2"/>
            <w:tcBorders>
              <w:top w:val="nil"/>
              <w:left w:val="nil"/>
              <w:bottom w:val="nil"/>
              <w:right w:val="nil"/>
            </w:tcBorders>
            <w:shd w:val="clear" w:color="auto" w:fill="auto"/>
            <w:noWrap/>
            <w:vAlign w:val="center"/>
            <w:hideMark/>
          </w:tcPr>
          <w:p w14:paraId="5CEE9EA7"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49495352"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1D0E44C9"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1506</w:t>
            </w:r>
          </w:p>
        </w:tc>
        <w:tc>
          <w:tcPr>
            <w:tcW w:w="1276" w:type="dxa"/>
            <w:tcBorders>
              <w:top w:val="nil"/>
              <w:left w:val="nil"/>
              <w:bottom w:val="nil"/>
              <w:right w:val="nil"/>
            </w:tcBorders>
            <w:shd w:val="clear" w:color="auto" w:fill="auto"/>
            <w:noWrap/>
            <w:vAlign w:val="center"/>
            <w:hideMark/>
          </w:tcPr>
          <w:p w14:paraId="47719E3F" w14:textId="77777777" w:rsidR="00443002" w:rsidRPr="001E4038" w:rsidRDefault="00443002" w:rsidP="00443002">
            <w:pPr>
              <w:spacing w:after="0" w:line="240" w:lineRule="auto"/>
              <w:jc w:val="right"/>
              <w:rPr>
                <w:sz w:val="20"/>
                <w:szCs w:val="20"/>
                <w:lang w:eastAsia="en-GB"/>
              </w:rPr>
            </w:pPr>
            <w:r>
              <w:rPr>
                <w:sz w:val="20"/>
                <w:szCs w:val="20"/>
                <w:lang w:eastAsia="en-GB"/>
              </w:rPr>
              <w:t>10-73</w:t>
            </w:r>
          </w:p>
        </w:tc>
        <w:tc>
          <w:tcPr>
            <w:tcW w:w="2835" w:type="dxa"/>
            <w:tcBorders>
              <w:top w:val="nil"/>
              <w:left w:val="nil"/>
              <w:bottom w:val="nil"/>
              <w:right w:val="nil"/>
            </w:tcBorders>
            <w:shd w:val="clear" w:color="auto" w:fill="auto"/>
            <w:noWrap/>
            <w:vAlign w:val="center"/>
            <w:hideMark/>
          </w:tcPr>
          <w:p w14:paraId="6CD0BECF"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nil"/>
              <w:right w:val="nil"/>
            </w:tcBorders>
            <w:shd w:val="clear" w:color="auto" w:fill="auto"/>
            <w:noWrap/>
            <w:vAlign w:val="center"/>
            <w:hideMark/>
          </w:tcPr>
          <w:p w14:paraId="1F3508EE"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w:t>
            </w:r>
          </w:p>
        </w:tc>
        <w:tc>
          <w:tcPr>
            <w:tcW w:w="851" w:type="dxa"/>
            <w:tcBorders>
              <w:top w:val="nil"/>
              <w:left w:val="nil"/>
              <w:bottom w:val="nil"/>
              <w:right w:val="nil"/>
            </w:tcBorders>
            <w:vAlign w:val="center"/>
          </w:tcPr>
          <w:p w14:paraId="50A46482"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4DB0A518"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143160B0" w14:textId="77777777" w:rsidTr="00443002">
        <w:trPr>
          <w:trHeight w:val="508"/>
        </w:trPr>
        <w:tc>
          <w:tcPr>
            <w:tcW w:w="466" w:type="dxa"/>
            <w:tcBorders>
              <w:top w:val="nil"/>
              <w:left w:val="nil"/>
              <w:bottom w:val="nil"/>
              <w:right w:val="nil"/>
            </w:tcBorders>
            <w:shd w:val="clear" w:color="auto" w:fill="auto"/>
            <w:noWrap/>
            <w:vAlign w:val="center"/>
          </w:tcPr>
          <w:p w14:paraId="6675EC04" w14:textId="77777777" w:rsidR="00443002" w:rsidRPr="001E4038" w:rsidRDefault="00443002" w:rsidP="00443002">
            <w:pPr>
              <w:spacing w:after="0" w:line="240" w:lineRule="auto"/>
              <w:rPr>
                <w:b/>
                <w:sz w:val="20"/>
                <w:szCs w:val="20"/>
                <w:lang w:eastAsia="en-GB"/>
              </w:rPr>
            </w:pPr>
            <w:r w:rsidRPr="001E4038">
              <w:rPr>
                <w:b/>
                <w:sz w:val="20"/>
                <w:szCs w:val="20"/>
                <w:lang w:eastAsia="en-GB"/>
              </w:rPr>
              <w:t>9.</w:t>
            </w:r>
          </w:p>
        </w:tc>
        <w:tc>
          <w:tcPr>
            <w:tcW w:w="660" w:type="dxa"/>
            <w:tcBorders>
              <w:top w:val="nil"/>
              <w:left w:val="nil"/>
              <w:bottom w:val="nil"/>
              <w:right w:val="nil"/>
            </w:tcBorders>
            <w:shd w:val="clear" w:color="auto" w:fill="auto"/>
            <w:noWrap/>
            <w:vAlign w:val="center"/>
            <w:hideMark/>
          </w:tcPr>
          <w:p w14:paraId="54EC362F"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04E79606" w14:textId="77777777" w:rsidR="00443002" w:rsidRPr="001E4038" w:rsidRDefault="00443002" w:rsidP="00443002">
            <w:pPr>
              <w:spacing w:after="0" w:line="240" w:lineRule="auto"/>
              <w:rPr>
                <w:sz w:val="20"/>
                <w:szCs w:val="20"/>
                <w:lang w:eastAsia="en-GB"/>
              </w:rPr>
            </w:pPr>
            <w:r w:rsidRPr="001E4038">
              <w:rPr>
                <w:sz w:val="20"/>
                <w:szCs w:val="20"/>
                <w:lang w:eastAsia="en-GB"/>
              </w:rPr>
              <w:t>Castellanos et. al.</w:t>
            </w:r>
          </w:p>
        </w:tc>
        <w:tc>
          <w:tcPr>
            <w:tcW w:w="992" w:type="dxa"/>
            <w:gridSpan w:val="2"/>
            <w:tcBorders>
              <w:top w:val="nil"/>
              <w:left w:val="nil"/>
              <w:bottom w:val="nil"/>
              <w:right w:val="nil"/>
            </w:tcBorders>
            <w:shd w:val="clear" w:color="auto" w:fill="auto"/>
            <w:noWrap/>
            <w:vAlign w:val="center"/>
            <w:hideMark/>
          </w:tcPr>
          <w:p w14:paraId="43731BB4" w14:textId="77777777" w:rsidR="00443002" w:rsidRPr="001E4038" w:rsidRDefault="00443002" w:rsidP="00443002">
            <w:pPr>
              <w:spacing w:after="0" w:line="240" w:lineRule="auto"/>
              <w:rPr>
                <w:sz w:val="18"/>
                <w:szCs w:val="20"/>
                <w:lang w:eastAsia="en-GB"/>
              </w:rPr>
            </w:pPr>
            <w:r w:rsidRPr="001E4038">
              <w:rPr>
                <w:sz w:val="18"/>
                <w:szCs w:val="20"/>
                <w:lang w:eastAsia="en-GB"/>
              </w:rPr>
              <w:t>USA</w:t>
            </w:r>
          </w:p>
        </w:tc>
        <w:tc>
          <w:tcPr>
            <w:tcW w:w="851" w:type="dxa"/>
            <w:tcBorders>
              <w:top w:val="nil"/>
              <w:left w:val="nil"/>
              <w:bottom w:val="nil"/>
              <w:right w:val="nil"/>
            </w:tcBorders>
            <w:shd w:val="clear" w:color="auto" w:fill="auto"/>
            <w:noWrap/>
            <w:vAlign w:val="center"/>
            <w:hideMark/>
          </w:tcPr>
          <w:p w14:paraId="31FA92B8"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74DB7DDF"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11</w:t>
            </w:r>
          </w:p>
        </w:tc>
        <w:tc>
          <w:tcPr>
            <w:tcW w:w="1276" w:type="dxa"/>
            <w:tcBorders>
              <w:top w:val="nil"/>
              <w:left w:val="nil"/>
              <w:bottom w:val="nil"/>
              <w:right w:val="nil"/>
            </w:tcBorders>
            <w:shd w:val="clear" w:color="auto" w:fill="auto"/>
            <w:noWrap/>
            <w:vAlign w:val="center"/>
            <w:hideMark/>
          </w:tcPr>
          <w:p w14:paraId="2378DCD5"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M=17.3</w:t>
            </w:r>
          </w:p>
        </w:tc>
        <w:tc>
          <w:tcPr>
            <w:tcW w:w="2835" w:type="dxa"/>
            <w:tcBorders>
              <w:top w:val="nil"/>
              <w:left w:val="nil"/>
              <w:bottom w:val="nil"/>
              <w:right w:val="nil"/>
            </w:tcBorders>
            <w:shd w:val="clear" w:color="auto" w:fill="auto"/>
            <w:noWrap/>
            <w:vAlign w:val="center"/>
            <w:hideMark/>
          </w:tcPr>
          <w:p w14:paraId="6EBCA4ED" w14:textId="77777777" w:rsidR="00443002" w:rsidRPr="001E4038" w:rsidRDefault="00443002" w:rsidP="00443002">
            <w:pPr>
              <w:spacing w:after="0" w:line="240" w:lineRule="auto"/>
              <w:rPr>
                <w:sz w:val="20"/>
                <w:szCs w:val="20"/>
                <w:lang w:eastAsia="en-GB"/>
              </w:rPr>
            </w:pPr>
            <w:r w:rsidRPr="001E4038">
              <w:rPr>
                <w:sz w:val="20"/>
                <w:szCs w:val="20"/>
                <w:lang w:eastAsia="en-GB"/>
              </w:rPr>
              <w:t>Analysis of patient records</w:t>
            </w:r>
          </w:p>
        </w:tc>
        <w:tc>
          <w:tcPr>
            <w:tcW w:w="3118" w:type="dxa"/>
            <w:gridSpan w:val="2"/>
            <w:tcBorders>
              <w:top w:val="nil"/>
              <w:left w:val="nil"/>
              <w:bottom w:val="nil"/>
              <w:right w:val="nil"/>
            </w:tcBorders>
            <w:shd w:val="clear" w:color="auto" w:fill="auto"/>
            <w:noWrap/>
            <w:vAlign w:val="center"/>
            <w:hideMark/>
          </w:tcPr>
          <w:p w14:paraId="56101839"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cannabinoid users</w:t>
            </w:r>
          </w:p>
        </w:tc>
        <w:tc>
          <w:tcPr>
            <w:tcW w:w="851" w:type="dxa"/>
            <w:tcBorders>
              <w:top w:val="nil"/>
              <w:left w:val="nil"/>
              <w:bottom w:val="nil"/>
              <w:right w:val="nil"/>
            </w:tcBorders>
            <w:vAlign w:val="center"/>
          </w:tcPr>
          <w:p w14:paraId="427E33ED"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7E9AD02E"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34666498" w14:textId="77777777" w:rsidTr="00443002">
        <w:trPr>
          <w:trHeight w:val="508"/>
        </w:trPr>
        <w:tc>
          <w:tcPr>
            <w:tcW w:w="466" w:type="dxa"/>
            <w:tcBorders>
              <w:top w:val="nil"/>
              <w:left w:val="nil"/>
              <w:bottom w:val="nil"/>
              <w:right w:val="nil"/>
            </w:tcBorders>
            <w:shd w:val="clear" w:color="auto" w:fill="auto"/>
            <w:noWrap/>
            <w:vAlign w:val="center"/>
          </w:tcPr>
          <w:p w14:paraId="4556E9AC" w14:textId="77777777" w:rsidR="00443002" w:rsidRPr="001E4038" w:rsidRDefault="00443002" w:rsidP="00443002">
            <w:pPr>
              <w:spacing w:after="0" w:line="240" w:lineRule="auto"/>
              <w:rPr>
                <w:b/>
                <w:sz w:val="20"/>
                <w:szCs w:val="20"/>
                <w:lang w:eastAsia="en-GB"/>
              </w:rPr>
            </w:pPr>
            <w:r w:rsidRPr="001E4038">
              <w:rPr>
                <w:b/>
                <w:sz w:val="20"/>
                <w:szCs w:val="20"/>
                <w:lang w:eastAsia="en-GB"/>
              </w:rPr>
              <w:t>10.</w:t>
            </w:r>
          </w:p>
        </w:tc>
        <w:tc>
          <w:tcPr>
            <w:tcW w:w="660" w:type="dxa"/>
            <w:tcBorders>
              <w:top w:val="nil"/>
              <w:left w:val="nil"/>
              <w:bottom w:val="nil"/>
              <w:right w:val="nil"/>
            </w:tcBorders>
            <w:shd w:val="clear" w:color="auto" w:fill="auto"/>
            <w:noWrap/>
            <w:vAlign w:val="center"/>
            <w:hideMark/>
          </w:tcPr>
          <w:p w14:paraId="324F4BFE"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27232751"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Every-Palmer </w:t>
            </w:r>
          </w:p>
        </w:tc>
        <w:tc>
          <w:tcPr>
            <w:tcW w:w="992" w:type="dxa"/>
            <w:gridSpan w:val="2"/>
            <w:tcBorders>
              <w:top w:val="nil"/>
              <w:left w:val="nil"/>
              <w:bottom w:val="nil"/>
              <w:right w:val="nil"/>
            </w:tcBorders>
            <w:shd w:val="clear" w:color="auto" w:fill="auto"/>
            <w:noWrap/>
            <w:vAlign w:val="center"/>
            <w:hideMark/>
          </w:tcPr>
          <w:p w14:paraId="0AA81250" w14:textId="77777777" w:rsidR="00443002" w:rsidRPr="001E4038" w:rsidRDefault="00443002" w:rsidP="00443002">
            <w:pPr>
              <w:spacing w:after="0" w:line="240" w:lineRule="auto"/>
              <w:rPr>
                <w:sz w:val="18"/>
                <w:szCs w:val="20"/>
                <w:lang w:eastAsia="en-GB"/>
              </w:rPr>
            </w:pPr>
            <w:r w:rsidRPr="001E4038">
              <w:rPr>
                <w:sz w:val="18"/>
                <w:szCs w:val="20"/>
                <w:lang w:eastAsia="en-GB"/>
              </w:rPr>
              <w:t>NZL</w:t>
            </w:r>
          </w:p>
        </w:tc>
        <w:tc>
          <w:tcPr>
            <w:tcW w:w="851" w:type="dxa"/>
            <w:tcBorders>
              <w:top w:val="nil"/>
              <w:left w:val="nil"/>
              <w:bottom w:val="nil"/>
              <w:right w:val="nil"/>
            </w:tcBorders>
            <w:shd w:val="clear" w:color="auto" w:fill="auto"/>
            <w:noWrap/>
            <w:vAlign w:val="center"/>
            <w:hideMark/>
          </w:tcPr>
          <w:p w14:paraId="6CD35044"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01BB2C4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15</w:t>
            </w:r>
          </w:p>
        </w:tc>
        <w:tc>
          <w:tcPr>
            <w:tcW w:w="1276" w:type="dxa"/>
            <w:tcBorders>
              <w:top w:val="nil"/>
              <w:left w:val="nil"/>
              <w:bottom w:val="nil"/>
              <w:right w:val="nil"/>
            </w:tcBorders>
            <w:shd w:val="clear" w:color="auto" w:fill="auto"/>
            <w:noWrap/>
            <w:vAlign w:val="center"/>
            <w:hideMark/>
          </w:tcPr>
          <w:p w14:paraId="049F5986"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M=34</w:t>
            </w:r>
          </w:p>
        </w:tc>
        <w:tc>
          <w:tcPr>
            <w:tcW w:w="2835" w:type="dxa"/>
            <w:tcBorders>
              <w:top w:val="nil"/>
              <w:left w:val="nil"/>
              <w:bottom w:val="nil"/>
              <w:right w:val="nil"/>
            </w:tcBorders>
            <w:shd w:val="clear" w:color="auto" w:fill="auto"/>
            <w:noWrap/>
            <w:vAlign w:val="center"/>
            <w:hideMark/>
          </w:tcPr>
          <w:p w14:paraId="703A0B19" w14:textId="77777777" w:rsidR="00443002" w:rsidRPr="001E4038" w:rsidRDefault="00443002" w:rsidP="00443002">
            <w:pPr>
              <w:spacing w:after="0" w:line="240" w:lineRule="auto"/>
              <w:rPr>
                <w:sz w:val="20"/>
                <w:szCs w:val="20"/>
                <w:lang w:eastAsia="en-GB"/>
              </w:rPr>
            </w:pPr>
            <w:r w:rsidRPr="001E4038">
              <w:rPr>
                <w:sz w:val="20"/>
                <w:szCs w:val="20"/>
                <w:lang w:eastAsia="en-GB"/>
              </w:rPr>
              <w:t>Semi-structured interviews</w:t>
            </w:r>
          </w:p>
        </w:tc>
        <w:tc>
          <w:tcPr>
            <w:tcW w:w="3118" w:type="dxa"/>
            <w:gridSpan w:val="2"/>
            <w:tcBorders>
              <w:top w:val="nil"/>
              <w:left w:val="nil"/>
              <w:bottom w:val="nil"/>
              <w:right w:val="nil"/>
            </w:tcBorders>
            <w:shd w:val="clear" w:color="auto" w:fill="auto"/>
            <w:noWrap/>
            <w:vAlign w:val="center"/>
            <w:hideMark/>
          </w:tcPr>
          <w:p w14:paraId="7DC8AF5C" w14:textId="77777777" w:rsidR="00443002" w:rsidRPr="001E4038" w:rsidRDefault="00443002" w:rsidP="00443002">
            <w:pPr>
              <w:spacing w:after="0" w:line="240" w:lineRule="auto"/>
              <w:rPr>
                <w:sz w:val="20"/>
                <w:szCs w:val="20"/>
                <w:lang w:eastAsia="en-GB"/>
              </w:rPr>
            </w:pPr>
            <w:r w:rsidRPr="001E4038">
              <w:rPr>
                <w:sz w:val="20"/>
                <w:szCs w:val="20"/>
                <w:lang w:eastAsia="en-GB"/>
              </w:rPr>
              <w:t>Patients with history of psychosis</w:t>
            </w:r>
          </w:p>
        </w:tc>
        <w:tc>
          <w:tcPr>
            <w:tcW w:w="851" w:type="dxa"/>
            <w:tcBorders>
              <w:top w:val="nil"/>
              <w:left w:val="nil"/>
              <w:bottom w:val="nil"/>
              <w:right w:val="nil"/>
            </w:tcBorders>
            <w:vAlign w:val="center"/>
          </w:tcPr>
          <w:p w14:paraId="16FC6611"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6BE46793"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65473564" w14:textId="77777777" w:rsidTr="00443002">
        <w:trPr>
          <w:trHeight w:val="508"/>
        </w:trPr>
        <w:tc>
          <w:tcPr>
            <w:tcW w:w="466" w:type="dxa"/>
            <w:tcBorders>
              <w:top w:val="nil"/>
              <w:left w:val="nil"/>
              <w:bottom w:val="nil"/>
              <w:right w:val="nil"/>
            </w:tcBorders>
            <w:shd w:val="clear" w:color="auto" w:fill="auto"/>
            <w:noWrap/>
            <w:vAlign w:val="center"/>
          </w:tcPr>
          <w:p w14:paraId="572DEE2A" w14:textId="77777777" w:rsidR="00443002" w:rsidRPr="001E4038" w:rsidRDefault="00443002" w:rsidP="00443002">
            <w:pPr>
              <w:spacing w:after="0" w:line="240" w:lineRule="auto"/>
              <w:rPr>
                <w:b/>
                <w:sz w:val="20"/>
                <w:szCs w:val="20"/>
                <w:lang w:eastAsia="en-GB"/>
              </w:rPr>
            </w:pPr>
            <w:r w:rsidRPr="001E4038">
              <w:rPr>
                <w:b/>
                <w:sz w:val="20"/>
                <w:szCs w:val="20"/>
                <w:lang w:eastAsia="en-GB"/>
              </w:rPr>
              <w:t>11.</w:t>
            </w:r>
          </w:p>
        </w:tc>
        <w:tc>
          <w:tcPr>
            <w:tcW w:w="660" w:type="dxa"/>
            <w:tcBorders>
              <w:top w:val="nil"/>
              <w:left w:val="nil"/>
              <w:bottom w:val="nil"/>
              <w:right w:val="nil"/>
            </w:tcBorders>
            <w:shd w:val="clear" w:color="auto" w:fill="auto"/>
            <w:noWrap/>
            <w:vAlign w:val="center"/>
            <w:hideMark/>
          </w:tcPr>
          <w:p w14:paraId="18169E06"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36B8FAB6" w14:textId="77777777" w:rsidR="00443002" w:rsidRPr="001E4038" w:rsidRDefault="00443002" w:rsidP="00443002">
            <w:pPr>
              <w:spacing w:after="0" w:line="240" w:lineRule="auto"/>
              <w:rPr>
                <w:sz w:val="20"/>
                <w:szCs w:val="20"/>
                <w:lang w:eastAsia="en-GB"/>
              </w:rPr>
            </w:pPr>
            <w:r w:rsidRPr="001E4038">
              <w:rPr>
                <w:sz w:val="20"/>
                <w:szCs w:val="20"/>
                <w:lang w:eastAsia="en-GB"/>
              </w:rPr>
              <w:t>Kelleher et. al.</w:t>
            </w:r>
          </w:p>
        </w:tc>
        <w:tc>
          <w:tcPr>
            <w:tcW w:w="992" w:type="dxa"/>
            <w:gridSpan w:val="2"/>
            <w:tcBorders>
              <w:top w:val="nil"/>
              <w:left w:val="nil"/>
              <w:bottom w:val="nil"/>
              <w:right w:val="nil"/>
            </w:tcBorders>
            <w:shd w:val="clear" w:color="auto" w:fill="auto"/>
            <w:noWrap/>
            <w:vAlign w:val="center"/>
            <w:hideMark/>
          </w:tcPr>
          <w:p w14:paraId="7176EA3C" w14:textId="77777777" w:rsidR="00443002" w:rsidRPr="001E4038" w:rsidRDefault="00443002" w:rsidP="00443002">
            <w:pPr>
              <w:spacing w:after="0" w:line="240" w:lineRule="auto"/>
              <w:rPr>
                <w:sz w:val="18"/>
                <w:szCs w:val="20"/>
                <w:lang w:eastAsia="en-GB"/>
              </w:rPr>
            </w:pPr>
            <w:r w:rsidRPr="001E4038">
              <w:rPr>
                <w:sz w:val="18"/>
                <w:szCs w:val="20"/>
                <w:lang w:eastAsia="en-GB"/>
              </w:rPr>
              <w:t>IRL</w:t>
            </w:r>
          </w:p>
        </w:tc>
        <w:tc>
          <w:tcPr>
            <w:tcW w:w="851" w:type="dxa"/>
            <w:tcBorders>
              <w:top w:val="nil"/>
              <w:left w:val="nil"/>
              <w:bottom w:val="nil"/>
              <w:right w:val="nil"/>
            </w:tcBorders>
            <w:shd w:val="clear" w:color="auto" w:fill="auto"/>
            <w:noWrap/>
            <w:vAlign w:val="center"/>
            <w:hideMark/>
          </w:tcPr>
          <w:p w14:paraId="7A0502FE"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2D50CC93"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329</w:t>
            </w:r>
          </w:p>
        </w:tc>
        <w:tc>
          <w:tcPr>
            <w:tcW w:w="1276" w:type="dxa"/>
            <w:tcBorders>
              <w:top w:val="nil"/>
              <w:left w:val="nil"/>
              <w:bottom w:val="nil"/>
              <w:right w:val="nil"/>
            </w:tcBorders>
            <w:shd w:val="clear" w:color="auto" w:fill="auto"/>
            <w:noWrap/>
            <w:vAlign w:val="center"/>
            <w:hideMark/>
          </w:tcPr>
          <w:p w14:paraId="0FC4F873"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16-58</w:t>
            </w:r>
          </w:p>
        </w:tc>
        <w:tc>
          <w:tcPr>
            <w:tcW w:w="2835" w:type="dxa"/>
            <w:tcBorders>
              <w:top w:val="nil"/>
              <w:left w:val="nil"/>
              <w:bottom w:val="nil"/>
              <w:right w:val="nil"/>
            </w:tcBorders>
            <w:shd w:val="clear" w:color="auto" w:fill="auto"/>
            <w:noWrap/>
            <w:vAlign w:val="center"/>
            <w:hideMark/>
          </w:tcPr>
          <w:p w14:paraId="127C0D7A"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nil"/>
              <w:right w:val="nil"/>
            </w:tcBorders>
            <w:shd w:val="clear" w:color="auto" w:fill="auto"/>
            <w:noWrap/>
            <w:vAlign w:val="center"/>
            <w:hideMark/>
          </w:tcPr>
          <w:p w14:paraId="3C1DAF8D"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 Legal high users </w:t>
            </w:r>
          </w:p>
        </w:tc>
        <w:tc>
          <w:tcPr>
            <w:tcW w:w="851" w:type="dxa"/>
            <w:tcBorders>
              <w:top w:val="nil"/>
              <w:left w:val="nil"/>
              <w:bottom w:val="nil"/>
              <w:right w:val="nil"/>
            </w:tcBorders>
            <w:vAlign w:val="center"/>
          </w:tcPr>
          <w:p w14:paraId="59E490D5"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309528B3"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74ED753C" w14:textId="77777777" w:rsidTr="00443002">
        <w:trPr>
          <w:trHeight w:val="508"/>
        </w:trPr>
        <w:tc>
          <w:tcPr>
            <w:tcW w:w="466" w:type="dxa"/>
            <w:tcBorders>
              <w:top w:val="nil"/>
              <w:left w:val="nil"/>
              <w:bottom w:val="nil"/>
              <w:right w:val="nil"/>
            </w:tcBorders>
            <w:shd w:val="clear" w:color="auto" w:fill="auto"/>
            <w:noWrap/>
            <w:vAlign w:val="center"/>
          </w:tcPr>
          <w:p w14:paraId="77D81969" w14:textId="77777777" w:rsidR="00443002" w:rsidRPr="001E4038" w:rsidRDefault="00443002" w:rsidP="00443002">
            <w:pPr>
              <w:spacing w:after="0" w:line="240" w:lineRule="auto"/>
              <w:rPr>
                <w:b/>
                <w:sz w:val="20"/>
                <w:szCs w:val="20"/>
                <w:lang w:eastAsia="en-GB"/>
              </w:rPr>
            </w:pPr>
            <w:r w:rsidRPr="001E4038">
              <w:rPr>
                <w:b/>
                <w:sz w:val="20"/>
                <w:szCs w:val="20"/>
                <w:lang w:eastAsia="en-GB"/>
              </w:rPr>
              <w:t>12.</w:t>
            </w:r>
          </w:p>
        </w:tc>
        <w:tc>
          <w:tcPr>
            <w:tcW w:w="660" w:type="dxa"/>
            <w:tcBorders>
              <w:top w:val="nil"/>
              <w:left w:val="nil"/>
              <w:bottom w:val="nil"/>
              <w:right w:val="nil"/>
            </w:tcBorders>
            <w:shd w:val="clear" w:color="auto" w:fill="auto"/>
            <w:noWrap/>
            <w:vAlign w:val="center"/>
            <w:hideMark/>
          </w:tcPr>
          <w:p w14:paraId="3853DA6A"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03EEE55C"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McElrath &amp; Van Hout </w:t>
            </w:r>
          </w:p>
        </w:tc>
        <w:tc>
          <w:tcPr>
            <w:tcW w:w="992" w:type="dxa"/>
            <w:gridSpan w:val="2"/>
            <w:tcBorders>
              <w:top w:val="nil"/>
              <w:left w:val="nil"/>
              <w:bottom w:val="nil"/>
              <w:right w:val="nil"/>
            </w:tcBorders>
            <w:shd w:val="clear" w:color="auto" w:fill="auto"/>
            <w:noWrap/>
            <w:vAlign w:val="center"/>
            <w:hideMark/>
          </w:tcPr>
          <w:p w14:paraId="7EE1AD85" w14:textId="77777777" w:rsidR="00443002" w:rsidRPr="001E4038" w:rsidRDefault="00443002" w:rsidP="00443002">
            <w:pPr>
              <w:spacing w:after="0" w:line="240" w:lineRule="auto"/>
              <w:rPr>
                <w:sz w:val="18"/>
                <w:szCs w:val="20"/>
                <w:lang w:eastAsia="en-GB"/>
              </w:rPr>
            </w:pPr>
            <w:r w:rsidRPr="001E4038">
              <w:rPr>
                <w:sz w:val="18"/>
                <w:szCs w:val="20"/>
                <w:lang w:eastAsia="en-GB"/>
              </w:rPr>
              <w:t>NI-IRL</w:t>
            </w:r>
          </w:p>
        </w:tc>
        <w:tc>
          <w:tcPr>
            <w:tcW w:w="851" w:type="dxa"/>
            <w:tcBorders>
              <w:top w:val="nil"/>
              <w:left w:val="nil"/>
              <w:bottom w:val="nil"/>
              <w:right w:val="nil"/>
            </w:tcBorders>
            <w:shd w:val="clear" w:color="auto" w:fill="auto"/>
            <w:noWrap/>
            <w:vAlign w:val="center"/>
            <w:hideMark/>
          </w:tcPr>
          <w:p w14:paraId="32CAC2E0" w14:textId="77777777" w:rsidR="00443002" w:rsidRPr="001E4038" w:rsidRDefault="00443002" w:rsidP="00443002">
            <w:pPr>
              <w:spacing w:after="0" w:line="240" w:lineRule="auto"/>
              <w:rPr>
                <w:sz w:val="20"/>
                <w:szCs w:val="20"/>
                <w:lang w:eastAsia="en-GB"/>
              </w:rPr>
            </w:pPr>
            <w:r w:rsidRPr="001E4038">
              <w:rPr>
                <w:sz w:val="20"/>
                <w:szCs w:val="20"/>
                <w:lang w:eastAsia="en-GB"/>
              </w:rPr>
              <w:t>Mixed</w:t>
            </w:r>
          </w:p>
        </w:tc>
        <w:tc>
          <w:tcPr>
            <w:tcW w:w="850" w:type="dxa"/>
            <w:tcBorders>
              <w:top w:val="nil"/>
              <w:left w:val="nil"/>
              <w:bottom w:val="nil"/>
              <w:right w:val="nil"/>
            </w:tcBorders>
            <w:shd w:val="clear" w:color="auto" w:fill="auto"/>
            <w:noWrap/>
            <w:vAlign w:val="center"/>
            <w:hideMark/>
          </w:tcPr>
          <w:p w14:paraId="27A2D315"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45</w:t>
            </w:r>
          </w:p>
        </w:tc>
        <w:tc>
          <w:tcPr>
            <w:tcW w:w="1276" w:type="dxa"/>
            <w:tcBorders>
              <w:top w:val="nil"/>
              <w:left w:val="nil"/>
              <w:bottom w:val="nil"/>
              <w:right w:val="nil"/>
            </w:tcBorders>
            <w:shd w:val="clear" w:color="auto" w:fill="auto"/>
            <w:noWrap/>
            <w:vAlign w:val="center"/>
            <w:hideMark/>
          </w:tcPr>
          <w:p w14:paraId="2C889FF3"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18-51</w:t>
            </w:r>
          </w:p>
        </w:tc>
        <w:tc>
          <w:tcPr>
            <w:tcW w:w="2835" w:type="dxa"/>
            <w:tcBorders>
              <w:top w:val="nil"/>
              <w:left w:val="nil"/>
              <w:bottom w:val="nil"/>
              <w:right w:val="nil"/>
            </w:tcBorders>
            <w:shd w:val="clear" w:color="auto" w:fill="auto"/>
            <w:noWrap/>
            <w:vAlign w:val="center"/>
            <w:hideMark/>
          </w:tcPr>
          <w:p w14:paraId="106D0685" w14:textId="77777777" w:rsidR="00443002" w:rsidRPr="001E4038" w:rsidRDefault="00443002" w:rsidP="00443002">
            <w:pPr>
              <w:spacing w:after="0" w:line="240" w:lineRule="auto"/>
              <w:rPr>
                <w:sz w:val="20"/>
                <w:szCs w:val="20"/>
                <w:lang w:eastAsia="en-GB"/>
              </w:rPr>
            </w:pPr>
            <w:r w:rsidRPr="001E4038">
              <w:rPr>
                <w:sz w:val="20"/>
                <w:szCs w:val="20"/>
                <w:lang w:eastAsia="en-GB"/>
              </w:rPr>
              <w:t>Semi-structured interviews</w:t>
            </w:r>
          </w:p>
        </w:tc>
        <w:tc>
          <w:tcPr>
            <w:tcW w:w="3118" w:type="dxa"/>
            <w:gridSpan w:val="2"/>
            <w:tcBorders>
              <w:top w:val="nil"/>
              <w:left w:val="nil"/>
              <w:bottom w:val="nil"/>
              <w:right w:val="nil"/>
            </w:tcBorders>
            <w:shd w:val="clear" w:color="auto" w:fill="auto"/>
            <w:noWrap/>
            <w:vAlign w:val="center"/>
            <w:hideMark/>
          </w:tcPr>
          <w:p w14:paraId="419FDC9B"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w:t>
            </w:r>
          </w:p>
        </w:tc>
        <w:tc>
          <w:tcPr>
            <w:tcW w:w="851" w:type="dxa"/>
            <w:tcBorders>
              <w:top w:val="nil"/>
              <w:left w:val="nil"/>
              <w:bottom w:val="nil"/>
              <w:right w:val="nil"/>
            </w:tcBorders>
            <w:vAlign w:val="center"/>
          </w:tcPr>
          <w:p w14:paraId="2CDEFA4E"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01354D91"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4ED0FDD3" w14:textId="77777777" w:rsidTr="00443002">
        <w:trPr>
          <w:trHeight w:val="508"/>
        </w:trPr>
        <w:tc>
          <w:tcPr>
            <w:tcW w:w="466" w:type="dxa"/>
            <w:tcBorders>
              <w:top w:val="nil"/>
              <w:left w:val="nil"/>
              <w:bottom w:val="nil"/>
              <w:right w:val="nil"/>
            </w:tcBorders>
            <w:shd w:val="clear" w:color="auto" w:fill="auto"/>
            <w:noWrap/>
            <w:vAlign w:val="center"/>
          </w:tcPr>
          <w:p w14:paraId="54B77C87" w14:textId="77777777" w:rsidR="00443002" w:rsidRPr="001E4038" w:rsidRDefault="00443002" w:rsidP="00443002">
            <w:pPr>
              <w:spacing w:after="0" w:line="240" w:lineRule="auto"/>
              <w:rPr>
                <w:b/>
                <w:sz w:val="20"/>
                <w:szCs w:val="20"/>
                <w:lang w:eastAsia="en-GB"/>
              </w:rPr>
            </w:pPr>
            <w:r w:rsidRPr="001E4038">
              <w:rPr>
                <w:b/>
                <w:sz w:val="20"/>
                <w:szCs w:val="20"/>
                <w:lang w:eastAsia="en-GB"/>
              </w:rPr>
              <w:t>13.</w:t>
            </w:r>
          </w:p>
        </w:tc>
        <w:tc>
          <w:tcPr>
            <w:tcW w:w="660" w:type="dxa"/>
            <w:tcBorders>
              <w:top w:val="nil"/>
              <w:left w:val="nil"/>
              <w:bottom w:val="nil"/>
              <w:right w:val="nil"/>
            </w:tcBorders>
            <w:shd w:val="clear" w:color="auto" w:fill="auto"/>
            <w:noWrap/>
            <w:vAlign w:val="center"/>
            <w:hideMark/>
          </w:tcPr>
          <w:p w14:paraId="1E31247B" w14:textId="77777777" w:rsidR="00443002" w:rsidRPr="001E4038" w:rsidRDefault="00443002" w:rsidP="00443002">
            <w:pPr>
              <w:spacing w:after="0" w:line="240" w:lineRule="auto"/>
              <w:rPr>
                <w:sz w:val="20"/>
                <w:szCs w:val="20"/>
                <w:lang w:eastAsia="en-GB"/>
              </w:rPr>
            </w:pPr>
            <w:r w:rsidRPr="001E4038">
              <w:rPr>
                <w:sz w:val="20"/>
                <w:szCs w:val="20"/>
                <w:lang w:eastAsia="en-GB"/>
              </w:rPr>
              <w:t>2011</w:t>
            </w:r>
          </w:p>
        </w:tc>
        <w:tc>
          <w:tcPr>
            <w:tcW w:w="2101" w:type="dxa"/>
            <w:tcBorders>
              <w:top w:val="nil"/>
              <w:left w:val="nil"/>
              <w:bottom w:val="nil"/>
              <w:right w:val="nil"/>
            </w:tcBorders>
            <w:shd w:val="clear" w:color="auto" w:fill="auto"/>
            <w:noWrap/>
            <w:vAlign w:val="center"/>
            <w:hideMark/>
          </w:tcPr>
          <w:p w14:paraId="5E514990" w14:textId="77777777" w:rsidR="00443002" w:rsidRPr="001E4038" w:rsidRDefault="00443002" w:rsidP="00443002">
            <w:pPr>
              <w:spacing w:after="0" w:line="240" w:lineRule="auto"/>
              <w:rPr>
                <w:sz w:val="20"/>
                <w:szCs w:val="20"/>
                <w:lang w:eastAsia="en-GB"/>
              </w:rPr>
            </w:pPr>
            <w:r w:rsidRPr="001E4038">
              <w:rPr>
                <w:sz w:val="20"/>
                <w:szCs w:val="20"/>
                <w:lang w:eastAsia="en-GB"/>
              </w:rPr>
              <w:t>Van Hout &amp; Brennan</w:t>
            </w:r>
          </w:p>
        </w:tc>
        <w:tc>
          <w:tcPr>
            <w:tcW w:w="992" w:type="dxa"/>
            <w:gridSpan w:val="2"/>
            <w:tcBorders>
              <w:top w:val="nil"/>
              <w:left w:val="nil"/>
              <w:bottom w:val="nil"/>
              <w:right w:val="nil"/>
            </w:tcBorders>
            <w:shd w:val="clear" w:color="auto" w:fill="auto"/>
            <w:noWrap/>
            <w:vAlign w:val="center"/>
            <w:hideMark/>
          </w:tcPr>
          <w:p w14:paraId="6F801312" w14:textId="77777777" w:rsidR="00443002" w:rsidRPr="001E4038" w:rsidRDefault="00443002" w:rsidP="00443002">
            <w:pPr>
              <w:spacing w:after="0" w:line="240" w:lineRule="auto"/>
              <w:rPr>
                <w:sz w:val="18"/>
                <w:szCs w:val="20"/>
                <w:lang w:eastAsia="en-GB"/>
              </w:rPr>
            </w:pPr>
            <w:r w:rsidRPr="001E4038">
              <w:rPr>
                <w:sz w:val="18"/>
                <w:szCs w:val="20"/>
                <w:lang w:eastAsia="en-GB"/>
              </w:rPr>
              <w:t>IRL</w:t>
            </w:r>
          </w:p>
        </w:tc>
        <w:tc>
          <w:tcPr>
            <w:tcW w:w="851" w:type="dxa"/>
            <w:tcBorders>
              <w:top w:val="nil"/>
              <w:left w:val="nil"/>
              <w:bottom w:val="nil"/>
              <w:right w:val="nil"/>
            </w:tcBorders>
            <w:shd w:val="clear" w:color="auto" w:fill="auto"/>
            <w:noWrap/>
            <w:vAlign w:val="center"/>
            <w:hideMark/>
          </w:tcPr>
          <w:p w14:paraId="1F6879C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061376EC"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32</w:t>
            </w:r>
          </w:p>
        </w:tc>
        <w:tc>
          <w:tcPr>
            <w:tcW w:w="1276" w:type="dxa"/>
            <w:tcBorders>
              <w:top w:val="nil"/>
              <w:left w:val="nil"/>
              <w:bottom w:val="nil"/>
              <w:right w:val="nil"/>
            </w:tcBorders>
            <w:shd w:val="clear" w:color="auto" w:fill="auto"/>
            <w:noWrap/>
            <w:vAlign w:val="center"/>
            <w:hideMark/>
          </w:tcPr>
          <w:p w14:paraId="33C5E9B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18-35</w:t>
            </w:r>
          </w:p>
        </w:tc>
        <w:tc>
          <w:tcPr>
            <w:tcW w:w="2835" w:type="dxa"/>
            <w:tcBorders>
              <w:top w:val="nil"/>
              <w:left w:val="nil"/>
              <w:bottom w:val="nil"/>
              <w:right w:val="nil"/>
            </w:tcBorders>
            <w:shd w:val="clear" w:color="auto" w:fill="auto"/>
            <w:noWrap/>
            <w:vAlign w:val="center"/>
            <w:hideMark/>
          </w:tcPr>
          <w:p w14:paraId="4AA4E5BB"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Semi-structured interviews </w:t>
            </w:r>
          </w:p>
        </w:tc>
        <w:tc>
          <w:tcPr>
            <w:tcW w:w="3118" w:type="dxa"/>
            <w:gridSpan w:val="2"/>
            <w:tcBorders>
              <w:top w:val="nil"/>
              <w:left w:val="nil"/>
              <w:bottom w:val="nil"/>
              <w:right w:val="nil"/>
            </w:tcBorders>
            <w:shd w:val="clear" w:color="auto" w:fill="auto"/>
            <w:noWrap/>
            <w:vAlign w:val="center"/>
            <w:hideMark/>
          </w:tcPr>
          <w:p w14:paraId="330E0A41"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Legal high users </w:t>
            </w:r>
          </w:p>
        </w:tc>
        <w:tc>
          <w:tcPr>
            <w:tcW w:w="851" w:type="dxa"/>
            <w:tcBorders>
              <w:top w:val="nil"/>
              <w:left w:val="nil"/>
              <w:bottom w:val="nil"/>
              <w:right w:val="nil"/>
            </w:tcBorders>
            <w:vAlign w:val="center"/>
          </w:tcPr>
          <w:p w14:paraId="3CAC38DA"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360DE9D9"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590A990A" w14:textId="77777777" w:rsidTr="00443002">
        <w:trPr>
          <w:trHeight w:val="508"/>
        </w:trPr>
        <w:tc>
          <w:tcPr>
            <w:tcW w:w="466" w:type="dxa"/>
            <w:tcBorders>
              <w:top w:val="nil"/>
              <w:left w:val="nil"/>
              <w:bottom w:val="nil"/>
              <w:right w:val="nil"/>
            </w:tcBorders>
            <w:shd w:val="clear" w:color="auto" w:fill="auto"/>
            <w:noWrap/>
            <w:vAlign w:val="center"/>
          </w:tcPr>
          <w:p w14:paraId="42A6793E" w14:textId="77777777" w:rsidR="00443002" w:rsidRPr="001E4038" w:rsidRDefault="00443002" w:rsidP="00443002">
            <w:pPr>
              <w:spacing w:after="0" w:line="240" w:lineRule="auto"/>
              <w:rPr>
                <w:b/>
                <w:sz w:val="20"/>
                <w:szCs w:val="20"/>
                <w:lang w:eastAsia="en-GB"/>
              </w:rPr>
            </w:pPr>
            <w:r w:rsidRPr="001E4038">
              <w:rPr>
                <w:b/>
                <w:sz w:val="20"/>
                <w:szCs w:val="20"/>
                <w:lang w:eastAsia="en-GB"/>
              </w:rPr>
              <w:t>14.</w:t>
            </w:r>
          </w:p>
        </w:tc>
        <w:tc>
          <w:tcPr>
            <w:tcW w:w="660" w:type="dxa"/>
            <w:tcBorders>
              <w:top w:val="nil"/>
              <w:left w:val="nil"/>
              <w:bottom w:val="nil"/>
              <w:right w:val="nil"/>
            </w:tcBorders>
            <w:shd w:val="clear" w:color="auto" w:fill="auto"/>
            <w:noWrap/>
            <w:vAlign w:val="center"/>
            <w:hideMark/>
          </w:tcPr>
          <w:p w14:paraId="07862774" w14:textId="77777777" w:rsidR="00443002" w:rsidRPr="001E4038" w:rsidRDefault="00443002" w:rsidP="00443002">
            <w:pPr>
              <w:spacing w:after="0" w:line="240" w:lineRule="auto"/>
              <w:rPr>
                <w:sz w:val="20"/>
                <w:szCs w:val="20"/>
                <w:lang w:eastAsia="en-GB"/>
              </w:rPr>
            </w:pPr>
            <w:r w:rsidRPr="001E4038">
              <w:rPr>
                <w:sz w:val="20"/>
                <w:szCs w:val="20"/>
                <w:lang w:eastAsia="en-GB"/>
              </w:rPr>
              <w:t>2012</w:t>
            </w:r>
          </w:p>
        </w:tc>
        <w:tc>
          <w:tcPr>
            <w:tcW w:w="2101" w:type="dxa"/>
            <w:tcBorders>
              <w:top w:val="nil"/>
              <w:left w:val="nil"/>
              <w:bottom w:val="nil"/>
              <w:right w:val="nil"/>
            </w:tcBorders>
            <w:shd w:val="clear" w:color="auto" w:fill="auto"/>
            <w:noWrap/>
            <w:vAlign w:val="center"/>
            <w:hideMark/>
          </w:tcPr>
          <w:p w14:paraId="40A43E25" w14:textId="57FBDF11" w:rsidR="00443002" w:rsidRPr="001E4038" w:rsidRDefault="00443002" w:rsidP="00443002">
            <w:pPr>
              <w:spacing w:after="0" w:line="240" w:lineRule="auto"/>
              <w:rPr>
                <w:sz w:val="20"/>
                <w:szCs w:val="20"/>
                <w:lang w:eastAsia="en-GB"/>
              </w:rPr>
            </w:pPr>
            <w:r w:rsidRPr="001E4038">
              <w:rPr>
                <w:sz w:val="20"/>
                <w:szCs w:val="20"/>
                <w:lang w:eastAsia="en-GB"/>
              </w:rPr>
              <w:t>Freeman et al.</w:t>
            </w:r>
            <w:r w:rsidR="004C4795">
              <w:rPr>
                <w:sz w:val="20"/>
                <w:szCs w:val="20"/>
                <w:lang w:eastAsia="en-GB"/>
              </w:rPr>
              <w:t>,</w:t>
            </w:r>
          </w:p>
        </w:tc>
        <w:tc>
          <w:tcPr>
            <w:tcW w:w="992" w:type="dxa"/>
            <w:gridSpan w:val="2"/>
            <w:tcBorders>
              <w:top w:val="nil"/>
              <w:left w:val="nil"/>
              <w:bottom w:val="nil"/>
              <w:right w:val="nil"/>
            </w:tcBorders>
            <w:shd w:val="clear" w:color="auto" w:fill="auto"/>
            <w:noWrap/>
            <w:vAlign w:val="center"/>
            <w:hideMark/>
          </w:tcPr>
          <w:p w14:paraId="77F0E356"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6F4E4889"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294197FF"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20</w:t>
            </w:r>
          </w:p>
        </w:tc>
        <w:tc>
          <w:tcPr>
            <w:tcW w:w="1276" w:type="dxa"/>
            <w:tcBorders>
              <w:top w:val="nil"/>
              <w:left w:val="nil"/>
              <w:bottom w:val="nil"/>
              <w:right w:val="nil"/>
            </w:tcBorders>
            <w:shd w:val="clear" w:color="auto" w:fill="auto"/>
            <w:noWrap/>
            <w:vAlign w:val="center"/>
            <w:hideMark/>
          </w:tcPr>
          <w:p w14:paraId="5470DE96"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M=21.6</w:t>
            </w:r>
          </w:p>
        </w:tc>
        <w:tc>
          <w:tcPr>
            <w:tcW w:w="2835" w:type="dxa"/>
            <w:tcBorders>
              <w:top w:val="nil"/>
              <w:left w:val="nil"/>
              <w:bottom w:val="nil"/>
              <w:right w:val="nil"/>
            </w:tcBorders>
            <w:shd w:val="clear" w:color="auto" w:fill="auto"/>
            <w:noWrap/>
            <w:vAlign w:val="center"/>
            <w:hideMark/>
          </w:tcPr>
          <w:p w14:paraId="09180F3D"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Questionnaire </w:t>
            </w:r>
          </w:p>
        </w:tc>
        <w:tc>
          <w:tcPr>
            <w:tcW w:w="3118" w:type="dxa"/>
            <w:gridSpan w:val="2"/>
            <w:tcBorders>
              <w:top w:val="nil"/>
              <w:left w:val="nil"/>
              <w:bottom w:val="nil"/>
              <w:right w:val="nil"/>
            </w:tcBorders>
            <w:shd w:val="clear" w:color="auto" w:fill="auto"/>
            <w:noWrap/>
            <w:vAlign w:val="center"/>
            <w:hideMark/>
          </w:tcPr>
          <w:p w14:paraId="7B0D5C77"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Mephedrone users  </w:t>
            </w:r>
          </w:p>
        </w:tc>
        <w:tc>
          <w:tcPr>
            <w:tcW w:w="851" w:type="dxa"/>
            <w:tcBorders>
              <w:top w:val="nil"/>
              <w:left w:val="nil"/>
              <w:bottom w:val="nil"/>
              <w:right w:val="nil"/>
            </w:tcBorders>
            <w:vAlign w:val="center"/>
          </w:tcPr>
          <w:p w14:paraId="4AA1421B"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2771EFD5"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4089AD0D" w14:textId="77777777" w:rsidTr="00516D5E">
        <w:trPr>
          <w:trHeight w:val="508"/>
        </w:trPr>
        <w:tc>
          <w:tcPr>
            <w:tcW w:w="466" w:type="dxa"/>
            <w:tcBorders>
              <w:top w:val="nil"/>
              <w:left w:val="nil"/>
              <w:right w:val="nil"/>
            </w:tcBorders>
            <w:shd w:val="clear" w:color="auto" w:fill="auto"/>
            <w:noWrap/>
            <w:vAlign w:val="center"/>
          </w:tcPr>
          <w:p w14:paraId="069E0C99" w14:textId="77777777" w:rsidR="00443002" w:rsidRPr="001E4038" w:rsidRDefault="00443002" w:rsidP="00443002">
            <w:pPr>
              <w:spacing w:after="0" w:line="240" w:lineRule="auto"/>
              <w:rPr>
                <w:b/>
                <w:sz w:val="20"/>
                <w:szCs w:val="20"/>
                <w:lang w:eastAsia="en-GB"/>
              </w:rPr>
            </w:pPr>
            <w:r w:rsidRPr="001E4038">
              <w:rPr>
                <w:b/>
                <w:sz w:val="20"/>
                <w:szCs w:val="20"/>
                <w:lang w:eastAsia="en-GB"/>
              </w:rPr>
              <w:t>15.</w:t>
            </w:r>
          </w:p>
        </w:tc>
        <w:tc>
          <w:tcPr>
            <w:tcW w:w="660" w:type="dxa"/>
            <w:tcBorders>
              <w:top w:val="nil"/>
              <w:left w:val="nil"/>
              <w:right w:val="nil"/>
            </w:tcBorders>
            <w:shd w:val="clear" w:color="auto" w:fill="auto"/>
            <w:noWrap/>
            <w:vAlign w:val="center"/>
            <w:hideMark/>
          </w:tcPr>
          <w:p w14:paraId="7855F5A3" w14:textId="77777777" w:rsidR="00443002" w:rsidRPr="001E4038" w:rsidRDefault="00443002" w:rsidP="00443002">
            <w:pPr>
              <w:spacing w:after="0" w:line="240" w:lineRule="auto"/>
              <w:rPr>
                <w:sz w:val="20"/>
                <w:szCs w:val="20"/>
                <w:lang w:eastAsia="en-GB"/>
              </w:rPr>
            </w:pPr>
            <w:r w:rsidRPr="001E4038">
              <w:rPr>
                <w:sz w:val="20"/>
                <w:szCs w:val="20"/>
                <w:lang w:eastAsia="en-GB"/>
              </w:rPr>
              <w:t>2012</w:t>
            </w:r>
          </w:p>
        </w:tc>
        <w:tc>
          <w:tcPr>
            <w:tcW w:w="2101" w:type="dxa"/>
            <w:tcBorders>
              <w:top w:val="nil"/>
              <w:left w:val="nil"/>
              <w:right w:val="nil"/>
            </w:tcBorders>
            <w:shd w:val="clear" w:color="auto" w:fill="auto"/>
            <w:noWrap/>
            <w:vAlign w:val="center"/>
            <w:hideMark/>
          </w:tcPr>
          <w:p w14:paraId="14BD66ED" w14:textId="77777777" w:rsidR="00443002" w:rsidRPr="001E4038" w:rsidRDefault="00443002" w:rsidP="00443002">
            <w:pPr>
              <w:spacing w:after="0" w:line="240" w:lineRule="auto"/>
              <w:rPr>
                <w:sz w:val="20"/>
                <w:szCs w:val="20"/>
                <w:lang w:eastAsia="en-GB"/>
              </w:rPr>
            </w:pPr>
            <w:r w:rsidRPr="001E4038">
              <w:rPr>
                <w:sz w:val="20"/>
                <w:szCs w:val="20"/>
                <w:lang w:eastAsia="en-GB"/>
              </w:rPr>
              <w:t>Van Hout &amp; Brennan</w:t>
            </w:r>
          </w:p>
        </w:tc>
        <w:tc>
          <w:tcPr>
            <w:tcW w:w="992" w:type="dxa"/>
            <w:gridSpan w:val="2"/>
            <w:tcBorders>
              <w:top w:val="nil"/>
              <w:left w:val="nil"/>
              <w:right w:val="nil"/>
            </w:tcBorders>
            <w:shd w:val="clear" w:color="auto" w:fill="auto"/>
            <w:noWrap/>
            <w:vAlign w:val="center"/>
            <w:hideMark/>
          </w:tcPr>
          <w:p w14:paraId="41225D8D" w14:textId="77777777" w:rsidR="00443002" w:rsidRPr="001E4038" w:rsidRDefault="00443002" w:rsidP="00443002">
            <w:pPr>
              <w:spacing w:after="0" w:line="240" w:lineRule="auto"/>
              <w:rPr>
                <w:sz w:val="18"/>
                <w:szCs w:val="20"/>
                <w:lang w:eastAsia="en-GB"/>
              </w:rPr>
            </w:pPr>
            <w:r w:rsidRPr="001E4038">
              <w:rPr>
                <w:sz w:val="18"/>
                <w:szCs w:val="20"/>
                <w:lang w:eastAsia="en-GB"/>
              </w:rPr>
              <w:t>NI-IRL</w:t>
            </w:r>
          </w:p>
        </w:tc>
        <w:tc>
          <w:tcPr>
            <w:tcW w:w="851" w:type="dxa"/>
            <w:tcBorders>
              <w:top w:val="nil"/>
              <w:left w:val="nil"/>
              <w:right w:val="nil"/>
            </w:tcBorders>
            <w:shd w:val="clear" w:color="auto" w:fill="auto"/>
            <w:noWrap/>
            <w:vAlign w:val="center"/>
            <w:hideMark/>
          </w:tcPr>
          <w:p w14:paraId="5E6BC0B0"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850" w:type="dxa"/>
            <w:tcBorders>
              <w:top w:val="nil"/>
              <w:left w:val="nil"/>
              <w:right w:val="nil"/>
            </w:tcBorders>
            <w:shd w:val="clear" w:color="auto" w:fill="auto"/>
            <w:noWrap/>
            <w:vAlign w:val="center"/>
            <w:hideMark/>
          </w:tcPr>
          <w:p w14:paraId="66CC114D"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22</w:t>
            </w:r>
          </w:p>
        </w:tc>
        <w:tc>
          <w:tcPr>
            <w:tcW w:w="1276" w:type="dxa"/>
            <w:tcBorders>
              <w:top w:val="nil"/>
              <w:left w:val="nil"/>
              <w:right w:val="nil"/>
            </w:tcBorders>
            <w:shd w:val="clear" w:color="auto" w:fill="auto"/>
            <w:noWrap/>
            <w:vAlign w:val="center"/>
            <w:hideMark/>
          </w:tcPr>
          <w:p w14:paraId="3DC0B05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18-35</w:t>
            </w:r>
          </w:p>
        </w:tc>
        <w:tc>
          <w:tcPr>
            <w:tcW w:w="2835" w:type="dxa"/>
            <w:tcBorders>
              <w:top w:val="nil"/>
              <w:left w:val="nil"/>
              <w:right w:val="nil"/>
            </w:tcBorders>
            <w:shd w:val="clear" w:color="auto" w:fill="auto"/>
            <w:noWrap/>
            <w:vAlign w:val="center"/>
            <w:hideMark/>
          </w:tcPr>
          <w:p w14:paraId="243A76CA" w14:textId="77777777" w:rsidR="00443002" w:rsidRPr="001E4038" w:rsidRDefault="00443002" w:rsidP="00443002">
            <w:pPr>
              <w:spacing w:after="0" w:line="240" w:lineRule="auto"/>
              <w:rPr>
                <w:sz w:val="20"/>
                <w:szCs w:val="20"/>
                <w:lang w:eastAsia="en-GB"/>
              </w:rPr>
            </w:pPr>
            <w:r w:rsidRPr="001E4038">
              <w:rPr>
                <w:sz w:val="20"/>
                <w:szCs w:val="20"/>
                <w:lang w:eastAsia="en-GB"/>
              </w:rPr>
              <w:t>Semi structured interviews</w:t>
            </w:r>
          </w:p>
        </w:tc>
        <w:tc>
          <w:tcPr>
            <w:tcW w:w="3118" w:type="dxa"/>
            <w:gridSpan w:val="2"/>
            <w:tcBorders>
              <w:top w:val="nil"/>
              <w:left w:val="nil"/>
              <w:right w:val="nil"/>
            </w:tcBorders>
            <w:shd w:val="clear" w:color="auto" w:fill="auto"/>
            <w:noWrap/>
            <w:vAlign w:val="center"/>
            <w:hideMark/>
          </w:tcPr>
          <w:p w14:paraId="71EBF427" w14:textId="77777777" w:rsidR="00443002" w:rsidRPr="001E4038" w:rsidRDefault="00443002" w:rsidP="00443002">
            <w:pPr>
              <w:spacing w:after="0" w:line="240" w:lineRule="auto"/>
              <w:rPr>
                <w:sz w:val="20"/>
                <w:szCs w:val="20"/>
                <w:lang w:eastAsia="en-GB"/>
              </w:rPr>
            </w:pPr>
            <w:r w:rsidRPr="001E4038">
              <w:rPr>
                <w:sz w:val="20"/>
                <w:szCs w:val="20"/>
                <w:lang w:eastAsia="en-GB"/>
              </w:rPr>
              <w:t>Mephedrone users</w:t>
            </w:r>
          </w:p>
        </w:tc>
        <w:tc>
          <w:tcPr>
            <w:tcW w:w="851" w:type="dxa"/>
            <w:tcBorders>
              <w:top w:val="nil"/>
              <w:left w:val="nil"/>
              <w:right w:val="nil"/>
            </w:tcBorders>
            <w:vAlign w:val="center"/>
          </w:tcPr>
          <w:p w14:paraId="04027508"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right w:val="nil"/>
            </w:tcBorders>
            <w:shd w:val="clear" w:color="auto" w:fill="auto"/>
            <w:noWrap/>
            <w:vAlign w:val="center"/>
            <w:hideMark/>
          </w:tcPr>
          <w:p w14:paraId="6D5066EE" w14:textId="77777777" w:rsidR="00443002" w:rsidRPr="001E4038" w:rsidRDefault="00443002" w:rsidP="00443002">
            <w:pPr>
              <w:spacing w:after="0" w:line="240" w:lineRule="auto"/>
              <w:rPr>
                <w:sz w:val="18"/>
                <w:szCs w:val="20"/>
                <w:lang w:eastAsia="en-GB"/>
              </w:rPr>
            </w:pPr>
            <w:r w:rsidRPr="001E4038">
              <w:rPr>
                <w:sz w:val="18"/>
                <w:szCs w:val="20"/>
                <w:lang w:eastAsia="en-GB"/>
              </w:rPr>
              <w:t>MC</w:t>
            </w:r>
          </w:p>
        </w:tc>
      </w:tr>
      <w:tr w:rsidR="00443002" w:rsidRPr="001E4038" w14:paraId="5C645277" w14:textId="77777777" w:rsidTr="00516D5E">
        <w:trPr>
          <w:trHeight w:val="508"/>
        </w:trPr>
        <w:tc>
          <w:tcPr>
            <w:tcW w:w="466" w:type="dxa"/>
            <w:tcBorders>
              <w:top w:val="nil"/>
              <w:left w:val="nil"/>
              <w:bottom w:val="single" w:sz="4" w:space="0" w:color="auto"/>
              <w:right w:val="nil"/>
            </w:tcBorders>
            <w:shd w:val="clear" w:color="auto" w:fill="auto"/>
            <w:noWrap/>
            <w:vAlign w:val="center"/>
          </w:tcPr>
          <w:p w14:paraId="7CC09779" w14:textId="77777777" w:rsidR="00443002" w:rsidRPr="001E4038" w:rsidRDefault="00443002" w:rsidP="00443002">
            <w:pPr>
              <w:spacing w:after="0" w:line="240" w:lineRule="auto"/>
              <w:rPr>
                <w:b/>
                <w:sz w:val="20"/>
                <w:szCs w:val="20"/>
                <w:lang w:eastAsia="en-GB"/>
              </w:rPr>
            </w:pPr>
            <w:r w:rsidRPr="001E4038">
              <w:rPr>
                <w:b/>
                <w:sz w:val="20"/>
                <w:szCs w:val="20"/>
                <w:lang w:eastAsia="en-GB"/>
              </w:rPr>
              <w:t>16.</w:t>
            </w:r>
          </w:p>
        </w:tc>
        <w:tc>
          <w:tcPr>
            <w:tcW w:w="660" w:type="dxa"/>
            <w:tcBorders>
              <w:top w:val="nil"/>
              <w:left w:val="nil"/>
              <w:bottom w:val="single" w:sz="4" w:space="0" w:color="auto"/>
              <w:right w:val="nil"/>
            </w:tcBorders>
            <w:shd w:val="clear" w:color="auto" w:fill="auto"/>
            <w:noWrap/>
            <w:vAlign w:val="center"/>
            <w:hideMark/>
          </w:tcPr>
          <w:p w14:paraId="037FEF4D" w14:textId="77777777" w:rsidR="00443002" w:rsidRPr="001E4038" w:rsidRDefault="00443002" w:rsidP="00443002">
            <w:pPr>
              <w:spacing w:after="0" w:line="240" w:lineRule="auto"/>
              <w:rPr>
                <w:sz w:val="20"/>
                <w:szCs w:val="20"/>
                <w:lang w:eastAsia="en-GB"/>
              </w:rPr>
            </w:pPr>
            <w:r w:rsidRPr="001E4038">
              <w:rPr>
                <w:sz w:val="20"/>
                <w:szCs w:val="20"/>
                <w:lang w:eastAsia="en-GB"/>
              </w:rPr>
              <w:t>2012</w:t>
            </w:r>
          </w:p>
        </w:tc>
        <w:tc>
          <w:tcPr>
            <w:tcW w:w="2101" w:type="dxa"/>
            <w:tcBorders>
              <w:top w:val="nil"/>
              <w:left w:val="nil"/>
              <w:bottom w:val="single" w:sz="4" w:space="0" w:color="auto"/>
              <w:right w:val="nil"/>
            </w:tcBorders>
            <w:shd w:val="clear" w:color="auto" w:fill="auto"/>
            <w:noWrap/>
            <w:vAlign w:val="center"/>
            <w:hideMark/>
          </w:tcPr>
          <w:p w14:paraId="5E0C17A4" w14:textId="77777777" w:rsidR="00443002" w:rsidRPr="001E4038" w:rsidRDefault="00443002" w:rsidP="00443002">
            <w:pPr>
              <w:spacing w:after="0" w:line="240" w:lineRule="auto"/>
              <w:rPr>
                <w:sz w:val="20"/>
                <w:szCs w:val="20"/>
                <w:lang w:eastAsia="en-GB"/>
              </w:rPr>
            </w:pPr>
            <w:r w:rsidRPr="001E4038">
              <w:rPr>
                <w:sz w:val="20"/>
                <w:szCs w:val="20"/>
                <w:lang w:eastAsia="en-GB"/>
              </w:rPr>
              <w:t>Vandrey et. al.</w:t>
            </w:r>
          </w:p>
        </w:tc>
        <w:tc>
          <w:tcPr>
            <w:tcW w:w="992" w:type="dxa"/>
            <w:gridSpan w:val="2"/>
            <w:tcBorders>
              <w:top w:val="nil"/>
              <w:left w:val="nil"/>
              <w:bottom w:val="single" w:sz="4" w:space="0" w:color="auto"/>
              <w:right w:val="nil"/>
            </w:tcBorders>
            <w:shd w:val="clear" w:color="auto" w:fill="auto"/>
            <w:noWrap/>
            <w:vAlign w:val="center"/>
            <w:hideMark/>
          </w:tcPr>
          <w:p w14:paraId="10F3D109" w14:textId="77777777" w:rsidR="00443002" w:rsidRPr="001E4038" w:rsidRDefault="00443002" w:rsidP="00443002">
            <w:pPr>
              <w:spacing w:after="0" w:line="240" w:lineRule="auto"/>
              <w:rPr>
                <w:sz w:val="18"/>
                <w:szCs w:val="20"/>
                <w:lang w:eastAsia="en-GB"/>
              </w:rPr>
            </w:pPr>
            <w:r w:rsidRPr="001E4038">
              <w:rPr>
                <w:sz w:val="18"/>
                <w:szCs w:val="20"/>
                <w:lang w:eastAsia="en-GB"/>
              </w:rPr>
              <w:t>INT</w:t>
            </w:r>
          </w:p>
        </w:tc>
        <w:tc>
          <w:tcPr>
            <w:tcW w:w="851" w:type="dxa"/>
            <w:tcBorders>
              <w:top w:val="nil"/>
              <w:left w:val="nil"/>
              <w:bottom w:val="single" w:sz="4" w:space="0" w:color="auto"/>
              <w:right w:val="nil"/>
            </w:tcBorders>
            <w:shd w:val="clear" w:color="auto" w:fill="auto"/>
            <w:noWrap/>
            <w:vAlign w:val="center"/>
            <w:hideMark/>
          </w:tcPr>
          <w:p w14:paraId="74A713AB"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single" w:sz="4" w:space="0" w:color="auto"/>
              <w:right w:val="nil"/>
            </w:tcBorders>
            <w:shd w:val="clear" w:color="auto" w:fill="auto"/>
            <w:noWrap/>
            <w:vAlign w:val="center"/>
            <w:hideMark/>
          </w:tcPr>
          <w:p w14:paraId="48AA7950"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168</w:t>
            </w:r>
          </w:p>
        </w:tc>
        <w:tc>
          <w:tcPr>
            <w:tcW w:w="1276" w:type="dxa"/>
            <w:tcBorders>
              <w:top w:val="nil"/>
              <w:left w:val="nil"/>
              <w:bottom w:val="single" w:sz="4" w:space="0" w:color="auto"/>
              <w:right w:val="nil"/>
            </w:tcBorders>
            <w:shd w:val="clear" w:color="auto" w:fill="auto"/>
            <w:noWrap/>
            <w:vAlign w:val="center"/>
            <w:hideMark/>
          </w:tcPr>
          <w:p w14:paraId="4EFCC502"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w:t>
            </w:r>
          </w:p>
        </w:tc>
        <w:tc>
          <w:tcPr>
            <w:tcW w:w="2835" w:type="dxa"/>
            <w:tcBorders>
              <w:top w:val="nil"/>
              <w:left w:val="nil"/>
              <w:bottom w:val="single" w:sz="4" w:space="0" w:color="auto"/>
              <w:right w:val="nil"/>
            </w:tcBorders>
            <w:shd w:val="clear" w:color="auto" w:fill="auto"/>
            <w:noWrap/>
            <w:vAlign w:val="center"/>
            <w:hideMark/>
          </w:tcPr>
          <w:p w14:paraId="521EBA7D"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single" w:sz="4" w:space="0" w:color="auto"/>
              <w:right w:val="nil"/>
            </w:tcBorders>
            <w:shd w:val="clear" w:color="auto" w:fill="auto"/>
            <w:noWrap/>
            <w:vAlign w:val="center"/>
            <w:hideMark/>
          </w:tcPr>
          <w:p w14:paraId="7FE5224D"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cannabinoid users</w:t>
            </w:r>
          </w:p>
        </w:tc>
        <w:tc>
          <w:tcPr>
            <w:tcW w:w="851" w:type="dxa"/>
            <w:tcBorders>
              <w:top w:val="nil"/>
              <w:left w:val="nil"/>
              <w:bottom w:val="single" w:sz="4" w:space="0" w:color="auto"/>
              <w:right w:val="nil"/>
            </w:tcBorders>
            <w:vAlign w:val="center"/>
          </w:tcPr>
          <w:p w14:paraId="1461DC76"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single" w:sz="4" w:space="0" w:color="auto"/>
              <w:right w:val="nil"/>
            </w:tcBorders>
            <w:shd w:val="clear" w:color="auto" w:fill="auto"/>
            <w:noWrap/>
            <w:vAlign w:val="center"/>
            <w:hideMark/>
          </w:tcPr>
          <w:p w14:paraId="09535158"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bl>
    <w:p w14:paraId="6B480C18" w14:textId="68458453" w:rsidR="00C72865" w:rsidRPr="00BC139F" w:rsidRDefault="00A3173D">
      <w:pPr>
        <w:rPr>
          <w:b/>
          <w:color w:val="4F81BD" w:themeColor="accent1"/>
        </w:rPr>
      </w:pPr>
      <w:r w:rsidRPr="005E0305">
        <w:rPr>
          <w:b/>
          <w:lang w:eastAsia="en-GB"/>
        </w:rPr>
        <w:t>Table 4-3. Studies included in the literature review - continued</w:t>
      </w:r>
    </w:p>
    <w:tbl>
      <w:tblPr>
        <w:tblpPr w:leftFromText="180" w:rightFromText="180" w:vertAnchor="text" w:horzAnchor="margin" w:tblpX="-459" w:tblpY="-216"/>
        <w:tblW w:w="14992" w:type="dxa"/>
        <w:tblLayout w:type="fixed"/>
        <w:tblLook w:val="04A0" w:firstRow="1" w:lastRow="0" w:firstColumn="1" w:lastColumn="0" w:noHBand="0" w:noVBand="1"/>
      </w:tblPr>
      <w:tblGrid>
        <w:gridCol w:w="466"/>
        <w:gridCol w:w="660"/>
        <w:gridCol w:w="2101"/>
        <w:gridCol w:w="709"/>
        <w:gridCol w:w="283"/>
        <w:gridCol w:w="851"/>
        <w:gridCol w:w="850"/>
        <w:gridCol w:w="1276"/>
        <w:gridCol w:w="2835"/>
        <w:gridCol w:w="2551"/>
        <w:gridCol w:w="567"/>
        <w:gridCol w:w="851"/>
        <w:gridCol w:w="992"/>
      </w:tblGrid>
      <w:tr w:rsidR="00443002" w:rsidRPr="001E4038" w14:paraId="5BC967AE" w14:textId="77777777" w:rsidTr="00C54D22">
        <w:trPr>
          <w:trHeight w:val="274"/>
        </w:trPr>
        <w:tc>
          <w:tcPr>
            <w:tcW w:w="466" w:type="dxa"/>
            <w:tcBorders>
              <w:top w:val="single" w:sz="4" w:space="0" w:color="auto"/>
            </w:tcBorders>
            <w:shd w:val="clear" w:color="auto" w:fill="auto"/>
            <w:noWrap/>
            <w:vAlign w:val="bottom"/>
          </w:tcPr>
          <w:p w14:paraId="70F41530" w14:textId="77777777" w:rsidR="00443002" w:rsidRPr="001E4038" w:rsidRDefault="00443002" w:rsidP="00443002">
            <w:pPr>
              <w:spacing w:after="0" w:line="240" w:lineRule="auto"/>
              <w:jc w:val="right"/>
              <w:rPr>
                <w:b/>
                <w:sz w:val="20"/>
                <w:szCs w:val="20"/>
                <w:lang w:eastAsia="en-GB"/>
              </w:rPr>
            </w:pPr>
          </w:p>
        </w:tc>
        <w:tc>
          <w:tcPr>
            <w:tcW w:w="660" w:type="dxa"/>
            <w:tcBorders>
              <w:top w:val="single" w:sz="4" w:space="0" w:color="auto"/>
            </w:tcBorders>
            <w:shd w:val="clear" w:color="auto" w:fill="auto"/>
            <w:noWrap/>
            <w:vAlign w:val="bottom"/>
            <w:hideMark/>
          </w:tcPr>
          <w:p w14:paraId="5EDDC3F4" w14:textId="77777777" w:rsidR="00443002" w:rsidRPr="001E4038" w:rsidRDefault="00443002" w:rsidP="00443002">
            <w:pPr>
              <w:spacing w:after="0" w:line="240" w:lineRule="auto"/>
              <w:jc w:val="right"/>
              <w:rPr>
                <w:sz w:val="20"/>
                <w:szCs w:val="20"/>
                <w:lang w:eastAsia="en-GB"/>
              </w:rPr>
            </w:pPr>
            <w:r w:rsidRPr="001E4038">
              <w:rPr>
                <w:b/>
                <w:sz w:val="20"/>
                <w:szCs w:val="20"/>
                <w:lang w:eastAsia="en-GB"/>
              </w:rPr>
              <w:t>Year</w:t>
            </w:r>
          </w:p>
        </w:tc>
        <w:tc>
          <w:tcPr>
            <w:tcW w:w="2101" w:type="dxa"/>
            <w:tcBorders>
              <w:top w:val="single" w:sz="4" w:space="0" w:color="auto"/>
            </w:tcBorders>
            <w:shd w:val="clear" w:color="auto" w:fill="auto"/>
            <w:noWrap/>
            <w:vAlign w:val="bottom"/>
            <w:hideMark/>
          </w:tcPr>
          <w:p w14:paraId="7CB348AB" w14:textId="77777777" w:rsidR="00443002" w:rsidRPr="001E4038" w:rsidRDefault="00443002" w:rsidP="00443002">
            <w:pPr>
              <w:spacing w:after="0" w:line="240" w:lineRule="auto"/>
              <w:rPr>
                <w:sz w:val="20"/>
                <w:szCs w:val="20"/>
                <w:lang w:eastAsia="en-GB"/>
              </w:rPr>
            </w:pPr>
            <w:r w:rsidRPr="001E4038">
              <w:rPr>
                <w:b/>
                <w:sz w:val="20"/>
                <w:szCs w:val="20"/>
                <w:lang w:eastAsia="en-GB"/>
              </w:rPr>
              <w:t>Authors</w:t>
            </w:r>
          </w:p>
        </w:tc>
        <w:tc>
          <w:tcPr>
            <w:tcW w:w="709" w:type="dxa"/>
            <w:tcBorders>
              <w:top w:val="single" w:sz="4" w:space="0" w:color="auto"/>
            </w:tcBorders>
            <w:shd w:val="clear" w:color="auto" w:fill="auto"/>
            <w:noWrap/>
            <w:vAlign w:val="bottom"/>
            <w:hideMark/>
          </w:tcPr>
          <w:p w14:paraId="04F7D0F2" w14:textId="77777777" w:rsidR="00443002" w:rsidRPr="001E4038" w:rsidRDefault="00443002" w:rsidP="00443002">
            <w:pPr>
              <w:spacing w:after="0" w:line="240" w:lineRule="auto"/>
              <w:rPr>
                <w:sz w:val="18"/>
                <w:szCs w:val="20"/>
                <w:lang w:eastAsia="en-GB"/>
              </w:rPr>
            </w:pPr>
            <w:r w:rsidRPr="001E4038">
              <w:rPr>
                <w:b/>
                <w:sz w:val="20"/>
                <w:szCs w:val="20"/>
                <w:lang w:eastAsia="en-GB"/>
              </w:rPr>
              <w:t>Co.</w:t>
            </w:r>
          </w:p>
        </w:tc>
        <w:tc>
          <w:tcPr>
            <w:tcW w:w="1984" w:type="dxa"/>
            <w:gridSpan w:val="3"/>
            <w:tcBorders>
              <w:top w:val="single" w:sz="4" w:space="0" w:color="auto"/>
            </w:tcBorders>
            <w:shd w:val="clear" w:color="auto" w:fill="auto"/>
            <w:noWrap/>
            <w:vAlign w:val="bottom"/>
            <w:hideMark/>
          </w:tcPr>
          <w:p w14:paraId="32177B1A" w14:textId="77777777" w:rsidR="00443002" w:rsidRPr="001E4038" w:rsidRDefault="00443002" w:rsidP="00443002">
            <w:pPr>
              <w:spacing w:after="0" w:line="240" w:lineRule="auto"/>
              <w:rPr>
                <w:sz w:val="20"/>
                <w:szCs w:val="20"/>
                <w:lang w:eastAsia="en-GB"/>
              </w:rPr>
            </w:pPr>
            <w:r w:rsidRPr="001E4038">
              <w:rPr>
                <w:b/>
                <w:sz w:val="20"/>
                <w:szCs w:val="20"/>
                <w:lang w:eastAsia="en-GB"/>
              </w:rPr>
              <w:t>Controlled          N</w:t>
            </w:r>
          </w:p>
        </w:tc>
        <w:tc>
          <w:tcPr>
            <w:tcW w:w="1276" w:type="dxa"/>
            <w:tcBorders>
              <w:top w:val="single" w:sz="4" w:space="0" w:color="auto"/>
            </w:tcBorders>
            <w:shd w:val="clear" w:color="auto" w:fill="auto"/>
            <w:noWrap/>
            <w:vAlign w:val="bottom"/>
            <w:hideMark/>
          </w:tcPr>
          <w:p w14:paraId="49DA6E36" w14:textId="77777777" w:rsidR="00443002" w:rsidRPr="001E4038" w:rsidRDefault="00443002" w:rsidP="00443002">
            <w:pPr>
              <w:spacing w:after="0" w:line="240" w:lineRule="auto"/>
              <w:jc w:val="right"/>
              <w:rPr>
                <w:sz w:val="20"/>
                <w:szCs w:val="20"/>
                <w:lang w:eastAsia="en-GB"/>
              </w:rPr>
            </w:pPr>
            <w:r w:rsidRPr="001E4038">
              <w:rPr>
                <w:b/>
                <w:sz w:val="20"/>
                <w:szCs w:val="20"/>
                <w:lang w:eastAsia="en-GB"/>
              </w:rPr>
              <w:t>Age</w:t>
            </w:r>
          </w:p>
        </w:tc>
        <w:tc>
          <w:tcPr>
            <w:tcW w:w="2835" w:type="dxa"/>
            <w:tcBorders>
              <w:top w:val="single" w:sz="4" w:space="0" w:color="auto"/>
            </w:tcBorders>
            <w:shd w:val="clear" w:color="auto" w:fill="auto"/>
            <w:noWrap/>
            <w:vAlign w:val="bottom"/>
          </w:tcPr>
          <w:p w14:paraId="5BC2D852" w14:textId="77777777" w:rsidR="00443002" w:rsidRPr="001E4038" w:rsidRDefault="00443002" w:rsidP="00443002">
            <w:pPr>
              <w:spacing w:after="0" w:line="240" w:lineRule="auto"/>
              <w:rPr>
                <w:sz w:val="20"/>
                <w:szCs w:val="20"/>
                <w:lang w:eastAsia="en-GB"/>
              </w:rPr>
            </w:pPr>
            <w:r w:rsidRPr="001E4038">
              <w:rPr>
                <w:b/>
                <w:sz w:val="20"/>
                <w:szCs w:val="20"/>
                <w:lang w:eastAsia="en-GB"/>
              </w:rPr>
              <w:t>Method</w:t>
            </w:r>
          </w:p>
        </w:tc>
        <w:tc>
          <w:tcPr>
            <w:tcW w:w="2551" w:type="dxa"/>
            <w:tcBorders>
              <w:top w:val="single" w:sz="4" w:space="0" w:color="auto"/>
            </w:tcBorders>
            <w:shd w:val="clear" w:color="auto" w:fill="auto"/>
            <w:noWrap/>
            <w:vAlign w:val="bottom"/>
          </w:tcPr>
          <w:p w14:paraId="5CF19F4C" w14:textId="77777777" w:rsidR="00443002" w:rsidRPr="001E4038" w:rsidRDefault="00443002" w:rsidP="00443002">
            <w:pPr>
              <w:spacing w:after="0" w:line="240" w:lineRule="auto"/>
              <w:rPr>
                <w:sz w:val="20"/>
                <w:szCs w:val="20"/>
                <w:lang w:eastAsia="en-GB"/>
              </w:rPr>
            </w:pPr>
            <w:r w:rsidRPr="001E4038">
              <w:rPr>
                <w:b/>
                <w:sz w:val="20"/>
                <w:szCs w:val="20"/>
                <w:lang w:eastAsia="en-GB"/>
              </w:rPr>
              <w:t>Population</w:t>
            </w:r>
          </w:p>
        </w:tc>
        <w:tc>
          <w:tcPr>
            <w:tcW w:w="1418" w:type="dxa"/>
            <w:gridSpan w:val="2"/>
            <w:tcBorders>
              <w:top w:val="single" w:sz="4" w:space="0" w:color="auto"/>
            </w:tcBorders>
            <w:vAlign w:val="bottom"/>
          </w:tcPr>
          <w:p w14:paraId="3C791AD3" w14:textId="77777777" w:rsidR="00443002" w:rsidRPr="001E4038" w:rsidRDefault="00443002" w:rsidP="00443002">
            <w:pPr>
              <w:spacing w:after="0" w:line="240" w:lineRule="auto"/>
              <w:rPr>
                <w:sz w:val="20"/>
                <w:szCs w:val="20"/>
                <w:lang w:eastAsia="en-GB"/>
              </w:rPr>
            </w:pPr>
            <w:r w:rsidRPr="001E4038">
              <w:rPr>
                <w:b/>
                <w:sz w:val="20"/>
                <w:szCs w:val="20"/>
                <w:lang w:eastAsia="en-GB"/>
              </w:rPr>
              <w:t>Open-ended</w:t>
            </w:r>
          </w:p>
        </w:tc>
        <w:tc>
          <w:tcPr>
            <w:tcW w:w="992" w:type="dxa"/>
            <w:tcBorders>
              <w:top w:val="single" w:sz="4" w:space="0" w:color="auto"/>
            </w:tcBorders>
            <w:shd w:val="clear" w:color="auto" w:fill="auto"/>
            <w:noWrap/>
            <w:vAlign w:val="bottom"/>
            <w:hideMark/>
          </w:tcPr>
          <w:p w14:paraId="0D06DFEE" w14:textId="77777777" w:rsidR="00443002" w:rsidRPr="001E4038" w:rsidRDefault="00443002" w:rsidP="00443002">
            <w:pPr>
              <w:spacing w:after="0" w:line="240" w:lineRule="auto"/>
              <w:rPr>
                <w:sz w:val="18"/>
                <w:szCs w:val="20"/>
                <w:lang w:eastAsia="en-GB"/>
              </w:rPr>
            </w:pPr>
            <w:r w:rsidRPr="001E4038">
              <w:rPr>
                <w:b/>
                <w:sz w:val="20"/>
                <w:szCs w:val="20"/>
                <w:lang w:eastAsia="en-GB"/>
              </w:rPr>
              <w:t>Drug</w:t>
            </w:r>
            <w:r w:rsidRPr="001E4038">
              <w:rPr>
                <w:b/>
                <w:sz w:val="20"/>
                <w:szCs w:val="20"/>
                <w:vertAlign w:val="superscript"/>
                <w:lang w:eastAsia="en-GB"/>
              </w:rPr>
              <w:t>1</w:t>
            </w:r>
          </w:p>
        </w:tc>
      </w:tr>
      <w:tr w:rsidR="00443002" w:rsidRPr="001E4038" w14:paraId="05EE6D2C" w14:textId="77777777" w:rsidTr="00C54D22">
        <w:trPr>
          <w:trHeight w:val="182"/>
        </w:trPr>
        <w:tc>
          <w:tcPr>
            <w:tcW w:w="466" w:type="dxa"/>
            <w:tcBorders>
              <w:bottom w:val="single" w:sz="4" w:space="0" w:color="auto"/>
            </w:tcBorders>
            <w:shd w:val="clear" w:color="auto" w:fill="auto"/>
            <w:noWrap/>
            <w:vAlign w:val="bottom"/>
          </w:tcPr>
          <w:p w14:paraId="589B5D38" w14:textId="77777777" w:rsidR="00443002" w:rsidRPr="001E4038" w:rsidRDefault="00443002" w:rsidP="00443002">
            <w:pPr>
              <w:spacing w:after="0" w:line="240" w:lineRule="auto"/>
              <w:jc w:val="right"/>
              <w:rPr>
                <w:b/>
                <w:sz w:val="20"/>
                <w:szCs w:val="20"/>
                <w:lang w:eastAsia="en-GB"/>
              </w:rPr>
            </w:pPr>
          </w:p>
        </w:tc>
        <w:tc>
          <w:tcPr>
            <w:tcW w:w="660" w:type="dxa"/>
            <w:tcBorders>
              <w:bottom w:val="single" w:sz="4" w:space="0" w:color="auto"/>
            </w:tcBorders>
            <w:shd w:val="clear" w:color="auto" w:fill="auto"/>
            <w:noWrap/>
            <w:vAlign w:val="bottom"/>
            <w:hideMark/>
          </w:tcPr>
          <w:p w14:paraId="5B541378" w14:textId="77777777" w:rsidR="00443002" w:rsidRPr="001E4038" w:rsidRDefault="00443002" w:rsidP="00443002">
            <w:pPr>
              <w:spacing w:after="0" w:line="240" w:lineRule="auto"/>
              <w:jc w:val="right"/>
              <w:rPr>
                <w:sz w:val="20"/>
                <w:szCs w:val="20"/>
                <w:lang w:eastAsia="en-GB"/>
              </w:rPr>
            </w:pPr>
          </w:p>
        </w:tc>
        <w:tc>
          <w:tcPr>
            <w:tcW w:w="2101" w:type="dxa"/>
            <w:tcBorders>
              <w:bottom w:val="single" w:sz="4" w:space="0" w:color="auto"/>
            </w:tcBorders>
            <w:shd w:val="clear" w:color="auto" w:fill="auto"/>
            <w:noWrap/>
            <w:vAlign w:val="bottom"/>
            <w:hideMark/>
          </w:tcPr>
          <w:p w14:paraId="437BD289" w14:textId="77777777" w:rsidR="00443002" w:rsidRPr="001E4038" w:rsidRDefault="00443002" w:rsidP="00443002">
            <w:pPr>
              <w:spacing w:after="0" w:line="240" w:lineRule="auto"/>
              <w:rPr>
                <w:sz w:val="20"/>
                <w:szCs w:val="20"/>
                <w:lang w:eastAsia="en-GB"/>
              </w:rPr>
            </w:pPr>
          </w:p>
        </w:tc>
        <w:tc>
          <w:tcPr>
            <w:tcW w:w="709" w:type="dxa"/>
            <w:tcBorders>
              <w:bottom w:val="single" w:sz="4" w:space="0" w:color="auto"/>
            </w:tcBorders>
            <w:shd w:val="clear" w:color="auto" w:fill="auto"/>
            <w:noWrap/>
            <w:vAlign w:val="bottom"/>
            <w:hideMark/>
          </w:tcPr>
          <w:p w14:paraId="0048B9D9" w14:textId="77777777" w:rsidR="00443002" w:rsidRPr="001E4038" w:rsidRDefault="00443002" w:rsidP="00443002">
            <w:pPr>
              <w:spacing w:after="0" w:line="240" w:lineRule="auto"/>
              <w:rPr>
                <w:sz w:val="18"/>
                <w:szCs w:val="20"/>
                <w:lang w:eastAsia="en-GB"/>
              </w:rPr>
            </w:pPr>
          </w:p>
        </w:tc>
        <w:tc>
          <w:tcPr>
            <w:tcW w:w="1984" w:type="dxa"/>
            <w:gridSpan w:val="3"/>
            <w:tcBorders>
              <w:bottom w:val="single" w:sz="4" w:space="0" w:color="auto"/>
            </w:tcBorders>
            <w:shd w:val="clear" w:color="auto" w:fill="auto"/>
            <w:noWrap/>
            <w:vAlign w:val="bottom"/>
            <w:hideMark/>
          </w:tcPr>
          <w:p w14:paraId="010E78C7" w14:textId="77777777" w:rsidR="00443002" w:rsidRPr="001E4038" w:rsidRDefault="00443002" w:rsidP="00443002">
            <w:pPr>
              <w:spacing w:after="0" w:line="240" w:lineRule="auto"/>
              <w:rPr>
                <w:sz w:val="20"/>
                <w:szCs w:val="20"/>
                <w:lang w:eastAsia="en-GB"/>
              </w:rPr>
            </w:pPr>
            <w:r w:rsidRPr="001E4038">
              <w:rPr>
                <w:b/>
                <w:sz w:val="20"/>
                <w:szCs w:val="20"/>
                <w:lang w:eastAsia="en-GB"/>
              </w:rPr>
              <w:t>substance</w:t>
            </w:r>
          </w:p>
        </w:tc>
        <w:tc>
          <w:tcPr>
            <w:tcW w:w="1276" w:type="dxa"/>
            <w:tcBorders>
              <w:bottom w:val="single" w:sz="4" w:space="0" w:color="auto"/>
            </w:tcBorders>
            <w:shd w:val="clear" w:color="auto" w:fill="auto"/>
            <w:noWrap/>
            <w:vAlign w:val="bottom"/>
            <w:hideMark/>
          </w:tcPr>
          <w:p w14:paraId="233C0D96" w14:textId="77777777" w:rsidR="00443002" w:rsidRPr="001E4038" w:rsidRDefault="00443002" w:rsidP="00443002">
            <w:pPr>
              <w:spacing w:after="0" w:line="240" w:lineRule="auto"/>
              <w:jc w:val="right"/>
              <w:rPr>
                <w:sz w:val="20"/>
                <w:szCs w:val="20"/>
                <w:lang w:eastAsia="en-GB"/>
              </w:rPr>
            </w:pPr>
          </w:p>
        </w:tc>
        <w:tc>
          <w:tcPr>
            <w:tcW w:w="2835" w:type="dxa"/>
            <w:tcBorders>
              <w:bottom w:val="single" w:sz="4" w:space="0" w:color="auto"/>
            </w:tcBorders>
            <w:shd w:val="clear" w:color="auto" w:fill="auto"/>
            <w:noWrap/>
            <w:vAlign w:val="bottom"/>
          </w:tcPr>
          <w:p w14:paraId="51E20A8C" w14:textId="77777777" w:rsidR="00443002" w:rsidRPr="001E4038" w:rsidRDefault="00443002" w:rsidP="00443002">
            <w:pPr>
              <w:spacing w:after="0" w:line="240" w:lineRule="auto"/>
              <w:rPr>
                <w:sz w:val="20"/>
                <w:szCs w:val="20"/>
                <w:lang w:eastAsia="en-GB"/>
              </w:rPr>
            </w:pPr>
          </w:p>
        </w:tc>
        <w:tc>
          <w:tcPr>
            <w:tcW w:w="2551" w:type="dxa"/>
            <w:tcBorders>
              <w:bottom w:val="single" w:sz="4" w:space="0" w:color="auto"/>
            </w:tcBorders>
            <w:shd w:val="clear" w:color="auto" w:fill="auto"/>
            <w:noWrap/>
            <w:vAlign w:val="bottom"/>
          </w:tcPr>
          <w:p w14:paraId="67BB6DDB" w14:textId="77777777" w:rsidR="00443002" w:rsidRPr="001E4038" w:rsidRDefault="00443002" w:rsidP="00443002">
            <w:pPr>
              <w:spacing w:after="0" w:line="240" w:lineRule="auto"/>
              <w:rPr>
                <w:sz w:val="20"/>
                <w:szCs w:val="20"/>
                <w:lang w:eastAsia="en-GB"/>
              </w:rPr>
            </w:pPr>
            <w:r w:rsidRPr="001E4038">
              <w:rPr>
                <w:b/>
                <w:sz w:val="20"/>
                <w:szCs w:val="20"/>
                <w:lang w:eastAsia="en-GB"/>
              </w:rPr>
              <w:t>sampled</w:t>
            </w:r>
          </w:p>
        </w:tc>
        <w:tc>
          <w:tcPr>
            <w:tcW w:w="1418" w:type="dxa"/>
            <w:gridSpan w:val="2"/>
            <w:tcBorders>
              <w:bottom w:val="single" w:sz="4" w:space="0" w:color="auto"/>
            </w:tcBorders>
            <w:vAlign w:val="bottom"/>
          </w:tcPr>
          <w:p w14:paraId="1C7251F6" w14:textId="77777777" w:rsidR="00443002" w:rsidRPr="001E4038" w:rsidRDefault="00443002" w:rsidP="00443002">
            <w:pPr>
              <w:spacing w:after="0" w:line="240" w:lineRule="auto"/>
              <w:rPr>
                <w:sz w:val="20"/>
                <w:szCs w:val="20"/>
                <w:lang w:eastAsia="en-GB"/>
              </w:rPr>
            </w:pPr>
            <w:r w:rsidRPr="001E4038">
              <w:rPr>
                <w:b/>
                <w:sz w:val="20"/>
                <w:szCs w:val="20"/>
                <w:lang w:eastAsia="en-GB"/>
              </w:rPr>
              <w:t>questioning</w:t>
            </w:r>
          </w:p>
        </w:tc>
        <w:tc>
          <w:tcPr>
            <w:tcW w:w="992" w:type="dxa"/>
            <w:tcBorders>
              <w:bottom w:val="single" w:sz="4" w:space="0" w:color="auto"/>
            </w:tcBorders>
            <w:shd w:val="clear" w:color="auto" w:fill="auto"/>
            <w:noWrap/>
            <w:vAlign w:val="bottom"/>
            <w:hideMark/>
          </w:tcPr>
          <w:p w14:paraId="68BF1751" w14:textId="77777777" w:rsidR="00443002" w:rsidRPr="001E4038" w:rsidRDefault="00443002" w:rsidP="00443002">
            <w:pPr>
              <w:spacing w:after="0" w:line="240" w:lineRule="auto"/>
              <w:rPr>
                <w:sz w:val="18"/>
                <w:szCs w:val="20"/>
                <w:lang w:eastAsia="en-GB"/>
              </w:rPr>
            </w:pPr>
            <w:r w:rsidRPr="001E4038">
              <w:rPr>
                <w:b/>
                <w:sz w:val="20"/>
                <w:szCs w:val="20"/>
                <w:lang w:eastAsia="en-GB"/>
              </w:rPr>
              <w:t>type</w:t>
            </w:r>
          </w:p>
        </w:tc>
      </w:tr>
      <w:tr w:rsidR="00516D5E" w:rsidRPr="001E4038" w14:paraId="77972975" w14:textId="77777777" w:rsidTr="00C54D22">
        <w:trPr>
          <w:trHeight w:val="508"/>
        </w:trPr>
        <w:tc>
          <w:tcPr>
            <w:tcW w:w="466" w:type="dxa"/>
            <w:tcBorders>
              <w:top w:val="single" w:sz="4" w:space="0" w:color="auto"/>
              <w:left w:val="nil"/>
              <w:right w:val="nil"/>
            </w:tcBorders>
            <w:shd w:val="clear" w:color="auto" w:fill="auto"/>
            <w:noWrap/>
            <w:vAlign w:val="center"/>
          </w:tcPr>
          <w:p w14:paraId="0DBA658A" w14:textId="77777777" w:rsidR="00516D5E" w:rsidRPr="001E4038" w:rsidRDefault="00516D5E" w:rsidP="00516D5E">
            <w:pPr>
              <w:spacing w:after="0" w:line="240" w:lineRule="auto"/>
              <w:rPr>
                <w:b/>
                <w:sz w:val="20"/>
                <w:szCs w:val="20"/>
                <w:lang w:eastAsia="en-GB"/>
              </w:rPr>
            </w:pPr>
            <w:r w:rsidRPr="001E4038">
              <w:rPr>
                <w:b/>
                <w:sz w:val="20"/>
                <w:szCs w:val="20"/>
                <w:lang w:eastAsia="en-GB"/>
              </w:rPr>
              <w:t>17.</w:t>
            </w:r>
          </w:p>
        </w:tc>
        <w:tc>
          <w:tcPr>
            <w:tcW w:w="660" w:type="dxa"/>
            <w:tcBorders>
              <w:top w:val="single" w:sz="4" w:space="0" w:color="auto"/>
              <w:left w:val="nil"/>
              <w:right w:val="nil"/>
            </w:tcBorders>
            <w:shd w:val="clear" w:color="auto" w:fill="auto"/>
            <w:noWrap/>
            <w:vAlign w:val="center"/>
            <w:hideMark/>
          </w:tcPr>
          <w:p w14:paraId="42D61A67" w14:textId="77777777" w:rsidR="00516D5E" w:rsidRPr="001E4038" w:rsidRDefault="00516D5E" w:rsidP="00516D5E">
            <w:pPr>
              <w:spacing w:after="0" w:line="240" w:lineRule="auto"/>
              <w:rPr>
                <w:sz w:val="20"/>
                <w:szCs w:val="20"/>
                <w:lang w:eastAsia="en-GB"/>
              </w:rPr>
            </w:pPr>
            <w:r w:rsidRPr="001E4038">
              <w:rPr>
                <w:sz w:val="20"/>
                <w:szCs w:val="20"/>
                <w:lang w:eastAsia="en-GB"/>
              </w:rPr>
              <w:t>2013</w:t>
            </w:r>
          </w:p>
        </w:tc>
        <w:tc>
          <w:tcPr>
            <w:tcW w:w="2101" w:type="dxa"/>
            <w:tcBorders>
              <w:top w:val="single" w:sz="4" w:space="0" w:color="auto"/>
              <w:left w:val="nil"/>
              <w:right w:val="nil"/>
            </w:tcBorders>
            <w:shd w:val="clear" w:color="auto" w:fill="auto"/>
            <w:noWrap/>
            <w:vAlign w:val="center"/>
            <w:hideMark/>
          </w:tcPr>
          <w:p w14:paraId="2ABFAEE5" w14:textId="77777777" w:rsidR="00516D5E" w:rsidRPr="001E4038" w:rsidRDefault="00516D5E" w:rsidP="00516D5E">
            <w:pPr>
              <w:spacing w:after="0" w:line="240" w:lineRule="auto"/>
              <w:rPr>
                <w:sz w:val="20"/>
                <w:szCs w:val="20"/>
                <w:lang w:eastAsia="en-GB"/>
              </w:rPr>
            </w:pPr>
            <w:r w:rsidRPr="001E4038">
              <w:rPr>
                <w:sz w:val="20"/>
                <w:szCs w:val="20"/>
                <w:lang w:eastAsia="en-GB"/>
              </w:rPr>
              <w:t xml:space="preserve">Barratt et. al. </w:t>
            </w:r>
          </w:p>
        </w:tc>
        <w:tc>
          <w:tcPr>
            <w:tcW w:w="992" w:type="dxa"/>
            <w:gridSpan w:val="2"/>
            <w:tcBorders>
              <w:top w:val="single" w:sz="4" w:space="0" w:color="auto"/>
              <w:left w:val="nil"/>
              <w:right w:val="nil"/>
            </w:tcBorders>
            <w:shd w:val="clear" w:color="auto" w:fill="auto"/>
            <w:noWrap/>
            <w:vAlign w:val="center"/>
            <w:hideMark/>
          </w:tcPr>
          <w:p w14:paraId="16A559FD" w14:textId="77777777" w:rsidR="00516D5E" w:rsidRPr="001E4038" w:rsidRDefault="00516D5E" w:rsidP="00516D5E">
            <w:pPr>
              <w:spacing w:after="0" w:line="240" w:lineRule="auto"/>
              <w:rPr>
                <w:sz w:val="18"/>
                <w:szCs w:val="20"/>
                <w:lang w:eastAsia="en-GB"/>
              </w:rPr>
            </w:pPr>
            <w:r w:rsidRPr="001E4038">
              <w:rPr>
                <w:sz w:val="18"/>
                <w:szCs w:val="20"/>
                <w:lang w:eastAsia="en-GB"/>
              </w:rPr>
              <w:t>AUS</w:t>
            </w:r>
          </w:p>
        </w:tc>
        <w:tc>
          <w:tcPr>
            <w:tcW w:w="851" w:type="dxa"/>
            <w:tcBorders>
              <w:top w:val="single" w:sz="4" w:space="0" w:color="auto"/>
              <w:left w:val="nil"/>
              <w:right w:val="nil"/>
            </w:tcBorders>
            <w:shd w:val="clear" w:color="auto" w:fill="auto"/>
            <w:noWrap/>
            <w:vAlign w:val="center"/>
            <w:hideMark/>
          </w:tcPr>
          <w:p w14:paraId="607A0DBC" w14:textId="77777777" w:rsidR="00516D5E" w:rsidRPr="001E4038" w:rsidRDefault="00516D5E" w:rsidP="00516D5E">
            <w:pPr>
              <w:spacing w:after="0" w:line="240" w:lineRule="auto"/>
              <w:rPr>
                <w:sz w:val="20"/>
                <w:szCs w:val="20"/>
                <w:lang w:eastAsia="en-GB"/>
              </w:rPr>
            </w:pPr>
            <w:r w:rsidRPr="001E4038">
              <w:rPr>
                <w:sz w:val="20"/>
                <w:szCs w:val="20"/>
                <w:lang w:eastAsia="en-GB"/>
              </w:rPr>
              <w:t>No</w:t>
            </w:r>
          </w:p>
        </w:tc>
        <w:tc>
          <w:tcPr>
            <w:tcW w:w="850" w:type="dxa"/>
            <w:tcBorders>
              <w:top w:val="single" w:sz="4" w:space="0" w:color="auto"/>
              <w:left w:val="nil"/>
              <w:right w:val="nil"/>
            </w:tcBorders>
            <w:shd w:val="clear" w:color="auto" w:fill="auto"/>
            <w:noWrap/>
            <w:vAlign w:val="center"/>
            <w:hideMark/>
          </w:tcPr>
          <w:p w14:paraId="456DC26F" w14:textId="77777777" w:rsidR="00516D5E" w:rsidRPr="001E4038" w:rsidRDefault="00516D5E" w:rsidP="00516D5E">
            <w:pPr>
              <w:spacing w:after="0" w:line="240" w:lineRule="auto"/>
              <w:jc w:val="right"/>
              <w:rPr>
                <w:sz w:val="20"/>
                <w:szCs w:val="20"/>
                <w:lang w:eastAsia="en-GB"/>
              </w:rPr>
            </w:pPr>
            <w:r w:rsidRPr="001E4038">
              <w:rPr>
                <w:sz w:val="20"/>
                <w:szCs w:val="20"/>
                <w:lang w:eastAsia="en-GB"/>
              </w:rPr>
              <w:t>316</w:t>
            </w:r>
          </w:p>
        </w:tc>
        <w:tc>
          <w:tcPr>
            <w:tcW w:w="1276" w:type="dxa"/>
            <w:tcBorders>
              <w:top w:val="single" w:sz="4" w:space="0" w:color="auto"/>
              <w:left w:val="nil"/>
              <w:right w:val="nil"/>
            </w:tcBorders>
            <w:shd w:val="clear" w:color="auto" w:fill="auto"/>
            <w:noWrap/>
            <w:vAlign w:val="center"/>
            <w:hideMark/>
          </w:tcPr>
          <w:p w14:paraId="1EC8EDB3" w14:textId="77777777" w:rsidR="00516D5E" w:rsidRPr="001E4038" w:rsidRDefault="00516D5E" w:rsidP="00516D5E">
            <w:pPr>
              <w:spacing w:after="0" w:line="240" w:lineRule="auto"/>
              <w:jc w:val="right"/>
              <w:rPr>
                <w:sz w:val="20"/>
                <w:szCs w:val="20"/>
                <w:lang w:eastAsia="en-GB"/>
              </w:rPr>
            </w:pPr>
            <w:r w:rsidRPr="001E4038">
              <w:rPr>
                <w:sz w:val="20"/>
                <w:szCs w:val="20"/>
                <w:lang w:eastAsia="en-GB"/>
              </w:rPr>
              <w:t>23-34</w:t>
            </w:r>
          </w:p>
        </w:tc>
        <w:tc>
          <w:tcPr>
            <w:tcW w:w="2835" w:type="dxa"/>
            <w:tcBorders>
              <w:top w:val="single" w:sz="4" w:space="0" w:color="auto"/>
              <w:left w:val="nil"/>
              <w:right w:val="nil"/>
            </w:tcBorders>
            <w:shd w:val="clear" w:color="auto" w:fill="auto"/>
            <w:noWrap/>
            <w:vAlign w:val="center"/>
            <w:hideMark/>
          </w:tcPr>
          <w:p w14:paraId="1D53A98C" w14:textId="77777777" w:rsidR="00516D5E" w:rsidRPr="001E4038" w:rsidRDefault="00516D5E" w:rsidP="00516D5E">
            <w:pPr>
              <w:spacing w:after="0" w:line="240" w:lineRule="auto"/>
              <w:rPr>
                <w:sz w:val="20"/>
                <w:szCs w:val="20"/>
                <w:lang w:eastAsia="en-GB"/>
              </w:rPr>
            </w:pPr>
            <w:r w:rsidRPr="001E4038">
              <w:rPr>
                <w:sz w:val="20"/>
                <w:szCs w:val="20"/>
                <w:lang w:eastAsia="en-GB"/>
              </w:rPr>
              <w:t>Online survey</w:t>
            </w:r>
          </w:p>
        </w:tc>
        <w:tc>
          <w:tcPr>
            <w:tcW w:w="3118" w:type="dxa"/>
            <w:gridSpan w:val="2"/>
            <w:tcBorders>
              <w:top w:val="single" w:sz="4" w:space="0" w:color="auto"/>
              <w:left w:val="nil"/>
              <w:right w:val="nil"/>
            </w:tcBorders>
            <w:shd w:val="clear" w:color="auto" w:fill="auto"/>
            <w:noWrap/>
            <w:vAlign w:val="center"/>
            <w:hideMark/>
          </w:tcPr>
          <w:p w14:paraId="2D9C1835" w14:textId="77777777" w:rsidR="00516D5E" w:rsidRPr="001E4038" w:rsidRDefault="00516D5E" w:rsidP="00516D5E">
            <w:pPr>
              <w:spacing w:after="0" w:line="240" w:lineRule="auto"/>
              <w:rPr>
                <w:sz w:val="20"/>
                <w:szCs w:val="20"/>
                <w:lang w:eastAsia="en-GB"/>
              </w:rPr>
            </w:pPr>
            <w:r w:rsidRPr="001E4038">
              <w:rPr>
                <w:sz w:val="20"/>
                <w:szCs w:val="20"/>
                <w:lang w:eastAsia="en-GB"/>
              </w:rPr>
              <w:t>Synthetic cannabinoid users</w:t>
            </w:r>
          </w:p>
        </w:tc>
        <w:tc>
          <w:tcPr>
            <w:tcW w:w="851" w:type="dxa"/>
            <w:tcBorders>
              <w:top w:val="single" w:sz="4" w:space="0" w:color="auto"/>
              <w:left w:val="nil"/>
              <w:right w:val="nil"/>
            </w:tcBorders>
            <w:vAlign w:val="center"/>
          </w:tcPr>
          <w:p w14:paraId="58597382" w14:textId="77777777" w:rsidR="00516D5E" w:rsidRPr="001E4038" w:rsidRDefault="00516D5E" w:rsidP="00516D5E">
            <w:pPr>
              <w:spacing w:after="0" w:line="240" w:lineRule="auto"/>
              <w:rPr>
                <w:sz w:val="20"/>
                <w:szCs w:val="20"/>
                <w:lang w:eastAsia="en-GB"/>
              </w:rPr>
            </w:pPr>
            <w:r w:rsidRPr="001E4038">
              <w:rPr>
                <w:sz w:val="20"/>
                <w:szCs w:val="20"/>
                <w:lang w:eastAsia="en-GB"/>
              </w:rPr>
              <w:t>Yes</w:t>
            </w:r>
          </w:p>
        </w:tc>
        <w:tc>
          <w:tcPr>
            <w:tcW w:w="992" w:type="dxa"/>
            <w:tcBorders>
              <w:top w:val="single" w:sz="4" w:space="0" w:color="auto"/>
              <w:left w:val="nil"/>
              <w:right w:val="nil"/>
            </w:tcBorders>
            <w:shd w:val="clear" w:color="auto" w:fill="auto"/>
            <w:noWrap/>
            <w:vAlign w:val="center"/>
            <w:hideMark/>
          </w:tcPr>
          <w:p w14:paraId="7AB11C4A" w14:textId="77777777" w:rsidR="00516D5E" w:rsidRPr="001E4038" w:rsidRDefault="00516D5E" w:rsidP="00516D5E">
            <w:pPr>
              <w:spacing w:after="0" w:line="240" w:lineRule="auto"/>
              <w:rPr>
                <w:sz w:val="18"/>
                <w:szCs w:val="20"/>
                <w:lang w:eastAsia="en-GB"/>
              </w:rPr>
            </w:pPr>
            <w:r w:rsidRPr="001E4038">
              <w:rPr>
                <w:sz w:val="18"/>
                <w:szCs w:val="20"/>
                <w:lang w:eastAsia="en-GB"/>
              </w:rPr>
              <w:t>SC</w:t>
            </w:r>
          </w:p>
        </w:tc>
      </w:tr>
      <w:tr w:rsidR="00C54D22" w:rsidRPr="00C54D22" w14:paraId="0D1CA982" w14:textId="77777777" w:rsidTr="00C54D22">
        <w:trPr>
          <w:trHeight w:val="508"/>
        </w:trPr>
        <w:tc>
          <w:tcPr>
            <w:tcW w:w="466" w:type="dxa"/>
            <w:tcBorders>
              <w:left w:val="nil"/>
              <w:bottom w:val="nil"/>
              <w:right w:val="nil"/>
            </w:tcBorders>
            <w:shd w:val="clear" w:color="auto" w:fill="auto"/>
            <w:noWrap/>
            <w:vAlign w:val="center"/>
          </w:tcPr>
          <w:p w14:paraId="3BA35B76" w14:textId="2C0A0551" w:rsidR="00C54D22" w:rsidRPr="00C54D22" w:rsidRDefault="00C54D22" w:rsidP="00443002">
            <w:pPr>
              <w:spacing w:after="0" w:line="240" w:lineRule="auto"/>
              <w:rPr>
                <w:sz w:val="20"/>
                <w:szCs w:val="20"/>
                <w:lang w:eastAsia="en-GB"/>
              </w:rPr>
            </w:pPr>
            <w:r w:rsidRPr="00C54D22">
              <w:rPr>
                <w:sz w:val="20"/>
                <w:szCs w:val="20"/>
                <w:lang w:eastAsia="en-GB"/>
              </w:rPr>
              <w:t>18.</w:t>
            </w:r>
          </w:p>
        </w:tc>
        <w:tc>
          <w:tcPr>
            <w:tcW w:w="660" w:type="dxa"/>
            <w:tcBorders>
              <w:left w:val="nil"/>
              <w:bottom w:val="nil"/>
              <w:right w:val="nil"/>
            </w:tcBorders>
            <w:shd w:val="clear" w:color="auto" w:fill="auto"/>
            <w:noWrap/>
            <w:vAlign w:val="center"/>
          </w:tcPr>
          <w:p w14:paraId="04F89CF5" w14:textId="475000CA" w:rsidR="00C54D22" w:rsidRPr="00C54D22" w:rsidRDefault="00C54D22" w:rsidP="00443002">
            <w:pPr>
              <w:spacing w:after="0" w:line="240" w:lineRule="auto"/>
              <w:rPr>
                <w:sz w:val="20"/>
                <w:szCs w:val="20"/>
                <w:lang w:eastAsia="en-GB"/>
              </w:rPr>
            </w:pPr>
            <w:r w:rsidRPr="00C54D22">
              <w:rPr>
                <w:sz w:val="20"/>
                <w:szCs w:val="20"/>
                <w:lang w:eastAsia="en-GB"/>
              </w:rPr>
              <w:t>2013</w:t>
            </w:r>
          </w:p>
        </w:tc>
        <w:tc>
          <w:tcPr>
            <w:tcW w:w="2101" w:type="dxa"/>
            <w:tcBorders>
              <w:left w:val="nil"/>
              <w:bottom w:val="nil"/>
              <w:right w:val="nil"/>
            </w:tcBorders>
            <w:shd w:val="clear" w:color="auto" w:fill="auto"/>
            <w:noWrap/>
            <w:vAlign w:val="center"/>
          </w:tcPr>
          <w:p w14:paraId="50AA035F" w14:textId="49E19A40" w:rsidR="00C54D22" w:rsidRPr="00C54D22" w:rsidRDefault="00C54D22" w:rsidP="00443002">
            <w:pPr>
              <w:spacing w:after="0" w:line="240" w:lineRule="auto"/>
              <w:rPr>
                <w:sz w:val="20"/>
                <w:szCs w:val="20"/>
                <w:lang w:eastAsia="en-GB"/>
              </w:rPr>
            </w:pPr>
            <w:r w:rsidRPr="00C54D22">
              <w:rPr>
                <w:sz w:val="20"/>
                <w:szCs w:val="20"/>
                <w:lang w:eastAsia="en-GB"/>
              </w:rPr>
              <w:t>Perroine et. al.</w:t>
            </w:r>
          </w:p>
        </w:tc>
        <w:tc>
          <w:tcPr>
            <w:tcW w:w="992" w:type="dxa"/>
            <w:gridSpan w:val="2"/>
            <w:tcBorders>
              <w:left w:val="nil"/>
              <w:bottom w:val="nil"/>
              <w:right w:val="nil"/>
            </w:tcBorders>
            <w:shd w:val="clear" w:color="auto" w:fill="auto"/>
            <w:noWrap/>
            <w:vAlign w:val="center"/>
          </w:tcPr>
          <w:p w14:paraId="25503F56" w14:textId="5504A506" w:rsidR="00C54D22" w:rsidRPr="00C54D22" w:rsidRDefault="00C54D22" w:rsidP="00443002">
            <w:pPr>
              <w:spacing w:after="0" w:line="240" w:lineRule="auto"/>
              <w:rPr>
                <w:sz w:val="18"/>
                <w:szCs w:val="20"/>
                <w:lang w:eastAsia="en-GB"/>
              </w:rPr>
            </w:pPr>
            <w:r w:rsidRPr="00C54D22">
              <w:rPr>
                <w:sz w:val="20"/>
                <w:szCs w:val="20"/>
                <w:lang w:eastAsia="en-GB"/>
              </w:rPr>
              <w:t>USA</w:t>
            </w:r>
          </w:p>
        </w:tc>
        <w:tc>
          <w:tcPr>
            <w:tcW w:w="851" w:type="dxa"/>
            <w:tcBorders>
              <w:left w:val="nil"/>
              <w:bottom w:val="nil"/>
              <w:right w:val="nil"/>
            </w:tcBorders>
            <w:shd w:val="clear" w:color="auto" w:fill="auto"/>
            <w:noWrap/>
            <w:vAlign w:val="center"/>
          </w:tcPr>
          <w:p w14:paraId="129A8855" w14:textId="32B49F99" w:rsidR="00C54D22" w:rsidRPr="00C54D22" w:rsidRDefault="00C54D22" w:rsidP="00443002">
            <w:pPr>
              <w:spacing w:after="0" w:line="240" w:lineRule="auto"/>
              <w:rPr>
                <w:sz w:val="20"/>
                <w:szCs w:val="20"/>
                <w:lang w:eastAsia="en-GB"/>
              </w:rPr>
            </w:pPr>
            <w:r w:rsidRPr="00C54D22">
              <w:rPr>
                <w:sz w:val="20"/>
                <w:szCs w:val="20"/>
                <w:lang w:eastAsia="en-GB"/>
              </w:rPr>
              <w:t>No</w:t>
            </w:r>
          </w:p>
        </w:tc>
        <w:tc>
          <w:tcPr>
            <w:tcW w:w="850" w:type="dxa"/>
            <w:tcBorders>
              <w:left w:val="nil"/>
              <w:bottom w:val="nil"/>
              <w:right w:val="nil"/>
            </w:tcBorders>
            <w:shd w:val="clear" w:color="auto" w:fill="auto"/>
            <w:noWrap/>
            <w:vAlign w:val="center"/>
          </w:tcPr>
          <w:p w14:paraId="4D6CE04C" w14:textId="58E62A71" w:rsidR="00C54D22" w:rsidRPr="00C54D22" w:rsidRDefault="00C54D22" w:rsidP="00443002">
            <w:pPr>
              <w:spacing w:after="0" w:line="240" w:lineRule="auto"/>
              <w:jc w:val="right"/>
              <w:rPr>
                <w:sz w:val="20"/>
                <w:szCs w:val="20"/>
                <w:lang w:eastAsia="en-GB"/>
              </w:rPr>
            </w:pPr>
            <w:r w:rsidRPr="00C54D22">
              <w:rPr>
                <w:sz w:val="20"/>
                <w:szCs w:val="20"/>
                <w:lang w:eastAsia="en-GB"/>
              </w:rPr>
              <w:t>25</w:t>
            </w:r>
          </w:p>
        </w:tc>
        <w:tc>
          <w:tcPr>
            <w:tcW w:w="1276" w:type="dxa"/>
            <w:tcBorders>
              <w:left w:val="nil"/>
              <w:bottom w:val="nil"/>
              <w:right w:val="nil"/>
            </w:tcBorders>
            <w:shd w:val="clear" w:color="auto" w:fill="auto"/>
            <w:noWrap/>
            <w:vAlign w:val="center"/>
          </w:tcPr>
          <w:p w14:paraId="64E59F05" w14:textId="3FAD5300" w:rsidR="00C54D22" w:rsidRPr="00C54D22" w:rsidRDefault="00C54D22" w:rsidP="00443002">
            <w:pPr>
              <w:spacing w:after="0" w:line="240" w:lineRule="auto"/>
              <w:jc w:val="right"/>
              <w:rPr>
                <w:sz w:val="20"/>
                <w:szCs w:val="20"/>
                <w:lang w:eastAsia="en-GB"/>
              </w:rPr>
            </w:pPr>
            <w:r w:rsidRPr="00C54D22">
              <w:rPr>
                <w:sz w:val="20"/>
                <w:szCs w:val="20"/>
                <w:lang w:eastAsia="en-GB"/>
              </w:rPr>
              <w:t>21 - 50</w:t>
            </w:r>
          </w:p>
        </w:tc>
        <w:tc>
          <w:tcPr>
            <w:tcW w:w="2835" w:type="dxa"/>
            <w:tcBorders>
              <w:left w:val="nil"/>
              <w:bottom w:val="nil"/>
              <w:right w:val="nil"/>
            </w:tcBorders>
            <w:shd w:val="clear" w:color="auto" w:fill="auto"/>
            <w:noWrap/>
            <w:vAlign w:val="center"/>
          </w:tcPr>
          <w:p w14:paraId="581273BB" w14:textId="44F7D467" w:rsidR="00C54D22" w:rsidRPr="00C54D22" w:rsidRDefault="00C54D22" w:rsidP="00443002">
            <w:pPr>
              <w:spacing w:after="0" w:line="240" w:lineRule="auto"/>
              <w:rPr>
                <w:sz w:val="20"/>
                <w:szCs w:val="20"/>
                <w:lang w:eastAsia="en-GB"/>
              </w:rPr>
            </w:pPr>
            <w:r w:rsidRPr="00C54D22">
              <w:rPr>
                <w:sz w:val="20"/>
                <w:szCs w:val="20"/>
                <w:lang w:eastAsia="en-GB"/>
              </w:rPr>
              <w:t>Semi-structured interviews</w:t>
            </w:r>
          </w:p>
        </w:tc>
        <w:tc>
          <w:tcPr>
            <w:tcW w:w="3118" w:type="dxa"/>
            <w:gridSpan w:val="2"/>
            <w:tcBorders>
              <w:left w:val="nil"/>
              <w:bottom w:val="nil"/>
              <w:right w:val="nil"/>
            </w:tcBorders>
            <w:shd w:val="clear" w:color="auto" w:fill="auto"/>
            <w:noWrap/>
            <w:vAlign w:val="center"/>
          </w:tcPr>
          <w:p w14:paraId="56EEC2DF" w14:textId="7ED9C53B" w:rsidR="00C54D22" w:rsidRPr="00C54D22" w:rsidRDefault="00C54D22" w:rsidP="00443002">
            <w:pPr>
              <w:spacing w:after="0" w:line="240" w:lineRule="auto"/>
              <w:rPr>
                <w:sz w:val="20"/>
                <w:szCs w:val="20"/>
                <w:lang w:eastAsia="en-GB"/>
              </w:rPr>
            </w:pPr>
            <w:r w:rsidRPr="00C54D22">
              <w:rPr>
                <w:sz w:val="20"/>
                <w:szCs w:val="20"/>
                <w:lang w:eastAsia="en-GB"/>
              </w:rPr>
              <w:t>Legal high users</w:t>
            </w:r>
          </w:p>
        </w:tc>
        <w:tc>
          <w:tcPr>
            <w:tcW w:w="851" w:type="dxa"/>
            <w:tcBorders>
              <w:left w:val="nil"/>
              <w:bottom w:val="nil"/>
              <w:right w:val="nil"/>
            </w:tcBorders>
            <w:vAlign w:val="center"/>
          </w:tcPr>
          <w:p w14:paraId="20B6BB1B" w14:textId="5E7F7E37" w:rsidR="00C54D22" w:rsidRPr="00C54D22" w:rsidRDefault="00C54D22" w:rsidP="00443002">
            <w:pPr>
              <w:spacing w:after="0" w:line="240" w:lineRule="auto"/>
              <w:rPr>
                <w:sz w:val="20"/>
                <w:szCs w:val="20"/>
                <w:lang w:eastAsia="en-GB"/>
              </w:rPr>
            </w:pPr>
            <w:r w:rsidRPr="00C54D22">
              <w:rPr>
                <w:sz w:val="20"/>
                <w:szCs w:val="20"/>
                <w:lang w:eastAsia="en-GB"/>
              </w:rPr>
              <w:t>Yes</w:t>
            </w:r>
          </w:p>
        </w:tc>
        <w:tc>
          <w:tcPr>
            <w:tcW w:w="992" w:type="dxa"/>
            <w:tcBorders>
              <w:left w:val="nil"/>
              <w:bottom w:val="nil"/>
              <w:right w:val="nil"/>
            </w:tcBorders>
            <w:shd w:val="clear" w:color="auto" w:fill="auto"/>
            <w:noWrap/>
            <w:vAlign w:val="center"/>
          </w:tcPr>
          <w:p w14:paraId="1D34C956" w14:textId="71880C73" w:rsidR="00C54D22" w:rsidRPr="00C54D22" w:rsidRDefault="00C54D22" w:rsidP="00443002">
            <w:pPr>
              <w:spacing w:after="0" w:line="240" w:lineRule="auto"/>
              <w:rPr>
                <w:sz w:val="18"/>
                <w:szCs w:val="20"/>
                <w:lang w:eastAsia="en-GB"/>
              </w:rPr>
            </w:pPr>
            <w:r w:rsidRPr="00C54D22">
              <w:rPr>
                <w:sz w:val="20"/>
                <w:szCs w:val="20"/>
                <w:lang w:eastAsia="en-GB"/>
              </w:rPr>
              <w:t>SC</w:t>
            </w:r>
          </w:p>
        </w:tc>
      </w:tr>
      <w:tr w:rsidR="00C54D22" w:rsidRPr="00C54D22" w14:paraId="3D41020E" w14:textId="77777777" w:rsidTr="00C54D22">
        <w:trPr>
          <w:trHeight w:val="508"/>
        </w:trPr>
        <w:tc>
          <w:tcPr>
            <w:tcW w:w="466" w:type="dxa"/>
            <w:tcBorders>
              <w:left w:val="nil"/>
              <w:bottom w:val="nil"/>
              <w:right w:val="nil"/>
            </w:tcBorders>
            <w:shd w:val="clear" w:color="auto" w:fill="auto"/>
            <w:noWrap/>
            <w:vAlign w:val="center"/>
          </w:tcPr>
          <w:p w14:paraId="1216E03C" w14:textId="2996769A" w:rsidR="00C54D22" w:rsidRPr="00C54D22" w:rsidRDefault="00C54D22" w:rsidP="00443002">
            <w:pPr>
              <w:spacing w:after="0" w:line="240" w:lineRule="auto"/>
              <w:rPr>
                <w:sz w:val="20"/>
                <w:szCs w:val="20"/>
                <w:lang w:eastAsia="en-GB"/>
              </w:rPr>
            </w:pPr>
            <w:r w:rsidRPr="00C54D22">
              <w:rPr>
                <w:sz w:val="20"/>
                <w:szCs w:val="20"/>
                <w:lang w:eastAsia="en-GB"/>
              </w:rPr>
              <w:t>19.</w:t>
            </w:r>
          </w:p>
        </w:tc>
        <w:tc>
          <w:tcPr>
            <w:tcW w:w="660" w:type="dxa"/>
            <w:tcBorders>
              <w:left w:val="nil"/>
              <w:bottom w:val="nil"/>
              <w:right w:val="nil"/>
            </w:tcBorders>
            <w:shd w:val="clear" w:color="auto" w:fill="auto"/>
            <w:noWrap/>
            <w:vAlign w:val="center"/>
          </w:tcPr>
          <w:p w14:paraId="12A50B48" w14:textId="40E0A0A4" w:rsidR="00C54D22" w:rsidRPr="00C54D22" w:rsidRDefault="00C54D22" w:rsidP="00443002">
            <w:pPr>
              <w:spacing w:after="0" w:line="240" w:lineRule="auto"/>
              <w:rPr>
                <w:sz w:val="20"/>
                <w:szCs w:val="20"/>
                <w:lang w:eastAsia="en-GB"/>
              </w:rPr>
            </w:pPr>
            <w:r w:rsidRPr="00C54D22">
              <w:rPr>
                <w:sz w:val="20"/>
                <w:szCs w:val="20"/>
                <w:lang w:eastAsia="en-GB"/>
              </w:rPr>
              <w:t>2013</w:t>
            </w:r>
          </w:p>
        </w:tc>
        <w:tc>
          <w:tcPr>
            <w:tcW w:w="2101" w:type="dxa"/>
            <w:tcBorders>
              <w:left w:val="nil"/>
              <w:bottom w:val="nil"/>
              <w:right w:val="nil"/>
            </w:tcBorders>
            <w:shd w:val="clear" w:color="auto" w:fill="auto"/>
            <w:noWrap/>
            <w:vAlign w:val="center"/>
          </w:tcPr>
          <w:p w14:paraId="60AE8672" w14:textId="1E513737" w:rsidR="00C54D22" w:rsidRPr="00C54D22" w:rsidRDefault="00C54D22" w:rsidP="00443002">
            <w:pPr>
              <w:spacing w:after="0" w:line="240" w:lineRule="auto"/>
              <w:rPr>
                <w:sz w:val="20"/>
                <w:szCs w:val="20"/>
                <w:lang w:eastAsia="en-GB"/>
              </w:rPr>
            </w:pPr>
            <w:r w:rsidRPr="00C54D22">
              <w:rPr>
                <w:sz w:val="20"/>
                <w:szCs w:val="20"/>
                <w:lang w:eastAsia="en-GB"/>
              </w:rPr>
              <w:t>Wilkins &amp; Sweetur</w:t>
            </w:r>
          </w:p>
        </w:tc>
        <w:tc>
          <w:tcPr>
            <w:tcW w:w="992" w:type="dxa"/>
            <w:gridSpan w:val="2"/>
            <w:tcBorders>
              <w:left w:val="nil"/>
              <w:bottom w:val="nil"/>
              <w:right w:val="nil"/>
            </w:tcBorders>
            <w:shd w:val="clear" w:color="auto" w:fill="auto"/>
            <w:noWrap/>
            <w:vAlign w:val="center"/>
          </w:tcPr>
          <w:p w14:paraId="2268B395" w14:textId="7094EB4F" w:rsidR="00C54D22" w:rsidRPr="00C54D22" w:rsidRDefault="00C54D22" w:rsidP="00443002">
            <w:pPr>
              <w:spacing w:after="0" w:line="240" w:lineRule="auto"/>
              <w:rPr>
                <w:sz w:val="18"/>
                <w:szCs w:val="20"/>
                <w:lang w:eastAsia="en-GB"/>
              </w:rPr>
            </w:pPr>
            <w:r w:rsidRPr="00C54D22">
              <w:rPr>
                <w:sz w:val="20"/>
                <w:szCs w:val="20"/>
                <w:lang w:eastAsia="en-GB"/>
              </w:rPr>
              <w:t>NZL</w:t>
            </w:r>
          </w:p>
        </w:tc>
        <w:tc>
          <w:tcPr>
            <w:tcW w:w="851" w:type="dxa"/>
            <w:tcBorders>
              <w:left w:val="nil"/>
              <w:bottom w:val="nil"/>
              <w:right w:val="nil"/>
            </w:tcBorders>
            <w:shd w:val="clear" w:color="auto" w:fill="auto"/>
            <w:noWrap/>
            <w:vAlign w:val="center"/>
          </w:tcPr>
          <w:p w14:paraId="25BE31BF" w14:textId="5E7C122E" w:rsidR="00C54D22" w:rsidRPr="00C54D22" w:rsidRDefault="00C54D22" w:rsidP="00443002">
            <w:pPr>
              <w:spacing w:after="0" w:line="240" w:lineRule="auto"/>
              <w:rPr>
                <w:sz w:val="20"/>
                <w:szCs w:val="20"/>
                <w:lang w:eastAsia="en-GB"/>
              </w:rPr>
            </w:pPr>
            <w:r w:rsidRPr="00C54D22">
              <w:rPr>
                <w:sz w:val="20"/>
                <w:szCs w:val="20"/>
                <w:lang w:eastAsia="en-GB"/>
              </w:rPr>
              <w:t>No</w:t>
            </w:r>
          </w:p>
        </w:tc>
        <w:tc>
          <w:tcPr>
            <w:tcW w:w="850" w:type="dxa"/>
            <w:tcBorders>
              <w:left w:val="nil"/>
              <w:bottom w:val="nil"/>
              <w:right w:val="nil"/>
            </w:tcBorders>
            <w:shd w:val="clear" w:color="auto" w:fill="auto"/>
            <w:noWrap/>
            <w:vAlign w:val="center"/>
          </w:tcPr>
          <w:p w14:paraId="0C874554" w14:textId="2279FE52" w:rsidR="00C54D22" w:rsidRPr="00C54D22" w:rsidRDefault="00C54D22" w:rsidP="00443002">
            <w:pPr>
              <w:spacing w:after="0" w:line="240" w:lineRule="auto"/>
              <w:jc w:val="right"/>
              <w:rPr>
                <w:sz w:val="20"/>
                <w:szCs w:val="20"/>
                <w:lang w:eastAsia="en-GB"/>
              </w:rPr>
            </w:pPr>
            <w:r w:rsidRPr="00C54D22">
              <w:rPr>
                <w:sz w:val="20"/>
                <w:szCs w:val="20"/>
                <w:lang w:eastAsia="en-GB"/>
              </w:rPr>
              <w:t>≈2000</w:t>
            </w:r>
          </w:p>
        </w:tc>
        <w:tc>
          <w:tcPr>
            <w:tcW w:w="1276" w:type="dxa"/>
            <w:tcBorders>
              <w:left w:val="nil"/>
              <w:bottom w:val="nil"/>
              <w:right w:val="nil"/>
            </w:tcBorders>
            <w:shd w:val="clear" w:color="auto" w:fill="auto"/>
            <w:noWrap/>
            <w:vAlign w:val="center"/>
          </w:tcPr>
          <w:p w14:paraId="3C7B724B" w14:textId="00EB5CBC" w:rsidR="00C54D22" w:rsidRPr="00C54D22" w:rsidRDefault="00C54D22" w:rsidP="00443002">
            <w:pPr>
              <w:spacing w:after="0" w:line="240" w:lineRule="auto"/>
              <w:jc w:val="right"/>
              <w:rPr>
                <w:sz w:val="20"/>
                <w:szCs w:val="20"/>
                <w:lang w:eastAsia="en-GB"/>
              </w:rPr>
            </w:pPr>
            <w:r w:rsidRPr="00C54D22">
              <w:rPr>
                <w:sz w:val="20"/>
                <w:szCs w:val="20"/>
                <w:lang w:eastAsia="en-GB"/>
              </w:rPr>
              <w:t>13-45</w:t>
            </w:r>
          </w:p>
        </w:tc>
        <w:tc>
          <w:tcPr>
            <w:tcW w:w="2835" w:type="dxa"/>
            <w:tcBorders>
              <w:left w:val="nil"/>
              <w:bottom w:val="nil"/>
              <w:right w:val="nil"/>
            </w:tcBorders>
            <w:shd w:val="clear" w:color="auto" w:fill="auto"/>
            <w:noWrap/>
            <w:vAlign w:val="center"/>
          </w:tcPr>
          <w:p w14:paraId="66DC8BB9" w14:textId="37BAEB40" w:rsidR="00C54D22" w:rsidRPr="00C54D22" w:rsidRDefault="00C54D22" w:rsidP="00443002">
            <w:pPr>
              <w:spacing w:after="0" w:line="240" w:lineRule="auto"/>
              <w:rPr>
                <w:sz w:val="20"/>
                <w:szCs w:val="20"/>
                <w:lang w:eastAsia="en-GB"/>
              </w:rPr>
            </w:pPr>
            <w:r w:rsidRPr="00C54D22">
              <w:rPr>
                <w:sz w:val="20"/>
                <w:szCs w:val="20"/>
                <w:lang w:eastAsia="en-GB"/>
              </w:rPr>
              <w:t>Survey</w:t>
            </w:r>
          </w:p>
        </w:tc>
        <w:tc>
          <w:tcPr>
            <w:tcW w:w="3118" w:type="dxa"/>
            <w:gridSpan w:val="2"/>
            <w:tcBorders>
              <w:left w:val="nil"/>
              <w:bottom w:val="nil"/>
              <w:right w:val="nil"/>
            </w:tcBorders>
            <w:shd w:val="clear" w:color="auto" w:fill="auto"/>
            <w:noWrap/>
            <w:vAlign w:val="center"/>
          </w:tcPr>
          <w:p w14:paraId="35E9284D" w14:textId="2BC6E760" w:rsidR="00C54D22" w:rsidRPr="00C54D22" w:rsidRDefault="00C54D22" w:rsidP="00443002">
            <w:pPr>
              <w:spacing w:after="0" w:line="240" w:lineRule="auto"/>
              <w:rPr>
                <w:sz w:val="20"/>
                <w:szCs w:val="20"/>
                <w:lang w:eastAsia="en-GB"/>
              </w:rPr>
            </w:pPr>
            <w:r w:rsidRPr="00C54D22">
              <w:rPr>
                <w:sz w:val="20"/>
                <w:szCs w:val="20"/>
                <w:lang w:eastAsia="en-GB"/>
              </w:rPr>
              <w:t>Random sample of households</w:t>
            </w:r>
          </w:p>
        </w:tc>
        <w:tc>
          <w:tcPr>
            <w:tcW w:w="851" w:type="dxa"/>
            <w:tcBorders>
              <w:left w:val="nil"/>
              <w:bottom w:val="nil"/>
              <w:right w:val="nil"/>
            </w:tcBorders>
            <w:vAlign w:val="center"/>
          </w:tcPr>
          <w:p w14:paraId="4CBBE19F" w14:textId="16BDA03D" w:rsidR="00C54D22" w:rsidRPr="00C54D22" w:rsidRDefault="00C54D22" w:rsidP="00443002">
            <w:pPr>
              <w:spacing w:after="0" w:line="240" w:lineRule="auto"/>
              <w:rPr>
                <w:sz w:val="20"/>
                <w:szCs w:val="20"/>
                <w:lang w:eastAsia="en-GB"/>
              </w:rPr>
            </w:pPr>
            <w:r w:rsidRPr="00C54D22">
              <w:rPr>
                <w:sz w:val="20"/>
                <w:szCs w:val="20"/>
                <w:lang w:eastAsia="en-GB"/>
              </w:rPr>
              <w:t>Yes</w:t>
            </w:r>
          </w:p>
        </w:tc>
        <w:tc>
          <w:tcPr>
            <w:tcW w:w="992" w:type="dxa"/>
            <w:tcBorders>
              <w:left w:val="nil"/>
              <w:bottom w:val="nil"/>
              <w:right w:val="nil"/>
            </w:tcBorders>
            <w:shd w:val="clear" w:color="auto" w:fill="auto"/>
            <w:noWrap/>
            <w:vAlign w:val="center"/>
          </w:tcPr>
          <w:p w14:paraId="5ECB6DD2" w14:textId="21537BBE" w:rsidR="00C54D22" w:rsidRPr="00C54D22" w:rsidRDefault="00C54D22" w:rsidP="00443002">
            <w:pPr>
              <w:spacing w:after="0" w:line="240" w:lineRule="auto"/>
              <w:rPr>
                <w:sz w:val="18"/>
                <w:szCs w:val="20"/>
                <w:lang w:eastAsia="en-GB"/>
              </w:rPr>
            </w:pPr>
            <w:r w:rsidRPr="00C54D22">
              <w:rPr>
                <w:sz w:val="20"/>
                <w:szCs w:val="20"/>
                <w:lang w:eastAsia="en-GB"/>
              </w:rPr>
              <w:t>BZP</w:t>
            </w:r>
          </w:p>
        </w:tc>
      </w:tr>
      <w:tr w:rsidR="00443002" w:rsidRPr="001E4038" w14:paraId="6E6853EA" w14:textId="77777777" w:rsidTr="00C54D22">
        <w:trPr>
          <w:trHeight w:val="508"/>
        </w:trPr>
        <w:tc>
          <w:tcPr>
            <w:tcW w:w="466" w:type="dxa"/>
            <w:tcBorders>
              <w:left w:val="nil"/>
              <w:bottom w:val="nil"/>
              <w:right w:val="nil"/>
            </w:tcBorders>
            <w:shd w:val="clear" w:color="auto" w:fill="auto"/>
            <w:noWrap/>
            <w:vAlign w:val="center"/>
          </w:tcPr>
          <w:p w14:paraId="26DEF64B" w14:textId="28711A25" w:rsidR="00443002" w:rsidRPr="001E4038" w:rsidRDefault="00443002" w:rsidP="00443002">
            <w:pPr>
              <w:spacing w:after="0" w:line="240" w:lineRule="auto"/>
              <w:rPr>
                <w:b/>
                <w:sz w:val="20"/>
                <w:szCs w:val="20"/>
                <w:lang w:eastAsia="en-GB"/>
              </w:rPr>
            </w:pPr>
            <w:r w:rsidRPr="001E4038">
              <w:rPr>
                <w:b/>
                <w:sz w:val="20"/>
                <w:szCs w:val="20"/>
                <w:lang w:eastAsia="en-GB"/>
              </w:rPr>
              <w:t>20.</w:t>
            </w:r>
          </w:p>
        </w:tc>
        <w:tc>
          <w:tcPr>
            <w:tcW w:w="660" w:type="dxa"/>
            <w:tcBorders>
              <w:left w:val="nil"/>
              <w:bottom w:val="nil"/>
              <w:right w:val="nil"/>
            </w:tcBorders>
            <w:shd w:val="clear" w:color="auto" w:fill="auto"/>
            <w:noWrap/>
            <w:vAlign w:val="center"/>
            <w:hideMark/>
          </w:tcPr>
          <w:p w14:paraId="529B75C2"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left w:val="nil"/>
              <w:bottom w:val="nil"/>
              <w:right w:val="nil"/>
            </w:tcBorders>
            <w:shd w:val="clear" w:color="auto" w:fill="auto"/>
            <w:noWrap/>
            <w:vAlign w:val="center"/>
            <w:hideMark/>
          </w:tcPr>
          <w:p w14:paraId="31017D80"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Barnard et. al. </w:t>
            </w:r>
          </w:p>
        </w:tc>
        <w:tc>
          <w:tcPr>
            <w:tcW w:w="992" w:type="dxa"/>
            <w:gridSpan w:val="2"/>
            <w:tcBorders>
              <w:left w:val="nil"/>
              <w:bottom w:val="nil"/>
              <w:right w:val="nil"/>
            </w:tcBorders>
            <w:shd w:val="clear" w:color="auto" w:fill="auto"/>
            <w:noWrap/>
            <w:vAlign w:val="center"/>
            <w:hideMark/>
          </w:tcPr>
          <w:p w14:paraId="2138722A"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left w:val="nil"/>
              <w:bottom w:val="nil"/>
              <w:right w:val="nil"/>
            </w:tcBorders>
            <w:shd w:val="clear" w:color="auto" w:fill="auto"/>
            <w:noWrap/>
            <w:vAlign w:val="center"/>
            <w:hideMark/>
          </w:tcPr>
          <w:p w14:paraId="0D8086DC"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left w:val="nil"/>
              <w:bottom w:val="nil"/>
              <w:right w:val="nil"/>
            </w:tcBorders>
            <w:shd w:val="clear" w:color="auto" w:fill="auto"/>
            <w:noWrap/>
            <w:vAlign w:val="center"/>
            <w:hideMark/>
          </w:tcPr>
          <w:p w14:paraId="16C251FC"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w:t>
            </w:r>
          </w:p>
        </w:tc>
        <w:tc>
          <w:tcPr>
            <w:tcW w:w="1276" w:type="dxa"/>
            <w:tcBorders>
              <w:left w:val="nil"/>
              <w:bottom w:val="nil"/>
              <w:right w:val="nil"/>
            </w:tcBorders>
            <w:shd w:val="clear" w:color="auto" w:fill="auto"/>
            <w:noWrap/>
            <w:vAlign w:val="center"/>
            <w:hideMark/>
          </w:tcPr>
          <w:p w14:paraId="37CFDC88"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M=32</w:t>
            </w:r>
          </w:p>
        </w:tc>
        <w:tc>
          <w:tcPr>
            <w:tcW w:w="2835" w:type="dxa"/>
            <w:tcBorders>
              <w:left w:val="nil"/>
              <w:bottom w:val="nil"/>
              <w:right w:val="nil"/>
            </w:tcBorders>
            <w:shd w:val="clear" w:color="auto" w:fill="auto"/>
            <w:noWrap/>
            <w:vAlign w:val="center"/>
            <w:hideMark/>
          </w:tcPr>
          <w:p w14:paraId="3C4C18C9"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 &amp; interviews</w:t>
            </w:r>
          </w:p>
        </w:tc>
        <w:tc>
          <w:tcPr>
            <w:tcW w:w="3118" w:type="dxa"/>
            <w:gridSpan w:val="2"/>
            <w:tcBorders>
              <w:left w:val="nil"/>
              <w:bottom w:val="nil"/>
              <w:right w:val="nil"/>
            </w:tcBorders>
            <w:shd w:val="clear" w:color="auto" w:fill="auto"/>
            <w:noWrap/>
            <w:vAlign w:val="center"/>
            <w:hideMark/>
          </w:tcPr>
          <w:p w14:paraId="4E5FA685" w14:textId="77777777" w:rsidR="00443002" w:rsidRPr="001E4038" w:rsidRDefault="00443002" w:rsidP="00443002">
            <w:pPr>
              <w:spacing w:after="0" w:line="240" w:lineRule="auto"/>
              <w:rPr>
                <w:sz w:val="20"/>
                <w:szCs w:val="20"/>
                <w:lang w:eastAsia="en-GB"/>
              </w:rPr>
            </w:pPr>
            <w:r w:rsidRPr="001E4038">
              <w:rPr>
                <w:sz w:val="20"/>
                <w:szCs w:val="20"/>
                <w:lang w:eastAsia="en-GB"/>
              </w:rPr>
              <w:t>NPS users &amp; drug workers</w:t>
            </w:r>
          </w:p>
        </w:tc>
        <w:tc>
          <w:tcPr>
            <w:tcW w:w="851" w:type="dxa"/>
            <w:tcBorders>
              <w:left w:val="nil"/>
              <w:bottom w:val="nil"/>
              <w:right w:val="nil"/>
            </w:tcBorders>
            <w:vAlign w:val="center"/>
          </w:tcPr>
          <w:p w14:paraId="46840B71"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left w:val="nil"/>
              <w:bottom w:val="nil"/>
              <w:right w:val="nil"/>
            </w:tcBorders>
            <w:shd w:val="clear" w:color="auto" w:fill="auto"/>
            <w:noWrap/>
            <w:vAlign w:val="center"/>
            <w:hideMark/>
          </w:tcPr>
          <w:p w14:paraId="52B7C0B2"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05EDB054" w14:textId="77777777" w:rsidTr="00C54D22">
        <w:trPr>
          <w:trHeight w:val="508"/>
        </w:trPr>
        <w:tc>
          <w:tcPr>
            <w:tcW w:w="466" w:type="dxa"/>
            <w:tcBorders>
              <w:top w:val="nil"/>
              <w:left w:val="nil"/>
              <w:bottom w:val="nil"/>
              <w:right w:val="nil"/>
            </w:tcBorders>
            <w:shd w:val="clear" w:color="auto" w:fill="auto"/>
            <w:noWrap/>
            <w:vAlign w:val="center"/>
          </w:tcPr>
          <w:p w14:paraId="33681D63" w14:textId="77777777" w:rsidR="00443002" w:rsidRPr="001E4038" w:rsidRDefault="00443002" w:rsidP="00443002">
            <w:pPr>
              <w:spacing w:after="0" w:line="240" w:lineRule="auto"/>
              <w:rPr>
                <w:b/>
                <w:sz w:val="20"/>
                <w:szCs w:val="20"/>
                <w:lang w:eastAsia="en-GB"/>
              </w:rPr>
            </w:pPr>
            <w:r w:rsidRPr="001E4038">
              <w:rPr>
                <w:b/>
                <w:sz w:val="20"/>
                <w:szCs w:val="20"/>
                <w:lang w:eastAsia="en-GB"/>
              </w:rPr>
              <w:t>21.</w:t>
            </w:r>
          </w:p>
        </w:tc>
        <w:tc>
          <w:tcPr>
            <w:tcW w:w="660" w:type="dxa"/>
            <w:tcBorders>
              <w:top w:val="nil"/>
              <w:left w:val="nil"/>
              <w:bottom w:val="nil"/>
              <w:right w:val="nil"/>
            </w:tcBorders>
            <w:shd w:val="clear" w:color="auto" w:fill="auto"/>
            <w:noWrap/>
            <w:vAlign w:val="center"/>
            <w:hideMark/>
          </w:tcPr>
          <w:p w14:paraId="3C3C2FAA"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top w:val="nil"/>
              <w:left w:val="nil"/>
              <w:bottom w:val="nil"/>
              <w:right w:val="nil"/>
            </w:tcBorders>
            <w:shd w:val="clear" w:color="auto" w:fill="auto"/>
            <w:noWrap/>
            <w:vAlign w:val="center"/>
            <w:hideMark/>
          </w:tcPr>
          <w:p w14:paraId="6BFD5848" w14:textId="77777777" w:rsidR="00443002" w:rsidRPr="001E4038" w:rsidRDefault="00443002" w:rsidP="00443002">
            <w:pPr>
              <w:spacing w:after="0" w:line="240" w:lineRule="auto"/>
              <w:rPr>
                <w:sz w:val="20"/>
                <w:szCs w:val="20"/>
                <w:lang w:eastAsia="en-GB"/>
              </w:rPr>
            </w:pPr>
            <w:r w:rsidRPr="001E4038">
              <w:rPr>
                <w:sz w:val="20"/>
                <w:szCs w:val="20"/>
                <w:lang w:eastAsia="en-GB"/>
              </w:rPr>
              <w:t>Bonar et. al.</w:t>
            </w:r>
          </w:p>
        </w:tc>
        <w:tc>
          <w:tcPr>
            <w:tcW w:w="992" w:type="dxa"/>
            <w:gridSpan w:val="2"/>
            <w:tcBorders>
              <w:top w:val="nil"/>
              <w:left w:val="nil"/>
              <w:bottom w:val="nil"/>
              <w:right w:val="nil"/>
            </w:tcBorders>
            <w:shd w:val="clear" w:color="auto" w:fill="auto"/>
            <w:noWrap/>
            <w:vAlign w:val="center"/>
            <w:hideMark/>
          </w:tcPr>
          <w:p w14:paraId="7130C5F4" w14:textId="77777777" w:rsidR="00443002" w:rsidRPr="001E4038" w:rsidRDefault="00443002" w:rsidP="00443002">
            <w:pPr>
              <w:spacing w:after="0" w:line="240" w:lineRule="auto"/>
              <w:rPr>
                <w:sz w:val="18"/>
                <w:szCs w:val="20"/>
                <w:lang w:eastAsia="en-GB"/>
              </w:rPr>
            </w:pPr>
            <w:r w:rsidRPr="001E4038">
              <w:rPr>
                <w:sz w:val="18"/>
                <w:szCs w:val="20"/>
                <w:lang w:eastAsia="en-GB"/>
              </w:rPr>
              <w:t>USA</w:t>
            </w:r>
          </w:p>
        </w:tc>
        <w:tc>
          <w:tcPr>
            <w:tcW w:w="851" w:type="dxa"/>
            <w:tcBorders>
              <w:top w:val="nil"/>
              <w:left w:val="nil"/>
              <w:bottom w:val="nil"/>
              <w:right w:val="nil"/>
            </w:tcBorders>
            <w:shd w:val="clear" w:color="auto" w:fill="auto"/>
            <w:noWrap/>
            <w:vAlign w:val="center"/>
            <w:hideMark/>
          </w:tcPr>
          <w:p w14:paraId="77270EF5"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3075CDCF"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396</w:t>
            </w:r>
          </w:p>
        </w:tc>
        <w:tc>
          <w:tcPr>
            <w:tcW w:w="1276" w:type="dxa"/>
            <w:tcBorders>
              <w:top w:val="nil"/>
              <w:left w:val="nil"/>
              <w:bottom w:val="nil"/>
              <w:right w:val="nil"/>
            </w:tcBorders>
            <w:shd w:val="clear" w:color="auto" w:fill="auto"/>
            <w:noWrap/>
            <w:vAlign w:val="center"/>
            <w:hideMark/>
          </w:tcPr>
          <w:p w14:paraId="32653AF8"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M=34.8</w:t>
            </w:r>
          </w:p>
        </w:tc>
        <w:tc>
          <w:tcPr>
            <w:tcW w:w="2835" w:type="dxa"/>
            <w:tcBorders>
              <w:top w:val="nil"/>
              <w:left w:val="nil"/>
              <w:bottom w:val="nil"/>
              <w:right w:val="nil"/>
            </w:tcBorders>
            <w:shd w:val="clear" w:color="auto" w:fill="auto"/>
            <w:noWrap/>
            <w:vAlign w:val="center"/>
            <w:hideMark/>
          </w:tcPr>
          <w:p w14:paraId="7093FB7B" w14:textId="77777777" w:rsidR="00443002" w:rsidRPr="001E4038" w:rsidRDefault="00443002" w:rsidP="00443002">
            <w:pPr>
              <w:spacing w:after="0" w:line="240" w:lineRule="auto"/>
              <w:rPr>
                <w:sz w:val="20"/>
                <w:szCs w:val="20"/>
                <w:lang w:eastAsia="en-GB"/>
              </w:rPr>
            </w:pPr>
            <w:r w:rsidRPr="001E4038">
              <w:rPr>
                <w:sz w:val="20"/>
                <w:szCs w:val="20"/>
                <w:lang w:eastAsia="en-GB"/>
              </w:rPr>
              <w:t>Survey</w:t>
            </w:r>
          </w:p>
        </w:tc>
        <w:tc>
          <w:tcPr>
            <w:tcW w:w="3118" w:type="dxa"/>
            <w:gridSpan w:val="2"/>
            <w:tcBorders>
              <w:top w:val="nil"/>
              <w:left w:val="nil"/>
              <w:bottom w:val="nil"/>
              <w:right w:val="nil"/>
            </w:tcBorders>
            <w:shd w:val="clear" w:color="auto" w:fill="auto"/>
            <w:noWrap/>
            <w:vAlign w:val="center"/>
            <w:hideMark/>
          </w:tcPr>
          <w:p w14:paraId="78239125"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Existing drug users in treatment </w:t>
            </w:r>
          </w:p>
        </w:tc>
        <w:tc>
          <w:tcPr>
            <w:tcW w:w="851" w:type="dxa"/>
            <w:tcBorders>
              <w:top w:val="nil"/>
              <w:left w:val="nil"/>
              <w:bottom w:val="nil"/>
              <w:right w:val="nil"/>
            </w:tcBorders>
            <w:vAlign w:val="center"/>
          </w:tcPr>
          <w:p w14:paraId="07843533"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75F9A9A2"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551A5430" w14:textId="77777777" w:rsidTr="00C54D22">
        <w:trPr>
          <w:trHeight w:val="508"/>
        </w:trPr>
        <w:tc>
          <w:tcPr>
            <w:tcW w:w="466" w:type="dxa"/>
            <w:tcBorders>
              <w:top w:val="nil"/>
              <w:left w:val="nil"/>
              <w:bottom w:val="nil"/>
              <w:right w:val="nil"/>
            </w:tcBorders>
            <w:shd w:val="clear" w:color="auto" w:fill="auto"/>
            <w:noWrap/>
            <w:vAlign w:val="center"/>
          </w:tcPr>
          <w:p w14:paraId="0A923F64" w14:textId="77777777" w:rsidR="00443002" w:rsidRPr="001E4038" w:rsidRDefault="00443002" w:rsidP="00443002">
            <w:pPr>
              <w:spacing w:after="0" w:line="240" w:lineRule="auto"/>
              <w:rPr>
                <w:b/>
                <w:sz w:val="20"/>
                <w:szCs w:val="20"/>
                <w:lang w:eastAsia="en-GB"/>
              </w:rPr>
            </w:pPr>
            <w:r w:rsidRPr="001E4038">
              <w:rPr>
                <w:b/>
                <w:sz w:val="20"/>
                <w:szCs w:val="20"/>
                <w:lang w:eastAsia="en-GB"/>
              </w:rPr>
              <w:t>22.</w:t>
            </w:r>
          </w:p>
        </w:tc>
        <w:tc>
          <w:tcPr>
            <w:tcW w:w="660" w:type="dxa"/>
            <w:tcBorders>
              <w:top w:val="nil"/>
              <w:left w:val="nil"/>
              <w:bottom w:val="nil"/>
              <w:right w:val="nil"/>
            </w:tcBorders>
            <w:shd w:val="clear" w:color="auto" w:fill="auto"/>
            <w:noWrap/>
            <w:vAlign w:val="center"/>
            <w:hideMark/>
          </w:tcPr>
          <w:p w14:paraId="27968DA3"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top w:val="nil"/>
              <w:left w:val="nil"/>
              <w:bottom w:val="nil"/>
              <w:right w:val="nil"/>
            </w:tcBorders>
            <w:shd w:val="clear" w:color="auto" w:fill="auto"/>
            <w:noWrap/>
            <w:vAlign w:val="center"/>
            <w:hideMark/>
          </w:tcPr>
          <w:p w14:paraId="55C4636E" w14:textId="77777777" w:rsidR="00443002" w:rsidRPr="001E4038" w:rsidRDefault="00443002" w:rsidP="00443002">
            <w:pPr>
              <w:spacing w:after="0" w:line="240" w:lineRule="auto"/>
              <w:rPr>
                <w:sz w:val="20"/>
                <w:szCs w:val="20"/>
                <w:lang w:eastAsia="en-GB"/>
              </w:rPr>
            </w:pPr>
            <w:r w:rsidRPr="001E4038">
              <w:rPr>
                <w:sz w:val="20"/>
                <w:szCs w:val="20"/>
                <w:lang w:eastAsia="en-GB"/>
              </w:rPr>
              <w:t>Corazza et. al.</w:t>
            </w:r>
          </w:p>
        </w:tc>
        <w:tc>
          <w:tcPr>
            <w:tcW w:w="992" w:type="dxa"/>
            <w:gridSpan w:val="2"/>
            <w:tcBorders>
              <w:top w:val="nil"/>
              <w:left w:val="nil"/>
              <w:bottom w:val="nil"/>
              <w:right w:val="nil"/>
            </w:tcBorders>
            <w:shd w:val="clear" w:color="auto" w:fill="auto"/>
            <w:noWrap/>
            <w:vAlign w:val="center"/>
            <w:hideMark/>
          </w:tcPr>
          <w:p w14:paraId="6A275C28"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03076BA3"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4EB8FE6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446</w:t>
            </w:r>
          </w:p>
        </w:tc>
        <w:tc>
          <w:tcPr>
            <w:tcW w:w="1276" w:type="dxa"/>
            <w:tcBorders>
              <w:top w:val="nil"/>
              <w:left w:val="nil"/>
              <w:bottom w:val="nil"/>
              <w:right w:val="nil"/>
            </w:tcBorders>
            <w:shd w:val="clear" w:color="auto" w:fill="auto"/>
            <w:noWrap/>
            <w:vAlign w:val="center"/>
            <w:hideMark/>
          </w:tcPr>
          <w:p w14:paraId="2A051D2D"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13-30</w:t>
            </w:r>
          </w:p>
        </w:tc>
        <w:tc>
          <w:tcPr>
            <w:tcW w:w="2835" w:type="dxa"/>
            <w:tcBorders>
              <w:top w:val="nil"/>
              <w:left w:val="nil"/>
              <w:bottom w:val="nil"/>
              <w:right w:val="nil"/>
            </w:tcBorders>
            <w:shd w:val="clear" w:color="auto" w:fill="auto"/>
            <w:noWrap/>
            <w:vAlign w:val="center"/>
            <w:hideMark/>
          </w:tcPr>
          <w:p w14:paraId="213D0AB6"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nil"/>
              <w:right w:val="nil"/>
            </w:tcBorders>
            <w:shd w:val="clear" w:color="auto" w:fill="auto"/>
            <w:noWrap/>
            <w:vAlign w:val="center"/>
            <w:hideMark/>
          </w:tcPr>
          <w:p w14:paraId="3DD0A6E8" w14:textId="77777777" w:rsidR="00443002" w:rsidRPr="001E4038" w:rsidRDefault="00443002" w:rsidP="00443002">
            <w:pPr>
              <w:spacing w:after="0" w:line="240" w:lineRule="auto"/>
              <w:rPr>
                <w:sz w:val="20"/>
                <w:szCs w:val="20"/>
                <w:lang w:eastAsia="en-GB"/>
              </w:rPr>
            </w:pPr>
            <w:r w:rsidRPr="001E4038">
              <w:rPr>
                <w:sz w:val="20"/>
                <w:szCs w:val="20"/>
                <w:lang w:eastAsia="en-GB"/>
              </w:rPr>
              <w:t>British students</w:t>
            </w:r>
          </w:p>
        </w:tc>
        <w:tc>
          <w:tcPr>
            <w:tcW w:w="851" w:type="dxa"/>
            <w:tcBorders>
              <w:top w:val="nil"/>
              <w:left w:val="nil"/>
              <w:bottom w:val="nil"/>
              <w:right w:val="nil"/>
            </w:tcBorders>
            <w:vAlign w:val="center"/>
          </w:tcPr>
          <w:p w14:paraId="089FF45E"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7B6E64B4"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6291BE2A" w14:textId="77777777" w:rsidTr="00C54D22">
        <w:trPr>
          <w:trHeight w:val="508"/>
        </w:trPr>
        <w:tc>
          <w:tcPr>
            <w:tcW w:w="466" w:type="dxa"/>
            <w:tcBorders>
              <w:top w:val="nil"/>
              <w:left w:val="nil"/>
              <w:bottom w:val="nil"/>
              <w:right w:val="nil"/>
            </w:tcBorders>
            <w:shd w:val="clear" w:color="auto" w:fill="auto"/>
            <w:noWrap/>
            <w:vAlign w:val="center"/>
          </w:tcPr>
          <w:p w14:paraId="6E1C8695" w14:textId="77777777" w:rsidR="00443002" w:rsidRPr="001E4038" w:rsidRDefault="00443002" w:rsidP="00443002">
            <w:pPr>
              <w:spacing w:after="0" w:line="240" w:lineRule="auto"/>
              <w:rPr>
                <w:b/>
                <w:sz w:val="20"/>
                <w:szCs w:val="20"/>
                <w:lang w:eastAsia="en-GB"/>
              </w:rPr>
            </w:pPr>
            <w:r w:rsidRPr="001E4038">
              <w:rPr>
                <w:b/>
                <w:sz w:val="20"/>
                <w:szCs w:val="20"/>
                <w:lang w:eastAsia="en-GB"/>
              </w:rPr>
              <w:t>23.</w:t>
            </w:r>
          </w:p>
        </w:tc>
        <w:tc>
          <w:tcPr>
            <w:tcW w:w="660" w:type="dxa"/>
            <w:tcBorders>
              <w:top w:val="nil"/>
              <w:left w:val="nil"/>
              <w:bottom w:val="nil"/>
              <w:right w:val="nil"/>
            </w:tcBorders>
            <w:shd w:val="clear" w:color="auto" w:fill="auto"/>
            <w:noWrap/>
            <w:vAlign w:val="center"/>
          </w:tcPr>
          <w:p w14:paraId="5763F777"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top w:val="nil"/>
              <w:left w:val="nil"/>
              <w:bottom w:val="nil"/>
              <w:right w:val="nil"/>
            </w:tcBorders>
            <w:shd w:val="clear" w:color="auto" w:fill="auto"/>
            <w:noWrap/>
            <w:vAlign w:val="center"/>
          </w:tcPr>
          <w:p w14:paraId="31197B74" w14:textId="77777777" w:rsidR="00443002" w:rsidRPr="001E4038" w:rsidRDefault="00443002" w:rsidP="00443002">
            <w:pPr>
              <w:spacing w:after="0" w:line="240" w:lineRule="auto"/>
              <w:rPr>
                <w:sz w:val="20"/>
                <w:szCs w:val="20"/>
                <w:lang w:eastAsia="en-GB"/>
              </w:rPr>
            </w:pPr>
            <w:r w:rsidRPr="001E4038">
              <w:rPr>
                <w:sz w:val="20"/>
                <w:szCs w:val="20"/>
                <w:lang w:eastAsia="en-GB"/>
              </w:rPr>
              <w:t>Johnson &amp; Johnson</w:t>
            </w:r>
          </w:p>
        </w:tc>
        <w:tc>
          <w:tcPr>
            <w:tcW w:w="992" w:type="dxa"/>
            <w:gridSpan w:val="2"/>
            <w:tcBorders>
              <w:top w:val="nil"/>
              <w:left w:val="nil"/>
              <w:bottom w:val="nil"/>
              <w:right w:val="nil"/>
            </w:tcBorders>
            <w:shd w:val="clear" w:color="auto" w:fill="auto"/>
            <w:noWrap/>
            <w:vAlign w:val="center"/>
          </w:tcPr>
          <w:p w14:paraId="39A1E835" w14:textId="77777777" w:rsidR="00443002" w:rsidRPr="001E4038" w:rsidRDefault="00443002" w:rsidP="00443002">
            <w:pPr>
              <w:spacing w:after="0" w:line="240" w:lineRule="auto"/>
              <w:rPr>
                <w:sz w:val="18"/>
                <w:szCs w:val="20"/>
                <w:lang w:eastAsia="en-GB"/>
              </w:rPr>
            </w:pPr>
            <w:r w:rsidRPr="001E4038">
              <w:rPr>
                <w:sz w:val="18"/>
                <w:szCs w:val="20"/>
                <w:lang w:eastAsia="en-GB"/>
              </w:rPr>
              <w:t>USA</w:t>
            </w:r>
          </w:p>
        </w:tc>
        <w:tc>
          <w:tcPr>
            <w:tcW w:w="851" w:type="dxa"/>
            <w:tcBorders>
              <w:top w:val="nil"/>
              <w:left w:val="nil"/>
              <w:bottom w:val="nil"/>
              <w:right w:val="nil"/>
            </w:tcBorders>
            <w:shd w:val="clear" w:color="auto" w:fill="auto"/>
            <w:noWrap/>
            <w:vAlign w:val="center"/>
          </w:tcPr>
          <w:p w14:paraId="135615A5"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850" w:type="dxa"/>
            <w:tcBorders>
              <w:top w:val="nil"/>
              <w:left w:val="nil"/>
              <w:bottom w:val="nil"/>
              <w:right w:val="nil"/>
            </w:tcBorders>
            <w:shd w:val="clear" w:color="auto" w:fill="auto"/>
            <w:noWrap/>
            <w:vAlign w:val="center"/>
          </w:tcPr>
          <w:p w14:paraId="68890CF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113</w:t>
            </w:r>
          </w:p>
        </w:tc>
        <w:tc>
          <w:tcPr>
            <w:tcW w:w="1276" w:type="dxa"/>
            <w:tcBorders>
              <w:top w:val="nil"/>
              <w:left w:val="nil"/>
              <w:bottom w:val="nil"/>
              <w:right w:val="nil"/>
            </w:tcBorders>
            <w:shd w:val="clear" w:color="auto" w:fill="auto"/>
            <w:noWrap/>
            <w:vAlign w:val="center"/>
          </w:tcPr>
          <w:p w14:paraId="6CC452FF"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18-40+</w:t>
            </w:r>
          </w:p>
        </w:tc>
        <w:tc>
          <w:tcPr>
            <w:tcW w:w="2835" w:type="dxa"/>
            <w:tcBorders>
              <w:top w:val="nil"/>
              <w:left w:val="nil"/>
              <w:bottom w:val="nil"/>
              <w:right w:val="nil"/>
            </w:tcBorders>
            <w:shd w:val="clear" w:color="auto" w:fill="auto"/>
            <w:noWrap/>
            <w:vAlign w:val="center"/>
          </w:tcPr>
          <w:p w14:paraId="42B101F7"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bottom w:val="nil"/>
              <w:right w:val="nil"/>
            </w:tcBorders>
            <w:shd w:val="clear" w:color="auto" w:fill="auto"/>
            <w:noWrap/>
            <w:vAlign w:val="center"/>
          </w:tcPr>
          <w:p w14:paraId="1BA527FD"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cathinone users</w:t>
            </w:r>
          </w:p>
        </w:tc>
        <w:tc>
          <w:tcPr>
            <w:tcW w:w="851" w:type="dxa"/>
            <w:tcBorders>
              <w:top w:val="nil"/>
              <w:left w:val="nil"/>
              <w:bottom w:val="nil"/>
              <w:right w:val="nil"/>
            </w:tcBorders>
            <w:vAlign w:val="center"/>
          </w:tcPr>
          <w:p w14:paraId="29FBE4C9"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tcPr>
          <w:p w14:paraId="3F84BE9F" w14:textId="77777777" w:rsidR="00443002" w:rsidRPr="001E4038" w:rsidRDefault="00443002" w:rsidP="00443002">
            <w:pPr>
              <w:spacing w:after="0" w:line="240" w:lineRule="auto"/>
              <w:rPr>
                <w:sz w:val="18"/>
                <w:szCs w:val="20"/>
                <w:lang w:eastAsia="en-GB"/>
              </w:rPr>
            </w:pPr>
            <w:r w:rsidRPr="001E4038">
              <w:rPr>
                <w:sz w:val="18"/>
                <w:szCs w:val="20"/>
                <w:lang w:eastAsia="en-GB"/>
              </w:rPr>
              <w:t>CH</w:t>
            </w:r>
          </w:p>
        </w:tc>
      </w:tr>
      <w:tr w:rsidR="00443002" w:rsidRPr="001E4038" w14:paraId="63D1FD0E" w14:textId="77777777" w:rsidTr="00C54D22">
        <w:trPr>
          <w:trHeight w:val="508"/>
        </w:trPr>
        <w:tc>
          <w:tcPr>
            <w:tcW w:w="466" w:type="dxa"/>
            <w:tcBorders>
              <w:top w:val="nil"/>
              <w:left w:val="nil"/>
              <w:bottom w:val="nil"/>
              <w:right w:val="nil"/>
            </w:tcBorders>
            <w:shd w:val="clear" w:color="auto" w:fill="auto"/>
            <w:noWrap/>
            <w:vAlign w:val="center"/>
          </w:tcPr>
          <w:p w14:paraId="0C393A63" w14:textId="77777777" w:rsidR="00443002" w:rsidRPr="001E4038" w:rsidRDefault="00443002" w:rsidP="00443002">
            <w:pPr>
              <w:spacing w:after="0" w:line="240" w:lineRule="auto"/>
              <w:rPr>
                <w:b/>
                <w:sz w:val="20"/>
                <w:szCs w:val="20"/>
                <w:lang w:eastAsia="en-GB"/>
              </w:rPr>
            </w:pPr>
            <w:r w:rsidRPr="001E4038">
              <w:rPr>
                <w:b/>
                <w:sz w:val="20"/>
                <w:szCs w:val="20"/>
                <w:lang w:eastAsia="en-GB"/>
              </w:rPr>
              <w:t>24.</w:t>
            </w:r>
          </w:p>
        </w:tc>
        <w:tc>
          <w:tcPr>
            <w:tcW w:w="660" w:type="dxa"/>
            <w:tcBorders>
              <w:top w:val="nil"/>
              <w:left w:val="nil"/>
              <w:bottom w:val="nil"/>
              <w:right w:val="nil"/>
            </w:tcBorders>
            <w:shd w:val="clear" w:color="auto" w:fill="auto"/>
            <w:noWrap/>
            <w:vAlign w:val="center"/>
            <w:hideMark/>
          </w:tcPr>
          <w:p w14:paraId="0A819560"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top w:val="nil"/>
              <w:left w:val="nil"/>
              <w:bottom w:val="nil"/>
              <w:right w:val="nil"/>
            </w:tcBorders>
            <w:shd w:val="clear" w:color="auto" w:fill="auto"/>
            <w:noWrap/>
            <w:vAlign w:val="center"/>
            <w:hideMark/>
          </w:tcPr>
          <w:p w14:paraId="284C3A33" w14:textId="0BAB5814" w:rsidR="00443002" w:rsidRPr="001E4038" w:rsidRDefault="00443002" w:rsidP="00443002">
            <w:pPr>
              <w:spacing w:after="0" w:line="240" w:lineRule="auto"/>
              <w:rPr>
                <w:sz w:val="20"/>
                <w:szCs w:val="20"/>
                <w:lang w:eastAsia="en-GB"/>
              </w:rPr>
            </w:pPr>
            <w:r w:rsidRPr="001E4038">
              <w:rPr>
                <w:sz w:val="20"/>
                <w:szCs w:val="20"/>
                <w:lang w:eastAsia="en-GB"/>
              </w:rPr>
              <w:t>Norman et al.</w:t>
            </w:r>
            <w:r w:rsidR="004C4795">
              <w:rPr>
                <w:sz w:val="20"/>
                <w:szCs w:val="20"/>
                <w:lang w:eastAsia="en-GB"/>
              </w:rPr>
              <w:t>,</w:t>
            </w:r>
          </w:p>
        </w:tc>
        <w:tc>
          <w:tcPr>
            <w:tcW w:w="992" w:type="dxa"/>
            <w:gridSpan w:val="2"/>
            <w:tcBorders>
              <w:top w:val="nil"/>
              <w:left w:val="nil"/>
              <w:bottom w:val="nil"/>
              <w:right w:val="nil"/>
            </w:tcBorders>
            <w:shd w:val="clear" w:color="auto" w:fill="auto"/>
            <w:noWrap/>
            <w:vAlign w:val="center"/>
            <w:hideMark/>
          </w:tcPr>
          <w:p w14:paraId="0F618475"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bottom w:val="nil"/>
              <w:right w:val="nil"/>
            </w:tcBorders>
            <w:shd w:val="clear" w:color="auto" w:fill="auto"/>
            <w:noWrap/>
            <w:vAlign w:val="center"/>
            <w:hideMark/>
          </w:tcPr>
          <w:p w14:paraId="2B232C62"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7F6A880F"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101</w:t>
            </w:r>
          </w:p>
        </w:tc>
        <w:tc>
          <w:tcPr>
            <w:tcW w:w="1276" w:type="dxa"/>
            <w:tcBorders>
              <w:top w:val="nil"/>
              <w:left w:val="nil"/>
              <w:bottom w:val="nil"/>
              <w:right w:val="nil"/>
            </w:tcBorders>
            <w:shd w:val="clear" w:color="auto" w:fill="auto"/>
            <w:noWrap/>
            <w:vAlign w:val="center"/>
            <w:hideMark/>
          </w:tcPr>
          <w:p w14:paraId="34F2AD32"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16-34</w:t>
            </w:r>
          </w:p>
        </w:tc>
        <w:tc>
          <w:tcPr>
            <w:tcW w:w="2835" w:type="dxa"/>
            <w:tcBorders>
              <w:top w:val="nil"/>
              <w:left w:val="nil"/>
              <w:bottom w:val="nil"/>
              <w:right w:val="nil"/>
            </w:tcBorders>
            <w:shd w:val="clear" w:color="auto" w:fill="auto"/>
            <w:noWrap/>
            <w:vAlign w:val="center"/>
            <w:hideMark/>
          </w:tcPr>
          <w:p w14:paraId="5CEB39D8"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 / forums</w:t>
            </w:r>
          </w:p>
        </w:tc>
        <w:tc>
          <w:tcPr>
            <w:tcW w:w="3118" w:type="dxa"/>
            <w:gridSpan w:val="2"/>
            <w:tcBorders>
              <w:top w:val="nil"/>
              <w:left w:val="nil"/>
              <w:bottom w:val="nil"/>
              <w:right w:val="nil"/>
            </w:tcBorders>
            <w:shd w:val="clear" w:color="auto" w:fill="auto"/>
            <w:noWrap/>
            <w:vAlign w:val="center"/>
            <w:hideMark/>
          </w:tcPr>
          <w:p w14:paraId="4716F5C6" w14:textId="77777777" w:rsidR="00443002" w:rsidRPr="001E4038" w:rsidRDefault="00443002" w:rsidP="00443002">
            <w:pPr>
              <w:spacing w:after="0" w:line="240" w:lineRule="auto"/>
              <w:rPr>
                <w:sz w:val="20"/>
                <w:szCs w:val="20"/>
                <w:lang w:eastAsia="en-GB"/>
              </w:rPr>
            </w:pPr>
            <w:r w:rsidRPr="001E4038">
              <w:rPr>
                <w:sz w:val="20"/>
                <w:szCs w:val="20"/>
                <w:lang w:eastAsia="en-GB"/>
              </w:rPr>
              <w:t>Legal high users</w:t>
            </w:r>
          </w:p>
        </w:tc>
        <w:tc>
          <w:tcPr>
            <w:tcW w:w="851" w:type="dxa"/>
            <w:tcBorders>
              <w:top w:val="nil"/>
              <w:left w:val="nil"/>
              <w:bottom w:val="nil"/>
              <w:right w:val="nil"/>
            </w:tcBorders>
            <w:vAlign w:val="center"/>
          </w:tcPr>
          <w:p w14:paraId="56DF92C2"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5A0DF08B"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3DECAB4D" w14:textId="77777777" w:rsidTr="00C54D22">
        <w:trPr>
          <w:trHeight w:val="508"/>
        </w:trPr>
        <w:tc>
          <w:tcPr>
            <w:tcW w:w="466" w:type="dxa"/>
            <w:tcBorders>
              <w:top w:val="nil"/>
              <w:left w:val="nil"/>
              <w:bottom w:val="nil"/>
              <w:right w:val="nil"/>
            </w:tcBorders>
            <w:shd w:val="clear" w:color="auto" w:fill="auto"/>
            <w:noWrap/>
            <w:vAlign w:val="center"/>
          </w:tcPr>
          <w:p w14:paraId="09E5E5E5" w14:textId="77777777" w:rsidR="00443002" w:rsidRPr="001E4038" w:rsidRDefault="00443002" w:rsidP="00443002">
            <w:pPr>
              <w:spacing w:after="0" w:line="240" w:lineRule="auto"/>
              <w:rPr>
                <w:b/>
                <w:sz w:val="20"/>
                <w:szCs w:val="20"/>
                <w:lang w:eastAsia="en-GB"/>
              </w:rPr>
            </w:pPr>
            <w:r w:rsidRPr="001E4038">
              <w:rPr>
                <w:b/>
                <w:sz w:val="20"/>
                <w:szCs w:val="20"/>
                <w:lang w:eastAsia="en-GB"/>
              </w:rPr>
              <w:t>25.</w:t>
            </w:r>
          </w:p>
        </w:tc>
        <w:tc>
          <w:tcPr>
            <w:tcW w:w="660" w:type="dxa"/>
            <w:tcBorders>
              <w:top w:val="nil"/>
              <w:left w:val="nil"/>
              <w:bottom w:val="nil"/>
              <w:right w:val="nil"/>
            </w:tcBorders>
            <w:shd w:val="clear" w:color="auto" w:fill="auto"/>
            <w:noWrap/>
            <w:vAlign w:val="center"/>
            <w:hideMark/>
          </w:tcPr>
          <w:p w14:paraId="53B13391" w14:textId="77777777" w:rsidR="00443002" w:rsidRPr="001E4038" w:rsidRDefault="00443002" w:rsidP="00443002">
            <w:pPr>
              <w:spacing w:after="0" w:line="240" w:lineRule="auto"/>
              <w:rPr>
                <w:sz w:val="20"/>
                <w:szCs w:val="20"/>
                <w:lang w:eastAsia="en-GB"/>
              </w:rPr>
            </w:pPr>
            <w:r w:rsidRPr="001E4038">
              <w:rPr>
                <w:sz w:val="20"/>
                <w:szCs w:val="20"/>
                <w:lang w:eastAsia="en-GB"/>
              </w:rPr>
              <w:t>2014</w:t>
            </w:r>
          </w:p>
        </w:tc>
        <w:tc>
          <w:tcPr>
            <w:tcW w:w="2101" w:type="dxa"/>
            <w:tcBorders>
              <w:top w:val="nil"/>
              <w:left w:val="nil"/>
              <w:bottom w:val="nil"/>
              <w:right w:val="nil"/>
            </w:tcBorders>
            <w:shd w:val="clear" w:color="auto" w:fill="auto"/>
            <w:noWrap/>
            <w:vAlign w:val="center"/>
            <w:hideMark/>
          </w:tcPr>
          <w:p w14:paraId="5014366A"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Van Hout </w:t>
            </w:r>
          </w:p>
        </w:tc>
        <w:tc>
          <w:tcPr>
            <w:tcW w:w="992" w:type="dxa"/>
            <w:gridSpan w:val="2"/>
            <w:tcBorders>
              <w:top w:val="nil"/>
              <w:left w:val="nil"/>
              <w:bottom w:val="nil"/>
              <w:right w:val="nil"/>
            </w:tcBorders>
            <w:shd w:val="clear" w:color="auto" w:fill="auto"/>
            <w:noWrap/>
            <w:vAlign w:val="center"/>
            <w:hideMark/>
          </w:tcPr>
          <w:p w14:paraId="32785A33" w14:textId="77777777" w:rsidR="00443002" w:rsidRPr="001E4038" w:rsidRDefault="00443002" w:rsidP="00443002">
            <w:pPr>
              <w:spacing w:after="0" w:line="240" w:lineRule="auto"/>
              <w:rPr>
                <w:sz w:val="18"/>
                <w:szCs w:val="20"/>
                <w:lang w:eastAsia="en-GB"/>
              </w:rPr>
            </w:pPr>
            <w:r w:rsidRPr="001E4038">
              <w:rPr>
                <w:sz w:val="18"/>
                <w:szCs w:val="20"/>
                <w:lang w:eastAsia="en-GB"/>
              </w:rPr>
              <w:t>INT</w:t>
            </w:r>
          </w:p>
        </w:tc>
        <w:tc>
          <w:tcPr>
            <w:tcW w:w="851" w:type="dxa"/>
            <w:tcBorders>
              <w:top w:val="nil"/>
              <w:left w:val="nil"/>
              <w:bottom w:val="nil"/>
              <w:right w:val="nil"/>
            </w:tcBorders>
            <w:shd w:val="clear" w:color="auto" w:fill="auto"/>
            <w:noWrap/>
            <w:vAlign w:val="center"/>
            <w:hideMark/>
          </w:tcPr>
          <w:p w14:paraId="4E291A43"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19E15DF9"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11</w:t>
            </w:r>
          </w:p>
        </w:tc>
        <w:tc>
          <w:tcPr>
            <w:tcW w:w="1276" w:type="dxa"/>
            <w:tcBorders>
              <w:top w:val="nil"/>
              <w:left w:val="nil"/>
              <w:bottom w:val="nil"/>
              <w:right w:val="nil"/>
            </w:tcBorders>
            <w:shd w:val="clear" w:color="auto" w:fill="auto"/>
            <w:noWrap/>
            <w:vAlign w:val="center"/>
            <w:hideMark/>
          </w:tcPr>
          <w:p w14:paraId="75DEE6E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w:t>
            </w:r>
          </w:p>
        </w:tc>
        <w:tc>
          <w:tcPr>
            <w:tcW w:w="2835" w:type="dxa"/>
            <w:tcBorders>
              <w:top w:val="nil"/>
              <w:left w:val="nil"/>
              <w:bottom w:val="nil"/>
              <w:right w:val="nil"/>
            </w:tcBorders>
            <w:shd w:val="clear" w:color="auto" w:fill="auto"/>
            <w:noWrap/>
            <w:vAlign w:val="center"/>
            <w:hideMark/>
          </w:tcPr>
          <w:p w14:paraId="034E31A0" w14:textId="77777777" w:rsidR="00443002" w:rsidRPr="001E4038" w:rsidRDefault="00443002" w:rsidP="00443002">
            <w:pPr>
              <w:spacing w:after="0" w:line="240" w:lineRule="auto"/>
              <w:rPr>
                <w:sz w:val="20"/>
                <w:szCs w:val="20"/>
                <w:lang w:eastAsia="en-GB"/>
              </w:rPr>
            </w:pPr>
            <w:r w:rsidRPr="001E4038">
              <w:rPr>
                <w:sz w:val="20"/>
                <w:szCs w:val="20"/>
                <w:lang w:eastAsia="en-GB"/>
              </w:rPr>
              <w:t>Analysis of online forums</w:t>
            </w:r>
          </w:p>
        </w:tc>
        <w:tc>
          <w:tcPr>
            <w:tcW w:w="3118" w:type="dxa"/>
            <w:gridSpan w:val="2"/>
            <w:tcBorders>
              <w:top w:val="nil"/>
              <w:left w:val="nil"/>
              <w:bottom w:val="nil"/>
              <w:right w:val="nil"/>
            </w:tcBorders>
            <w:shd w:val="clear" w:color="auto" w:fill="auto"/>
            <w:noWrap/>
            <w:vAlign w:val="center"/>
            <w:hideMark/>
          </w:tcPr>
          <w:p w14:paraId="69D26FA9" w14:textId="77777777" w:rsidR="00443002" w:rsidRPr="001E4038" w:rsidRDefault="00443002" w:rsidP="00443002">
            <w:pPr>
              <w:spacing w:after="0" w:line="240" w:lineRule="auto"/>
              <w:rPr>
                <w:sz w:val="20"/>
                <w:szCs w:val="20"/>
                <w:lang w:eastAsia="en-GB"/>
              </w:rPr>
            </w:pPr>
            <w:r w:rsidRPr="001E4038">
              <w:rPr>
                <w:sz w:val="20"/>
                <w:szCs w:val="20"/>
                <w:lang w:eastAsia="en-GB"/>
              </w:rPr>
              <w:t>Existing drug users</w:t>
            </w:r>
          </w:p>
        </w:tc>
        <w:tc>
          <w:tcPr>
            <w:tcW w:w="851" w:type="dxa"/>
            <w:tcBorders>
              <w:top w:val="nil"/>
              <w:left w:val="nil"/>
              <w:bottom w:val="nil"/>
              <w:right w:val="nil"/>
            </w:tcBorders>
            <w:vAlign w:val="center"/>
          </w:tcPr>
          <w:p w14:paraId="49128A80"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675834C1" w14:textId="77777777" w:rsidR="00443002" w:rsidRPr="001E4038" w:rsidRDefault="00443002" w:rsidP="00443002">
            <w:pPr>
              <w:spacing w:after="0" w:line="240" w:lineRule="auto"/>
              <w:rPr>
                <w:sz w:val="18"/>
                <w:szCs w:val="20"/>
                <w:lang w:eastAsia="en-GB"/>
              </w:rPr>
            </w:pPr>
            <w:r>
              <w:rPr>
                <w:sz w:val="18"/>
                <w:szCs w:val="20"/>
                <w:lang w:eastAsia="en-GB"/>
              </w:rPr>
              <w:t>CH</w:t>
            </w:r>
          </w:p>
        </w:tc>
      </w:tr>
      <w:tr w:rsidR="00443002" w:rsidRPr="001E4038" w14:paraId="026A9C20" w14:textId="77777777" w:rsidTr="00C54D22">
        <w:trPr>
          <w:trHeight w:val="508"/>
        </w:trPr>
        <w:tc>
          <w:tcPr>
            <w:tcW w:w="466" w:type="dxa"/>
            <w:tcBorders>
              <w:top w:val="nil"/>
              <w:left w:val="nil"/>
              <w:bottom w:val="nil"/>
              <w:right w:val="nil"/>
            </w:tcBorders>
            <w:shd w:val="clear" w:color="auto" w:fill="auto"/>
            <w:noWrap/>
            <w:vAlign w:val="center"/>
          </w:tcPr>
          <w:p w14:paraId="3B7484FC" w14:textId="77777777" w:rsidR="00443002" w:rsidRPr="001E4038" w:rsidRDefault="00443002" w:rsidP="00443002">
            <w:pPr>
              <w:spacing w:after="0" w:line="240" w:lineRule="auto"/>
              <w:rPr>
                <w:b/>
                <w:sz w:val="20"/>
                <w:szCs w:val="20"/>
                <w:lang w:eastAsia="en-GB"/>
              </w:rPr>
            </w:pPr>
            <w:r w:rsidRPr="001E4038">
              <w:rPr>
                <w:b/>
                <w:sz w:val="20"/>
                <w:szCs w:val="20"/>
                <w:lang w:eastAsia="en-GB"/>
              </w:rPr>
              <w:t>26.</w:t>
            </w:r>
          </w:p>
        </w:tc>
        <w:tc>
          <w:tcPr>
            <w:tcW w:w="660" w:type="dxa"/>
            <w:tcBorders>
              <w:top w:val="nil"/>
              <w:left w:val="nil"/>
              <w:bottom w:val="nil"/>
              <w:right w:val="nil"/>
            </w:tcBorders>
            <w:shd w:val="clear" w:color="auto" w:fill="auto"/>
            <w:noWrap/>
            <w:vAlign w:val="center"/>
            <w:hideMark/>
          </w:tcPr>
          <w:p w14:paraId="001E937D" w14:textId="77777777" w:rsidR="00443002" w:rsidRPr="001E4038" w:rsidRDefault="00443002" w:rsidP="00443002">
            <w:pPr>
              <w:spacing w:after="0" w:line="240" w:lineRule="auto"/>
              <w:rPr>
                <w:sz w:val="20"/>
                <w:szCs w:val="20"/>
                <w:lang w:eastAsia="en-GB"/>
              </w:rPr>
            </w:pPr>
            <w:r w:rsidRPr="001E4038">
              <w:rPr>
                <w:sz w:val="20"/>
                <w:szCs w:val="20"/>
                <w:lang w:eastAsia="en-GB"/>
              </w:rPr>
              <w:t>2015</w:t>
            </w:r>
          </w:p>
        </w:tc>
        <w:tc>
          <w:tcPr>
            <w:tcW w:w="2101" w:type="dxa"/>
            <w:tcBorders>
              <w:top w:val="nil"/>
              <w:left w:val="nil"/>
              <w:bottom w:val="nil"/>
              <w:right w:val="nil"/>
            </w:tcBorders>
            <w:shd w:val="clear" w:color="auto" w:fill="auto"/>
            <w:noWrap/>
            <w:vAlign w:val="center"/>
            <w:hideMark/>
          </w:tcPr>
          <w:p w14:paraId="300CD104" w14:textId="77777777" w:rsidR="00443002" w:rsidRPr="001E4038" w:rsidRDefault="00443002" w:rsidP="00443002">
            <w:pPr>
              <w:spacing w:after="0" w:line="240" w:lineRule="auto"/>
              <w:rPr>
                <w:sz w:val="20"/>
                <w:szCs w:val="20"/>
                <w:lang w:eastAsia="en-GB"/>
              </w:rPr>
            </w:pPr>
            <w:r w:rsidRPr="001E4038">
              <w:rPr>
                <w:sz w:val="20"/>
                <w:szCs w:val="20"/>
                <w:lang w:eastAsia="en-GB"/>
              </w:rPr>
              <w:t>Besli et. al.</w:t>
            </w:r>
          </w:p>
        </w:tc>
        <w:tc>
          <w:tcPr>
            <w:tcW w:w="992" w:type="dxa"/>
            <w:gridSpan w:val="2"/>
            <w:tcBorders>
              <w:top w:val="nil"/>
              <w:left w:val="nil"/>
              <w:bottom w:val="nil"/>
              <w:right w:val="nil"/>
            </w:tcBorders>
            <w:shd w:val="clear" w:color="auto" w:fill="auto"/>
            <w:noWrap/>
            <w:vAlign w:val="center"/>
            <w:hideMark/>
          </w:tcPr>
          <w:p w14:paraId="76BB5F8B" w14:textId="77777777" w:rsidR="00443002" w:rsidRPr="001E4038" w:rsidRDefault="00443002" w:rsidP="00443002">
            <w:pPr>
              <w:spacing w:after="0" w:line="240" w:lineRule="auto"/>
              <w:rPr>
                <w:sz w:val="18"/>
                <w:szCs w:val="20"/>
                <w:lang w:eastAsia="en-GB"/>
              </w:rPr>
            </w:pPr>
            <w:r w:rsidRPr="001E4038">
              <w:rPr>
                <w:sz w:val="18"/>
                <w:szCs w:val="20"/>
                <w:lang w:eastAsia="en-GB"/>
              </w:rPr>
              <w:t>TUR</w:t>
            </w:r>
          </w:p>
        </w:tc>
        <w:tc>
          <w:tcPr>
            <w:tcW w:w="851" w:type="dxa"/>
            <w:tcBorders>
              <w:top w:val="nil"/>
              <w:left w:val="nil"/>
              <w:bottom w:val="nil"/>
              <w:right w:val="nil"/>
            </w:tcBorders>
            <w:shd w:val="clear" w:color="auto" w:fill="auto"/>
            <w:noWrap/>
            <w:vAlign w:val="center"/>
            <w:hideMark/>
          </w:tcPr>
          <w:p w14:paraId="0D4D3E9A"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67674B05"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16</w:t>
            </w:r>
          </w:p>
        </w:tc>
        <w:tc>
          <w:tcPr>
            <w:tcW w:w="1276" w:type="dxa"/>
            <w:tcBorders>
              <w:top w:val="nil"/>
              <w:left w:val="nil"/>
              <w:bottom w:val="nil"/>
              <w:right w:val="nil"/>
            </w:tcBorders>
            <w:shd w:val="clear" w:color="auto" w:fill="auto"/>
            <w:noWrap/>
            <w:vAlign w:val="center"/>
            <w:hideMark/>
          </w:tcPr>
          <w:p w14:paraId="00B5FE0D"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M=15.4</w:t>
            </w:r>
          </w:p>
        </w:tc>
        <w:tc>
          <w:tcPr>
            <w:tcW w:w="2835" w:type="dxa"/>
            <w:tcBorders>
              <w:top w:val="nil"/>
              <w:left w:val="nil"/>
              <w:bottom w:val="nil"/>
              <w:right w:val="nil"/>
            </w:tcBorders>
            <w:shd w:val="clear" w:color="auto" w:fill="auto"/>
            <w:noWrap/>
            <w:vAlign w:val="center"/>
            <w:hideMark/>
          </w:tcPr>
          <w:p w14:paraId="60DFD62B" w14:textId="77777777" w:rsidR="00443002" w:rsidRPr="001E4038" w:rsidRDefault="00443002" w:rsidP="00443002">
            <w:pPr>
              <w:spacing w:after="0" w:line="240" w:lineRule="auto"/>
              <w:rPr>
                <w:sz w:val="20"/>
                <w:szCs w:val="20"/>
                <w:lang w:eastAsia="en-GB"/>
              </w:rPr>
            </w:pPr>
            <w:r w:rsidRPr="001E4038">
              <w:rPr>
                <w:sz w:val="20"/>
                <w:szCs w:val="20"/>
                <w:lang w:eastAsia="en-GB"/>
              </w:rPr>
              <w:t>Analysis of patient records</w:t>
            </w:r>
          </w:p>
        </w:tc>
        <w:tc>
          <w:tcPr>
            <w:tcW w:w="3118" w:type="dxa"/>
            <w:gridSpan w:val="2"/>
            <w:tcBorders>
              <w:top w:val="nil"/>
              <w:left w:val="nil"/>
              <w:bottom w:val="nil"/>
              <w:right w:val="nil"/>
            </w:tcBorders>
            <w:shd w:val="clear" w:color="auto" w:fill="auto"/>
            <w:noWrap/>
            <w:vAlign w:val="center"/>
            <w:hideMark/>
          </w:tcPr>
          <w:p w14:paraId="0628183A"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cannabinoid users</w:t>
            </w:r>
          </w:p>
        </w:tc>
        <w:tc>
          <w:tcPr>
            <w:tcW w:w="851" w:type="dxa"/>
            <w:tcBorders>
              <w:top w:val="nil"/>
              <w:left w:val="nil"/>
              <w:bottom w:val="nil"/>
              <w:right w:val="nil"/>
            </w:tcBorders>
            <w:vAlign w:val="center"/>
          </w:tcPr>
          <w:p w14:paraId="4B361787"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992" w:type="dxa"/>
            <w:tcBorders>
              <w:top w:val="nil"/>
              <w:left w:val="nil"/>
              <w:bottom w:val="nil"/>
              <w:right w:val="nil"/>
            </w:tcBorders>
            <w:shd w:val="clear" w:color="auto" w:fill="auto"/>
            <w:noWrap/>
            <w:vAlign w:val="center"/>
            <w:hideMark/>
          </w:tcPr>
          <w:p w14:paraId="75316131"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4EB631AC" w14:textId="77777777" w:rsidTr="00C54D22">
        <w:trPr>
          <w:trHeight w:val="508"/>
        </w:trPr>
        <w:tc>
          <w:tcPr>
            <w:tcW w:w="466" w:type="dxa"/>
            <w:tcBorders>
              <w:top w:val="nil"/>
              <w:left w:val="nil"/>
              <w:right w:val="nil"/>
            </w:tcBorders>
            <w:shd w:val="clear" w:color="auto" w:fill="auto"/>
            <w:noWrap/>
            <w:vAlign w:val="center"/>
          </w:tcPr>
          <w:p w14:paraId="4EF42CE6" w14:textId="77777777" w:rsidR="00443002" w:rsidRPr="001E4038" w:rsidRDefault="00443002" w:rsidP="00443002">
            <w:pPr>
              <w:spacing w:after="0" w:line="240" w:lineRule="auto"/>
              <w:rPr>
                <w:b/>
                <w:sz w:val="20"/>
                <w:szCs w:val="20"/>
                <w:lang w:eastAsia="en-GB"/>
              </w:rPr>
            </w:pPr>
            <w:r w:rsidRPr="001E4038">
              <w:rPr>
                <w:b/>
                <w:sz w:val="20"/>
                <w:szCs w:val="20"/>
                <w:lang w:eastAsia="en-GB"/>
              </w:rPr>
              <w:t>27.</w:t>
            </w:r>
          </w:p>
        </w:tc>
        <w:tc>
          <w:tcPr>
            <w:tcW w:w="660" w:type="dxa"/>
            <w:tcBorders>
              <w:top w:val="nil"/>
              <w:left w:val="nil"/>
              <w:right w:val="nil"/>
            </w:tcBorders>
            <w:shd w:val="clear" w:color="auto" w:fill="auto"/>
            <w:noWrap/>
            <w:vAlign w:val="center"/>
            <w:hideMark/>
          </w:tcPr>
          <w:p w14:paraId="086B5305" w14:textId="77777777" w:rsidR="00443002" w:rsidRPr="001E4038" w:rsidRDefault="00443002" w:rsidP="00443002">
            <w:pPr>
              <w:spacing w:after="0" w:line="240" w:lineRule="auto"/>
              <w:rPr>
                <w:sz w:val="20"/>
                <w:szCs w:val="20"/>
                <w:lang w:eastAsia="en-GB"/>
              </w:rPr>
            </w:pPr>
            <w:r w:rsidRPr="001E4038">
              <w:rPr>
                <w:sz w:val="20"/>
                <w:szCs w:val="20"/>
                <w:lang w:eastAsia="en-GB"/>
              </w:rPr>
              <w:t>2015</w:t>
            </w:r>
          </w:p>
        </w:tc>
        <w:tc>
          <w:tcPr>
            <w:tcW w:w="2101" w:type="dxa"/>
            <w:tcBorders>
              <w:top w:val="nil"/>
              <w:left w:val="nil"/>
              <w:right w:val="nil"/>
            </w:tcBorders>
            <w:shd w:val="clear" w:color="auto" w:fill="auto"/>
            <w:noWrap/>
            <w:vAlign w:val="center"/>
            <w:hideMark/>
          </w:tcPr>
          <w:p w14:paraId="185C9AAB" w14:textId="77777777" w:rsidR="00443002" w:rsidRPr="001E4038" w:rsidRDefault="00443002" w:rsidP="00443002">
            <w:pPr>
              <w:spacing w:after="0" w:line="240" w:lineRule="auto"/>
              <w:rPr>
                <w:sz w:val="20"/>
                <w:szCs w:val="20"/>
                <w:lang w:eastAsia="en-GB"/>
              </w:rPr>
            </w:pPr>
            <w:r w:rsidRPr="001E4038">
              <w:rPr>
                <w:sz w:val="20"/>
                <w:szCs w:val="20"/>
                <w:lang w:eastAsia="en-GB"/>
              </w:rPr>
              <w:t>O'Brien et. al.</w:t>
            </w:r>
          </w:p>
        </w:tc>
        <w:tc>
          <w:tcPr>
            <w:tcW w:w="992" w:type="dxa"/>
            <w:gridSpan w:val="2"/>
            <w:tcBorders>
              <w:top w:val="nil"/>
              <w:left w:val="nil"/>
              <w:right w:val="nil"/>
            </w:tcBorders>
            <w:shd w:val="clear" w:color="auto" w:fill="auto"/>
            <w:noWrap/>
            <w:vAlign w:val="center"/>
            <w:hideMark/>
          </w:tcPr>
          <w:p w14:paraId="33A66046" w14:textId="77777777" w:rsidR="00443002" w:rsidRPr="001E4038" w:rsidRDefault="00443002" w:rsidP="00443002">
            <w:pPr>
              <w:spacing w:after="0" w:line="240" w:lineRule="auto"/>
              <w:rPr>
                <w:sz w:val="18"/>
                <w:szCs w:val="20"/>
                <w:lang w:eastAsia="en-GB"/>
              </w:rPr>
            </w:pPr>
            <w:r w:rsidRPr="001E4038">
              <w:rPr>
                <w:sz w:val="18"/>
                <w:szCs w:val="20"/>
                <w:lang w:eastAsia="en-GB"/>
              </w:rPr>
              <w:t>ENG</w:t>
            </w:r>
          </w:p>
        </w:tc>
        <w:tc>
          <w:tcPr>
            <w:tcW w:w="851" w:type="dxa"/>
            <w:tcBorders>
              <w:top w:val="nil"/>
              <w:left w:val="nil"/>
              <w:right w:val="nil"/>
            </w:tcBorders>
            <w:shd w:val="clear" w:color="auto" w:fill="auto"/>
            <w:noWrap/>
            <w:vAlign w:val="center"/>
            <w:hideMark/>
          </w:tcPr>
          <w:p w14:paraId="10C82238"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right w:val="nil"/>
            </w:tcBorders>
            <w:shd w:val="clear" w:color="auto" w:fill="auto"/>
            <w:noWrap/>
            <w:vAlign w:val="center"/>
            <w:hideMark/>
          </w:tcPr>
          <w:p w14:paraId="68D56814"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182</w:t>
            </w:r>
          </w:p>
        </w:tc>
        <w:tc>
          <w:tcPr>
            <w:tcW w:w="1276" w:type="dxa"/>
            <w:tcBorders>
              <w:top w:val="nil"/>
              <w:left w:val="nil"/>
              <w:right w:val="nil"/>
            </w:tcBorders>
            <w:shd w:val="clear" w:color="auto" w:fill="auto"/>
            <w:noWrap/>
            <w:vAlign w:val="center"/>
            <w:hideMark/>
          </w:tcPr>
          <w:p w14:paraId="5E06A7C6"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16-29</w:t>
            </w:r>
          </w:p>
        </w:tc>
        <w:tc>
          <w:tcPr>
            <w:tcW w:w="2835" w:type="dxa"/>
            <w:tcBorders>
              <w:top w:val="nil"/>
              <w:left w:val="nil"/>
              <w:right w:val="nil"/>
            </w:tcBorders>
            <w:shd w:val="clear" w:color="auto" w:fill="auto"/>
            <w:noWrap/>
            <w:vAlign w:val="center"/>
            <w:hideMark/>
          </w:tcPr>
          <w:p w14:paraId="405F2EF9"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 / forums</w:t>
            </w:r>
          </w:p>
        </w:tc>
        <w:tc>
          <w:tcPr>
            <w:tcW w:w="3118" w:type="dxa"/>
            <w:gridSpan w:val="2"/>
            <w:tcBorders>
              <w:top w:val="nil"/>
              <w:left w:val="nil"/>
              <w:right w:val="nil"/>
            </w:tcBorders>
            <w:shd w:val="clear" w:color="auto" w:fill="auto"/>
            <w:noWrap/>
            <w:vAlign w:val="center"/>
            <w:hideMark/>
          </w:tcPr>
          <w:p w14:paraId="1E99CA58" w14:textId="77777777" w:rsidR="00443002" w:rsidRPr="001E4038" w:rsidRDefault="00443002" w:rsidP="00443002">
            <w:pPr>
              <w:spacing w:after="0" w:line="240" w:lineRule="auto"/>
              <w:rPr>
                <w:sz w:val="20"/>
                <w:szCs w:val="20"/>
                <w:lang w:eastAsia="en-GB"/>
              </w:rPr>
            </w:pPr>
            <w:r w:rsidRPr="001E4038">
              <w:rPr>
                <w:sz w:val="20"/>
                <w:szCs w:val="20"/>
                <w:lang w:eastAsia="en-GB"/>
              </w:rPr>
              <w:t>NPS users</w:t>
            </w:r>
          </w:p>
        </w:tc>
        <w:tc>
          <w:tcPr>
            <w:tcW w:w="851" w:type="dxa"/>
            <w:tcBorders>
              <w:top w:val="nil"/>
              <w:left w:val="nil"/>
              <w:right w:val="nil"/>
            </w:tcBorders>
            <w:vAlign w:val="center"/>
          </w:tcPr>
          <w:p w14:paraId="0CF45B2D"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right w:val="nil"/>
            </w:tcBorders>
            <w:shd w:val="clear" w:color="auto" w:fill="auto"/>
            <w:noWrap/>
            <w:vAlign w:val="center"/>
            <w:hideMark/>
          </w:tcPr>
          <w:p w14:paraId="155A9296" w14:textId="77777777" w:rsidR="00443002" w:rsidRPr="001E4038" w:rsidRDefault="00443002" w:rsidP="00443002">
            <w:pPr>
              <w:spacing w:after="0" w:line="240" w:lineRule="auto"/>
              <w:rPr>
                <w:sz w:val="18"/>
                <w:szCs w:val="20"/>
                <w:lang w:eastAsia="en-GB"/>
              </w:rPr>
            </w:pPr>
            <w:r w:rsidRPr="001E4038">
              <w:rPr>
                <w:sz w:val="18"/>
                <w:szCs w:val="20"/>
                <w:lang w:eastAsia="en-GB"/>
              </w:rPr>
              <w:t>NPS</w:t>
            </w:r>
          </w:p>
        </w:tc>
      </w:tr>
      <w:tr w:rsidR="00443002" w:rsidRPr="001E4038" w14:paraId="45A16E54" w14:textId="77777777" w:rsidTr="00C54D22">
        <w:trPr>
          <w:trHeight w:val="508"/>
        </w:trPr>
        <w:tc>
          <w:tcPr>
            <w:tcW w:w="466" w:type="dxa"/>
            <w:tcBorders>
              <w:top w:val="nil"/>
              <w:left w:val="nil"/>
              <w:bottom w:val="nil"/>
              <w:right w:val="nil"/>
            </w:tcBorders>
            <w:shd w:val="clear" w:color="auto" w:fill="auto"/>
            <w:noWrap/>
            <w:vAlign w:val="center"/>
          </w:tcPr>
          <w:p w14:paraId="3E9C81A1" w14:textId="77777777" w:rsidR="00443002" w:rsidRPr="001E4038" w:rsidRDefault="00443002" w:rsidP="00443002">
            <w:pPr>
              <w:spacing w:after="0" w:line="240" w:lineRule="auto"/>
              <w:rPr>
                <w:b/>
                <w:sz w:val="20"/>
                <w:szCs w:val="20"/>
                <w:lang w:eastAsia="en-GB"/>
              </w:rPr>
            </w:pPr>
            <w:r w:rsidRPr="001E4038">
              <w:rPr>
                <w:b/>
                <w:sz w:val="20"/>
                <w:szCs w:val="20"/>
                <w:lang w:eastAsia="en-GB"/>
              </w:rPr>
              <w:t>28.</w:t>
            </w:r>
          </w:p>
        </w:tc>
        <w:tc>
          <w:tcPr>
            <w:tcW w:w="660" w:type="dxa"/>
            <w:tcBorders>
              <w:top w:val="nil"/>
              <w:left w:val="nil"/>
              <w:bottom w:val="nil"/>
              <w:right w:val="nil"/>
            </w:tcBorders>
            <w:shd w:val="clear" w:color="auto" w:fill="auto"/>
            <w:noWrap/>
            <w:vAlign w:val="center"/>
            <w:hideMark/>
          </w:tcPr>
          <w:p w14:paraId="1525D7C8" w14:textId="77777777" w:rsidR="00443002" w:rsidRPr="001E4038" w:rsidRDefault="00443002" w:rsidP="00443002">
            <w:pPr>
              <w:spacing w:after="0" w:line="240" w:lineRule="auto"/>
              <w:rPr>
                <w:sz w:val="20"/>
                <w:szCs w:val="20"/>
                <w:lang w:eastAsia="en-GB"/>
              </w:rPr>
            </w:pPr>
            <w:r w:rsidRPr="001E4038">
              <w:rPr>
                <w:sz w:val="20"/>
                <w:szCs w:val="20"/>
                <w:lang w:eastAsia="en-GB"/>
              </w:rPr>
              <w:t>2015</w:t>
            </w:r>
          </w:p>
        </w:tc>
        <w:tc>
          <w:tcPr>
            <w:tcW w:w="2101" w:type="dxa"/>
            <w:tcBorders>
              <w:top w:val="nil"/>
              <w:left w:val="nil"/>
              <w:bottom w:val="nil"/>
              <w:right w:val="nil"/>
            </w:tcBorders>
            <w:shd w:val="clear" w:color="auto" w:fill="auto"/>
            <w:noWrap/>
            <w:vAlign w:val="center"/>
            <w:hideMark/>
          </w:tcPr>
          <w:p w14:paraId="67D3C269" w14:textId="77777777" w:rsidR="00443002" w:rsidRPr="001E4038" w:rsidRDefault="00443002" w:rsidP="00443002">
            <w:pPr>
              <w:spacing w:after="0" w:line="240" w:lineRule="auto"/>
              <w:rPr>
                <w:sz w:val="20"/>
                <w:szCs w:val="20"/>
                <w:lang w:eastAsia="en-GB"/>
              </w:rPr>
            </w:pPr>
            <w:r w:rsidRPr="001E4038">
              <w:rPr>
                <w:sz w:val="20"/>
                <w:szCs w:val="20"/>
                <w:lang w:eastAsia="en-GB"/>
              </w:rPr>
              <w:t>Rees et. al.</w:t>
            </w:r>
          </w:p>
        </w:tc>
        <w:tc>
          <w:tcPr>
            <w:tcW w:w="992" w:type="dxa"/>
            <w:gridSpan w:val="2"/>
            <w:tcBorders>
              <w:top w:val="nil"/>
              <w:left w:val="nil"/>
              <w:bottom w:val="nil"/>
              <w:right w:val="nil"/>
            </w:tcBorders>
            <w:shd w:val="clear" w:color="auto" w:fill="auto"/>
            <w:noWrap/>
            <w:vAlign w:val="center"/>
            <w:hideMark/>
          </w:tcPr>
          <w:p w14:paraId="41D61D2C" w14:textId="77777777" w:rsidR="00443002" w:rsidRPr="001E4038" w:rsidRDefault="00443002" w:rsidP="00443002">
            <w:pPr>
              <w:spacing w:after="0" w:line="240" w:lineRule="auto"/>
              <w:rPr>
                <w:sz w:val="18"/>
                <w:szCs w:val="20"/>
                <w:lang w:eastAsia="en-GB"/>
              </w:rPr>
            </w:pPr>
            <w:r w:rsidRPr="001E4038">
              <w:rPr>
                <w:sz w:val="18"/>
                <w:szCs w:val="20"/>
                <w:lang w:eastAsia="en-GB"/>
              </w:rPr>
              <w:t>WAL</w:t>
            </w:r>
          </w:p>
        </w:tc>
        <w:tc>
          <w:tcPr>
            <w:tcW w:w="851" w:type="dxa"/>
            <w:tcBorders>
              <w:top w:val="nil"/>
              <w:left w:val="nil"/>
              <w:bottom w:val="nil"/>
              <w:right w:val="nil"/>
            </w:tcBorders>
            <w:shd w:val="clear" w:color="auto" w:fill="auto"/>
            <w:noWrap/>
            <w:vAlign w:val="center"/>
            <w:hideMark/>
          </w:tcPr>
          <w:p w14:paraId="4E29F175"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3A20F27E"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w:t>
            </w:r>
          </w:p>
        </w:tc>
        <w:tc>
          <w:tcPr>
            <w:tcW w:w="1276" w:type="dxa"/>
            <w:tcBorders>
              <w:top w:val="nil"/>
              <w:left w:val="nil"/>
              <w:bottom w:val="nil"/>
              <w:right w:val="nil"/>
            </w:tcBorders>
            <w:shd w:val="clear" w:color="auto" w:fill="auto"/>
            <w:noWrap/>
            <w:vAlign w:val="center"/>
            <w:hideMark/>
          </w:tcPr>
          <w:p w14:paraId="1D038F36"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 xml:space="preserve">16-25 </w:t>
            </w:r>
          </w:p>
        </w:tc>
        <w:tc>
          <w:tcPr>
            <w:tcW w:w="2835" w:type="dxa"/>
            <w:tcBorders>
              <w:top w:val="nil"/>
              <w:left w:val="nil"/>
              <w:bottom w:val="nil"/>
              <w:right w:val="nil"/>
            </w:tcBorders>
            <w:shd w:val="clear" w:color="auto" w:fill="auto"/>
            <w:noWrap/>
            <w:vAlign w:val="center"/>
            <w:hideMark/>
          </w:tcPr>
          <w:p w14:paraId="2C99D060"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Focus groups </w:t>
            </w:r>
          </w:p>
        </w:tc>
        <w:tc>
          <w:tcPr>
            <w:tcW w:w="3118" w:type="dxa"/>
            <w:gridSpan w:val="2"/>
            <w:tcBorders>
              <w:top w:val="nil"/>
              <w:left w:val="nil"/>
              <w:bottom w:val="nil"/>
              <w:right w:val="nil"/>
            </w:tcBorders>
            <w:shd w:val="clear" w:color="auto" w:fill="auto"/>
            <w:noWrap/>
            <w:vAlign w:val="center"/>
            <w:hideMark/>
          </w:tcPr>
          <w:p w14:paraId="23DBD0D6" w14:textId="77777777" w:rsidR="00443002" w:rsidRPr="001E4038" w:rsidRDefault="00443002" w:rsidP="00443002">
            <w:pPr>
              <w:spacing w:after="0" w:line="240" w:lineRule="auto"/>
              <w:rPr>
                <w:sz w:val="20"/>
                <w:szCs w:val="20"/>
                <w:lang w:eastAsia="en-GB"/>
              </w:rPr>
            </w:pPr>
            <w:r w:rsidRPr="001E4038">
              <w:rPr>
                <w:sz w:val="20"/>
                <w:szCs w:val="20"/>
                <w:lang w:eastAsia="en-GB"/>
              </w:rPr>
              <w:t xml:space="preserve">Homeless / at risk young people </w:t>
            </w:r>
          </w:p>
        </w:tc>
        <w:tc>
          <w:tcPr>
            <w:tcW w:w="851" w:type="dxa"/>
            <w:tcBorders>
              <w:top w:val="nil"/>
              <w:left w:val="nil"/>
              <w:bottom w:val="nil"/>
              <w:right w:val="nil"/>
            </w:tcBorders>
            <w:vAlign w:val="center"/>
          </w:tcPr>
          <w:p w14:paraId="42E7730A"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4435238B" w14:textId="77777777" w:rsidR="00443002" w:rsidRPr="001E4038" w:rsidRDefault="00443002" w:rsidP="00443002">
            <w:pPr>
              <w:spacing w:after="0" w:line="240" w:lineRule="auto"/>
              <w:rPr>
                <w:sz w:val="18"/>
                <w:szCs w:val="20"/>
                <w:lang w:eastAsia="en-GB"/>
              </w:rPr>
            </w:pPr>
            <w:r w:rsidRPr="001E4038">
              <w:rPr>
                <w:sz w:val="18"/>
                <w:szCs w:val="20"/>
                <w:lang w:eastAsia="en-GB"/>
              </w:rPr>
              <w:t>LH</w:t>
            </w:r>
          </w:p>
        </w:tc>
      </w:tr>
      <w:tr w:rsidR="00443002" w:rsidRPr="001E4038" w14:paraId="41970FD8" w14:textId="77777777" w:rsidTr="00C54D22">
        <w:trPr>
          <w:trHeight w:val="508"/>
        </w:trPr>
        <w:tc>
          <w:tcPr>
            <w:tcW w:w="466" w:type="dxa"/>
            <w:tcBorders>
              <w:top w:val="nil"/>
              <w:left w:val="nil"/>
              <w:bottom w:val="nil"/>
              <w:right w:val="nil"/>
            </w:tcBorders>
            <w:shd w:val="clear" w:color="auto" w:fill="auto"/>
            <w:noWrap/>
            <w:vAlign w:val="center"/>
            <w:hideMark/>
          </w:tcPr>
          <w:p w14:paraId="5D125665" w14:textId="77777777" w:rsidR="00443002" w:rsidRPr="001E4038" w:rsidRDefault="00443002" w:rsidP="00443002">
            <w:pPr>
              <w:spacing w:after="0" w:line="240" w:lineRule="auto"/>
              <w:rPr>
                <w:b/>
                <w:sz w:val="20"/>
                <w:szCs w:val="20"/>
                <w:lang w:eastAsia="en-GB"/>
              </w:rPr>
            </w:pPr>
            <w:r w:rsidRPr="001E4038">
              <w:rPr>
                <w:b/>
                <w:sz w:val="20"/>
                <w:szCs w:val="20"/>
                <w:lang w:eastAsia="en-GB"/>
              </w:rPr>
              <w:t>29.</w:t>
            </w:r>
          </w:p>
        </w:tc>
        <w:tc>
          <w:tcPr>
            <w:tcW w:w="660" w:type="dxa"/>
            <w:tcBorders>
              <w:top w:val="nil"/>
              <w:left w:val="nil"/>
              <w:bottom w:val="nil"/>
              <w:right w:val="nil"/>
            </w:tcBorders>
            <w:shd w:val="clear" w:color="auto" w:fill="auto"/>
            <w:noWrap/>
            <w:vAlign w:val="center"/>
            <w:hideMark/>
          </w:tcPr>
          <w:p w14:paraId="23893E47" w14:textId="77777777" w:rsidR="00443002" w:rsidRPr="001E4038" w:rsidRDefault="00443002" w:rsidP="00443002">
            <w:pPr>
              <w:spacing w:after="0" w:line="240" w:lineRule="auto"/>
              <w:rPr>
                <w:sz w:val="20"/>
                <w:szCs w:val="20"/>
                <w:lang w:eastAsia="en-GB"/>
              </w:rPr>
            </w:pPr>
            <w:r w:rsidRPr="001E4038">
              <w:rPr>
                <w:sz w:val="20"/>
                <w:szCs w:val="20"/>
                <w:lang w:eastAsia="en-GB"/>
              </w:rPr>
              <w:t>2015</w:t>
            </w:r>
          </w:p>
        </w:tc>
        <w:tc>
          <w:tcPr>
            <w:tcW w:w="2101" w:type="dxa"/>
            <w:tcBorders>
              <w:top w:val="nil"/>
              <w:left w:val="nil"/>
              <w:bottom w:val="nil"/>
              <w:right w:val="nil"/>
            </w:tcBorders>
            <w:shd w:val="clear" w:color="auto" w:fill="auto"/>
            <w:noWrap/>
            <w:vAlign w:val="center"/>
            <w:hideMark/>
          </w:tcPr>
          <w:p w14:paraId="6326FE9C" w14:textId="77777777" w:rsidR="00443002" w:rsidRPr="001E4038" w:rsidRDefault="00443002" w:rsidP="00443002">
            <w:pPr>
              <w:spacing w:after="0" w:line="240" w:lineRule="auto"/>
              <w:rPr>
                <w:sz w:val="20"/>
                <w:szCs w:val="20"/>
                <w:lang w:eastAsia="en-GB"/>
              </w:rPr>
            </w:pPr>
            <w:r w:rsidRPr="001E4038">
              <w:rPr>
                <w:sz w:val="20"/>
                <w:szCs w:val="20"/>
                <w:lang w:eastAsia="en-GB"/>
              </w:rPr>
              <w:t>Van Amsterdam et. al</w:t>
            </w:r>
          </w:p>
        </w:tc>
        <w:tc>
          <w:tcPr>
            <w:tcW w:w="992" w:type="dxa"/>
            <w:gridSpan w:val="2"/>
            <w:tcBorders>
              <w:top w:val="nil"/>
              <w:left w:val="nil"/>
              <w:bottom w:val="nil"/>
              <w:right w:val="nil"/>
            </w:tcBorders>
            <w:shd w:val="clear" w:color="auto" w:fill="auto"/>
            <w:noWrap/>
            <w:vAlign w:val="center"/>
            <w:hideMark/>
          </w:tcPr>
          <w:p w14:paraId="6A029830" w14:textId="77777777" w:rsidR="00443002" w:rsidRPr="001E4038" w:rsidRDefault="00443002" w:rsidP="00443002">
            <w:pPr>
              <w:spacing w:after="0" w:line="240" w:lineRule="auto"/>
              <w:rPr>
                <w:sz w:val="18"/>
                <w:szCs w:val="20"/>
                <w:lang w:eastAsia="en-GB"/>
              </w:rPr>
            </w:pPr>
            <w:r w:rsidRPr="001E4038">
              <w:rPr>
                <w:sz w:val="18"/>
                <w:szCs w:val="20"/>
                <w:lang w:eastAsia="en-GB"/>
              </w:rPr>
              <w:t>NLD</w:t>
            </w:r>
          </w:p>
        </w:tc>
        <w:tc>
          <w:tcPr>
            <w:tcW w:w="851" w:type="dxa"/>
            <w:tcBorders>
              <w:top w:val="nil"/>
              <w:left w:val="nil"/>
              <w:bottom w:val="nil"/>
              <w:right w:val="nil"/>
            </w:tcBorders>
            <w:shd w:val="clear" w:color="auto" w:fill="auto"/>
            <w:noWrap/>
            <w:vAlign w:val="center"/>
            <w:hideMark/>
          </w:tcPr>
          <w:p w14:paraId="00954A66"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tcBorders>
              <w:top w:val="nil"/>
              <w:left w:val="nil"/>
              <w:bottom w:val="nil"/>
              <w:right w:val="nil"/>
            </w:tcBorders>
            <w:shd w:val="clear" w:color="auto" w:fill="auto"/>
            <w:noWrap/>
            <w:vAlign w:val="center"/>
            <w:hideMark/>
          </w:tcPr>
          <w:p w14:paraId="7A53E02D"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25</w:t>
            </w:r>
          </w:p>
        </w:tc>
        <w:tc>
          <w:tcPr>
            <w:tcW w:w="1276" w:type="dxa"/>
            <w:tcBorders>
              <w:top w:val="nil"/>
              <w:left w:val="nil"/>
              <w:bottom w:val="nil"/>
              <w:right w:val="nil"/>
            </w:tcBorders>
            <w:shd w:val="clear" w:color="auto" w:fill="auto"/>
            <w:noWrap/>
            <w:vAlign w:val="center"/>
            <w:hideMark/>
          </w:tcPr>
          <w:p w14:paraId="7ECC163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 xml:space="preserve">20-42 </w:t>
            </w:r>
          </w:p>
        </w:tc>
        <w:tc>
          <w:tcPr>
            <w:tcW w:w="2835" w:type="dxa"/>
            <w:tcBorders>
              <w:top w:val="nil"/>
              <w:left w:val="nil"/>
              <w:bottom w:val="nil"/>
              <w:right w:val="nil"/>
            </w:tcBorders>
            <w:shd w:val="clear" w:color="auto" w:fill="auto"/>
            <w:noWrap/>
            <w:vAlign w:val="center"/>
            <w:hideMark/>
          </w:tcPr>
          <w:p w14:paraId="767DD2C9" w14:textId="77777777" w:rsidR="00443002" w:rsidRPr="001E4038" w:rsidRDefault="00443002" w:rsidP="00443002">
            <w:pPr>
              <w:spacing w:after="0" w:line="240" w:lineRule="auto"/>
              <w:rPr>
                <w:sz w:val="20"/>
                <w:szCs w:val="20"/>
                <w:lang w:eastAsia="en-GB"/>
              </w:rPr>
            </w:pPr>
            <w:r w:rsidRPr="001E4038">
              <w:rPr>
                <w:sz w:val="20"/>
                <w:szCs w:val="20"/>
                <w:lang w:eastAsia="en-GB"/>
              </w:rPr>
              <w:t>Semi-structured interviews</w:t>
            </w:r>
          </w:p>
        </w:tc>
        <w:tc>
          <w:tcPr>
            <w:tcW w:w="3118" w:type="dxa"/>
            <w:gridSpan w:val="2"/>
            <w:tcBorders>
              <w:top w:val="nil"/>
              <w:left w:val="nil"/>
              <w:bottom w:val="nil"/>
              <w:right w:val="nil"/>
            </w:tcBorders>
            <w:shd w:val="clear" w:color="auto" w:fill="auto"/>
            <w:noWrap/>
            <w:vAlign w:val="center"/>
            <w:hideMark/>
          </w:tcPr>
          <w:p w14:paraId="540C64E0" w14:textId="77777777" w:rsidR="00443002" w:rsidRPr="001E4038" w:rsidRDefault="00443002" w:rsidP="00443002">
            <w:pPr>
              <w:spacing w:after="0" w:line="240" w:lineRule="auto"/>
              <w:rPr>
                <w:sz w:val="20"/>
                <w:szCs w:val="20"/>
                <w:lang w:eastAsia="en-GB"/>
              </w:rPr>
            </w:pPr>
            <w:r w:rsidRPr="001E4038">
              <w:rPr>
                <w:sz w:val="20"/>
                <w:szCs w:val="20"/>
                <w:lang w:eastAsia="en-GB"/>
              </w:rPr>
              <w:t>Existing drug users</w:t>
            </w:r>
          </w:p>
        </w:tc>
        <w:tc>
          <w:tcPr>
            <w:tcW w:w="851" w:type="dxa"/>
            <w:tcBorders>
              <w:top w:val="nil"/>
              <w:left w:val="nil"/>
              <w:bottom w:val="nil"/>
              <w:right w:val="nil"/>
            </w:tcBorders>
            <w:vAlign w:val="center"/>
          </w:tcPr>
          <w:p w14:paraId="7A86C8F4"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bottom w:val="nil"/>
              <w:right w:val="nil"/>
            </w:tcBorders>
            <w:shd w:val="clear" w:color="auto" w:fill="auto"/>
            <w:noWrap/>
            <w:vAlign w:val="center"/>
            <w:hideMark/>
          </w:tcPr>
          <w:p w14:paraId="1FD821D8" w14:textId="77777777" w:rsidR="00443002" w:rsidRPr="001E4038" w:rsidRDefault="00443002" w:rsidP="00443002">
            <w:pPr>
              <w:spacing w:after="0" w:line="240" w:lineRule="auto"/>
              <w:rPr>
                <w:sz w:val="18"/>
                <w:szCs w:val="20"/>
                <w:lang w:eastAsia="en-GB"/>
              </w:rPr>
            </w:pPr>
            <w:r w:rsidRPr="001E4038">
              <w:rPr>
                <w:sz w:val="18"/>
                <w:szCs w:val="20"/>
                <w:lang w:eastAsia="en-GB"/>
              </w:rPr>
              <w:t>NPS</w:t>
            </w:r>
          </w:p>
        </w:tc>
      </w:tr>
      <w:tr w:rsidR="00443002" w:rsidRPr="001E4038" w14:paraId="3F1F894C" w14:textId="77777777" w:rsidTr="00C54D22">
        <w:trPr>
          <w:trHeight w:val="508"/>
        </w:trPr>
        <w:tc>
          <w:tcPr>
            <w:tcW w:w="466" w:type="dxa"/>
            <w:tcBorders>
              <w:top w:val="nil"/>
              <w:left w:val="nil"/>
              <w:right w:val="nil"/>
            </w:tcBorders>
            <w:shd w:val="clear" w:color="auto" w:fill="auto"/>
            <w:noWrap/>
            <w:vAlign w:val="center"/>
          </w:tcPr>
          <w:p w14:paraId="5B47AA08" w14:textId="77777777" w:rsidR="00443002" w:rsidRPr="001E4038" w:rsidRDefault="00443002" w:rsidP="00443002">
            <w:pPr>
              <w:spacing w:after="0" w:line="240" w:lineRule="auto"/>
              <w:rPr>
                <w:b/>
                <w:sz w:val="20"/>
                <w:szCs w:val="20"/>
                <w:lang w:eastAsia="en-GB"/>
              </w:rPr>
            </w:pPr>
            <w:r w:rsidRPr="001E4038">
              <w:rPr>
                <w:b/>
                <w:sz w:val="20"/>
                <w:szCs w:val="20"/>
                <w:lang w:eastAsia="en-GB"/>
              </w:rPr>
              <w:t>30.</w:t>
            </w:r>
          </w:p>
        </w:tc>
        <w:tc>
          <w:tcPr>
            <w:tcW w:w="660" w:type="dxa"/>
            <w:tcBorders>
              <w:top w:val="nil"/>
              <w:left w:val="nil"/>
              <w:right w:val="nil"/>
            </w:tcBorders>
            <w:shd w:val="clear" w:color="auto" w:fill="auto"/>
            <w:noWrap/>
            <w:vAlign w:val="center"/>
          </w:tcPr>
          <w:p w14:paraId="6752E991" w14:textId="77777777" w:rsidR="00443002" w:rsidRPr="001E4038" w:rsidRDefault="00443002" w:rsidP="00443002">
            <w:pPr>
              <w:spacing w:after="0" w:line="240" w:lineRule="auto"/>
              <w:rPr>
                <w:sz w:val="20"/>
                <w:szCs w:val="20"/>
                <w:lang w:eastAsia="en-GB"/>
              </w:rPr>
            </w:pPr>
            <w:r w:rsidRPr="001E4038">
              <w:rPr>
                <w:sz w:val="20"/>
                <w:szCs w:val="20"/>
                <w:lang w:eastAsia="en-GB"/>
              </w:rPr>
              <w:t>2016</w:t>
            </w:r>
          </w:p>
        </w:tc>
        <w:tc>
          <w:tcPr>
            <w:tcW w:w="2101" w:type="dxa"/>
            <w:tcBorders>
              <w:top w:val="nil"/>
              <w:left w:val="nil"/>
              <w:right w:val="nil"/>
            </w:tcBorders>
            <w:shd w:val="clear" w:color="auto" w:fill="auto"/>
            <w:noWrap/>
            <w:vAlign w:val="center"/>
          </w:tcPr>
          <w:p w14:paraId="72D758C2" w14:textId="77777777" w:rsidR="00443002" w:rsidRPr="001E4038" w:rsidRDefault="00443002" w:rsidP="00443002">
            <w:pPr>
              <w:spacing w:after="0" w:line="240" w:lineRule="auto"/>
              <w:rPr>
                <w:sz w:val="20"/>
                <w:szCs w:val="20"/>
                <w:lang w:eastAsia="en-GB"/>
              </w:rPr>
            </w:pPr>
            <w:r w:rsidRPr="001E4038">
              <w:rPr>
                <w:sz w:val="20"/>
                <w:szCs w:val="20"/>
                <w:lang w:eastAsia="en-GB"/>
              </w:rPr>
              <w:t>Ashrafioun et. al</w:t>
            </w:r>
          </w:p>
        </w:tc>
        <w:tc>
          <w:tcPr>
            <w:tcW w:w="992" w:type="dxa"/>
            <w:gridSpan w:val="2"/>
            <w:tcBorders>
              <w:top w:val="nil"/>
              <w:left w:val="nil"/>
              <w:right w:val="nil"/>
            </w:tcBorders>
            <w:shd w:val="clear" w:color="auto" w:fill="auto"/>
            <w:noWrap/>
            <w:vAlign w:val="center"/>
          </w:tcPr>
          <w:p w14:paraId="4A74F8B2" w14:textId="77777777" w:rsidR="00443002" w:rsidRPr="001E4038" w:rsidRDefault="00443002" w:rsidP="00443002">
            <w:pPr>
              <w:spacing w:after="0" w:line="240" w:lineRule="auto"/>
              <w:rPr>
                <w:sz w:val="18"/>
                <w:szCs w:val="20"/>
                <w:lang w:eastAsia="en-GB"/>
              </w:rPr>
            </w:pPr>
            <w:r w:rsidRPr="001E4038">
              <w:rPr>
                <w:sz w:val="18"/>
                <w:szCs w:val="20"/>
                <w:lang w:eastAsia="en-GB"/>
              </w:rPr>
              <w:t>USA</w:t>
            </w:r>
          </w:p>
        </w:tc>
        <w:tc>
          <w:tcPr>
            <w:tcW w:w="851" w:type="dxa"/>
            <w:tcBorders>
              <w:top w:val="nil"/>
              <w:left w:val="nil"/>
              <w:right w:val="nil"/>
            </w:tcBorders>
            <w:shd w:val="clear" w:color="auto" w:fill="auto"/>
            <w:noWrap/>
            <w:vAlign w:val="center"/>
          </w:tcPr>
          <w:p w14:paraId="0475A600"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850" w:type="dxa"/>
            <w:tcBorders>
              <w:top w:val="nil"/>
              <w:left w:val="nil"/>
              <w:right w:val="nil"/>
            </w:tcBorders>
            <w:shd w:val="clear" w:color="auto" w:fill="auto"/>
            <w:noWrap/>
            <w:vAlign w:val="center"/>
          </w:tcPr>
          <w:p w14:paraId="306DFF9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104</w:t>
            </w:r>
          </w:p>
        </w:tc>
        <w:tc>
          <w:tcPr>
            <w:tcW w:w="1276" w:type="dxa"/>
            <w:tcBorders>
              <w:top w:val="nil"/>
              <w:left w:val="nil"/>
              <w:right w:val="nil"/>
            </w:tcBorders>
            <w:shd w:val="clear" w:color="auto" w:fill="auto"/>
            <w:noWrap/>
            <w:vAlign w:val="center"/>
          </w:tcPr>
          <w:p w14:paraId="06F39A3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M=25</w:t>
            </w:r>
          </w:p>
        </w:tc>
        <w:tc>
          <w:tcPr>
            <w:tcW w:w="2835" w:type="dxa"/>
            <w:tcBorders>
              <w:top w:val="nil"/>
              <w:left w:val="nil"/>
              <w:right w:val="nil"/>
            </w:tcBorders>
            <w:shd w:val="clear" w:color="auto" w:fill="auto"/>
            <w:noWrap/>
            <w:vAlign w:val="center"/>
          </w:tcPr>
          <w:p w14:paraId="4A707065"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tcBorders>
              <w:top w:val="nil"/>
              <w:left w:val="nil"/>
              <w:right w:val="nil"/>
            </w:tcBorders>
            <w:shd w:val="clear" w:color="auto" w:fill="auto"/>
            <w:noWrap/>
            <w:vAlign w:val="center"/>
          </w:tcPr>
          <w:p w14:paraId="5694BDEA"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cannabis users</w:t>
            </w:r>
          </w:p>
        </w:tc>
        <w:tc>
          <w:tcPr>
            <w:tcW w:w="851" w:type="dxa"/>
            <w:tcBorders>
              <w:top w:val="nil"/>
              <w:left w:val="nil"/>
              <w:right w:val="nil"/>
            </w:tcBorders>
            <w:vAlign w:val="center"/>
          </w:tcPr>
          <w:p w14:paraId="23469114"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tcBorders>
              <w:top w:val="nil"/>
              <w:left w:val="nil"/>
              <w:right w:val="nil"/>
            </w:tcBorders>
            <w:shd w:val="clear" w:color="auto" w:fill="auto"/>
            <w:noWrap/>
            <w:vAlign w:val="center"/>
          </w:tcPr>
          <w:p w14:paraId="65386249" w14:textId="77777777" w:rsidR="00443002" w:rsidRPr="001E4038" w:rsidRDefault="00443002" w:rsidP="00443002">
            <w:pPr>
              <w:spacing w:after="0" w:line="240" w:lineRule="auto"/>
              <w:rPr>
                <w:sz w:val="18"/>
                <w:szCs w:val="20"/>
                <w:lang w:eastAsia="en-GB"/>
              </w:rPr>
            </w:pPr>
            <w:r w:rsidRPr="001E4038">
              <w:rPr>
                <w:sz w:val="18"/>
                <w:szCs w:val="20"/>
                <w:lang w:eastAsia="en-GB"/>
              </w:rPr>
              <w:t>SC</w:t>
            </w:r>
          </w:p>
        </w:tc>
      </w:tr>
      <w:tr w:rsidR="00443002" w:rsidRPr="001E4038" w14:paraId="2725298B" w14:textId="77777777" w:rsidTr="00C54D22">
        <w:trPr>
          <w:trHeight w:val="508"/>
        </w:trPr>
        <w:tc>
          <w:tcPr>
            <w:tcW w:w="466" w:type="dxa"/>
            <w:shd w:val="clear" w:color="auto" w:fill="auto"/>
            <w:noWrap/>
            <w:vAlign w:val="center"/>
            <w:hideMark/>
          </w:tcPr>
          <w:p w14:paraId="37E30F56" w14:textId="77777777" w:rsidR="00443002" w:rsidRPr="001E4038" w:rsidRDefault="00443002" w:rsidP="00443002">
            <w:pPr>
              <w:spacing w:after="0" w:line="240" w:lineRule="auto"/>
              <w:rPr>
                <w:b/>
                <w:sz w:val="20"/>
                <w:szCs w:val="20"/>
                <w:lang w:eastAsia="en-GB"/>
              </w:rPr>
            </w:pPr>
            <w:r w:rsidRPr="001E4038">
              <w:rPr>
                <w:b/>
                <w:sz w:val="20"/>
                <w:szCs w:val="20"/>
                <w:lang w:eastAsia="en-GB"/>
              </w:rPr>
              <w:t>31.</w:t>
            </w:r>
          </w:p>
        </w:tc>
        <w:tc>
          <w:tcPr>
            <w:tcW w:w="660" w:type="dxa"/>
            <w:shd w:val="clear" w:color="auto" w:fill="auto"/>
            <w:noWrap/>
            <w:vAlign w:val="center"/>
            <w:hideMark/>
          </w:tcPr>
          <w:p w14:paraId="1CD03135" w14:textId="77777777" w:rsidR="00443002" w:rsidRPr="001E4038" w:rsidRDefault="00443002" w:rsidP="00443002">
            <w:pPr>
              <w:spacing w:after="0" w:line="240" w:lineRule="auto"/>
              <w:rPr>
                <w:sz w:val="20"/>
                <w:szCs w:val="20"/>
                <w:lang w:eastAsia="en-GB"/>
              </w:rPr>
            </w:pPr>
            <w:r w:rsidRPr="001E4038">
              <w:rPr>
                <w:sz w:val="20"/>
                <w:szCs w:val="20"/>
                <w:lang w:eastAsia="en-GB"/>
              </w:rPr>
              <w:t>2016</w:t>
            </w:r>
          </w:p>
        </w:tc>
        <w:tc>
          <w:tcPr>
            <w:tcW w:w="2101" w:type="dxa"/>
            <w:shd w:val="clear" w:color="auto" w:fill="auto"/>
            <w:noWrap/>
            <w:vAlign w:val="center"/>
            <w:hideMark/>
          </w:tcPr>
          <w:p w14:paraId="79FC855C" w14:textId="77777777" w:rsidR="00443002" w:rsidRPr="001E4038" w:rsidRDefault="00443002" w:rsidP="00443002">
            <w:pPr>
              <w:spacing w:after="0" w:line="240" w:lineRule="auto"/>
              <w:rPr>
                <w:sz w:val="20"/>
                <w:szCs w:val="20"/>
                <w:lang w:eastAsia="en-GB"/>
              </w:rPr>
            </w:pPr>
            <w:r w:rsidRPr="001E4038">
              <w:rPr>
                <w:sz w:val="20"/>
                <w:szCs w:val="20"/>
                <w:lang w:eastAsia="en-GB"/>
              </w:rPr>
              <w:t>Lauritsen &amp; Rosenburg</w:t>
            </w:r>
          </w:p>
        </w:tc>
        <w:tc>
          <w:tcPr>
            <w:tcW w:w="992" w:type="dxa"/>
            <w:gridSpan w:val="2"/>
            <w:shd w:val="clear" w:color="auto" w:fill="auto"/>
            <w:noWrap/>
            <w:vAlign w:val="center"/>
            <w:hideMark/>
          </w:tcPr>
          <w:p w14:paraId="679502B8" w14:textId="77777777" w:rsidR="00443002" w:rsidRPr="001E4038" w:rsidRDefault="00443002" w:rsidP="00443002">
            <w:pPr>
              <w:spacing w:after="0" w:line="240" w:lineRule="auto"/>
              <w:rPr>
                <w:sz w:val="18"/>
                <w:szCs w:val="20"/>
                <w:lang w:eastAsia="en-GB"/>
              </w:rPr>
            </w:pPr>
            <w:r w:rsidRPr="001E4038">
              <w:rPr>
                <w:sz w:val="18"/>
                <w:szCs w:val="20"/>
                <w:lang w:eastAsia="en-GB"/>
              </w:rPr>
              <w:t>USA</w:t>
            </w:r>
          </w:p>
        </w:tc>
        <w:tc>
          <w:tcPr>
            <w:tcW w:w="851" w:type="dxa"/>
            <w:shd w:val="clear" w:color="auto" w:fill="auto"/>
            <w:noWrap/>
            <w:vAlign w:val="center"/>
            <w:hideMark/>
          </w:tcPr>
          <w:p w14:paraId="5A96470D" w14:textId="77777777" w:rsidR="00443002" w:rsidRPr="001E4038" w:rsidRDefault="00443002" w:rsidP="00443002">
            <w:pPr>
              <w:spacing w:after="0" w:line="240" w:lineRule="auto"/>
              <w:rPr>
                <w:sz w:val="20"/>
                <w:szCs w:val="20"/>
                <w:lang w:eastAsia="en-GB"/>
              </w:rPr>
            </w:pPr>
            <w:r w:rsidRPr="001E4038">
              <w:rPr>
                <w:sz w:val="20"/>
                <w:szCs w:val="20"/>
                <w:lang w:eastAsia="en-GB"/>
              </w:rPr>
              <w:t>No</w:t>
            </w:r>
          </w:p>
        </w:tc>
        <w:tc>
          <w:tcPr>
            <w:tcW w:w="850" w:type="dxa"/>
            <w:shd w:val="clear" w:color="auto" w:fill="auto"/>
            <w:noWrap/>
            <w:vAlign w:val="center"/>
            <w:hideMark/>
          </w:tcPr>
          <w:p w14:paraId="5230A160"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186</w:t>
            </w:r>
          </w:p>
        </w:tc>
        <w:tc>
          <w:tcPr>
            <w:tcW w:w="1276" w:type="dxa"/>
            <w:shd w:val="clear" w:color="auto" w:fill="auto"/>
            <w:noWrap/>
            <w:vAlign w:val="center"/>
            <w:hideMark/>
          </w:tcPr>
          <w:p w14:paraId="2EABD00B" w14:textId="77777777" w:rsidR="00443002" w:rsidRPr="001E4038" w:rsidRDefault="00443002" w:rsidP="00443002">
            <w:pPr>
              <w:spacing w:after="0" w:line="240" w:lineRule="auto"/>
              <w:jc w:val="right"/>
              <w:rPr>
                <w:sz w:val="20"/>
                <w:szCs w:val="20"/>
                <w:lang w:eastAsia="en-GB"/>
              </w:rPr>
            </w:pPr>
            <w:r w:rsidRPr="001E4038">
              <w:rPr>
                <w:sz w:val="20"/>
                <w:szCs w:val="20"/>
                <w:lang w:eastAsia="en-GB"/>
              </w:rPr>
              <w:t>M=33</w:t>
            </w:r>
          </w:p>
        </w:tc>
        <w:tc>
          <w:tcPr>
            <w:tcW w:w="2835" w:type="dxa"/>
            <w:shd w:val="clear" w:color="auto" w:fill="auto"/>
            <w:noWrap/>
            <w:vAlign w:val="center"/>
            <w:hideMark/>
          </w:tcPr>
          <w:p w14:paraId="10590C9E" w14:textId="77777777" w:rsidR="00443002" w:rsidRPr="001E4038" w:rsidRDefault="00443002" w:rsidP="00443002">
            <w:pPr>
              <w:spacing w:after="0" w:line="240" w:lineRule="auto"/>
              <w:rPr>
                <w:sz w:val="20"/>
                <w:szCs w:val="20"/>
                <w:lang w:eastAsia="en-GB"/>
              </w:rPr>
            </w:pPr>
            <w:r w:rsidRPr="001E4038">
              <w:rPr>
                <w:sz w:val="20"/>
                <w:szCs w:val="20"/>
                <w:lang w:eastAsia="en-GB"/>
              </w:rPr>
              <w:t>Online survey</w:t>
            </w:r>
          </w:p>
        </w:tc>
        <w:tc>
          <w:tcPr>
            <w:tcW w:w="3118" w:type="dxa"/>
            <w:gridSpan w:val="2"/>
            <w:shd w:val="clear" w:color="auto" w:fill="auto"/>
            <w:noWrap/>
            <w:vAlign w:val="center"/>
            <w:hideMark/>
          </w:tcPr>
          <w:p w14:paraId="4345BBFA" w14:textId="77777777" w:rsidR="00443002" w:rsidRPr="001E4038" w:rsidRDefault="00443002" w:rsidP="00443002">
            <w:pPr>
              <w:spacing w:after="0" w:line="240" w:lineRule="auto"/>
              <w:rPr>
                <w:sz w:val="20"/>
                <w:szCs w:val="20"/>
                <w:lang w:eastAsia="en-GB"/>
              </w:rPr>
            </w:pPr>
            <w:r w:rsidRPr="001E4038">
              <w:rPr>
                <w:sz w:val="20"/>
                <w:szCs w:val="20"/>
                <w:lang w:eastAsia="en-GB"/>
              </w:rPr>
              <w:t>Synthetic cathinone users</w:t>
            </w:r>
          </w:p>
        </w:tc>
        <w:tc>
          <w:tcPr>
            <w:tcW w:w="851" w:type="dxa"/>
            <w:vAlign w:val="center"/>
          </w:tcPr>
          <w:p w14:paraId="65493099" w14:textId="77777777" w:rsidR="00443002" w:rsidRPr="001E4038" w:rsidRDefault="00443002" w:rsidP="00443002">
            <w:pPr>
              <w:spacing w:after="0" w:line="240" w:lineRule="auto"/>
              <w:rPr>
                <w:sz w:val="20"/>
                <w:szCs w:val="20"/>
                <w:lang w:eastAsia="en-GB"/>
              </w:rPr>
            </w:pPr>
            <w:r w:rsidRPr="001E4038">
              <w:rPr>
                <w:sz w:val="20"/>
                <w:szCs w:val="20"/>
                <w:lang w:eastAsia="en-GB"/>
              </w:rPr>
              <w:t>Yes</w:t>
            </w:r>
          </w:p>
        </w:tc>
        <w:tc>
          <w:tcPr>
            <w:tcW w:w="992" w:type="dxa"/>
            <w:shd w:val="clear" w:color="auto" w:fill="auto"/>
            <w:noWrap/>
            <w:vAlign w:val="center"/>
            <w:hideMark/>
          </w:tcPr>
          <w:p w14:paraId="43DA4210" w14:textId="77777777" w:rsidR="00443002" w:rsidRPr="001E4038" w:rsidRDefault="00443002" w:rsidP="00443002">
            <w:pPr>
              <w:spacing w:after="0" w:line="240" w:lineRule="auto"/>
              <w:rPr>
                <w:sz w:val="18"/>
                <w:szCs w:val="20"/>
                <w:lang w:eastAsia="en-GB"/>
              </w:rPr>
            </w:pPr>
            <w:r w:rsidRPr="001E4038">
              <w:rPr>
                <w:sz w:val="18"/>
                <w:szCs w:val="20"/>
                <w:lang w:eastAsia="en-GB"/>
              </w:rPr>
              <w:t>CH</w:t>
            </w:r>
          </w:p>
        </w:tc>
      </w:tr>
      <w:tr w:rsidR="00443002" w:rsidRPr="001E4038" w14:paraId="33D3EDB5" w14:textId="77777777" w:rsidTr="00C54D22">
        <w:trPr>
          <w:trHeight w:val="96"/>
        </w:trPr>
        <w:tc>
          <w:tcPr>
            <w:tcW w:w="466" w:type="dxa"/>
            <w:tcBorders>
              <w:bottom w:val="single" w:sz="4" w:space="0" w:color="auto"/>
            </w:tcBorders>
            <w:shd w:val="clear" w:color="auto" w:fill="auto"/>
            <w:noWrap/>
            <w:vAlign w:val="bottom"/>
          </w:tcPr>
          <w:p w14:paraId="57B78925" w14:textId="77777777" w:rsidR="00443002" w:rsidRPr="00CB60BB" w:rsidRDefault="00443002" w:rsidP="00443002">
            <w:pPr>
              <w:spacing w:after="0" w:line="240" w:lineRule="auto"/>
              <w:jc w:val="right"/>
              <w:rPr>
                <w:b/>
                <w:sz w:val="8"/>
                <w:szCs w:val="20"/>
                <w:lang w:eastAsia="en-GB"/>
              </w:rPr>
            </w:pPr>
          </w:p>
        </w:tc>
        <w:tc>
          <w:tcPr>
            <w:tcW w:w="660" w:type="dxa"/>
            <w:tcBorders>
              <w:bottom w:val="single" w:sz="4" w:space="0" w:color="auto"/>
            </w:tcBorders>
            <w:shd w:val="clear" w:color="auto" w:fill="auto"/>
            <w:noWrap/>
            <w:vAlign w:val="bottom"/>
          </w:tcPr>
          <w:p w14:paraId="37152D81" w14:textId="77777777" w:rsidR="00443002" w:rsidRPr="00CB60BB" w:rsidRDefault="00443002" w:rsidP="00443002">
            <w:pPr>
              <w:spacing w:after="0" w:line="240" w:lineRule="auto"/>
              <w:jc w:val="right"/>
              <w:rPr>
                <w:sz w:val="8"/>
                <w:szCs w:val="20"/>
                <w:lang w:eastAsia="en-GB"/>
              </w:rPr>
            </w:pPr>
          </w:p>
        </w:tc>
        <w:tc>
          <w:tcPr>
            <w:tcW w:w="2101" w:type="dxa"/>
            <w:tcBorders>
              <w:bottom w:val="single" w:sz="4" w:space="0" w:color="auto"/>
            </w:tcBorders>
            <w:shd w:val="clear" w:color="auto" w:fill="auto"/>
            <w:noWrap/>
            <w:vAlign w:val="bottom"/>
          </w:tcPr>
          <w:p w14:paraId="427F7844" w14:textId="77777777" w:rsidR="00443002" w:rsidRPr="00CB60BB" w:rsidRDefault="00443002" w:rsidP="00443002">
            <w:pPr>
              <w:spacing w:after="0" w:line="240" w:lineRule="auto"/>
              <w:rPr>
                <w:sz w:val="8"/>
                <w:szCs w:val="20"/>
                <w:lang w:eastAsia="en-GB"/>
              </w:rPr>
            </w:pPr>
          </w:p>
        </w:tc>
        <w:tc>
          <w:tcPr>
            <w:tcW w:w="992" w:type="dxa"/>
            <w:gridSpan w:val="2"/>
            <w:tcBorders>
              <w:bottom w:val="single" w:sz="4" w:space="0" w:color="auto"/>
            </w:tcBorders>
            <w:shd w:val="clear" w:color="auto" w:fill="auto"/>
            <w:noWrap/>
            <w:vAlign w:val="bottom"/>
          </w:tcPr>
          <w:p w14:paraId="2F35B0B4" w14:textId="77777777" w:rsidR="00443002" w:rsidRPr="00CB60BB" w:rsidRDefault="00443002" w:rsidP="00443002">
            <w:pPr>
              <w:spacing w:after="0" w:line="240" w:lineRule="auto"/>
              <w:rPr>
                <w:sz w:val="8"/>
                <w:szCs w:val="20"/>
                <w:lang w:eastAsia="en-GB"/>
              </w:rPr>
            </w:pPr>
          </w:p>
        </w:tc>
        <w:tc>
          <w:tcPr>
            <w:tcW w:w="851" w:type="dxa"/>
            <w:tcBorders>
              <w:bottom w:val="single" w:sz="4" w:space="0" w:color="auto"/>
            </w:tcBorders>
            <w:shd w:val="clear" w:color="auto" w:fill="auto"/>
            <w:noWrap/>
            <w:vAlign w:val="bottom"/>
          </w:tcPr>
          <w:p w14:paraId="39C8C7BA" w14:textId="77777777" w:rsidR="00443002" w:rsidRPr="00CB60BB" w:rsidRDefault="00443002" w:rsidP="00443002">
            <w:pPr>
              <w:spacing w:after="0" w:line="240" w:lineRule="auto"/>
              <w:rPr>
                <w:sz w:val="8"/>
                <w:szCs w:val="20"/>
                <w:lang w:eastAsia="en-GB"/>
              </w:rPr>
            </w:pPr>
          </w:p>
        </w:tc>
        <w:tc>
          <w:tcPr>
            <w:tcW w:w="850" w:type="dxa"/>
            <w:tcBorders>
              <w:bottom w:val="single" w:sz="4" w:space="0" w:color="auto"/>
            </w:tcBorders>
            <w:shd w:val="clear" w:color="auto" w:fill="auto"/>
            <w:noWrap/>
            <w:vAlign w:val="bottom"/>
          </w:tcPr>
          <w:p w14:paraId="66A2F858" w14:textId="77777777" w:rsidR="00443002" w:rsidRPr="00CB60BB" w:rsidRDefault="00443002" w:rsidP="00443002">
            <w:pPr>
              <w:spacing w:after="0" w:line="240" w:lineRule="auto"/>
              <w:jc w:val="right"/>
              <w:rPr>
                <w:sz w:val="8"/>
                <w:szCs w:val="20"/>
                <w:lang w:eastAsia="en-GB"/>
              </w:rPr>
            </w:pPr>
          </w:p>
        </w:tc>
        <w:tc>
          <w:tcPr>
            <w:tcW w:w="1276" w:type="dxa"/>
            <w:tcBorders>
              <w:bottom w:val="single" w:sz="4" w:space="0" w:color="auto"/>
            </w:tcBorders>
            <w:shd w:val="clear" w:color="auto" w:fill="auto"/>
            <w:noWrap/>
            <w:vAlign w:val="bottom"/>
          </w:tcPr>
          <w:p w14:paraId="151E36A4" w14:textId="77777777" w:rsidR="00443002" w:rsidRPr="00CB60BB" w:rsidRDefault="00443002" w:rsidP="00443002">
            <w:pPr>
              <w:spacing w:after="0" w:line="240" w:lineRule="auto"/>
              <w:jc w:val="right"/>
              <w:rPr>
                <w:sz w:val="8"/>
                <w:szCs w:val="20"/>
                <w:lang w:eastAsia="en-GB"/>
              </w:rPr>
            </w:pPr>
          </w:p>
        </w:tc>
        <w:tc>
          <w:tcPr>
            <w:tcW w:w="2835" w:type="dxa"/>
            <w:tcBorders>
              <w:bottom w:val="single" w:sz="4" w:space="0" w:color="auto"/>
            </w:tcBorders>
            <w:shd w:val="clear" w:color="auto" w:fill="auto"/>
            <w:noWrap/>
            <w:vAlign w:val="bottom"/>
          </w:tcPr>
          <w:p w14:paraId="4322EFEB" w14:textId="77777777" w:rsidR="00443002" w:rsidRPr="00CB60BB" w:rsidRDefault="00443002" w:rsidP="00443002">
            <w:pPr>
              <w:spacing w:after="0" w:line="240" w:lineRule="auto"/>
              <w:rPr>
                <w:sz w:val="8"/>
                <w:szCs w:val="20"/>
                <w:lang w:eastAsia="en-GB"/>
              </w:rPr>
            </w:pPr>
          </w:p>
        </w:tc>
        <w:tc>
          <w:tcPr>
            <w:tcW w:w="3118" w:type="dxa"/>
            <w:gridSpan w:val="2"/>
            <w:tcBorders>
              <w:bottom w:val="single" w:sz="4" w:space="0" w:color="auto"/>
            </w:tcBorders>
            <w:shd w:val="clear" w:color="auto" w:fill="auto"/>
            <w:noWrap/>
            <w:vAlign w:val="bottom"/>
          </w:tcPr>
          <w:p w14:paraId="2E5AE902" w14:textId="77777777" w:rsidR="00443002" w:rsidRPr="00CB60BB" w:rsidRDefault="00443002" w:rsidP="00443002">
            <w:pPr>
              <w:spacing w:after="0" w:line="240" w:lineRule="auto"/>
              <w:rPr>
                <w:sz w:val="8"/>
                <w:szCs w:val="20"/>
                <w:lang w:eastAsia="en-GB"/>
              </w:rPr>
            </w:pPr>
          </w:p>
        </w:tc>
        <w:tc>
          <w:tcPr>
            <w:tcW w:w="851" w:type="dxa"/>
            <w:tcBorders>
              <w:bottom w:val="single" w:sz="4" w:space="0" w:color="auto"/>
            </w:tcBorders>
            <w:vAlign w:val="bottom"/>
          </w:tcPr>
          <w:p w14:paraId="70A9B502" w14:textId="77777777" w:rsidR="00443002" w:rsidRPr="00CB60BB" w:rsidRDefault="00443002" w:rsidP="00443002">
            <w:pPr>
              <w:spacing w:after="0" w:line="240" w:lineRule="auto"/>
              <w:rPr>
                <w:sz w:val="8"/>
                <w:szCs w:val="20"/>
                <w:lang w:eastAsia="en-GB"/>
              </w:rPr>
            </w:pPr>
          </w:p>
        </w:tc>
        <w:tc>
          <w:tcPr>
            <w:tcW w:w="992" w:type="dxa"/>
            <w:tcBorders>
              <w:bottom w:val="single" w:sz="4" w:space="0" w:color="auto"/>
            </w:tcBorders>
            <w:shd w:val="clear" w:color="auto" w:fill="auto"/>
            <w:noWrap/>
            <w:vAlign w:val="bottom"/>
          </w:tcPr>
          <w:p w14:paraId="39921247" w14:textId="77777777" w:rsidR="00443002" w:rsidRPr="00CB60BB" w:rsidRDefault="00443002" w:rsidP="00443002">
            <w:pPr>
              <w:spacing w:after="0" w:line="240" w:lineRule="auto"/>
              <w:rPr>
                <w:sz w:val="8"/>
                <w:szCs w:val="20"/>
                <w:lang w:eastAsia="en-GB"/>
              </w:rPr>
            </w:pPr>
          </w:p>
        </w:tc>
      </w:tr>
      <w:tr w:rsidR="00443002" w:rsidRPr="001E4038" w14:paraId="61A406E6" w14:textId="77777777" w:rsidTr="00C54D22">
        <w:trPr>
          <w:trHeight w:val="395"/>
        </w:trPr>
        <w:tc>
          <w:tcPr>
            <w:tcW w:w="14992" w:type="dxa"/>
            <w:gridSpan w:val="13"/>
            <w:tcBorders>
              <w:top w:val="single" w:sz="4" w:space="0" w:color="auto"/>
            </w:tcBorders>
            <w:shd w:val="clear" w:color="auto" w:fill="auto"/>
            <w:noWrap/>
            <w:vAlign w:val="bottom"/>
          </w:tcPr>
          <w:p w14:paraId="64531045" w14:textId="6E95C9F3" w:rsidR="00443002" w:rsidRPr="001E4038" w:rsidRDefault="00443002" w:rsidP="00443002">
            <w:pPr>
              <w:spacing w:after="0" w:line="240" w:lineRule="auto"/>
              <w:rPr>
                <w:sz w:val="18"/>
                <w:szCs w:val="20"/>
                <w:lang w:eastAsia="en-GB"/>
              </w:rPr>
            </w:pPr>
            <w:r w:rsidRPr="001E4038">
              <w:rPr>
                <w:sz w:val="18"/>
              </w:rPr>
              <w:t>1.</w:t>
            </w:r>
            <w:r>
              <w:rPr>
                <w:sz w:val="18"/>
              </w:rPr>
              <w:t xml:space="preserve"> </w:t>
            </w:r>
            <w:r w:rsidRPr="001E4038">
              <w:rPr>
                <w:sz w:val="18"/>
              </w:rPr>
              <w:t>BZP = Benzylpiperazine; LH = Legal highs; MC = Mephedrone; NPS = New psychoactive substances; SC = Synthetic cannabinoids; S</w:t>
            </w:r>
            <w:r>
              <w:rPr>
                <w:sz w:val="18"/>
              </w:rPr>
              <w:t>H</w:t>
            </w:r>
            <w:r w:rsidRPr="001E4038">
              <w:rPr>
                <w:sz w:val="18"/>
              </w:rPr>
              <w:t xml:space="preserve"> = Synthetic </w:t>
            </w:r>
            <w:r>
              <w:rPr>
                <w:sz w:val="18"/>
              </w:rPr>
              <w:t xml:space="preserve">cathinones </w:t>
            </w:r>
          </w:p>
        </w:tc>
      </w:tr>
    </w:tbl>
    <w:p w14:paraId="36DC917F" w14:textId="77777777" w:rsidR="00443002" w:rsidRPr="00F16755" w:rsidRDefault="00443002" w:rsidP="00443002">
      <w:pPr>
        <w:rPr>
          <w:color w:val="4F81BD" w:themeColor="accent1"/>
          <w:sz w:val="18"/>
        </w:rPr>
      </w:pPr>
    </w:p>
    <w:p w14:paraId="46C67E31" w14:textId="77777777" w:rsidR="00443002" w:rsidRPr="00F16755" w:rsidRDefault="00443002" w:rsidP="00443002">
      <w:pPr>
        <w:rPr>
          <w:color w:val="4F81BD" w:themeColor="accent1"/>
          <w:sz w:val="18"/>
        </w:rPr>
        <w:sectPr w:rsidR="00443002" w:rsidRPr="00F16755" w:rsidSect="00516D5E">
          <w:pgSz w:w="16840" w:h="11900" w:orient="landscape"/>
          <w:pgMar w:top="1440" w:right="1440" w:bottom="993" w:left="1440" w:header="709" w:footer="432" w:gutter="0"/>
          <w:cols w:space="708"/>
          <w:docGrid w:linePitch="360"/>
        </w:sectPr>
      </w:pPr>
    </w:p>
    <w:p w14:paraId="47E3FB76" w14:textId="77777777" w:rsidR="00443002" w:rsidRDefault="00443002" w:rsidP="00C42A80">
      <w:pPr>
        <w:pStyle w:val="Heading3"/>
      </w:pPr>
      <w:bookmarkStart w:id="290" w:name="_Toc35892597"/>
      <w:r>
        <w:t>Extracting reasons for use of NPS</w:t>
      </w:r>
      <w:bookmarkEnd w:id="290"/>
    </w:p>
    <w:p w14:paraId="1032B9A8" w14:textId="77777777" w:rsidR="00443002" w:rsidRDefault="00443002" w:rsidP="00443002">
      <w:pPr>
        <w:spacing w:line="480" w:lineRule="auto"/>
      </w:pPr>
      <w:r>
        <w:t xml:space="preserve">A mapping approach was undertaken to enable a description and comparison of the themes captured within the sample of studies. In the first step the findings of each study were analysed and all reasons that were cited as relevant to the sample under enquiry extracted. </w:t>
      </w:r>
    </w:p>
    <w:bookmarkEnd w:id="288"/>
    <w:p w14:paraId="05092911" w14:textId="5D314CA7" w:rsidR="00443002" w:rsidRDefault="00443002" w:rsidP="00443002">
      <w:pPr>
        <w:spacing w:line="480" w:lineRule="auto"/>
      </w:pPr>
      <w:r>
        <w:t>For those studies which employed a method involving endorsed statements</w:t>
      </w:r>
      <w:r w:rsidR="00A868BB">
        <w:t>,</w:t>
      </w:r>
      <w:r>
        <w:t xml:space="preserve"> it was necessary to devise a threshold by which reasons for using/not using NPS could be classed as relevant, as the options included within these studies were pre-determined by the authors and therefore might not be representative of the population. Where a descriptive rating had been used (e.g. very important – not at all important), reasons were included when the sample mean was past the mid-point, i.e. on average, participants felt the suggested reason was at least somewhat important to their decision making. When survey-based studies were more ambiguous in their methodology, judgment was guided by the conclusions of the authors as to which reasons were considered significant for the population examined within their study. </w:t>
      </w:r>
    </w:p>
    <w:p w14:paraId="4B792C25" w14:textId="77777777" w:rsidR="00443002" w:rsidRDefault="00443002" w:rsidP="00443002">
      <w:pPr>
        <w:spacing w:line="480" w:lineRule="auto"/>
      </w:pPr>
      <w:r>
        <w:t xml:space="preserve">Since many reasons extracted from the full sample of studies were closely related in meaning, a set of codes were devised to aid interpretation. Reasons with high semantic relatedness were grouped together under a single code, producing a set of unique reasons for using NPS. For example, the reasons </w:t>
      </w:r>
      <w:r w:rsidRPr="00664AC3">
        <w:rPr>
          <w:i/>
        </w:rPr>
        <w:t>desire to explore drug effects</w:t>
      </w:r>
      <w:r>
        <w:t xml:space="preserve">, </w:t>
      </w:r>
      <w:r w:rsidRPr="00664AC3">
        <w:rPr>
          <w:i/>
        </w:rPr>
        <w:t>experimentation</w:t>
      </w:r>
      <w:r>
        <w:t xml:space="preserve"> and </w:t>
      </w:r>
      <w:r w:rsidRPr="00664AC3">
        <w:rPr>
          <w:i/>
        </w:rPr>
        <w:t>curiosity</w:t>
      </w:r>
      <w:r>
        <w:t xml:space="preserve"> were all grouped as one unique reason coded as </w:t>
      </w:r>
      <w:r>
        <w:rPr>
          <w:i/>
        </w:rPr>
        <w:t>c</w:t>
      </w:r>
      <w:r w:rsidRPr="00664AC3">
        <w:rPr>
          <w:i/>
        </w:rPr>
        <w:t>uriosity</w:t>
      </w:r>
      <w:r>
        <w:t xml:space="preserve">. </w:t>
      </w:r>
    </w:p>
    <w:p w14:paraId="029F5F69" w14:textId="47568619" w:rsidR="00443002" w:rsidRDefault="00443002" w:rsidP="00443002">
      <w:pPr>
        <w:spacing w:line="480" w:lineRule="auto"/>
      </w:pPr>
      <w:r>
        <w:t xml:space="preserve">The unique reasons were then organised into a smaller number of overarching themes which aimed to capture core dimensions within the set of reasons, whilst retaining important distinctions. For example, whilst </w:t>
      </w:r>
      <w:r w:rsidRPr="00664AC3">
        <w:rPr>
          <w:i/>
        </w:rPr>
        <w:t>desired stimulant effects</w:t>
      </w:r>
      <w:r>
        <w:t xml:space="preserve"> and </w:t>
      </w:r>
      <w:r w:rsidRPr="00664AC3">
        <w:rPr>
          <w:i/>
        </w:rPr>
        <w:t>pleasurable high</w:t>
      </w:r>
      <w:r>
        <w:t xml:space="preserve"> were grouped together under the theme </w:t>
      </w:r>
      <w:r w:rsidRPr="00664AC3">
        <w:rPr>
          <w:i/>
        </w:rPr>
        <w:t>pleasurable effects</w:t>
      </w:r>
      <w:r>
        <w:t xml:space="preserve"> they remained distinguished from </w:t>
      </w:r>
      <w:r w:rsidRPr="00664AC3">
        <w:rPr>
          <w:i/>
        </w:rPr>
        <w:t>positive social interactions</w:t>
      </w:r>
      <w:r>
        <w:t xml:space="preserve"> and </w:t>
      </w:r>
      <w:r w:rsidRPr="00664AC3">
        <w:rPr>
          <w:i/>
        </w:rPr>
        <w:t>fitting in with friends</w:t>
      </w:r>
      <w:r>
        <w:t xml:space="preserve"> which were grouped under the theme </w:t>
      </w:r>
      <w:r>
        <w:rPr>
          <w:i/>
        </w:rPr>
        <w:t>social</w:t>
      </w:r>
      <w:r w:rsidRPr="00664AC3">
        <w:rPr>
          <w:i/>
        </w:rPr>
        <w:t xml:space="preserve"> </w:t>
      </w:r>
      <w:r>
        <w:rPr>
          <w:i/>
        </w:rPr>
        <w:t>influences</w:t>
      </w:r>
      <w:r w:rsidRPr="00664AC3">
        <w:rPr>
          <w:i/>
        </w:rPr>
        <w:t>.</w:t>
      </w:r>
      <w:r>
        <w:t xml:space="preserve"> </w:t>
      </w:r>
    </w:p>
    <w:p w14:paraId="371BFC10" w14:textId="3506BFCB" w:rsidR="00443002" w:rsidRDefault="00443002" w:rsidP="00443002">
      <w:pPr>
        <w:spacing w:line="480" w:lineRule="auto"/>
      </w:pPr>
      <w:r>
        <w:t xml:space="preserve">The full set of unique reasons for use and overarching themes are presented in Table </w:t>
      </w:r>
      <w:r w:rsidR="00C50864">
        <w:t>4-</w:t>
      </w:r>
      <w:r>
        <w:t xml:space="preserve">4. The proportion of studies in which each unique reason was cited is expressed as a percentage score along with references to the studies of origin. Each theme has also been assigned a percentage score representing the proportion of studies which cited reasons associated with that theme.        </w:t>
      </w:r>
    </w:p>
    <w:p w14:paraId="47A1BF24" w14:textId="3796AD55" w:rsidR="00443002" w:rsidRDefault="00443002" w:rsidP="00443002">
      <w:pPr>
        <w:spacing w:line="480" w:lineRule="auto"/>
      </w:pPr>
      <w:r>
        <w:t xml:space="preserve">To assess whether the reported reasons for NPS use found within the review studies vary according to discernible differences within the sample of studies, the distribution of reason-themes within various sets of studies was also analysed. The results of these analyses are shown in Tables </w:t>
      </w:r>
      <w:r w:rsidR="00C50864">
        <w:t>4-</w:t>
      </w:r>
      <w:r>
        <w:t xml:space="preserve">5 to </w:t>
      </w:r>
      <w:r w:rsidR="00C50864">
        <w:t>4-</w:t>
      </w:r>
      <w:r>
        <w:t>10 in the relevant sections where the findings of the sub-set analyses are presented.</w:t>
      </w:r>
    </w:p>
    <w:p w14:paraId="232EA3F1" w14:textId="77777777" w:rsidR="00443002" w:rsidRPr="00FE6B00" w:rsidRDefault="00443002" w:rsidP="00443002">
      <w:pPr>
        <w:spacing w:line="480" w:lineRule="auto"/>
        <w:sectPr w:rsidR="00443002" w:rsidRPr="00FE6B00" w:rsidSect="00443002">
          <w:headerReference w:type="default" r:id="rId60"/>
          <w:pgSz w:w="11900" w:h="16840"/>
          <w:pgMar w:top="1418" w:right="1418" w:bottom="1418" w:left="1418" w:header="709" w:footer="709" w:gutter="0"/>
          <w:cols w:space="708"/>
          <w:docGrid w:linePitch="360"/>
        </w:sectPr>
      </w:pPr>
    </w:p>
    <w:p w14:paraId="4F54228D" w14:textId="499718A6" w:rsidR="00443002" w:rsidRPr="00C72865" w:rsidRDefault="00443002" w:rsidP="00C42A80">
      <w:pPr>
        <w:pStyle w:val="TableHeader"/>
        <w:rPr>
          <w:b/>
        </w:rPr>
      </w:pPr>
      <w:bookmarkStart w:id="291" w:name="_Toc9509057"/>
      <w:bookmarkStart w:id="292" w:name="_Hlk536713933"/>
      <w:r w:rsidRPr="00C72865">
        <w:rPr>
          <w:b/>
        </w:rPr>
        <w:t xml:space="preserve">Table </w:t>
      </w:r>
      <w:r w:rsidR="005E0305">
        <w:rPr>
          <w:b/>
        </w:rPr>
        <w:t>4-</w:t>
      </w:r>
      <w:r w:rsidRPr="00C72865">
        <w:rPr>
          <w:b/>
        </w:rPr>
        <w:t>4. Reasons for use of NPS organised by theme</w:t>
      </w:r>
      <w:bookmarkEnd w:id="291"/>
      <w:r w:rsidRPr="00C72865">
        <w:rPr>
          <w:b/>
        </w:rPr>
        <w:t xml:space="preserve"> </w:t>
      </w:r>
    </w:p>
    <w:tbl>
      <w:tblPr>
        <w:tblStyle w:val="TableGrid"/>
        <w:tblW w:w="13858" w:type="dxa"/>
        <w:tblLayout w:type="fixed"/>
        <w:tblLook w:val="04A0" w:firstRow="1" w:lastRow="0" w:firstColumn="1" w:lastColumn="0" w:noHBand="0" w:noVBand="1"/>
      </w:tblPr>
      <w:tblGrid>
        <w:gridCol w:w="3510"/>
        <w:gridCol w:w="3402"/>
        <w:gridCol w:w="709"/>
        <w:gridCol w:w="284"/>
        <w:gridCol w:w="5953"/>
      </w:tblGrid>
      <w:tr w:rsidR="00443002" w:rsidRPr="00FE6B00" w14:paraId="23E2379C" w14:textId="77777777" w:rsidTr="00443002">
        <w:trPr>
          <w:trHeight w:val="366"/>
        </w:trPr>
        <w:tc>
          <w:tcPr>
            <w:tcW w:w="3510" w:type="dxa"/>
            <w:tcBorders>
              <w:top w:val="single" w:sz="4" w:space="0" w:color="auto"/>
              <w:left w:val="nil"/>
              <w:bottom w:val="single" w:sz="4" w:space="0" w:color="auto"/>
              <w:right w:val="nil"/>
            </w:tcBorders>
          </w:tcPr>
          <w:p w14:paraId="69BE586E" w14:textId="77777777" w:rsidR="00443002" w:rsidRPr="00FE6B00" w:rsidRDefault="00443002" w:rsidP="00443002">
            <w:pPr>
              <w:rPr>
                <w:b/>
              </w:rPr>
            </w:pPr>
            <w:r w:rsidRPr="00FE6B00">
              <w:rPr>
                <w:b/>
              </w:rPr>
              <w:t xml:space="preserve">Theme </w:t>
            </w:r>
          </w:p>
          <w:p w14:paraId="465372AA" w14:textId="77777777" w:rsidR="00443002" w:rsidRPr="00213DDA" w:rsidRDefault="00443002" w:rsidP="00443002">
            <w:r w:rsidRPr="00213DDA">
              <w:t>(% of studies with theme)</w:t>
            </w:r>
            <w:r w:rsidRPr="00213DDA">
              <w:rPr>
                <w:rStyle w:val="FootnoteReference"/>
              </w:rPr>
              <w:footnoteReference w:id="1"/>
            </w:r>
          </w:p>
          <w:p w14:paraId="0A62C385" w14:textId="77777777" w:rsidR="00443002" w:rsidRPr="00FE6B00" w:rsidRDefault="00443002" w:rsidP="00443002">
            <w:pPr>
              <w:rPr>
                <w:b/>
                <w:sz w:val="10"/>
              </w:rPr>
            </w:pPr>
          </w:p>
        </w:tc>
        <w:tc>
          <w:tcPr>
            <w:tcW w:w="4395" w:type="dxa"/>
            <w:gridSpan w:val="3"/>
            <w:tcBorders>
              <w:top w:val="single" w:sz="4" w:space="0" w:color="auto"/>
              <w:left w:val="nil"/>
              <w:bottom w:val="single" w:sz="4" w:space="0" w:color="auto"/>
              <w:right w:val="nil"/>
            </w:tcBorders>
          </w:tcPr>
          <w:p w14:paraId="09F37E0A" w14:textId="77777777" w:rsidR="00443002" w:rsidRPr="00FE6B00" w:rsidRDefault="00443002" w:rsidP="00443002">
            <w:pPr>
              <w:rPr>
                <w:b/>
              </w:rPr>
            </w:pPr>
            <w:r w:rsidRPr="00FE6B00">
              <w:rPr>
                <w:b/>
              </w:rPr>
              <w:t xml:space="preserve">Reason for use </w:t>
            </w:r>
            <w:r>
              <w:rPr>
                <w:b/>
              </w:rPr>
              <w:br/>
            </w:r>
            <w:r w:rsidRPr="00213DDA">
              <w:t>(% of studies with reason)</w:t>
            </w:r>
            <w:r w:rsidRPr="00213DDA">
              <w:rPr>
                <w:rStyle w:val="FootnoteReference"/>
              </w:rPr>
              <w:footnoteReference w:id="2"/>
            </w:r>
          </w:p>
        </w:tc>
        <w:tc>
          <w:tcPr>
            <w:tcW w:w="5953" w:type="dxa"/>
            <w:tcBorders>
              <w:top w:val="single" w:sz="4" w:space="0" w:color="auto"/>
              <w:left w:val="nil"/>
              <w:bottom w:val="single" w:sz="4" w:space="0" w:color="auto"/>
              <w:right w:val="nil"/>
            </w:tcBorders>
          </w:tcPr>
          <w:p w14:paraId="5D370C5D" w14:textId="77777777" w:rsidR="00443002" w:rsidRPr="00FE6B00" w:rsidRDefault="00443002" w:rsidP="00443002">
            <w:pPr>
              <w:rPr>
                <w:b/>
              </w:rPr>
            </w:pPr>
            <w:r w:rsidRPr="00FE6B00">
              <w:rPr>
                <w:b/>
              </w:rPr>
              <w:t>Study of origin reference</w:t>
            </w:r>
            <w:r>
              <w:rPr>
                <w:b/>
              </w:rPr>
              <w:br/>
            </w:r>
            <w:r w:rsidRPr="00213DDA">
              <w:t>(see Table 3)</w:t>
            </w:r>
            <w:r w:rsidRPr="00FE6B00">
              <w:rPr>
                <w:b/>
              </w:rPr>
              <w:t xml:space="preserve"> </w:t>
            </w:r>
          </w:p>
        </w:tc>
      </w:tr>
      <w:tr w:rsidR="00443002" w:rsidRPr="00FE6B00" w14:paraId="3BF903AD" w14:textId="77777777" w:rsidTr="00443002">
        <w:trPr>
          <w:trHeight w:val="136"/>
        </w:trPr>
        <w:tc>
          <w:tcPr>
            <w:tcW w:w="3510" w:type="dxa"/>
            <w:tcBorders>
              <w:top w:val="single" w:sz="4" w:space="0" w:color="auto"/>
              <w:left w:val="nil"/>
              <w:bottom w:val="nil"/>
              <w:right w:val="nil"/>
            </w:tcBorders>
          </w:tcPr>
          <w:p w14:paraId="387C1DC2" w14:textId="77777777" w:rsidR="00443002" w:rsidRPr="00FE6B00" w:rsidRDefault="00443002" w:rsidP="00443002">
            <w:pPr>
              <w:rPr>
                <w:b/>
                <w:sz w:val="6"/>
              </w:rPr>
            </w:pPr>
          </w:p>
        </w:tc>
        <w:tc>
          <w:tcPr>
            <w:tcW w:w="4395" w:type="dxa"/>
            <w:gridSpan w:val="3"/>
            <w:tcBorders>
              <w:top w:val="single" w:sz="4" w:space="0" w:color="auto"/>
              <w:left w:val="nil"/>
              <w:bottom w:val="nil"/>
              <w:right w:val="nil"/>
            </w:tcBorders>
          </w:tcPr>
          <w:p w14:paraId="0C8E7D43" w14:textId="77777777" w:rsidR="00443002" w:rsidRPr="00FE6B00" w:rsidRDefault="00443002" w:rsidP="00443002">
            <w:pPr>
              <w:rPr>
                <w:b/>
                <w:sz w:val="6"/>
              </w:rPr>
            </w:pPr>
          </w:p>
          <w:p w14:paraId="51682863" w14:textId="77777777" w:rsidR="00443002" w:rsidRPr="00FE6B00" w:rsidRDefault="00443002" w:rsidP="00443002">
            <w:pPr>
              <w:rPr>
                <w:b/>
                <w:sz w:val="6"/>
              </w:rPr>
            </w:pPr>
          </w:p>
        </w:tc>
        <w:tc>
          <w:tcPr>
            <w:tcW w:w="5953" w:type="dxa"/>
            <w:tcBorders>
              <w:top w:val="single" w:sz="4" w:space="0" w:color="auto"/>
              <w:left w:val="nil"/>
              <w:bottom w:val="nil"/>
              <w:right w:val="nil"/>
            </w:tcBorders>
          </w:tcPr>
          <w:p w14:paraId="23E24EE2" w14:textId="77777777" w:rsidR="00443002" w:rsidRPr="00FE6B00" w:rsidRDefault="00443002" w:rsidP="00443002">
            <w:pPr>
              <w:rPr>
                <w:b/>
                <w:sz w:val="6"/>
              </w:rPr>
            </w:pPr>
          </w:p>
        </w:tc>
      </w:tr>
      <w:tr w:rsidR="00443002" w:rsidRPr="00FE6B00" w14:paraId="4E935F9F" w14:textId="77777777" w:rsidTr="00443002">
        <w:trPr>
          <w:trHeight w:val="282"/>
        </w:trPr>
        <w:tc>
          <w:tcPr>
            <w:tcW w:w="3510" w:type="dxa"/>
            <w:tcBorders>
              <w:top w:val="nil"/>
              <w:left w:val="nil"/>
              <w:bottom w:val="nil"/>
              <w:right w:val="nil"/>
            </w:tcBorders>
          </w:tcPr>
          <w:p w14:paraId="5B0ED9F0" w14:textId="77777777" w:rsidR="00443002" w:rsidRPr="00FE6B00" w:rsidRDefault="00443002" w:rsidP="00443002">
            <w:pPr>
              <w:spacing w:line="360" w:lineRule="auto"/>
              <w:rPr>
                <w:sz w:val="20"/>
              </w:rPr>
            </w:pPr>
            <w:r w:rsidRPr="00FE6B00">
              <w:rPr>
                <w:b/>
              </w:rPr>
              <w:t>Accessibility 67 %</w:t>
            </w:r>
          </w:p>
        </w:tc>
        <w:tc>
          <w:tcPr>
            <w:tcW w:w="3402" w:type="dxa"/>
            <w:tcBorders>
              <w:top w:val="nil"/>
              <w:left w:val="nil"/>
              <w:bottom w:val="nil"/>
              <w:right w:val="nil"/>
            </w:tcBorders>
          </w:tcPr>
          <w:p w14:paraId="63CBC113" w14:textId="77777777" w:rsidR="00443002" w:rsidRPr="00FE6B00" w:rsidRDefault="00443002" w:rsidP="00443002">
            <w:pPr>
              <w:spacing w:line="360" w:lineRule="auto"/>
              <w:rPr>
                <w:sz w:val="22"/>
              </w:rPr>
            </w:pPr>
            <w:r w:rsidRPr="00FE6B00">
              <w:t>Easy availability</w:t>
            </w:r>
          </w:p>
        </w:tc>
        <w:tc>
          <w:tcPr>
            <w:tcW w:w="709" w:type="dxa"/>
            <w:tcBorders>
              <w:top w:val="nil"/>
              <w:left w:val="nil"/>
              <w:bottom w:val="nil"/>
              <w:right w:val="nil"/>
            </w:tcBorders>
          </w:tcPr>
          <w:p w14:paraId="1ABADD88" w14:textId="77777777" w:rsidR="00443002" w:rsidRPr="00FE6B00" w:rsidRDefault="00443002" w:rsidP="00443002">
            <w:pPr>
              <w:spacing w:line="360" w:lineRule="auto"/>
              <w:jc w:val="right"/>
              <w:rPr>
                <w:sz w:val="20"/>
              </w:rPr>
            </w:pPr>
            <w:r w:rsidRPr="00FE6B00">
              <w:rPr>
                <w:sz w:val="20"/>
              </w:rPr>
              <w:t>6</w:t>
            </w:r>
            <w:r>
              <w:rPr>
                <w:sz w:val="20"/>
              </w:rPr>
              <w:t>7</w:t>
            </w:r>
            <w:r w:rsidRPr="00FE6B00">
              <w:rPr>
                <w:sz w:val="20"/>
              </w:rPr>
              <w:t xml:space="preserve"> %</w:t>
            </w:r>
          </w:p>
        </w:tc>
        <w:tc>
          <w:tcPr>
            <w:tcW w:w="284" w:type="dxa"/>
            <w:tcBorders>
              <w:top w:val="nil"/>
              <w:left w:val="nil"/>
              <w:bottom w:val="nil"/>
              <w:right w:val="nil"/>
            </w:tcBorders>
          </w:tcPr>
          <w:p w14:paraId="0DD165E7"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353F0AF0" w14:textId="77777777" w:rsidR="00443002" w:rsidRPr="00FE6B00" w:rsidRDefault="00443002" w:rsidP="00443002">
            <w:pPr>
              <w:spacing w:line="360" w:lineRule="auto"/>
              <w:rPr>
                <w:sz w:val="18"/>
                <w:szCs w:val="18"/>
              </w:rPr>
            </w:pPr>
            <w:r w:rsidRPr="00FE6B00">
              <w:rPr>
                <w:sz w:val="18"/>
                <w:szCs w:val="18"/>
              </w:rPr>
              <w:t>[3][4][</w:t>
            </w:r>
            <w:r>
              <w:rPr>
                <w:sz w:val="18"/>
                <w:szCs w:val="18"/>
              </w:rPr>
              <w:t>5</w:t>
            </w:r>
            <w:r w:rsidRPr="00FE6B00">
              <w:rPr>
                <w:sz w:val="18"/>
                <w:szCs w:val="18"/>
              </w:rPr>
              <w:t>][</w:t>
            </w:r>
            <w:r>
              <w:rPr>
                <w:sz w:val="18"/>
                <w:szCs w:val="18"/>
              </w:rPr>
              <w:t>6</w:t>
            </w:r>
            <w:r w:rsidRPr="00FE6B00">
              <w:rPr>
                <w:sz w:val="18"/>
                <w:szCs w:val="18"/>
              </w:rPr>
              <w:t>][</w:t>
            </w:r>
            <w:r>
              <w:rPr>
                <w:sz w:val="18"/>
                <w:szCs w:val="18"/>
              </w:rPr>
              <w:t>8</w:t>
            </w:r>
            <w:r w:rsidRPr="00FE6B00">
              <w:rPr>
                <w:sz w:val="18"/>
                <w:szCs w:val="18"/>
              </w:rPr>
              <w:t>][1</w:t>
            </w:r>
            <w:r>
              <w:rPr>
                <w:sz w:val="18"/>
                <w:szCs w:val="18"/>
              </w:rPr>
              <w:t>0</w:t>
            </w:r>
            <w:r w:rsidRPr="00FE6B00">
              <w:rPr>
                <w:sz w:val="18"/>
                <w:szCs w:val="18"/>
              </w:rPr>
              <w:t>][1</w:t>
            </w:r>
            <w:r>
              <w:rPr>
                <w:sz w:val="18"/>
                <w:szCs w:val="18"/>
              </w:rPr>
              <w:t>1</w:t>
            </w:r>
            <w:r w:rsidRPr="00FE6B00">
              <w:rPr>
                <w:sz w:val="18"/>
                <w:szCs w:val="18"/>
              </w:rPr>
              <w:t>][</w:t>
            </w:r>
            <w:r>
              <w:rPr>
                <w:sz w:val="18"/>
                <w:szCs w:val="18"/>
              </w:rPr>
              <w:t>12</w:t>
            </w:r>
            <w:r w:rsidRPr="00FE6B00">
              <w:rPr>
                <w:sz w:val="18"/>
                <w:szCs w:val="18"/>
              </w:rPr>
              <w:t>][13][1</w:t>
            </w:r>
            <w:r>
              <w:rPr>
                <w:sz w:val="18"/>
                <w:szCs w:val="18"/>
              </w:rPr>
              <w:t>5</w:t>
            </w:r>
            <w:r w:rsidRPr="00FE6B00">
              <w:rPr>
                <w:sz w:val="18"/>
                <w:szCs w:val="18"/>
              </w:rPr>
              <w:t>][</w:t>
            </w:r>
            <w:r>
              <w:rPr>
                <w:sz w:val="18"/>
                <w:szCs w:val="18"/>
              </w:rPr>
              <w:t>17</w:t>
            </w:r>
            <w:r w:rsidRPr="00FE6B00">
              <w:rPr>
                <w:sz w:val="18"/>
                <w:szCs w:val="18"/>
              </w:rPr>
              <w:t>][2</w:t>
            </w:r>
            <w:r>
              <w:rPr>
                <w:sz w:val="18"/>
                <w:szCs w:val="18"/>
              </w:rPr>
              <w:t>0</w:t>
            </w:r>
            <w:r w:rsidRPr="00FE6B00">
              <w:rPr>
                <w:sz w:val="18"/>
                <w:szCs w:val="18"/>
              </w:rPr>
              <w:t>][2</w:t>
            </w:r>
            <w:r>
              <w:rPr>
                <w:sz w:val="18"/>
                <w:szCs w:val="18"/>
              </w:rPr>
              <w:t>2</w:t>
            </w:r>
            <w:r w:rsidRPr="00FE6B00">
              <w:rPr>
                <w:sz w:val="18"/>
                <w:szCs w:val="18"/>
              </w:rPr>
              <w:t>][24][25][26][27][</w:t>
            </w:r>
            <w:r>
              <w:rPr>
                <w:sz w:val="18"/>
                <w:szCs w:val="18"/>
              </w:rPr>
              <w:t>28</w:t>
            </w:r>
            <w:r w:rsidRPr="00FE6B00">
              <w:rPr>
                <w:sz w:val="18"/>
                <w:szCs w:val="18"/>
              </w:rPr>
              <w:t>][</w:t>
            </w:r>
            <w:r>
              <w:rPr>
                <w:sz w:val="18"/>
                <w:szCs w:val="18"/>
              </w:rPr>
              <w:t>30</w:t>
            </w:r>
            <w:r w:rsidRPr="00FE6B00">
              <w:rPr>
                <w:sz w:val="18"/>
                <w:szCs w:val="18"/>
              </w:rPr>
              <w:t>][</w:t>
            </w:r>
            <w:r>
              <w:rPr>
                <w:sz w:val="18"/>
                <w:szCs w:val="18"/>
              </w:rPr>
              <w:t>31</w:t>
            </w:r>
            <w:r w:rsidRPr="00FE6B00">
              <w:rPr>
                <w:sz w:val="18"/>
                <w:szCs w:val="18"/>
              </w:rPr>
              <w:t>]</w:t>
            </w:r>
          </w:p>
        </w:tc>
      </w:tr>
      <w:tr w:rsidR="00443002" w:rsidRPr="00FE6B00" w14:paraId="76538BFF" w14:textId="77777777" w:rsidTr="00443002">
        <w:trPr>
          <w:trHeight w:val="282"/>
        </w:trPr>
        <w:tc>
          <w:tcPr>
            <w:tcW w:w="3510" w:type="dxa"/>
            <w:tcBorders>
              <w:top w:val="nil"/>
              <w:left w:val="nil"/>
              <w:bottom w:val="nil"/>
              <w:right w:val="nil"/>
            </w:tcBorders>
          </w:tcPr>
          <w:p w14:paraId="06C826B7"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4781E6B0" w14:textId="77777777" w:rsidR="00443002" w:rsidRPr="00FE6B00" w:rsidRDefault="00443002" w:rsidP="00443002">
            <w:pPr>
              <w:spacing w:line="360" w:lineRule="auto"/>
              <w:rPr>
                <w:sz w:val="22"/>
              </w:rPr>
            </w:pPr>
            <w:r w:rsidRPr="00FE6B00">
              <w:t xml:space="preserve">Low cost </w:t>
            </w:r>
          </w:p>
        </w:tc>
        <w:tc>
          <w:tcPr>
            <w:tcW w:w="709" w:type="dxa"/>
            <w:tcBorders>
              <w:top w:val="nil"/>
              <w:left w:val="nil"/>
              <w:bottom w:val="nil"/>
              <w:right w:val="nil"/>
            </w:tcBorders>
          </w:tcPr>
          <w:p w14:paraId="5D7BCE38" w14:textId="77777777" w:rsidR="00443002" w:rsidRPr="00FE6B00" w:rsidRDefault="00443002" w:rsidP="00443002">
            <w:pPr>
              <w:spacing w:line="360" w:lineRule="auto"/>
              <w:jc w:val="right"/>
              <w:rPr>
                <w:sz w:val="20"/>
              </w:rPr>
            </w:pPr>
            <w:r>
              <w:rPr>
                <w:sz w:val="20"/>
              </w:rPr>
              <w:t>43</w:t>
            </w:r>
            <w:r w:rsidRPr="00FE6B00">
              <w:rPr>
                <w:sz w:val="20"/>
              </w:rPr>
              <w:t xml:space="preserve"> %</w:t>
            </w:r>
          </w:p>
        </w:tc>
        <w:tc>
          <w:tcPr>
            <w:tcW w:w="284" w:type="dxa"/>
            <w:tcBorders>
              <w:top w:val="nil"/>
              <w:left w:val="nil"/>
              <w:bottom w:val="nil"/>
              <w:right w:val="nil"/>
            </w:tcBorders>
          </w:tcPr>
          <w:p w14:paraId="71A323D7"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1AA2E5B8" w14:textId="77777777" w:rsidR="00443002" w:rsidRPr="00FE6B00" w:rsidRDefault="00443002" w:rsidP="00443002">
            <w:pPr>
              <w:spacing w:line="360" w:lineRule="auto"/>
              <w:rPr>
                <w:sz w:val="18"/>
                <w:szCs w:val="18"/>
              </w:rPr>
            </w:pPr>
            <w:r w:rsidRPr="00FE6B00">
              <w:rPr>
                <w:sz w:val="18"/>
                <w:szCs w:val="18"/>
              </w:rPr>
              <w:t>[3][</w:t>
            </w:r>
            <w:r>
              <w:rPr>
                <w:sz w:val="18"/>
                <w:szCs w:val="18"/>
              </w:rPr>
              <w:t>4</w:t>
            </w:r>
            <w:r w:rsidRPr="00FE6B00">
              <w:rPr>
                <w:sz w:val="18"/>
                <w:szCs w:val="18"/>
              </w:rPr>
              <w:t>][</w:t>
            </w:r>
            <w:r>
              <w:rPr>
                <w:sz w:val="18"/>
                <w:szCs w:val="18"/>
              </w:rPr>
              <w:t>8</w:t>
            </w:r>
            <w:r w:rsidRPr="00FE6B00">
              <w:rPr>
                <w:sz w:val="18"/>
                <w:szCs w:val="18"/>
              </w:rPr>
              <w:t>][1</w:t>
            </w:r>
            <w:r>
              <w:rPr>
                <w:sz w:val="18"/>
                <w:szCs w:val="18"/>
              </w:rPr>
              <w:t>2</w:t>
            </w:r>
            <w:r w:rsidRPr="00FE6B00">
              <w:rPr>
                <w:sz w:val="18"/>
                <w:szCs w:val="18"/>
              </w:rPr>
              <w:t>][13][</w:t>
            </w:r>
            <w:r>
              <w:rPr>
                <w:sz w:val="18"/>
                <w:szCs w:val="18"/>
              </w:rPr>
              <w:t>15</w:t>
            </w:r>
            <w:r w:rsidRPr="00FE6B00">
              <w:rPr>
                <w:sz w:val="18"/>
                <w:szCs w:val="18"/>
              </w:rPr>
              <w:t>][2</w:t>
            </w:r>
            <w:r>
              <w:rPr>
                <w:sz w:val="18"/>
                <w:szCs w:val="18"/>
              </w:rPr>
              <w:t>0</w:t>
            </w:r>
            <w:r w:rsidRPr="00FE6B00">
              <w:rPr>
                <w:sz w:val="18"/>
                <w:szCs w:val="18"/>
              </w:rPr>
              <w:t>][2</w:t>
            </w:r>
            <w:r>
              <w:rPr>
                <w:sz w:val="18"/>
                <w:szCs w:val="18"/>
              </w:rPr>
              <w:t>2</w:t>
            </w:r>
            <w:r w:rsidRPr="00FE6B00">
              <w:rPr>
                <w:sz w:val="18"/>
                <w:szCs w:val="18"/>
              </w:rPr>
              <w:t>][2</w:t>
            </w:r>
            <w:r>
              <w:rPr>
                <w:sz w:val="18"/>
                <w:szCs w:val="18"/>
              </w:rPr>
              <w:t>4</w:t>
            </w:r>
            <w:r w:rsidRPr="00FE6B00">
              <w:rPr>
                <w:sz w:val="18"/>
                <w:szCs w:val="18"/>
              </w:rPr>
              <w:t>][2</w:t>
            </w:r>
            <w:r>
              <w:rPr>
                <w:sz w:val="18"/>
                <w:szCs w:val="18"/>
              </w:rPr>
              <w:t>5</w:t>
            </w:r>
            <w:r w:rsidRPr="00FE6B00">
              <w:rPr>
                <w:sz w:val="18"/>
                <w:szCs w:val="18"/>
              </w:rPr>
              <w:t>][</w:t>
            </w:r>
            <w:r>
              <w:rPr>
                <w:sz w:val="18"/>
                <w:szCs w:val="18"/>
              </w:rPr>
              <w:t>26</w:t>
            </w:r>
            <w:r w:rsidRPr="00FE6B00">
              <w:rPr>
                <w:sz w:val="18"/>
                <w:szCs w:val="18"/>
              </w:rPr>
              <w:t>][</w:t>
            </w:r>
            <w:r>
              <w:rPr>
                <w:sz w:val="18"/>
                <w:szCs w:val="18"/>
              </w:rPr>
              <w:t>28</w:t>
            </w:r>
            <w:r w:rsidRPr="00FE6B00">
              <w:rPr>
                <w:sz w:val="18"/>
                <w:szCs w:val="18"/>
              </w:rPr>
              <w:t>]</w:t>
            </w:r>
            <w:r>
              <w:rPr>
                <w:sz w:val="18"/>
                <w:szCs w:val="18"/>
              </w:rPr>
              <w:t>[31]</w:t>
            </w:r>
          </w:p>
        </w:tc>
      </w:tr>
      <w:tr w:rsidR="00443002" w:rsidRPr="00FE6B00" w14:paraId="237378D4" w14:textId="77777777" w:rsidTr="00443002">
        <w:trPr>
          <w:trHeight w:val="282"/>
        </w:trPr>
        <w:tc>
          <w:tcPr>
            <w:tcW w:w="3510" w:type="dxa"/>
            <w:tcBorders>
              <w:top w:val="nil"/>
              <w:left w:val="nil"/>
              <w:bottom w:val="nil"/>
              <w:right w:val="nil"/>
            </w:tcBorders>
          </w:tcPr>
          <w:p w14:paraId="7E2EB2C3"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608CF03A" w14:textId="77777777" w:rsidR="00443002" w:rsidRPr="00FE6B00" w:rsidRDefault="00443002" w:rsidP="00443002">
            <w:pPr>
              <w:spacing w:line="360" w:lineRule="auto"/>
            </w:pPr>
            <w:r w:rsidRPr="00FE6B00">
              <w:t>Illicit drugs unavailable</w:t>
            </w:r>
          </w:p>
        </w:tc>
        <w:tc>
          <w:tcPr>
            <w:tcW w:w="709" w:type="dxa"/>
            <w:tcBorders>
              <w:top w:val="nil"/>
              <w:left w:val="nil"/>
              <w:bottom w:val="nil"/>
              <w:right w:val="nil"/>
            </w:tcBorders>
          </w:tcPr>
          <w:p w14:paraId="19E8D7FC" w14:textId="77777777" w:rsidR="00443002" w:rsidRPr="00FE6B00" w:rsidRDefault="00443002" w:rsidP="00443002">
            <w:pPr>
              <w:spacing w:line="360" w:lineRule="auto"/>
              <w:jc w:val="right"/>
              <w:rPr>
                <w:sz w:val="20"/>
              </w:rPr>
            </w:pPr>
            <w:r w:rsidRPr="00FE6B00">
              <w:rPr>
                <w:sz w:val="20"/>
              </w:rPr>
              <w:t>13 %</w:t>
            </w:r>
          </w:p>
        </w:tc>
        <w:tc>
          <w:tcPr>
            <w:tcW w:w="284" w:type="dxa"/>
            <w:tcBorders>
              <w:top w:val="nil"/>
              <w:left w:val="nil"/>
              <w:bottom w:val="nil"/>
              <w:right w:val="nil"/>
            </w:tcBorders>
          </w:tcPr>
          <w:p w14:paraId="14B29C24"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231CD065" w14:textId="77777777" w:rsidR="00443002" w:rsidRPr="00FE6B00" w:rsidRDefault="00443002" w:rsidP="00443002">
            <w:pPr>
              <w:spacing w:line="360" w:lineRule="auto"/>
              <w:rPr>
                <w:sz w:val="18"/>
                <w:szCs w:val="18"/>
              </w:rPr>
            </w:pPr>
            <w:r w:rsidRPr="00FE6B00">
              <w:rPr>
                <w:sz w:val="18"/>
                <w:szCs w:val="18"/>
              </w:rPr>
              <w:t>[4]</w:t>
            </w:r>
            <w:r>
              <w:rPr>
                <w:sz w:val="18"/>
                <w:szCs w:val="18"/>
              </w:rPr>
              <w:t>[5]</w:t>
            </w:r>
            <w:r w:rsidRPr="00FE6B00">
              <w:rPr>
                <w:sz w:val="18"/>
                <w:szCs w:val="18"/>
              </w:rPr>
              <w:t>[12]</w:t>
            </w:r>
            <w:r>
              <w:rPr>
                <w:sz w:val="18"/>
                <w:szCs w:val="18"/>
              </w:rPr>
              <w:t>[24</w:t>
            </w:r>
            <w:r w:rsidRPr="00FE6B00">
              <w:rPr>
                <w:sz w:val="18"/>
                <w:szCs w:val="18"/>
              </w:rPr>
              <w:t>]</w:t>
            </w:r>
          </w:p>
        </w:tc>
      </w:tr>
      <w:tr w:rsidR="00443002" w:rsidRPr="00FE6B00" w14:paraId="74A0D8E7" w14:textId="77777777" w:rsidTr="00443002">
        <w:trPr>
          <w:trHeight w:val="418"/>
        </w:trPr>
        <w:tc>
          <w:tcPr>
            <w:tcW w:w="3510" w:type="dxa"/>
            <w:tcBorders>
              <w:top w:val="nil"/>
              <w:left w:val="nil"/>
              <w:bottom w:val="single" w:sz="4" w:space="0" w:color="auto"/>
              <w:right w:val="nil"/>
            </w:tcBorders>
          </w:tcPr>
          <w:p w14:paraId="1FEF1118"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316F8269" w14:textId="77777777" w:rsidR="00443002" w:rsidRPr="00FE6B00" w:rsidRDefault="00443002" w:rsidP="00443002">
            <w:pPr>
              <w:spacing w:line="360" w:lineRule="auto"/>
              <w:rPr>
                <w:sz w:val="6"/>
              </w:rPr>
            </w:pPr>
            <w:r w:rsidRPr="00FE6B00">
              <w:t>Cheaper than illicit drugs</w:t>
            </w:r>
          </w:p>
        </w:tc>
        <w:tc>
          <w:tcPr>
            <w:tcW w:w="709" w:type="dxa"/>
            <w:tcBorders>
              <w:top w:val="nil"/>
              <w:left w:val="nil"/>
              <w:bottom w:val="single" w:sz="4" w:space="0" w:color="auto"/>
              <w:right w:val="nil"/>
            </w:tcBorders>
          </w:tcPr>
          <w:p w14:paraId="1DEAD4EE" w14:textId="77777777" w:rsidR="00443002" w:rsidRPr="00FE6B00" w:rsidRDefault="00443002" w:rsidP="00443002">
            <w:pPr>
              <w:spacing w:line="360" w:lineRule="auto"/>
              <w:jc w:val="right"/>
              <w:rPr>
                <w:sz w:val="20"/>
              </w:rPr>
            </w:pPr>
            <w:r w:rsidRPr="00FE6B00">
              <w:rPr>
                <w:sz w:val="20"/>
              </w:rPr>
              <w:t>6 %</w:t>
            </w:r>
          </w:p>
        </w:tc>
        <w:tc>
          <w:tcPr>
            <w:tcW w:w="284" w:type="dxa"/>
            <w:tcBorders>
              <w:top w:val="nil"/>
              <w:left w:val="nil"/>
              <w:bottom w:val="single" w:sz="4" w:space="0" w:color="auto"/>
              <w:right w:val="nil"/>
            </w:tcBorders>
          </w:tcPr>
          <w:p w14:paraId="54F77FAF"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35EA3285" w14:textId="77777777" w:rsidR="00443002" w:rsidRPr="00FE6B00" w:rsidRDefault="00443002" w:rsidP="00443002">
            <w:pPr>
              <w:spacing w:line="360" w:lineRule="auto"/>
              <w:rPr>
                <w:sz w:val="18"/>
                <w:szCs w:val="18"/>
              </w:rPr>
            </w:pPr>
            <w:r w:rsidRPr="00FE6B00">
              <w:rPr>
                <w:sz w:val="18"/>
                <w:szCs w:val="18"/>
              </w:rPr>
              <w:t>[17][20]</w:t>
            </w:r>
          </w:p>
        </w:tc>
      </w:tr>
      <w:tr w:rsidR="00443002" w:rsidRPr="00FE6B00" w14:paraId="66B2FFE4" w14:textId="77777777" w:rsidTr="00443002">
        <w:trPr>
          <w:trHeight w:val="136"/>
        </w:trPr>
        <w:tc>
          <w:tcPr>
            <w:tcW w:w="3510" w:type="dxa"/>
            <w:tcBorders>
              <w:top w:val="single" w:sz="4" w:space="0" w:color="auto"/>
              <w:left w:val="nil"/>
              <w:bottom w:val="nil"/>
              <w:right w:val="nil"/>
            </w:tcBorders>
          </w:tcPr>
          <w:p w14:paraId="59AE05C9"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0420D135"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7A0681EB" w14:textId="77777777" w:rsidR="00443002" w:rsidRPr="00FE6B00" w:rsidRDefault="00443002" w:rsidP="00443002">
            <w:pPr>
              <w:spacing w:line="360" w:lineRule="auto"/>
              <w:rPr>
                <w:b/>
                <w:sz w:val="6"/>
              </w:rPr>
            </w:pPr>
          </w:p>
        </w:tc>
      </w:tr>
      <w:tr w:rsidR="00443002" w:rsidRPr="00FE6B00" w14:paraId="250BF307" w14:textId="77777777" w:rsidTr="00443002">
        <w:trPr>
          <w:trHeight w:val="282"/>
        </w:trPr>
        <w:tc>
          <w:tcPr>
            <w:tcW w:w="3510" w:type="dxa"/>
            <w:tcBorders>
              <w:top w:val="nil"/>
              <w:left w:val="nil"/>
              <w:bottom w:val="nil"/>
              <w:right w:val="nil"/>
            </w:tcBorders>
          </w:tcPr>
          <w:p w14:paraId="7C0FC0D7" w14:textId="77777777" w:rsidR="00443002" w:rsidRPr="00FE6B00" w:rsidRDefault="00443002" w:rsidP="00443002">
            <w:pPr>
              <w:spacing w:line="360" w:lineRule="auto"/>
              <w:rPr>
                <w:szCs w:val="24"/>
              </w:rPr>
            </w:pPr>
            <w:r w:rsidRPr="00FE6B00">
              <w:rPr>
                <w:b/>
              </w:rPr>
              <w:t>Substitution</w:t>
            </w:r>
            <w:r w:rsidRPr="00FE6B00">
              <w:rPr>
                <w:b/>
                <w:sz w:val="28"/>
                <w:szCs w:val="24"/>
              </w:rPr>
              <w:t xml:space="preserve"> </w:t>
            </w:r>
            <w:r w:rsidRPr="00FE6B00">
              <w:rPr>
                <w:b/>
                <w:szCs w:val="24"/>
              </w:rPr>
              <w:t>60 %</w:t>
            </w:r>
          </w:p>
        </w:tc>
        <w:tc>
          <w:tcPr>
            <w:tcW w:w="3402" w:type="dxa"/>
            <w:tcBorders>
              <w:top w:val="nil"/>
              <w:left w:val="nil"/>
              <w:bottom w:val="nil"/>
              <w:right w:val="nil"/>
            </w:tcBorders>
          </w:tcPr>
          <w:p w14:paraId="0365F158" w14:textId="77777777" w:rsidR="00443002" w:rsidRPr="00FE6B00" w:rsidRDefault="00443002" w:rsidP="00443002">
            <w:pPr>
              <w:spacing w:line="360" w:lineRule="auto"/>
            </w:pPr>
            <w:r w:rsidRPr="00FE6B00">
              <w:t xml:space="preserve">Alternative to illicit drugs </w:t>
            </w:r>
          </w:p>
        </w:tc>
        <w:tc>
          <w:tcPr>
            <w:tcW w:w="709" w:type="dxa"/>
            <w:tcBorders>
              <w:top w:val="nil"/>
              <w:left w:val="nil"/>
              <w:bottom w:val="nil"/>
              <w:right w:val="nil"/>
            </w:tcBorders>
          </w:tcPr>
          <w:p w14:paraId="78E86C8C" w14:textId="77777777" w:rsidR="00443002" w:rsidRPr="00FE6B00" w:rsidRDefault="00443002" w:rsidP="00443002">
            <w:pPr>
              <w:spacing w:line="360" w:lineRule="auto"/>
              <w:jc w:val="right"/>
              <w:rPr>
                <w:sz w:val="20"/>
              </w:rPr>
            </w:pPr>
            <w:r w:rsidRPr="00FE6B00">
              <w:rPr>
                <w:sz w:val="20"/>
              </w:rPr>
              <w:t>23 %</w:t>
            </w:r>
          </w:p>
        </w:tc>
        <w:tc>
          <w:tcPr>
            <w:tcW w:w="284" w:type="dxa"/>
            <w:tcBorders>
              <w:top w:val="nil"/>
              <w:left w:val="nil"/>
              <w:bottom w:val="nil"/>
              <w:right w:val="nil"/>
            </w:tcBorders>
          </w:tcPr>
          <w:p w14:paraId="07991DD1"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18197E38" w14:textId="77777777" w:rsidR="00443002" w:rsidRPr="00FE6B00" w:rsidRDefault="00443002" w:rsidP="00443002">
            <w:pPr>
              <w:spacing w:line="360" w:lineRule="auto"/>
              <w:rPr>
                <w:sz w:val="22"/>
              </w:rPr>
            </w:pPr>
            <w:r w:rsidRPr="00FE6B00">
              <w:rPr>
                <w:sz w:val="18"/>
              </w:rPr>
              <w:t>[10][1</w:t>
            </w:r>
            <w:r>
              <w:rPr>
                <w:sz w:val="18"/>
              </w:rPr>
              <w:t>7</w:t>
            </w:r>
            <w:r w:rsidRPr="00FE6B00">
              <w:rPr>
                <w:sz w:val="18"/>
              </w:rPr>
              <w:t>][1</w:t>
            </w:r>
            <w:r>
              <w:rPr>
                <w:sz w:val="18"/>
              </w:rPr>
              <w:t>8</w:t>
            </w:r>
            <w:r w:rsidRPr="00FE6B00">
              <w:rPr>
                <w:sz w:val="18"/>
              </w:rPr>
              <w:t>][2</w:t>
            </w:r>
            <w:r>
              <w:rPr>
                <w:sz w:val="18"/>
              </w:rPr>
              <w:t>4</w:t>
            </w:r>
            <w:r w:rsidRPr="00FE6B00">
              <w:rPr>
                <w:sz w:val="18"/>
              </w:rPr>
              <w:t>][2</w:t>
            </w:r>
            <w:r>
              <w:rPr>
                <w:sz w:val="18"/>
              </w:rPr>
              <w:t>5</w:t>
            </w:r>
            <w:r w:rsidRPr="00FE6B00">
              <w:rPr>
                <w:sz w:val="18"/>
              </w:rPr>
              <w:t>][2</w:t>
            </w:r>
            <w:r>
              <w:rPr>
                <w:sz w:val="18"/>
              </w:rPr>
              <w:t>6</w:t>
            </w:r>
            <w:r w:rsidRPr="00FE6B00">
              <w:rPr>
                <w:sz w:val="18"/>
              </w:rPr>
              <w:t>][</w:t>
            </w:r>
            <w:r>
              <w:rPr>
                <w:sz w:val="18"/>
              </w:rPr>
              <w:t>30</w:t>
            </w:r>
            <w:r w:rsidRPr="00FE6B00">
              <w:rPr>
                <w:sz w:val="18"/>
              </w:rPr>
              <w:t>]</w:t>
            </w:r>
          </w:p>
        </w:tc>
      </w:tr>
      <w:tr w:rsidR="00443002" w:rsidRPr="00FE6B00" w14:paraId="1440BD78" w14:textId="77777777" w:rsidTr="00443002">
        <w:trPr>
          <w:trHeight w:val="282"/>
        </w:trPr>
        <w:tc>
          <w:tcPr>
            <w:tcW w:w="3510" w:type="dxa"/>
            <w:tcBorders>
              <w:top w:val="nil"/>
              <w:left w:val="nil"/>
              <w:bottom w:val="nil"/>
              <w:right w:val="nil"/>
            </w:tcBorders>
          </w:tcPr>
          <w:p w14:paraId="56770E5C" w14:textId="77777777" w:rsidR="00443002" w:rsidRPr="00FE6B00" w:rsidRDefault="00443002" w:rsidP="00443002">
            <w:pPr>
              <w:spacing w:line="360" w:lineRule="auto"/>
              <w:rPr>
                <w:sz w:val="22"/>
              </w:rPr>
            </w:pPr>
          </w:p>
        </w:tc>
        <w:tc>
          <w:tcPr>
            <w:tcW w:w="3402" w:type="dxa"/>
            <w:tcBorders>
              <w:top w:val="nil"/>
              <w:left w:val="nil"/>
              <w:bottom w:val="nil"/>
              <w:right w:val="nil"/>
            </w:tcBorders>
          </w:tcPr>
          <w:p w14:paraId="306ECFD1" w14:textId="77777777" w:rsidR="00443002" w:rsidRPr="00FE6B00" w:rsidRDefault="00443002" w:rsidP="00443002">
            <w:pPr>
              <w:spacing w:line="360" w:lineRule="auto"/>
            </w:pPr>
            <w:r w:rsidRPr="00FE6B00">
              <w:t xml:space="preserve">Better quality than illicit drugs </w:t>
            </w:r>
          </w:p>
        </w:tc>
        <w:tc>
          <w:tcPr>
            <w:tcW w:w="709" w:type="dxa"/>
            <w:tcBorders>
              <w:top w:val="nil"/>
              <w:left w:val="nil"/>
              <w:bottom w:val="nil"/>
              <w:right w:val="nil"/>
            </w:tcBorders>
          </w:tcPr>
          <w:p w14:paraId="26274A16" w14:textId="77777777" w:rsidR="00443002" w:rsidRPr="00FE6B00" w:rsidRDefault="00443002" w:rsidP="00443002">
            <w:pPr>
              <w:spacing w:line="360" w:lineRule="auto"/>
              <w:jc w:val="right"/>
              <w:rPr>
                <w:sz w:val="20"/>
              </w:rPr>
            </w:pPr>
            <w:r>
              <w:rPr>
                <w:sz w:val="20"/>
              </w:rPr>
              <w:t>13</w:t>
            </w:r>
            <w:r w:rsidRPr="00FE6B00">
              <w:rPr>
                <w:sz w:val="20"/>
              </w:rPr>
              <w:t xml:space="preserve"> %</w:t>
            </w:r>
          </w:p>
        </w:tc>
        <w:tc>
          <w:tcPr>
            <w:tcW w:w="284" w:type="dxa"/>
            <w:tcBorders>
              <w:top w:val="nil"/>
              <w:left w:val="nil"/>
              <w:bottom w:val="nil"/>
              <w:right w:val="nil"/>
            </w:tcBorders>
          </w:tcPr>
          <w:p w14:paraId="4C51FA92"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00067EF2" w14:textId="77777777" w:rsidR="00443002" w:rsidRPr="00FE6B00" w:rsidRDefault="00443002" w:rsidP="00443002">
            <w:pPr>
              <w:spacing w:line="360" w:lineRule="auto"/>
              <w:rPr>
                <w:sz w:val="22"/>
              </w:rPr>
            </w:pPr>
            <w:r w:rsidRPr="00FE6B00">
              <w:rPr>
                <w:sz w:val="18"/>
              </w:rPr>
              <w:t>[</w:t>
            </w:r>
            <w:r>
              <w:rPr>
                <w:sz w:val="18"/>
              </w:rPr>
              <w:t>7</w:t>
            </w:r>
            <w:r w:rsidRPr="00FE6B00">
              <w:rPr>
                <w:sz w:val="18"/>
              </w:rPr>
              <w:t>][1</w:t>
            </w:r>
            <w:r>
              <w:rPr>
                <w:sz w:val="18"/>
              </w:rPr>
              <w:t>2</w:t>
            </w:r>
            <w:r w:rsidRPr="00FE6B00">
              <w:rPr>
                <w:sz w:val="18"/>
              </w:rPr>
              <w:t>]</w:t>
            </w:r>
            <w:r>
              <w:rPr>
                <w:sz w:val="18"/>
              </w:rPr>
              <w:t>[17][13]</w:t>
            </w:r>
          </w:p>
        </w:tc>
      </w:tr>
      <w:tr w:rsidR="00443002" w:rsidRPr="00FE6B00" w14:paraId="2C7F3FC5" w14:textId="77777777" w:rsidTr="00443002">
        <w:trPr>
          <w:trHeight w:val="282"/>
        </w:trPr>
        <w:tc>
          <w:tcPr>
            <w:tcW w:w="3510" w:type="dxa"/>
            <w:tcBorders>
              <w:top w:val="nil"/>
              <w:left w:val="nil"/>
              <w:bottom w:val="nil"/>
              <w:right w:val="nil"/>
            </w:tcBorders>
          </w:tcPr>
          <w:p w14:paraId="12B156E0" w14:textId="77777777" w:rsidR="00443002" w:rsidRPr="00FE6B00" w:rsidRDefault="00443002" w:rsidP="00443002">
            <w:pPr>
              <w:spacing w:line="360" w:lineRule="auto"/>
              <w:rPr>
                <w:sz w:val="22"/>
              </w:rPr>
            </w:pPr>
          </w:p>
        </w:tc>
        <w:tc>
          <w:tcPr>
            <w:tcW w:w="3402" w:type="dxa"/>
            <w:tcBorders>
              <w:top w:val="nil"/>
              <w:left w:val="nil"/>
              <w:bottom w:val="nil"/>
              <w:right w:val="nil"/>
            </w:tcBorders>
          </w:tcPr>
          <w:p w14:paraId="385E8BF0" w14:textId="77777777" w:rsidR="00443002" w:rsidRPr="00FE6B00" w:rsidRDefault="00443002" w:rsidP="00443002">
            <w:pPr>
              <w:spacing w:line="360" w:lineRule="auto"/>
            </w:pPr>
            <w:r w:rsidRPr="00FE6B00">
              <w:t xml:space="preserve">Illicit drugs unavailable </w:t>
            </w:r>
          </w:p>
        </w:tc>
        <w:tc>
          <w:tcPr>
            <w:tcW w:w="709" w:type="dxa"/>
            <w:tcBorders>
              <w:top w:val="nil"/>
              <w:left w:val="nil"/>
              <w:bottom w:val="nil"/>
              <w:right w:val="nil"/>
            </w:tcBorders>
          </w:tcPr>
          <w:p w14:paraId="1E2B3F30" w14:textId="77777777" w:rsidR="00443002" w:rsidRPr="00FE6B00" w:rsidRDefault="00443002" w:rsidP="00443002">
            <w:pPr>
              <w:spacing w:line="360" w:lineRule="auto"/>
              <w:jc w:val="right"/>
              <w:rPr>
                <w:sz w:val="20"/>
              </w:rPr>
            </w:pPr>
            <w:r w:rsidRPr="00FE6B00">
              <w:rPr>
                <w:sz w:val="20"/>
              </w:rPr>
              <w:t>13 %</w:t>
            </w:r>
          </w:p>
        </w:tc>
        <w:tc>
          <w:tcPr>
            <w:tcW w:w="284" w:type="dxa"/>
            <w:tcBorders>
              <w:top w:val="nil"/>
              <w:left w:val="nil"/>
              <w:bottom w:val="nil"/>
              <w:right w:val="nil"/>
            </w:tcBorders>
          </w:tcPr>
          <w:p w14:paraId="7C23E342"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07D25E7B" w14:textId="77777777" w:rsidR="00443002" w:rsidRPr="00FE6B00" w:rsidRDefault="00443002" w:rsidP="00443002">
            <w:pPr>
              <w:spacing w:line="360" w:lineRule="auto"/>
              <w:rPr>
                <w:sz w:val="22"/>
              </w:rPr>
            </w:pPr>
            <w:r w:rsidRPr="00FE6B00">
              <w:rPr>
                <w:sz w:val="18"/>
                <w:szCs w:val="18"/>
              </w:rPr>
              <w:t>[4]</w:t>
            </w:r>
            <w:r>
              <w:rPr>
                <w:sz w:val="18"/>
                <w:szCs w:val="18"/>
              </w:rPr>
              <w:t>[5]</w:t>
            </w:r>
            <w:r w:rsidRPr="00FE6B00">
              <w:rPr>
                <w:sz w:val="18"/>
                <w:szCs w:val="18"/>
              </w:rPr>
              <w:t>[12]</w:t>
            </w:r>
            <w:r>
              <w:rPr>
                <w:sz w:val="18"/>
                <w:szCs w:val="18"/>
              </w:rPr>
              <w:t>[24</w:t>
            </w:r>
            <w:r w:rsidRPr="00FE6B00">
              <w:rPr>
                <w:sz w:val="18"/>
                <w:szCs w:val="18"/>
              </w:rPr>
              <w:t>]</w:t>
            </w:r>
          </w:p>
        </w:tc>
      </w:tr>
      <w:tr w:rsidR="00443002" w:rsidRPr="00FE6B00" w14:paraId="3F1B52F3" w14:textId="77777777" w:rsidTr="00443002">
        <w:trPr>
          <w:trHeight w:val="282"/>
        </w:trPr>
        <w:tc>
          <w:tcPr>
            <w:tcW w:w="3510" w:type="dxa"/>
            <w:tcBorders>
              <w:top w:val="nil"/>
              <w:left w:val="nil"/>
              <w:bottom w:val="nil"/>
              <w:right w:val="nil"/>
            </w:tcBorders>
          </w:tcPr>
          <w:p w14:paraId="28BE2D0D" w14:textId="77777777" w:rsidR="00443002" w:rsidRPr="00FE6B00" w:rsidRDefault="00443002" w:rsidP="00443002">
            <w:pPr>
              <w:spacing w:line="360" w:lineRule="auto"/>
              <w:rPr>
                <w:b/>
              </w:rPr>
            </w:pPr>
          </w:p>
        </w:tc>
        <w:tc>
          <w:tcPr>
            <w:tcW w:w="3402" w:type="dxa"/>
            <w:tcBorders>
              <w:top w:val="nil"/>
              <w:left w:val="nil"/>
              <w:bottom w:val="nil"/>
              <w:right w:val="nil"/>
            </w:tcBorders>
          </w:tcPr>
          <w:p w14:paraId="22D32650" w14:textId="77777777" w:rsidR="00443002" w:rsidRPr="00FE6B00" w:rsidRDefault="00443002" w:rsidP="00443002">
            <w:pPr>
              <w:spacing w:line="360" w:lineRule="auto"/>
            </w:pPr>
            <w:r w:rsidRPr="00FE6B00">
              <w:t xml:space="preserve">Manage addiction to other drugs </w:t>
            </w:r>
          </w:p>
        </w:tc>
        <w:tc>
          <w:tcPr>
            <w:tcW w:w="709" w:type="dxa"/>
            <w:tcBorders>
              <w:top w:val="nil"/>
              <w:left w:val="nil"/>
              <w:bottom w:val="nil"/>
              <w:right w:val="nil"/>
            </w:tcBorders>
          </w:tcPr>
          <w:p w14:paraId="197195B2" w14:textId="77777777" w:rsidR="00443002" w:rsidRPr="00FE6B00" w:rsidRDefault="00443002" w:rsidP="00443002">
            <w:pPr>
              <w:spacing w:line="360" w:lineRule="auto"/>
              <w:jc w:val="right"/>
              <w:rPr>
                <w:sz w:val="20"/>
              </w:rPr>
            </w:pPr>
            <w:r>
              <w:rPr>
                <w:sz w:val="20"/>
              </w:rPr>
              <w:t>10</w:t>
            </w:r>
            <w:r w:rsidRPr="00FE6B00">
              <w:rPr>
                <w:sz w:val="20"/>
              </w:rPr>
              <w:t xml:space="preserve"> %</w:t>
            </w:r>
          </w:p>
        </w:tc>
        <w:tc>
          <w:tcPr>
            <w:tcW w:w="284" w:type="dxa"/>
            <w:tcBorders>
              <w:top w:val="nil"/>
              <w:left w:val="nil"/>
              <w:bottom w:val="nil"/>
              <w:right w:val="nil"/>
            </w:tcBorders>
          </w:tcPr>
          <w:p w14:paraId="35887DD8"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50509971" w14:textId="77777777" w:rsidR="00443002" w:rsidRPr="00FE6B00" w:rsidRDefault="00443002" w:rsidP="00443002">
            <w:pPr>
              <w:spacing w:line="360" w:lineRule="auto"/>
              <w:rPr>
                <w:sz w:val="18"/>
              </w:rPr>
            </w:pPr>
            <w:r w:rsidRPr="00FE6B00">
              <w:rPr>
                <w:sz w:val="18"/>
              </w:rPr>
              <w:t>[6]</w:t>
            </w:r>
            <w:r>
              <w:rPr>
                <w:sz w:val="18"/>
              </w:rPr>
              <w:t>[7]</w:t>
            </w:r>
            <w:r w:rsidRPr="00FE6B00">
              <w:rPr>
                <w:sz w:val="18"/>
              </w:rPr>
              <w:t>[17]</w:t>
            </w:r>
          </w:p>
        </w:tc>
      </w:tr>
      <w:tr w:rsidR="00443002" w:rsidRPr="00FE6B00" w14:paraId="5766DCF6" w14:textId="77777777" w:rsidTr="00443002">
        <w:trPr>
          <w:trHeight w:val="282"/>
        </w:trPr>
        <w:tc>
          <w:tcPr>
            <w:tcW w:w="3510" w:type="dxa"/>
            <w:tcBorders>
              <w:top w:val="nil"/>
              <w:left w:val="nil"/>
              <w:bottom w:val="nil"/>
              <w:right w:val="nil"/>
            </w:tcBorders>
          </w:tcPr>
          <w:p w14:paraId="164A1862" w14:textId="77777777" w:rsidR="00443002" w:rsidRPr="00FE6B00" w:rsidRDefault="00443002" w:rsidP="00443002">
            <w:pPr>
              <w:spacing w:line="360" w:lineRule="auto"/>
              <w:rPr>
                <w:b/>
              </w:rPr>
            </w:pPr>
          </w:p>
        </w:tc>
        <w:tc>
          <w:tcPr>
            <w:tcW w:w="3402" w:type="dxa"/>
            <w:tcBorders>
              <w:top w:val="nil"/>
              <w:left w:val="nil"/>
              <w:bottom w:val="nil"/>
              <w:right w:val="nil"/>
            </w:tcBorders>
          </w:tcPr>
          <w:p w14:paraId="339634DB" w14:textId="77777777" w:rsidR="00443002" w:rsidRPr="00FE6B00" w:rsidRDefault="00443002" w:rsidP="00443002">
            <w:pPr>
              <w:spacing w:line="360" w:lineRule="auto"/>
            </w:pPr>
            <w:r w:rsidRPr="00FE6B00">
              <w:t xml:space="preserve">Better effects than illicit drugs </w:t>
            </w:r>
          </w:p>
        </w:tc>
        <w:tc>
          <w:tcPr>
            <w:tcW w:w="709" w:type="dxa"/>
            <w:tcBorders>
              <w:top w:val="nil"/>
              <w:left w:val="nil"/>
              <w:bottom w:val="nil"/>
              <w:right w:val="nil"/>
            </w:tcBorders>
          </w:tcPr>
          <w:p w14:paraId="24767374" w14:textId="77777777" w:rsidR="00443002"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6F37DDF6"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4D4B28BE" w14:textId="77777777" w:rsidR="00443002" w:rsidRPr="00FE6B00" w:rsidRDefault="00443002" w:rsidP="00443002">
            <w:pPr>
              <w:spacing w:line="360" w:lineRule="auto"/>
              <w:rPr>
                <w:sz w:val="18"/>
              </w:rPr>
            </w:pPr>
            <w:r w:rsidRPr="00FE6B00">
              <w:rPr>
                <w:sz w:val="18"/>
              </w:rPr>
              <w:t>[</w:t>
            </w:r>
            <w:r>
              <w:rPr>
                <w:sz w:val="18"/>
              </w:rPr>
              <w:t>7</w:t>
            </w:r>
            <w:r w:rsidRPr="00FE6B00">
              <w:rPr>
                <w:sz w:val="18"/>
              </w:rPr>
              <w:t>][17]</w:t>
            </w:r>
          </w:p>
        </w:tc>
      </w:tr>
      <w:tr w:rsidR="00443002" w:rsidRPr="00FE6B00" w14:paraId="0DC81329" w14:textId="77777777" w:rsidTr="00443002">
        <w:trPr>
          <w:trHeight w:val="282"/>
        </w:trPr>
        <w:tc>
          <w:tcPr>
            <w:tcW w:w="3510" w:type="dxa"/>
            <w:tcBorders>
              <w:top w:val="nil"/>
              <w:left w:val="nil"/>
              <w:bottom w:val="nil"/>
              <w:right w:val="nil"/>
            </w:tcBorders>
          </w:tcPr>
          <w:p w14:paraId="20379E57" w14:textId="77777777" w:rsidR="00443002" w:rsidRPr="00FE6B00" w:rsidRDefault="00443002" w:rsidP="00443002">
            <w:pPr>
              <w:spacing w:line="360" w:lineRule="auto"/>
              <w:rPr>
                <w:b/>
              </w:rPr>
            </w:pPr>
          </w:p>
        </w:tc>
        <w:tc>
          <w:tcPr>
            <w:tcW w:w="3402" w:type="dxa"/>
            <w:tcBorders>
              <w:top w:val="nil"/>
              <w:left w:val="nil"/>
              <w:bottom w:val="nil"/>
              <w:right w:val="nil"/>
            </w:tcBorders>
          </w:tcPr>
          <w:p w14:paraId="10C22256" w14:textId="77777777" w:rsidR="00443002" w:rsidRPr="00FE6B00" w:rsidRDefault="00443002" w:rsidP="00443002">
            <w:pPr>
              <w:spacing w:line="360" w:lineRule="auto"/>
            </w:pPr>
            <w:r w:rsidRPr="00FE6B00">
              <w:t xml:space="preserve">Cheaper than illicit drugs </w:t>
            </w:r>
          </w:p>
        </w:tc>
        <w:tc>
          <w:tcPr>
            <w:tcW w:w="709" w:type="dxa"/>
            <w:tcBorders>
              <w:top w:val="nil"/>
              <w:left w:val="nil"/>
              <w:bottom w:val="nil"/>
              <w:right w:val="nil"/>
            </w:tcBorders>
          </w:tcPr>
          <w:p w14:paraId="02ABEF99" w14:textId="77777777" w:rsidR="00443002"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19137675"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1AB430FD" w14:textId="77777777" w:rsidR="00443002" w:rsidRPr="00FE6B00" w:rsidRDefault="00443002" w:rsidP="00443002">
            <w:pPr>
              <w:spacing w:line="360" w:lineRule="auto"/>
              <w:rPr>
                <w:sz w:val="18"/>
              </w:rPr>
            </w:pPr>
            <w:r w:rsidRPr="00FE6B00">
              <w:rPr>
                <w:sz w:val="18"/>
                <w:szCs w:val="18"/>
              </w:rPr>
              <w:t>[17][20]</w:t>
            </w:r>
          </w:p>
        </w:tc>
      </w:tr>
      <w:tr w:rsidR="00443002" w:rsidRPr="00FE6B00" w14:paraId="5B2FFCB3" w14:textId="77777777" w:rsidTr="00443002">
        <w:trPr>
          <w:trHeight w:val="282"/>
        </w:trPr>
        <w:tc>
          <w:tcPr>
            <w:tcW w:w="3510" w:type="dxa"/>
            <w:tcBorders>
              <w:top w:val="nil"/>
              <w:left w:val="nil"/>
              <w:bottom w:val="nil"/>
              <w:right w:val="nil"/>
            </w:tcBorders>
          </w:tcPr>
          <w:p w14:paraId="4F93B6AE" w14:textId="77777777" w:rsidR="00443002" w:rsidRPr="00FE6B00" w:rsidRDefault="00443002" w:rsidP="00443002">
            <w:pPr>
              <w:spacing w:line="360" w:lineRule="auto"/>
              <w:rPr>
                <w:sz w:val="22"/>
              </w:rPr>
            </w:pPr>
          </w:p>
        </w:tc>
        <w:tc>
          <w:tcPr>
            <w:tcW w:w="3402" w:type="dxa"/>
            <w:tcBorders>
              <w:top w:val="nil"/>
              <w:left w:val="nil"/>
              <w:bottom w:val="nil"/>
              <w:right w:val="nil"/>
            </w:tcBorders>
          </w:tcPr>
          <w:p w14:paraId="70D4002F" w14:textId="77777777" w:rsidR="00443002" w:rsidRPr="00FE6B00" w:rsidRDefault="00443002" w:rsidP="00443002">
            <w:pPr>
              <w:spacing w:line="360" w:lineRule="auto"/>
            </w:pPr>
            <w:r w:rsidRPr="00FE6B00">
              <w:t>Safer than illicit drugs</w:t>
            </w:r>
          </w:p>
        </w:tc>
        <w:tc>
          <w:tcPr>
            <w:tcW w:w="709" w:type="dxa"/>
            <w:tcBorders>
              <w:top w:val="nil"/>
              <w:left w:val="nil"/>
              <w:bottom w:val="nil"/>
              <w:right w:val="nil"/>
            </w:tcBorders>
          </w:tcPr>
          <w:p w14:paraId="1017F626"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024AD904" w14:textId="77777777" w:rsidR="00443002" w:rsidRPr="00FE6B00" w:rsidRDefault="00443002" w:rsidP="00443002">
            <w:pPr>
              <w:spacing w:line="360" w:lineRule="auto"/>
              <w:rPr>
                <w:sz w:val="22"/>
              </w:rPr>
            </w:pPr>
          </w:p>
        </w:tc>
        <w:tc>
          <w:tcPr>
            <w:tcW w:w="5953" w:type="dxa"/>
            <w:tcBorders>
              <w:top w:val="nil"/>
              <w:left w:val="nil"/>
              <w:bottom w:val="nil"/>
              <w:right w:val="nil"/>
            </w:tcBorders>
          </w:tcPr>
          <w:p w14:paraId="0C740D54" w14:textId="77777777" w:rsidR="00443002" w:rsidRPr="00FE6B00" w:rsidRDefault="00443002" w:rsidP="00443002">
            <w:pPr>
              <w:spacing w:line="360" w:lineRule="auto"/>
              <w:rPr>
                <w:sz w:val="22"/>
              </w:rPr>
            </w:pPr>
            <w:r w:rsidRPr="00FE6B00">
              <w:rPr>
                <w:sz w:val="18"/>
              </w:rPr>
              <w:t>[20][21]</w:t>
            </w:r>
          </w:p>
        </w:tc>
      </w:tr>
      <w:tr w:rsidR="00443002" w:rsidRPr="00FE6B00" w14:paraId="60748395" w14:textId="77777777" w:rsidTr="00443002">
        <w:trPr>
          <w:trHeight w:val="136"/>
        </w:trPr>
        <w:tc>
          <w:tcPr>
            <w:tcW w:w="3510" w:type="dxa"/>
            <w:tcBorders>
              <w:top w:val="single" w:sz="4" w:space="0" w:color="auto"/>
              <w:left w:val="nil"/>
              <w:bottom w:val="nil"/>
              <w:right w:val="nil"/>
            </w:tcBorders>
          </w:tcPr>
          <w:p w14:paraId="5AFE3DCD"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6695C9C5"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1B6A84C7" w14:textId="77777777" w:rsidR="00443002" w:rsidRPr="00FE6B00" w:rsidRDefault="00443002" w:rsidP="00443002">
            <w:pPr>
              <w:spacing w:line="360" w:lineRule="auto"/>
              <w:rPr>
                <w:b/>
                <w:sz w:val="6"/>
              </w:rPr>
            </w:pPr>
          </w:p>
        </w:tc>
      </w:tr>
      <w:tr w:rsidR="00443002" w:rsidRPr="00FE6B00" w14:paraId="751A5C37" w14:textId="77777777" w:rsidTr="00443002">
        <w:trPr>
          <w:trHeight w:val="282"/>
        </w:trPr>
        <w:tc>
          <w:tcPr>
            <w:tcW w:w="3510" w:type="dxa"/>
            <w:tcBorders>
              <w:top w:val="nil"/>
              <w:left w:val="nil"/>
              <w:bottom w:val="nil"/>
              <w:right w:val="nil"/>
            </w:tcBorders>
          </w:tcPr>
          <w:p w14:paraId="70E8DB4B" w14:textId="77777777" w:rsidR="00443002" w:rsidRPr="00FE6B00" w:rsidRDefault="00443002" w:rsidP="00443002">
            <w:pPr>
              <w:spacing w:line="360" w:lineRule="auto"/>
              <w:rPr>
                <w:sz w:val="18"/>
              </w:rPr>
            </w:pPr>
            <w:r w:rsidRPr="00FE6B00">
              <w:rPr>
                <w:b/>
              </w:rPr>
              <w:t xml:space="preserve">Pleasurable effects </w:t>
            </w:r>
            <w:r>
              <w:rPr>
                <w:b/>
              </w:rPr>
              <w:t>60</w:t>
            </w:r>
            <w:r w:rsidRPr="00FE6B00">
              <w:rPr>
                <w:b/>
              </w:rPr>
              <w:t xml:space="preserve"> %</w:t>
            </w:r>
          </w:p>
        </w:tc>
        <w:tc>
          <w:tcPr>
            <w:tcW w:w="3402" w:type="dxa"/>
            <w:tcBorders>
              <w:top w:val="nil"/>
              <w:left w:val="nil"/>
              <w:bottom w:val="nil"/>
              <w:right w:val="nil"/>
            </w:tcBorders>
          </w:tcPr>
          <w:p w14:paraId="3031C93A" w14:textId="77777777" w:rsidR="00443002" w:rsidRPr="00FE6B00" w:rsidRDefault="00443002" w:rsidP="00443002">
            <w:pPr>
              <w:spacing w:line="360" w:lineRule="auto"/>
              <w:rPr>
                <w:szCs w:val="24"/>
              </w:rPr>
            </w:pPr>
            <w:r w:rsidRPr="00FE6B00">
              <w:rPr>
                <w:szCs w:val="24"/>
              </w:rPr>
              <w:t xml:space="preserve">Pleasurable effects / high </w:t>
            </w:r>
          </w:p>
        </w:tc>
        <w:tc>
          <w:tcPr>
            <w:tcW w:w="709" w:type="dxa"/>
            <w:tcBorders>
              <w:top w:val="nil"/>
              <w:left w:val="nil"/>
              <w:bottom w:val="nil"/>
              <w:right w:val="nil"/>
            </w:tcBorders>
          </w:tcPr>
          <w:p w14:paraId="01018F04" w14:textId="77777777" w:rsidR="00443002" w:rsidRPr="00FE6B00" w:rsidRDefault="00443002" w:rsidP="00443002">
            <w:pPr>
              <w:spacing w:line="360" w:lineRule="auto"/>
              <w:jc w:val="right"/>
              <w:rPr>
                <w:sz w:val="20"/>
              </w:rPr>
            </w:pPr>
            <w:r>
              <w:rPr>
                <w:sz w:val="20"/>
              </w:rPr>
              <w:t>50</w:t>
            </w:r>
            <w:r w:rsidRPr="00FE6B00">
              <w:rPr>
                <w:sz w:val="20"/>
              </w:rPr>
              <w:t xml:space="preserve"> %</w:t>
            </w:r>
          </w:p>
        </w:tc>
        <w:tc>
          <w:tcPr>
            <w:tcW w:w="284" w:type="dxa"/>
            <w:tcBorders>
              <w:top w:val="nil"/>
              <w:left w:val="nil"/>
              <w:bottom w:val="nil"/>
              <w:right w:val="nil"/>
            </w:tcBorders>
          </w:tcPr>
          <w:p w14:paraId="33D830DF" w14:textId="77777777" w:rsidR="00443002" w:rsidRPr="00FE6B00" w:rsidRDefault="00443002" w:rsidP="00443002">
            <w:pPr>
              <w:spacing w:line="360" w:lineRule="auto"/>
              <w:rPr>
                <w:sz w:val="20"/>
              </w:rPr>
            </w:pPr>
          </w:p>
        </w:tc>
        <w:tc>
          <w:tcPr>
            <w:tcW w:w="5953" w:type="dxa"/>
            <w:tcBorders>
              <w:top w:val="nil"/>
              <w:left w:val="nil"/>
              <w:bottom w:val="nil"/>
              <w:right w:val="nil"/>
            </w:tcBorders>
          </w:tcPr>
          <w:p w14:paraId="07D79922" w14:textId="77777777" w:rsidR="00443002" w:rsidRPr="00FE6B00" w:rsidRDefault="00443002" w:rsidP="00443002">
            <w:pPr>
              <w:spacing w:line="360" w:lineRule="auto"/>
              <w:rPr>
                <w:sz w:val="18"/>
              </w:rPr>
            </w:pPr>
            <w:r w:rsidRPr="00FE6B00">
              <w:rPr>
                <w:sz w:val="18"/>
              </w:rPr>
              <w:t>[1][2][3][</w:t>
            </w:r>
            <w:r>
              <w:rPr>
                <w:sz w:val="18"/>
              </w:rPr>
              <w:t>9</w:t>
            </w:r>
            <w:r w:rsidRPr="00FE6B00">
              <w:rPr>
                <w:sz w:val="18"/>
              </w:rPr>
              <w:t>][10][11][1</w:t>
            </w:r>
            <w:r>
              <w:rPr>
                <w:sz w:val="18"/>
              </w:rPr>
              <w:t>5</w:t>
            </w:r>
            <w:r w:rsidRPr="00FE6B00">
              <w:rPr>
                <w:sz w:val="18"/>
              </w:rPr>
              <w:t>][16][17][20][21][22][23][</w:t>
            </w:r>
            <w:r>
              <w:rPr>
                <w:sz w:val="18"/>
              </w:rPr>
              <w:t>24</w:t>
            </w:r>
            <w:r w:rsidRPr="00FE6B00">
              <w:rPr>
                <w:sz w:val="18"/>
              </w:rPr>
              <w:t>][</w:t>
            </w:r>
            <w:r>
              <w:rPr>
                <w:sz w:val="18"/>
              </w:rPr>
              <w:t>30</w:t>
            </w:r>
            <w:r w:rsidRPr="00FE6B00">
              <w:rPr>
                <w:sz w:val="18"/>
              </w:rPr>
              <w:t>]</w:t>
            </w:r>
          </w:p>
        </w:tc>
      </w:tr>
      <w:tr w:rsidR="00443002" w:rsidRPr="00FE6B00" w14:paraId="40AEB660" w14:textId="77777777" w:rsidTr="00443002">
        <w:trPr>
          <w:trHeight w:val="282"/>
        </w:trPr>
        <w:tc>
          <w:tcPr>
            <w:tcW w:w="3510" w:type="dxa"/>
            <w:tcBorders>
              <w:top w:val="nil"/>
              <w:left w:val="nil"/>
              <w:bottom w:val="nil"/>
              <w:right w:val="nil"/>
            </w:tcBorders>
          </w:tcPr>
          <w:p w14:paraId="0F50AEA5" w14:textId="77777777" w:rsidR="00443002" w:rsidRPr="00FE6B00" w:rsidRDefault="00443002" w:rsidP="00443002">
            <w:pPr>
              <w:spacing w:line="360" w:lineRule="auto"/>
              <w:rPr>
                <w:b/>
              </w:rPr>
            </w:pPr>
          </w:p>
        </w:tc>
        <w:tc>
          <w:tcPr>
            <w:tcW w:w="3402" w:type="dxa"/>
            <w:tcBorders>
              <w:top w:val="nil"/>
              <w:left w:val="nil"/>
              <w:bottom w:val="nil"/>
              <w:right w:val="nil"/>
            </w:tcBorders>
          </w:tcPr>
          <w:p w14:paraId="2548A72A" w14:textId="77777777" w:rsidR="00443002" w:rsidRPr="00FE6B00" w:rsidRDefault="00443002" w:rsidP="00443002">
            <w:pPr>
              <w:spacing w:line="360" w:lineRule="auto"/>
              <w:rPr>
                <w:szCs w:val="24"/>
              </w:rPr>
            </w:pPr>
            <w:r w:rsidRPr="00FE6B00">
              <w:rPr>
                <w:szCs w:val="24"/>
              </w:rPr>
              <w:t xml:space="preserve">Desired stimulant effects </w:t>
            </w:r>
          </w:p>
        </w:tc>
        <w:tc>
          <w:tcPr>
            <w:tcW w:w="709" w:type="dxa"/>
            <w:tcBorders>
              <w:top w:val="nil"/>
              <w:left w:val="nil"/>
              <w:bottom w:val="nil"/>
              <w:right w:val="nil"/>
            </w:tcBorders>
          </w:tcPr>
          <w:p w14:paraId="6F41CB13" w14:textId="77777777" w:rsidR="00443002" w:rsidRPr="00FE6B00" w:rsidRDefault="00443002" w:rsidP="00443002">
            <w:pPr>
              <w:spacing w:line="360" w:lineRule="auto"/>
              <w:jc w:val="right"/>
              <w:rPr>
                <w:sz w:val="20"/>
              </w:rPr>
            </w:pPr>
            <w:r w:rsidRPr="00FE6B00">
              <w:rPr>
                <w:sz w:val="20"/>
              </w:rPr>
              <w:t>10 %</w:t>
            </w:r>
          </w:p>
        </w:tc>
        <w:tc>
          <w:tcPr>
            <w:tcW w:w="284" w:type="dxa"/>
            <w:tcBorders>
              <w:top w:val="nil"/>
              <w:left w:val="nil"/>
              <w:bottom w:val="nil"/>
              <w:right w:val="nil"/>
            </w:tcBorders>
          </w:tcPr>
          <w:p w14:paraId="4A18896B" w14:textId="77777777" w:rsidR="00443002" w:rsidRPr="00FE6B00" w:rsidRDefault="00443002" w:rsidP="00443002">
            <w:pPr>
              <w:spacing w:line="360" w:lineRule="auto"/>
              <w:rPr>
                <w:sz w:val="20"/>
              </w:rPr>
            </w:pPr>
          </w:p>
        </w:tc>
        <w:tc>
          <w:tcPr>
            <w:tcW w:w="5953" w:type="dxa"/>
            <w:tcBorders>
              <w:top w:val="nil"/>
              <w:left w:val="nil"/>
              <w:bottom w:val="nil"/>
              <w:right w:val="nil"/>
            </w:tcBorders>
          </w:tcPr>
          <w:p w14:paraId="2A5CAEE8" w14:textId="77777777" w:rsidR="00443002" w:rsidRPr="00FE6B00" w:rsidRDefault="00443002" w:rsidP="00443002">
            <w:pPr>
              <w:spacing w:line="360" w:lineRule="auto"/>
              <w:rPr>
                <w:sz w:val="18"/>
              </w:rPr>
            </w:pPr>
            <w:r w:rsidRPr="00FE6B00">
              <w:rPr>
                <w:sz w:val="18"/>
              </w:rPr>
              <w:t>[12][2</w:t>
            </w:r>
            <w:r>
              <w:rPr>
                <w:sz w:val="18"/>
              </w:rPr>
              <w:t>3</w:t>
            </w:r>
            <w:r w:rsidRPr="00FE6B00">
              <w:rPr>
                <w:sz w:val="18"/>
              </w:rPr>
              <w:t>][</w:t>
            </w:r>
            <w:r>
              <w:rPr>
                <w:sz w:val="18"/>
              </w:rPr>
              <w:t>29</w:t>
            </w:r>
            <w:r w:rsidRPr="00FE6B00">
              <w:rPr>
                <w:sz w:val="18"/>
              </w:rPr>
              <w:t>]</w:t>
            </w:r>
          </w:p>
        </w:tc>
      </w:tr>
      <w:tr w:rsidR="00443002" w:rsidRPr="00FE6B00" w14:paraId="122BF208" w14:textId="77777777" w:rsidTr="00443002">
        <w:trPr>
          <w:trHeight w:val="282"/>
        </w:trPr>
        <w:tc>
          <w:tcPr>
            <w:tcW w:w="3510" w:type="dxa"/>
            <w:tcBorders>
              <w:top w:val="nil"/>
              <w:left w:val="nil"/>
              <w:bottom w:val="nil"/>
              <w:right w:val="nil"/>
            </w:tcBorders>
          </w:tcPr>
          <w:p w14:paraId="09974E48" w14:textId="77777777" w:rsidR="00443002" w:rsidRPr="00FE6B00" w:rsidRDefault="00443002" w:rsidP="00443002">
            <w:pPr>
              <w:spacing w:line="360" w:lineRule="auto"/>
              <w:rPr>
                <w:b/>
              </w:rPr>
            </w:pPr>
          </w:p>
        </w:tc>
        <w:tc>
          <w:tcPr>
            <w:tcW w:w="3402" w:type="dxa"/>
            <w:tcBorders>
              <w:top w:val="nil"/>
              <w:left w:val="nil"/>
              <w:bottom w:val="nil"/>
              <w:right w:val="nil"/>
            </w:tcBorders>
          </w:tcPr>
          <w:p w14:paraId="0CA2C5A0" w14:textId="77777777" w:rsidR="00443002" w:rsidRPr="00FE6B00" w:rsidRDefault="00443002" w:rsidP="00443002">
            <w:pPr>
              <w:spacing w:line="360" w:lineRule="auto"/>
              <w:rPr>
                <w:szCs w:val="24"/>
              </w:rPr>
            </w:pPr>
            <w:r w:rsidRPr="00FE6B00">
              <w:rPr>
                <w:szCs w:val="24"/>
              </w:rPr>
              <w:t>Better effects than illicit drugs</w:t>
            </w:r>
          </w:p>
        </w:tc>
        <w:tc>
          <w:tcPr>
            <w:tcW w:w="709" w:type="dxa"/>
            <w:tcBorders>
              <w:top w:val="nil"/>
              <w:left w:val="nil"/>
              <w:bottom w:val="nil"/>
              <w:right w:val="nil"/>
            </w:tcBorders>
          </w:tcPr>
          <w:p w14:paraId="5B8437B5"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7A59F783" w14:textId="77777777" w:rsidR="00443002" w:rsidRPr="00FE6B00" w:rsidRDefault="00443002" w:rsidP="00443002">
            <w:pPr>
              <w:spacing w:line="360" w:lineRule="auto"/>
              <w:rPr>
                <w:sz w:val="20"/>
              </w:rPr>
            </w:pPr>
          </w:p>
        </w:tc>
        <w:tc>
          <w:tcPr>
            <w:tcW w:w="5953" w:type="dxa"/>
            <w:tcBorders>
              <w:top w:val="nil"/>
              <w:left w:val="nil"/>
              <w:bottom w:val="nil"/>
              <w:right w:val="nil"/>
            </w:tcBorders>
          </w:tcPr>
          <w:p w14:paraId="687957D8" w14:textId="77777777" w:rsidR="00443002" w:rsidRPr="00FE6B00" w:rsidRDefault="00443002" w:rsidP="00443002">
            <w:pPr>
              <w:spacing w:line="360" w:lineRule="auto"/>
              <w:rPr>
                <w:sz w:val="18"/>
              </w:rPr>
            </w:pPr>
            <w:r>
              <w:rPr>
                <w:sz w:val="18"/>
              </w:rPr>
              <w:t>[7]</w:t>
            </w:r>
            <w:r w:rsidRPr="00FE6B00">
              <w:rPr>
                <w:sz w:val="18"/>
              </w:rPr>
              <w:t>[17]</w:t>
            </w:r>
          </w:p>
        </w:tc>
      </w:tr>
      <w:tr w:rsidR="00443002" w:rsidRPr="00FE6B00" w14:paraId="69119A49" w14:textId="77777777" w:rsidTr="00443002">
        <w:trPr>
          <w:trHeight w:val="282"/>
        </w:trPr>
        <w:tc>
          <w:tcPr>
            <w:tcW w:w="3510" w:type="dxa"/>
            <w:tcBorders>
              <w:top w:val="nil"/>
              <w:left w:val="nil"/>
              <w:bottom w:val="nil"/>
              <w:right w:val="nil"/>
            </w:tcBorders>
          </w:tcPr>
          <w:p w14:paraId="3AF0DA59"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44F56013" w14:textId="77777777" w:rsidR="00443002" w:rsidRPr="00FE6B00" w:rsidRDefault="00443002" w:rsidP="00443002">
            <w:pPr>
              <w:spacing w:line="360" w:lineRule="auto"/>
              <w:rPr>
                <w:szCs w:val="24"/>
              </w:rPr>
            </w:pPr>
            <w:r w:rsidRPr="00FE6B00">
              <w:rPr>
                <w:szCs w:val="24"/>
              </w:rPr>
              <w:t xml:space="preserve">Desired psychedelic effects </w:t>
            </w:r>
          </w:p>
        </w:tc>
        <w:tc>
          <w:tcPr>
            <w:tcW w:w="709" w:type="dxa"/>
            <w:tcBorders>
              <w:top w:val="nil"/>
              <w:left w:val="nil"/>
              <w:bottom w:val="nil"/>
              <w:right w:val="nil"/>
            </w:tcBorders>
          </w:tcPr>
          <w:p w14:paraId="14738748"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2F19887C" w14:textId="77777777" w:rsidR="00443002" w:rsidRPr="00FE6B00" w:rsidRDefault="00443002" w:rsidP="00443002">
            <w:pPr>
              <w:spacing w:line="360" w:lineRule="auto"/>
              <w:rPr>
                <w:sz w:val="20"/>
              </w:rPr>
            </w:pPr>
          </w:p>
        </w:tc>
        <w:tc>
          <w:tcPr>
            <w:tcW w:w="5953" w:type="dxa"/>
            <w:tcBorders>
              <w:top w:val="nil"/>
              <w:left w:val="nil"/>
              <w:bottom w:val="nil"/>
              <w:right w:val="nil"/>
            </w:tcBorders>
          </w:tcPr>
          <w:p w14:paraId="0195C0C9" w14:textId="77777777" w:rsidR="00443002" w:rsidRPr="00FE6B00" w:rsidRDefault="00443002" w:rsidP="00443002">
            <w:pPr>
              <w:spacing w:line="360" w:lineRule="auto"/>
              <w:rPr>
                <w:sz w:val="18"/>
              </w:rPr>
            </w:pPr>
            <w:r w:rsidRPr="00FE6B00">
              <w:rPr>
                <w:sz w:val="18"/>
              </w:rPr>
              <w:t>[</w:t>
            </w:r>
            <w:r>
              <w:rPr>
                <w:sz w:val="18"/>
              </w:rPr>
              <w:t>29</w:t>
            </w:r>
            <w:r w:rsidRPr="00FE6B00">
              <w:rPr>
                <w:sz w:val="18"/>
              </w:rPr>
              <w:t>]</w:t>
            </w:r>
          </w:p>
        </w:tc>
      </w:tr>
      <w:tr w:rsidR="00443002" w:rsidRPr="00FE6B00" w14:paraId="0A6AC908" w14:textId="77777777" w:rsidTr="00443002">
        <w:trPr>
          <w:trHeight w:val="136"/>
        </w:trPr>
        <w:tc>
          <w:tcPr>
            <w:tcW w:w="3510" w:type="dxa"/>
            <w:tcBorders>
              <w:top w:val="single" w:sz="4" w:space="0" w:color="auto"/>
              <w:left w:val="nil"/>
              <w:bottom w:val="nil"/>
              <w:right w:val="nil"/>
            </w:tcBorders>
          </w:tcPr>
          <w:p w14:paraId="6358D65C" w14:textId="77777777" w:rsidR="00443002" w:rsidRPr="002B41E3" w:rsidRDefault="00443002" w:rsidP="00443002">
            <w:pPr>
              <w:spacing w:line="360" w:lineRule="auto"/>
              <w:rPr>
                <w:b/>
                <w:sz w:val="32"/>
              </w:rPr>
            </w:pPr>
          </w:p>
        </w:tc>
        <w:tc>
          <w:tcPr>
            <w:tcW w:w="4395" w:type="dxa"/>
            <w:gridSpan w:val="3"/>
            <w:tcBorders>
              <w:top w:val="single" w:sz="4" w:space="0" w:color="auto"/>
              <w:left w:val="nil"/>
              <w:bottom w:val="nil"/>
              <w:right w:val="nil"/>
            </w:tcBorders>
          </w:tcPr>
          <w:p w14:paraId="622465AE"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295DB162" w14:textId="77777777" w:rsidR="00443002" w:rsidRPr="00FE6B00" w:rsidRDefault="00443002" w:rsidP="00443002">
            <w:pPr>
              <w:spacing w:line="360" w:lineRule="auto"/>
              <w:rPr>
                <w:b/>
                <w:sz w:val="6"/>
              </w:rPr>
            </w:pPr>
          </w:p>
        </w:tc>
      </w:tr>
    </w:tbl>
    <w:p w14:paraId="73B9F331" w14:textId="715B7A10" w:rsidR="005E0305" w:rsidRPr="005E0305" w:rsidRDefault="005E0305">
      <w:pPr>
        <w:rPr>
          <w:b/>
        </w:rPr>
      </w:pPr>
      <w:r w:rsidRPr="005E0305">
        <w:rPr>
          <w:b/>
        </w:rPr>
        <w:t xml:space="preserve">Table </w:t>
      </w:r>
      <w:r>
        <w:rPr>
          <w:b/>
        </w:rPr>
        <w:t>4-</w:t>
      </w:r>
      <w:r w:rsidRPr="005E0305">
        <w:rPr>
          <w:b/>
        </w:rPr>
        <w:t>4. Reasons for use of NPS organised by theme - continued</w:t>
      </w:r>
    </w:p>
    <w:tbl>
      <w:tblPr>
        <w:tblStyle w:val="TableGrid"/>
        <w:tblW w:w="13858" w:type="dxa"/>
        <w:tblLayout w:type="fixed"/>
        <w:tblLook w:val="04A0" w:firstRow="1" w:lastRow="0" w:firstColumn="1" w:lastColumn="0" w:noHBand="0" w:noVBand="1"/>
      </w:tblPr>
      <w:tblGrid>
        <w:gridCol w:w="3510"/>
        <w:gridCol w:w="3402"/>
        <w:gridCol w:w="709"/>
        <w:gridCol w:w="284"/>
        <w:gridCol w:w="5953"/>
      </w:tblGrid>
      <w:tr w:rsidR="00443002" w:rsidRPr="00FE6B00" w14:paraId="5A20230C" w14:textId="77777777" w:rsidTr="00443002">
        <w:trPr>
          <w:trHeight w:val="366"/>
        </w:trPr>
        <w:tc>
          <w:tcPr>
            <w:tcW w:w="3510" w:type="dxa"/>
            <w:tcBorders>
              <w:top w:val="single" w:sz="4" w:space="0" w:color="auto"/>
              <w:left w:val="nil"/>
              <w:bottom w:val="single" w:sz="4" w:space="0" w:color="auto"/>
              <w:right w:val="nil"/>
            </w:tcBorders>
          </w:tcPr>
          <w:p w14:paraId="3E929F83" w14:textId="77777777" w:rsidR="00443002" w:rsidRPr="00FE6B00" w:rsidRDefault="00443002" w:rsidP="00443002">
            <w:pPr>
              <w:rPr>
                <w:b/>
              </w:rPr>
            </w:pPr>
            <w:r w:rsidRPr="00FE6B00">
              <w:rPr>
                <w:b/>
              </w:rPr>
              <w:t xml:space="preserve">Theme </w:t>
            </w:r>
          </w:p>
          <w:p w14:paraId="19FE40FB" w14:textId="77777777" w:rsidR="00443002" w:rsidRPr="00213DDA" w:rsidRDefault="00443002" w:rsidP="00443002">
            <w:r w:rsidRPr="00213DDA">
              <w:t>(% of studies with theme)</w:t>
            </w:r>
            <w:r w:rsidRPr="00213DDA">
              <w:rPr>
                <w:rStyle w:val="FootnoteReference"/>
              </w:rPr>
              <w:footnoteReference w:id="3"/>
            </w:r>
          </w:p>
          <w:p w14:paraId="4A0F8F3C" w14:textId="77777777" w:rsidR="00443002" w:rsidRPr="00FE6B00" w:rsidRDefault="00443002" w:rsidP="00443002">
            <w:pPr>
              <w:rPr>
                <w:b/>
                <w:sz w:val="10"/>
              </w:rPr>
            </w:pPr>
          </w:p>
        </w:tc>
        <w:tc>
          <w:tcPr>
            <w:tcW w:w="4395" w:type="dxa"/>
            <w:gridSpan w:val="3"/>
            <w:tcBorders>
              <w:top w:val="single" w:sz="4" w:space="0" w:color="auto"/>
              <w:left w:val="nil"/>
              <w:bottom w:val="single" w:sz="4" w:space="0" w:color="auto"/>
              <w:right w:val="nil"/>
            </w:tcBorders>
          </w:tcPr>
          <w:p w14:paraId="51F6D786" w14:textId="77777777" w:rsidR="00443002" w:rsidRPr="00FE6B00" w:rsidRDefault="00443002" w:rsidP="00443002">
            <w:pPr>
              <w:rPr>
                <w:b/>
              </w:rPr>
            </w:pPr>
            <w:r w:rsidRPr="00FE6B00">
              <w:rPr>
                <w:b/>
              </w:rPr>
              <w:t xml:space="preserve">Reason for use </w:t>
            </w:r>
            <w:r>
              <w:rPr>
                <w:b/>
              </w:rPr>
              <w:br/>
            </w:r>
            <w:r w:rsidRPr="00213DDA">
              <w:t>(% of studies with reason)</w:t>
            </w:r>
            <w:r w:rsidRPr="00213DDA">
              <w:rPr>
                <w:rStyle w:val="FootnoteReference"/>
              </w:rPr>
              <w:footnoteReference w:id="4"/>
            </w:r>
          </w:p>
        </w:tc>
        <w:tc>
          <w:tcPr>
            <w:tcW w:w="5953" w:type="dxa"/>
            <w:tcBorders>
              <w:top w:val="single" w:sz="4" w:space="0" w:color="auto"/>
              <w:left w:val="nil"/>
              <w:bottom w:val="single" w:sz="4" w:space="0" w:color="auto"/>
              <w:right w:val="nil"/>
            </w:tcBorders>
          </w:tcPr>
          <w:p w14:paraId="05B70AA6" w14:textId="77777777" w:rsidR="00443002" w:rsidRPr="00FE6B00" w:rsidRDefault="00443002" w:rsidP="00443002">
            <w:pPr>
              <w:rPr>
                <w:b/>
              </w:rPr>
            </w:pPr>
            <w:r w:rsidRPr="00FE6B00">
              <w:rPr>
                <w:b/>
              </w:rPr>
              <w:t>Study of origin reference</w:t>
            </w:r>
            <w:r>
              <w:rPr>
                <w:b/>
              </w:rPr>
              <w:br/>
            </w:r>
            <w:r w:rsidRPr="00213DDA">
              <w:t>(see Table 3)</w:t>
            </w:r>
            <w:r w:rsidRPr="00FE6B00">
              <w:rPr>
                <w:b/>
              </w:rPr>
              <w:t xml:space="preserve"> </w:t>
            </w:r>
          </w:p>
        </w:tc>
      </w:tr>
      <w:tr w:rsidR="00443002" w:rsidRPr="00FE6B00" w14:paraId="0E315CBC" w14:textId="77777777" w:rsidTr="00443002">
        <w:trPr>
          <w:trHeight w:val="136"/>
        </w:trPr>
        <w:tc>
          <w:tcPr>
            <w:tcW w:w="3510" w:type="dxa"/>
            <w:tcBorders>
              <w:top w:val="single" w:sz="4" w:space="0" w:color="auto"/>
              <w:left w:val="nil"/>
              <w:bottom w:val="nil"/>
              <w:right w:val="nil"/>
            </w:tcBorders>
          </w:tcPr>
          <w:p w14:paraId="1DED6BA9"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3848063D"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3E2435D1" w14:textId="77777777" w:rsidR="00443002" w:rsidRPr="00FE6B00" w:rsidRDefault="00443002" w:rsidP="00443002">
            <w:pPr>
              <w:spacing w:line="360" w:lineRule="auto"/>
              <w:rPr>
                <w:b/>
                <w:sz w:val="6"/>
              </w:rPr>
            </w:pPr>
          </w:p>
        </w:tc>
      </w:tr>
      <w:tr w:rsidR="00443002" w:rsidRPr="00FE6B00" w14:paraId="05814656" w14:textId="77777777" w:rsidTr="00443002">
        <w:trPr>
          <w:trHeight w:val="282"/>
        </w:trPr>
        <w:tc>
          <w:tcPr>
            <w:tcW w:w="3510" w:type="dxa"/>
            <w:tcBorders>
              <w:top w:val="nil"/>
              <w:left w:val="nil"/>
              <w:bottom w:val="nil"/>
              <w:right w:val="nil"/>
            </w:tcBorders>
          </w:tcPr>
          <w:p w14:paraId="16BF488E" w14:textId="77777777" w:rsidR="00443002" w:rsidRPr="00FE6B00" w:rsidRDefault="00443002" w:rsidP="00443002">
            <w:pPr>
              <w:spacing w:line="360" w:lineRule="auto"/>
              <w:rPr>
                <w:sz w:val="18"/>
              </w:rPr>
            </w:pPr>
            <w:r w:rsidRPr="00FE6B00">
              <w:rPr>
                <w:b/>
              </w:rPr>
              <w:t>Curiosity 50%</w:t>
            </w:r>
          </w:p>
        </w:tc>
        <w:tc>
          <w:tcPr>
            <w:tcW w:w="3402" w:type="dxa"/>
            <w:tcBorders>
              <w:top w:val="nil"/>
              <w:left w:val="nil"/>
              <w:bottom w:val="nil"/>
              <w:right w:val="nil"/>
            </w:tcBorders>
          </w:tcPr>
          <w:p w14:paraId="434F222A" w14:textId="77777777" w:rsidR="00443002" w:rsidRPr="00FE6B00" w:rsidRDefault="00443002" w:rsidP="00443002">
            <w:pPr>
              <w:spacing w:line="360" w:lineRule="auto"/>
            </w:pPr>
            <w:r w:rsidRPr="00FE6B00">
              <w:t xml:space="preserve">Curiosity </w:t>
            </w:r>
          </w:p>
        </w:tc>
        <w:tc>
          <w:tcPr>
            <w:tcW w:w="709" w:type="dxa"/>
            <w:tcBorders>
              <w:top w:val="nil"/>
              <w:left w:val="nil"/>
              <w:bottom w:val="nil"/>
              <w:right w:val="nil"/>
            </w:tcBorders>
          </w:tcPr>
          <w:p w14:paraId="4DDE7009" w14:textId="77777777" w:rsidR="00443002" w:rsidRPr="00FE6B00" w:rsidRDefault="00443002" w:rsidP="00443002">
            <w:pPr>
              <w:spacing w:line="360" w:lineRule="auto"/>
              <w:jc w:val="right"/>
              <w:rPr>
                <w:sz w:val="20"/>
              </w:rPr>
            </w:pPr>
            <w:r w:rsidRPr="00FE6B00">
              <w:rPr>
                <w:sz w:val="20"/>
              </w:rPr>
              <w:t>4</w:t>
            </w:r>
            <w:r>
              <w:rPr>
                <w:sz w:val="20"/>
              </w:rPr>
              <w:t>3</w:t>
            </w:r>
            <w:r w:rsidRPr="00FE6B00">
              <w:rPr>
                <w:sz w:val="20"/>
              </w:rPr>
              <w:t xml:space="preserve"> %</w:t>
            </w:r>
          </w:p>
        </w:tc>
        <w:tc>
          <w:tcPr>
            <w:tcW w:w="284" w:type="dxa"/>
            <w:tcBorders>
              <w:top w:val="nil"/>
              <w:left w:val="nil"/>
              <w:bottom w:val="nil"/>
              <w:right w:val="nil"/>
            </w:tcBorders>
          </w:tcPr>
          <w:p w14:paraId="697CEDBF" w14:textId="77777777" w:rsidR="00443002" w:rsidRPr="00FE6B00" w:rsidRDefault="00443002" w:rsidP="00443002">
            <w:pPr>
              <w:spacing w:line="360" w:lineRule="auto"/>
            </w:pPr>
          </w:p>
        </w:tc>
        <w:tc>
          <w:tcPr>
            <w:tcW w:w="5953" w:type="dxa"/>
            <w:tcBorders>
              <w:top w:val="nil"/>
              <w:left w:val="nil"/>
              <w:bottom w:val="nil"/>
              <w:right w:val="nil"/>
            </w:tcBorders>
          </w:tcPr>
          <w:p w14:paraId="78B9A87A" w14:textId="77777777" w:rsidR="00443002" w:rsidRPr="00FE6B00" w:rsidRDefault="00443002" w:rsidP="00443002">
            <w:pPr>
              <w:spacing w:line="360" w:lineRule="auto"/>
              <w:rPr>
                <w:sz w:val="18"/>
              </w:rPr>
            </w:pPr>
            <w:r w:rsidRPr="00FE6B00">
              <w:rPr>
                <w:sz w:val="18"/>
              </w:rPr>
              <w:t>[2][11][1</w:t>
            </w:r>
            <w:r>
              <w:rPr>
                <w:sz w:val="18"/>
              </w:rPr>
              <w:t>3</w:t>
            </w:r>
            <w:r w:rsidRPr="00FE6B00">
              <w:rPr>
                <w:sz w:val="18"/>
              </w:rPr>
              <w:t>][1</w:t>
            </w:r>
            <w:r>
              <w:rPr>
                <w:sz w:val="18"/>
              </w:rPr>
              <w:t>6</w:t>
            </w:r>
            <w:r w:rsidRPr="00FE6B00">
              <w:rPr>
                <w:sz w:val="18"/>
              </w:rPr>
              <w:t>][</w:t>
            </w:r>
            <w:r>
              <w:rPr>
                <w:sz w:val="18"/>
              </w:rPr>
              <w:t>17</w:t>
            </w:r>
            <w:r w:rsidRPr="00FE6B00">
              <w:rPr>
                <w:sz w:val="18"/>
              </w:rPr>
              <w:t>][2</w:t>
            </w:r>
            <w:r>
              <w:rPr>
                <w:sz w:val="18"/>
              </w:rPr>
              <w:t>0</w:t>
            </w:r>
            <w:r w:rsidRPr="00FE6B00">
              <w:rPr>
                <w:sz w:val="18"/>
              </w:rPr>
              <w:t>][2</w:t>
            </w:r>
            <w:r>
              <w:rPr>
                <w:sz w:val="18"/>
              </w:rPr>
              <w:t>1</w:t>
            </w:r>
            <w:r w:rsidRPr="00FE6B00">
              <w:rPr>
                <w:sz w:val="18"/>
              </w:rPr>
              <w:t>][</w:t>
            </w:r>
            <w:r>
              <w:rPr>
                <w:sz w:val="18"/>
              </w:rPr>
              <w:t>23</w:t>
            </w:r>
            <w:r w:rsidRPr="00FE6B00">
              <w:rPr>
                <w:sz w:val="18"/>
              </w:rPr>
              <w:t>][2</w:t>
            </w:r>
            <w:r>
              <w:rPr>
                <w:sz w:val="18"/>
              </w:rPr>
              <w:t>4</w:t>
            </w:r>
            <w:r w:rsidRPr="00FE6B00">
              <w:rPr>
                <w:sz w:val="18"/>
              </w:rPr>
              <w:t>][2</w:t>
            </w:r>
            <w:r>
              <w:rPr>
                <w:sz w:val="18"/>
              </w:rPr>
              <w:t>5</w:t>
            </w:r>
            <w:r w:rsidRPr="00FE6B00">
              <w:rPr>
                <w:sz w:val="18"/>
              </w:rPr>
              <w:t>][</w:t>
            </w:r>
            <w:r>
              <w:rPr>
                <w:sz w:val="18"/>
              </w:rPr>
              <w:t>27</w:t>
            </w:r>
            <w:r w:rsidRPr="00FE6B00">
              <w:rPr>
                <w:sz w:val="18"/>
              </w:rPr>
              <w:t>][</w:t>
            </w:r>
            <w:r>
              <w:rPr>
                <w:sz w:val="18"/>
              </w:rPr>
              <w:t>30</w:t>
            </w:r>
            <w:r w:rsidRPr="00FE6B00">
              <w:rPr>
                <w:sz w:val="18"/>
              </w:rPr>
              <w:t>][</w:t>
            </w:r>
            <w:r>
              <w:rPr>
                <w:sz w:val="18"/>
              </w:rPr>
              <w:t>31</w:t>
            </w:r>
            <w:r w:rsidRPr="00FE6B00">
              <w:rPr>
                <w:sz w:val="18"/>
              </w:rPr>
              <w:t>]</w:t>
            </w:r>
          </w:p>
        </w:tc>
      </w:tr>
      <w:tr w:rsidR="00443002" w:rsidRPr="00FE6B00" w14:paraId="49DEF33B" w14:textId="77777777" w:rsidTr="00443002">
        <w:trPr>
          <w:trHeight w:val="408"/>
        </w:trPr>
        <w:tc>
          <w:tcPr>
            <w:tcW w:w="3510" w:type="dxa"/>
            <w:tcBorders>
              <w:top w:val="nil"/>
              <w:left w:val="nil"/>
              <w:bottom w:val="single" w:sz="4" w:space="0" w:color="auto"/>
              <w:right w:val="nil"/>
            </w:tcBorders>
          </w:tcPr>
          <w:p w14:paraId="4B740804"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3D6452D3" w14:textId="77777777" w:rsidR="00443002" w:rsidRPr="00FE6B00" w:rsidRDefault="00443002" w:rsidP="00443002">
            <w:pPr>
              <w:spacing w:line="360" w:lineRule="auto"/>
            </w:pPr>
            <w:r w:rsidRPr="00FE6B00">
              <w:t xml:space="preserve">Attractive packaging </w:t>
            </w:r>
          </w:p>
        </w:tc>
        <w:tc>
          <w:tcPr>
            <w:tcW w:w="709" w:type="dxa"/>
            <w:tcBorders>
              <w:top w:val="nil"/>
              <w:left w:val="nil"/>
              <w:bottom w:val="single" w:sz="4" w:space="0" w:color="auto"/>
              <w:right w:val="nil"/>
            </w:tcBorders>
          </w:tcPr>
          <w:p w14:paraId="4CCA4C88"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single" w:sz="4" w:space="0" w:color="auto"/>
              <w:right w:val="nil"/>
            </w:tcBorders>
          </w:tcPr>
          <w:p w14:paraId="07E6DC1F"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3E973527" w14:textId="77777777" w:rsidR="00443002" w:rsidRPr="00FE6B00" w:rsidRDefault="00443002" w:rsidP="00443002">
            <w:pPr>
              <w:spacing w:line="360" w:lineRule="auto"/>
              <w:rPr>
                <w:sz w:val="18"/>
              </w:rPr>
            </w:pPr>
            <w:r w:rsidRPr="00FE6B00">
              <w:rPr>
                <w:sz w:val="18"/>
              </w:rPr>
              <w:t>[3][28]</w:t>
            </w:r>
          </w:p>
        </w:tc>
      </w:tr>
      <w:tr w:rsidR="00443002" w:rsidRPr="00FE6B00" w14:paraId="48410770" w14:textId="77777777" w:rsidTr="00443002">
        <w:trPr>
          <w:trHeight w:val="136"/>
        </w:trPr>
        <w:tc>
          <w:tcPr>
            <w:tcW w:w="3510" w:type="dxa"/>
            <w:tcBorders>
              <w:top w:val="single" w:sz="4" w:space="0" w:color="auto"/>
              <w:left w:val="nil"/>
              <w:bottom w:val="nil"/>
              <w:right w:val="nil"/>
            </w:tcBorders>
          </w:tcPr>
          <w:p w14:paraId="09260504"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129B111F"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61EC7B3F" w14:textId="77777777" w:rsidR="00443002" w:rsidRPr="00FE6B00" w:rsidRDefault="00443002" w:rsidP="00443002">
            <w:pPr>
              <w:spacing w:line="360" w:lineRule="auto"/>
              <w:rPr>
                <w:b/>
                <w:sz w:val="6"/>
              </w:rPr>
            </w:pPr>
          </w:p>
        </w:tc>
      </w:tr>
      <w:tr w:rsidR="00443002" w:rsidRPr="00FE6B00" w14:paraId="34FAE41D" w14:textId="77777777" w:rsidTr="00443002">
        <w:trPr>
          <w:trHeight w:val="282"/>
        </w:trPr>
        <w:tc>
          <w:tcPr>
            <w:tcW w:w="3510" w:type="dxa"/>
            <w:tcBorders>
              <w:top w:val="nil"/>
              <w:left w:val="nil"/>
              <w:bottom w:val="nil"/>
              <w:right w:val="nil"/>
            </w:tcBorders>
          </w:tcPr>
          <w:p w14:paraId="01C72E94" w14:textId="77777777" w:rsidR="00443002" w:rsidRPr="00FE6B00" w:rsidRDefault="00443002" w:rsidP="00443002">
            <w:pPr>
              <w:spacing w:line="360" w:lineRule="auto"/>
              <w:rPr>
                <w:sz w:val="18"/>
              </w:rPr>
            </w:pPr>
            <w:r w:rsidRPr="00FE6B00">
              <w:rPr>
                <w:b/>
              </w:rPr>
              <w:t>Quality reasons 4</w:t>
            </w:r>
            <w:r>
              <w:rPr>
                <w:b/>
              </w:rPr>
              <w:t>7</w:t>
            </w:r>
            <w:r w:rsidRPr="00FE6B00">
              <w:rPr>
                <w:b/>
              </w:rPr>
              <w:t xml:space="preserve"> %</w:t>
            </w:r>
          </w:p>
        </w:tc>
        <w:tc>
          <w:tcPr>
            <w:tcW w:w="3402" w:type="dxa"/>
            <w:tcBorders>
              <w:top w:val="nil"/>
              <w:left w:val="nil"/>
              <w:bottom w:val="nil"/>
              <w:right w:val="nil"/>
            </w:tcBorders>
          </w:tcPr>
          <w:p w14:paraId="5152A3E7" w14:textId="77777777" w:rsidR="00443002" w:rsidRPr="00FE6B00" w:rsidRDefault="00443002" w:rsidP="00443002">
            <w:pPr>
              <w:spacing w:line="360" w:lineRule="auto"/>
            </w:pPr>
            <w:r w:rsidRPr="00FE6B00">
              <w:t xml:space="preserve">Consistency / reliability of effect </w:t>
            </w:r>
          </w:p>
        </w:tc>
        <w:tc>
          <w:tcPr>
            <w:tcW w:w="709" w:type="dxa"/>
            <w:tcBorders>
              <w:top w:val="nil"/>
              <w:left w:val="nil"/>
              <w:bottom w:val="nil"/>
              <w:right w:val="nil"/>
            </w:tcBorders>
          </w:tcPr>
          <w:p w14:paraId="6A66C157" w14:textId="77777777" w:rsidR="00443002" w:rsidRPr="00FE6B00" w:rsidRDefault="00443002" w:rsidP="00443002">
            <w:pPr>
              <w:spacing w:line="360" w:lineRule="auto"/>
              <w:jc w:val="right"/>
              <w:rPr>
                <w:sz w:val="20"/>
              </w:rPr>
            </w:pPr>
            <w:r>
              <w:rPr>
                <w:sz w:val="20"/>
              </w:rPr>
              <w:t>20</w:t>
            </w:r>
            <w:r w:rsidRPr="00FE6B00">
              <w:rPr>
                <w:sz w:val="20"/>
              </w:rPr>
              <w:t xml:space="preserve"> %</w:t>
            </w:r>
          </w:p>
        </w:tc>
        <w:tc>
          <w:tcPr>
            <w:tcW w:w="284" w:type="dxa"/>
            <w:tcBorders>
              <w:top w:val="nil"/>
              <w:left w:val="nil"/>
              <w:bottom w:val="nil"/>
              <w:right w:val="nil"/>
            </w:tcBorders>
          </w:tcPr>
          <w:p w14:paraId="03141115" w14:textId="77777777" w:rsidR="00443002" w:rsidRPr="00FE6B00" w:rsidRDefault="00443002" w:rsidP="00443002">
            <w:pPr>
              <w:spacing w:line="360" w:lineRule="auto"/>
            </w:pPr>
          </w:p>
        </w:tc>
        <w:tc>
          <w:tcPr>
            <w:tcW w:w="5953" w:type="dxa"/>
            <w:tcBorders>
              <w:top w:val="nil"/>
              <w:left w:val="nil"/>
              <w:bottom w:val="nil"/>
              <w:right w:val="nil"/>
            </w:tcBorders>
          </w:tcPr>
          <w:p w14:paraId="33E00A60" w14:textId="77777777" w:rsidR="00443002" w:rsidRPr="00FE6B00" w:rsidRDefault="00443002" w:rsidP="00443002">
            <w:pPr>
              <w:spacing w:line="360" w:lineRule="auto"/>
              <w:rPr>
                <w:sz w:val="18"/>
              </w:rPr>
            </w:pPr>
            <w:r w:rsidRPr="00FE6B00">
              <w:rPr>
                <w:sz w:val="18"/>
              </w:rPr>
              <w:t>[</w:t>
            </w:r>
            <w:r>
              <w:rPr>
                <w:sz w:val="18"/>
              </w:rPr>
              <w:t>6</w:t>
            </w:r>
            <w:r w:rsidRPr="00FE6B00">
              <w:rPr>
                <w:sz w:val="18"/>
              </w:rPr>
              <w:t>]</w:t>
            </w:r>
            <w:r>
              <w:rPr>
                <w:sz w:val="18"/>
              </w:rPr>
              <w:t>[8]</w:t>
            </w:r>
            <w:r w:rsidRPr="00FE6B00">
              <w:rPr>
                <w:sz w:val="18"/>
              </w:rPr>
              <w:t>[10][11][12][13</w:t>
            </w:r>
            <w:r>
              <w:rPr>
                <w:sz w:val="18"/>
              </w:rPr>
              <w:t>]</w:t>
            </w:r>
          </w:p>
        </w:tc>
      </w:tr>
      <w:tr w:rsidR="00443002" w:rsidRPr="00FE6B00" w14:paraId="26D2BF97" w14:textId="77777777" w:rsidTr="00443002">
        <w:trPr>
          <w:trHeight w:val="282"/>
        </w:trPr>
        <w:tc>
          <w:tcPr>
            <w:tcW w:w="3510" w:type="dxa"/>
            <w:tcBorders>
              <w:top w:val="nil"/>
              <w:left w:val="nil"/>
              <w:bottom w:val="nil"/>
              <w:right w:val="nil"/>
            </w:tcBorders>
          </w:tcPr>
          <w:p w14:paraId="180DF1D9" w14:textId="77777777" w:rsidR="00443002" w:rsidRPr="00FE6B00" w:rsidRDefault="00443002" w:rsidP="00443002">
            <w:pPr>
              <w:spacing w:line="360" w:lineRule="auto"/>
              <w:rPr>
                <w:b/>
              </w:rPr>
            </w:pPr>
          </w:p>
        </w:tc>
        <w:tc>
          <w:tcPr>
            <w:tcW w:w="3402" w:type="dxa"/>
            <w:tcBorders>
              <w:top w:val="nil"/>
              <w:left w:val="nil"/>
              <w:bottom w:val="nil"/>
              <w:right w:val="nil"/>
            </w:tcBorders>
          </w:tcPr>
          <w:p w14:paraId="6A03C5FB" w14:textId="77777777" w:rsidR="00443002" w:rsidRPr="00FE6B00" w:rsidRDefault="00443002" w:rsidP="00443002">
            <w:pPr>
              <w:spacing w:line="360" w:lineRule="auto"/>
            </w:pPr>
            <w:r w:rsidRPr="00FE6B00">
              <w:t xml:space="preserve">High quality / purity </w:t>
            </w:r>
          </w:p>
        </w:tc>
        <w:tc>
          <w:tcPr>
            <w:tcW w:w="709" w:type="dxa"/>
            <w:tcBorders>
              <w:top w:val="nil"/>
              <w:left w:val="nil"/>
              <w:bottom w:val="nil"/>
              <w:right w:val="nil"/>
            </w:tcBorders>
          </w:tcPr>
          <w:p w14:paraId="2DCF1835" w14:textId="77777777" w:rsidR="00443002" w:rsidRPr="00FE6B00" w:rsidRDefault="00443002" w:rsidP="00443002">
            <w:pPr>
              <w:spacing w:line="360" w:lineRule="auto"/>
              <w:jc w:val="right"/>
              <w:rPr>
                <w:sz w:val="20"/>
              </w:rPr>
            </w:pPr>
            <w:r>
              <w:rPr>
                <w:sz w:val="20"/>
              </w:rPr>
              <w:t>17</w:t>
            </w:r>
            <w:r w:rsidRPr="00FE6B00">
              <w:rPr>
                <w:sz w:val="20"/>
              </w:rPr>
              <w:t xml:space="preserve"> %</w:t>
            </w:r>
          </w:p>
        </w:tc>
        <w:tc>
          <w:tcPr>
            <w:tcW w:w="284" w:type="dxa"/>
            <w:tcBorders>
              <w:top w:val="nil"/>
              <w:left w:val="nil"/>
              <w:bottom w:val="nil"/>
              <w:right w:val="nil"/>
            </w:tcBorders>
          </w:tcPr>
          <w:p w14:paraId="7CE083EA" w14:textId="77777777" w:rsidR="00443002" w:rsidRPr="00FE6B00" w:rsidRDefault="00443002" w:rsidP="00443002">
            <w:pPr>
              <w:spacing w:line="360" w:lineRule="auto"/>
            </w:pPr>
          </w:p>
        </w:tc>
        <w:tc>
          <w:tcPr>
            <w:tcW w:w="5953" w:type="dxa"/>
            <w:tcBorders>
              <w:top w:val="nil"/>
              <w:left w:val="nil"/>
              <w:bottom w:val="nil"/>
              <w:right w:val="nil"/>
            </w:tcBorders>
          </w:tcPr>
          <w:p w14:paraId="4C319FF8" w14:textId="77777777" w:rsidR="00443002" w:rsidRPr="00FE6B00" w:rsidRDefault="00443002" w:rsidP="00443002">
            <w:pPr>
              <w:spacing w:line="360" w:lineRule="auto"/>
              <w:rPr>
                <w:sz w:val="18"/>
              </w:rPr>
            </w:pPr>
            <w:r w:rsidRPr="00FE6B00">
              <w:rPr>
                <w:sz w:val="18"/>
              </w:rPr>
              <w:t>[10][14][</w:t>
            </w:r>
            <w:r>
              <w:rPr>
                <w:sz w:val="18"/>
              </w:rPr>
              <w:t>24</w:t>
            </w:r>
            <w:r w:rsidRPr="00FE6B00">
              <w:rPr>
                <w:sz w:val="18"/>
              </w:rPr>
              <w:t>][27]</w:t>
            </w:r>
            <w:r>
              <w:rPr>
                <w:sz w:val="18"/>
              </w:rPr>
              <w:t>[28]</w:t>
            </w:r>
          </w:p>
        </w:tc>
      </w:tr>
      <w:tr w:rsidR="00443002" w:rsidRPr="00FE6B00" w14:paraId="6B9066A6" w14:textId="77777777" w:rsidTr="00443002">
        <w:trPr>
          <w:trHeight w:val="282"/>
        </w:trPr>
        <w:tc>
          <w:tcPr>
            <w:tcW w:w="3510" w:type="dxa"/>
            <w:tcBorders>
              <w:top w:val="nil"/>
              <w:left w:val="nil"/>
              <w:bottom w:val="nil"/>
              <w:right w:val="nil"/>
            </w:tcBorders>
          </w:tcPr>
          <w:p w14:paraId="7E0CDD2B"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4E8DA83E" w14:textId="77777777" w:rsidR="00443002" w:rsidRPr="00FE6B00" w:rsidRDefault="00443002" w:rsidP="00443002">
            <w:pPr>
              <w:spacing w:line="360" w:lineRule="auto"/>
            </w:pPr>
            <w:r w:rsidRPr="00FE6B00">
              <w:t xml:space="preserve">Better quality than illicit </w:t>
            </w:r>
          </w:p>
        </w:tc>
        <w:tc>
          <w:tcPr>
            <w:tcW w:w="709" w:type="dxa"/>
            <w:tcBorders>
              <w:top w:val="nil"/>
              <w:left w:val="nil"/>
              <w:bottom w:val="nil"/>
              <w:right w:val="nil"/>
            </w:tcBorders>
          </w:tcPr>
          <w:p w14:paraId="2B7C2279" w14:textId="77777777" w:rsidR="00443002" w:rsidRPr="00FE6B00" w:rsidRDefault="00443002" w:rsidP="00443002">
            <w:pPr>
              <w:spacing w:line="360" w:lineRule="auto"/>
              <w:jc w:val="right"/>
              <w:rPr>
                <w:sz w:val="20"/>
              </w:rPr>
            </w:pPr>
            <w:r>
              <w:rPr>
                <w:sz w:val="20"/>
              </w:rPr>
              <w:t>13</w:t>
            </w:r>
            <w:r w:rsidRPr="00FE6B00">
              <w:rPr>
                <w:sz w:val="20"/>
              </w:rPr>
              <w:t xml:space="preserve"> % </w:t>
            </w:r>
          </w:p>
        </w:tc>
        <w:tc>
          <w:tcPr>
            <w:tcW w:w="284" w:type="dxa"/>
            <w:tcBorders>
              <w:top w:val="nil"/>
              <w:left w:val="nil"/>
              <w:bottom w:val="nil"/>
              <w:right w:val="nil"/>
            </w:tcBorders>
          </w:tcPr>
          <w:p w14:paraId="54434E87" w14:textId="77777777" w:rsidR="00443002" w:rsidRPr="00FE6B00" w:rsidRDefault="00443002" w:rsidP="00443002">
            <w:pPr>
              <w:spacing w:line="360" w:lineRule="auto"/>
            </w:pPr>
          </w:p>
        </w:tc>
        <w:tc>
          <w:tcPr>
            <w:tcW w:w="5953" w:type="dxa"/>
            <w:tcBorders>
              <w:top w:val="nil"/>
              <w:left w:val="nil"/>
              <w:bottom w:val="nil"/>
              <w:right w:val="nil"/>
            </w:tcBorders>
          </w:tcPr>
          <w:p w14:paraId="35287154" w14:textId="77777777" w:rsidR="00443002" w:rsidRPr="00FE6B00" w:rsidRDefault="00443002" w:rsidP="00443002">
            <w:pPr>
              <w:spacing w:line="360" w:lineRule="auto"/>
              <w:rPr>
                <w:sz w:val="18"/>
              </w:rPr>
            </w:pPr>
            <w:r w:rsidRPr="00FE6B00">
              <w:rPr>
                <w:sz w:val="18"/>
              </w:rPr>
              <w:t>[</w:t>
            </w:r>
            <w:r>
              <w:rPr>
                <w:sz w:val="18"/>
              </w:rPr>
              <w:t>7</w:t>
            </w:r>
            <w:r w:rsidRPr="00FE6B00">
              <w:rPr>
                <w:sz w:val="18"/>
              </w:rPr>
              <w:t>][1</w:t>
            </w:r>
            <w:r>
              <w:rPr>
                <w:sz w:val="18"/>
              </w:rPr>
              <w:t>2</w:t>
            </w:r>
            <w:r w:rsidRPr="00FE6B00">
              <w:rPr>
                <w:sz w:val="18"/>
              </w:rPr>
              <w:t>][</w:t>
            </w:r>
            <w:r>
              <w:rPr>
                <w:sz w:val="18"/>
              </w:rPr>
              <w:t>13</w:t>
            </w:r>
            <w:r w:rsidRPr="00FE6B00">
              <w:rPr>
                <w:sz w:val="18"/>
              </w:rPr>
              <w:t>][1</w:t>
            </w:r>
            <w:r>
              <w:rPr>
                <w:sz w:val="18"/>
              </w:rPr>
              <w:t>7</w:t>
            </w:r>
            <w:r w:rsidRPr="00FE6B00">
              <w:rPr>
                <w:sz w:val="18"/>
              </w:rPr>
              <w:t>]</w:t>
            </w:r>
          </w:p>
        </w:tc>
      </w:tr>
      <w:tr w:rsidR="00443002" w:rsidRPr="00FE6B00" w14:paraId="1021AA35" w14:textId="77777777" w:rsidTr="00443002">
        <w:trPr>
          <w:trHeight w:val="410"/>
        </w:trPr>
        <w:tc>
          <w:tcPr>
            <w:tcW w:w="3510" w:type="dxa"/>
            <w:tcBorders>
              <w:top w:val="nil"/>
              <w:left w:val="nil"/>
              <w:bottom w:val="single" w:sz="4" w:space="0" w:color="auto"/>
              <w:right w:val="nil"/>
            </w:tcBorders>
          </w:tcPr>
          <w:p w14:paraId="1DBEE4EB"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3F60D387" w14:textId="77777777" w:rsidR="00443002" w:rsidRPr="00FE6B00" w:rsidRDefault="00443002" w:rsidP="00443002">
            <w:pPr>
              <w:spacing w:line="360" w:lineRule="auto"/>
            </w:pPr>
            <w:r w:rsidRPr="00FE6B00">
              <w:t>Good reputation / recommended</w:t>
            </w:r>
          </w:p>
        </w:tc>
        <w:tc>
          <w:tcPr>
            <w:tcW w:w="709" w:type="dxa"/>
            <w:tcBorders>
              <w:top w:val="nil"/>
              <w:left w:val="nil"/>
              <w:bottom w:val="single" w:sz="4" w:space="0" w:color="auto"/>
              <w:right w:val="nil"/>
            </w:tcBorders>
          </w:tcPr>
          <w:p w14:paraId="009FB8D0" w14:textId="77777777" w:rsidR="00443002" w:rsidRPr="00FE6B00" w:rsidRDefault="00443002" w:rsidP="00443002">
            <w:pPr>
              <w:spacing w:line="360" w:lineRule="auto"/>
              <w:jc w:val="right"/>
              <w:rPr>
                <w:sz w:val="20"/>
              </w:rPr>
            </w:pPr>
            <w:r w:rsidRPr="00FE6B00">
              <w:rPr>
                <w:sz w:val="20"/>
              </w:rPr>
              <w:t>13 %</w:t>
            </w:r>
          </w:p>
        </w:tc>
        <w:tc>
          <w:tcPr>
            <w:tcW w:w="284" w:type="dxa"/>
            <w:tcBorders>
              <w:top w:val="nil"/>
              <w:left w:val="nil"/>
              <w:bottom w:val="single" w:sz="4" w:space="0" w:color="auto"/>
              <w:right w:val="nil"/>
            </w:tcBorders>
          </w:tcPr>
          <w:p w14:paraId="0A81C414"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2F4BF5CE" w14:textId="77777777" w:rsidR="00443002" w:rsidRPr="00FE6B00" w:rsidRDefault="00443002" w:rsidP="00443002">
            <w:pPr>
              <w:spacing w:line="360" w:lineRule="auto"/>
              <w:rPr>
                <w:sz w:val="18"/>
              </w:rPr>
            </w:pPr>
            <w:r w:rsidRPr="00FE6B00">
              <w:rPr>
                <w:sz w:val="18"/>
              </w:rPr>
              <w:t>[1][14][17][2</w:t>
            </w:r>
            <w:r>
              <w:rPr>
                <w:sz w:val="18"/>
              </w:rPr>
              <w:t>5</w:t>
            </w:r>
            <w:r w:rsidRPr="00FE6B00">
              <w:rPr>
                <w:sz w:val="18"/>
              </w:rPr>
              <w:t>]</w:t>
            </w:r>
          </w:p>
        </w:tc>
      </w:tr>
      <w:tr w:rsidR="00443002" w:rsidRPr="00FE6B00" w14:paraId="48F8160B" w14:textId="77777777" w:rsidTr="00443002">
        <w:trPr>
          <w:trHeight w:val="136"/>
        </w:trPr>
        <w:tc>
          <w:tcPr>
            <w:tcW w:w="3510" w:type="dxa"/>
            <w:tcBorders>
              <w:top w:val="single" w:sz="4" w:space="0" w:color="auto"/>
              <w:left w:val="nil"/>
              <w:bottom w:val="nil"/>
              <w:right w:val="nil"/>
            </w:tcBorders>
          </w:tcPr>
          <w:p w14:paraId="768B5E39" w14:textId="77777777" w:rsidR="00443002" w:rsidRPr="00FE6B00" w:rsidRDefault="00443002" w:rsidP="00443002">
            <w:pPr>
              <w:rPr>
                <w:b/>
                <w:sz w:val="6"/>
              </w:rPr>
            </w:pPr>
          </w:p>
        </w:tc>
        <w:tc>
          <w:tcPr>
            <w:tcW w:w="4395" w:type="dxa"/>
            <w:gridSpan w:val="3"/>
            <w:tcBorders>
              <w:top w:val="single" w:sz="4" w:space="0" w:color="auto"/>
              <w:left w:val="nil"/>
              <w:bottom w:val="nil"/>
              <w:right w:val="nil"/>
            </w:tcBorders>
          </w:tcPr>
          <w:p w14:paraId="5BAAA448" w14:textId="77777777" w:rsidR="00443002" w:rsidRPr="00FE6B00" w:rsidRDefault="00443002" w:rsidP="00443002">
            <w:pPr>
              <w:rPr>
                <w:b/>
                <w:sz w:val="6"/>
              </w:rPr>
            </w:pPr>
          </w:p>
        </w:tc>
        <w:tc>
          <w:tcPr>
            <w:tcW w:w="5953" w:type="dxa"/>
            <w:tcBorders>
              <w:top w:val="single" w:sz="4" w:space="0" w:color="auto"/>
              <w:left w:val="nil"/>
              <w:bottom w:val="nil"/>
              <w:right w:val="nil"/>
            </w:tcBorders>
          </w:tcPr>
          <w:p w14:paraId="3C6D5239" w14:textId="77777777" w:rsidR="00443002" w:rsidRPr="00FE6B00" w:rsidRDefault="00443002" w:rsidP="00443002">
            <w:pPr>
              <w:rPr>
                <w:b/>
                <w:sz w:val="6"/>
              </w:rPr>
            </w:pPr>
          </w:p>
        </w:tc>
      </w:tr>
      <w:tr w:rsidR="00443002" w:rsidRPr="00FE6B00" w14:paraId="6DFAEBB4" w14:textId="77777777" w:rsidTr="00443002">
        <w:trPr>
          <w:trHeight w:val="282"/>
        </w:trPr>
        <w:tc>
          <w:tcPr>
            <w:tcW w:w="3510" w:type="dxa"/>
            <w:tcBorders>
              <w:top w:val="nil"/>
              <w:left w:val="nil"/>
              <w:bottom w:val="nil"/>
              <w:right w:val="nil"/>
            </w:tcBorders>
          </w:tcPr>
          <w:p w14:paraId="70728CD1" w14:textId="77777777" w:rsidR="00443002" w:rsidRPr="00FE6B00" w:rsidRDefault="00443002" w:rsidP="00443002">
            <w:pPr>
              <w:spacing w:line="360" w:lineRule="auto"/>
              <w:rPr>
                <w:sz w:val="18"/>
              </w:rPr>
            </w:pPr>
            <w:r w:rsidRPr="00FE6B00">
              <w:rPr>
                <w:b/>
                <w:szCs w:val="24"/>
              </w:rPr>
              <w:t>Legal</w:t>
            </w:r>
            <w:r w:rsidRPr="00FE6B00">
              <w:rPr>
                <w:b/>
              </w:rPr>
              <w:t xml:space="preserve"> status </w:t>
            </w:r>
            <w:r>
              <w:rPr>
                <w:b/>
              </w:rPr>
              <w:t>33</w:t>
            </w:r>
            <w:r w:rsidRPr="00FE6B00">
              <w:rPr>
                <w:b/>
              </w:rPr>
              <w:t>%</w:t>
            </w:r>
          </w:p>
        </w:tc>
        <w:tc>
          <w:tcPr>
            <w:tcW w:w="3402" w:type="dxa"/>
            <w:tcBorders>
              <w:top w:val="nil"/>
              <w:left w:val="nil"/>
              <w:bottom w:val="nil"/>
              <w:right w:val="nil"/>
            </w:tcBorders>
          </w:tcPr>
          <w:p w14:paraId="7591328C" w14:textId="77777777" w:rsidR="00443002" w:rsidRPr="00FE6B00" w:rsidRDefault="00443002" w:rsidP="00443002">
            <w:pPr>
              <w:spacing w:line="360" w:lineRule="auto"/>
            </w:pPr>
            <w:r w:rsidRPr="00FE6B00">
              <w:t>Because they are legal</w:t>
            </w:r>
          </w:p>
        </w:tc>
        <w:tc>
          <w:tcPr>
            <w:tcW w:w="709" w:type="dxa"/>
            <w:tcBorders>
              <w:top w:val="nil"/>
              <w:left w:val="nil"/>
              <w:bottom w:val="nil"/>
              <w:right w:val="nil"/>
            </w:tcBorders>
          </w:tcPr>
          <w:p w14:paraId="5E4D122E" w14:textId="77777777" w:rsidR="00443002" w:rsidRPr="00FE6B00" w:rsidRDefault="00443002" w:rsidP="00443002">
            <w:pPr>
              <w:spacing w:line="360" w:lineRule="auto"/>
              <w:jc w:val="right"/>
              <w:rPr>
                <w:sz w:val="20"/>
              </w:rPr>
            </w:pPr>
            <w:r>
              <w:rPr>
                <w:sz w:val="20"/>
              </w:rPr>
              <w:t>27</w:t>
            </w:r>
            <w:r w:rsidRPr="00FE6B00">
              <w:rPr>
                <w:sz w:val="20"/>
              </w:rPr>
              <w:t xml:space="preserve"> %</w:t>
            </w:r>
          </w:p>
        </w:tc>
        <w:tc>
          <w:tcPr>
            <w:tcW w:w="284" w:type="dxa"/>
            <w:tcBorders>
              <w:top w:val="nil"/>
              <w:left w:val="nil"/>
              <w:bottom w:val="nil"/>
              <w:right w:val="nil"/>
            </w:tcBorders>
          </w:tcPr>
          <w:p w14:paraId="4DBF4926" w14:textId="77777777" w:rsidR="00443002" w:rsidRPr="00FE6B00" w:rsidRDefault="00443002" w:rsidP="00443002">
            <w:pPr>
              <w:spacing w:line="360" w:lineRule="auto"/>
            </w:pPr>
          </w:p>
        </w:tc>
        <w:tc>
          <w:tcPr>
            <w:tcW w:w="5953" w:type="dxa"/>
            <w:tcBorders>
              <w:top w:val="nil"/>
              <w:left w:val="nil"/>
              <w:bottom w:val="nil"/>
              <w:right w:val="nil"/>
            </w:tcBorders>
          </w:tcPr>
          <w:p w14:paraId="3E6619DC" w14:textId="77777777" w:rsidR="00443002" w:rsidRPr="00FE6B00" w:rsidRDefault="00443002" w:rsidP="00443002">
            <w:pPr>
              <w:spacing w:line="360" w:lineRule="auto"/>
              <w:rPr>
                <w:sz w:val="18"/>
              </w:rPr>
            </w:pPr>
            <w:r w:rsidRPr="00FE6B00">
              <w:rPr>
                <w:sz w:val="18"/>
              </w:rPr>
              <w:t>[3][10][12][17][20][22][2</w:t>
            </w:r>
            <w:r>
              <w:rPr>
                <w:sz w:val="18"/>
              </w:rPr>
              <w:t>8</w:t>
            </w:r>
            <w:r w:rsidRPr="00FE6B00">
              <w:rPr>
                <w:sz w:val="18"/>
              </w:rPr>
              <w:t>][</w:t>
            </w:r>
            <w:r>
              <w:rPr>
                <w:sz w:val="18"/>
              </w:rPr>
              <w:t>31</w:t>
            </w:r>
            <w:r w:rsidRPr="00FE6B00">
              <w:rPr>
                <w:sz w:val="18"/>
              </w:rPr>
              <w:t>]</w:t>
            </w:r>
          </w:p>
        </w:tc>
      </w:tr>
      <w:tr w:rsidR="00443002" w:rsidRPr="00FE6B00" w14:paraId="477A8B7C" w14:textId="77777777" w:rsidTr="00443002">
        <w:trPr>
          <w:trHeight w:val="282"/>
        </w:trPr>
        <w:tc>
          <w:tcPr>
            <w:tcW w:w="3510" w:type="dxa"/>
            <w:tcBorders>
              <w:top w:val="nil"/>
              <w:left w:val="nil"/>
              <w:bottom w:val="nil"/>
              <w:right w:val="nil"/>
            </w:tcBorders>
          </w:tcPr>
          <w:p w14:paraId="4E314FFA" w14:textId="77777777" w:rsidR="00443002" w:rsidRPr="00FE6B00" w:rsidRDefault="00443002" w:rsidP="00443002">
            <w:pPr>
              <w:spacing w:line="360" w:lineRule="auto"/>
              <w:rPr>
                <w:b/>
                <w:szCs w:val="24"/>
              </w:rPr>
            </w:pPr>
          </w:p>
        </w:tc>
        <w:tc>
          <w:tcPr>
            <w:tcW w:w="3402" w:type="dxa"/>
            <w:tcBorders>
              <w:top w:val="nil"/>
              <w:left w:val="nil"/>
              <w:bottom w:val="nil"/>
              <w:right w:val="nil"/>
            </w:tcBorders>
          </w:tcPr>
          <w:p w14:paraId="54D5FFC3" w14:textId="77777777" w:rsidR="00443002" w:rsidRPr="00FE6B00" w:rsidRDefault="00443002" w:rsidP="00443002">
            <w:pPr>
              <w:spacing w:line="360" w:lineRule="auto"/>
            </w:pPr>
            <w:r w:rsidRPr="00FE6B00">
              <w:t xml:space="preserve">Avoid legal </w:t>
            </w:r>
            <w:r>
              <w:t>consequences</w:t>
            </w:r>
            <w:r w:rsidRPr="00FE6B00">
              <w:t xml:space="preserve"> </w:t>
            </w:r>
          </w:p>
        </w:tc>
        <w:tc>
          <w:tcPr>
            <w:tcW w:w="709" w:type="dxa"/>
            <w:tcBorders>
              <w:top w:val="nil"/>
              <w:left w:val="nil"/>
              <w:bottom w:val="nil"/>
              <w:right w:val="nil"/>
            </w:tcBorders>
          </w:tcPr>
          <w:p w14:paraId="30C1C2CB"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145AAF41" w14:textId="77777777" w:rsidR="00443002" w:rsidRPr="00FE6B00" w:rsidRDefault="00443002" w:rsidP="00443002">
            <w:pPr>
              <w:spacing w:line="360" w:lineRule="auto"/>
            </w:pPr>
          </w:p>
        </w:tc>
        <w:tc>
          <w:tcPr>
            <w:tcW w:w="5953" w:type="dxa"/>
            <w:tcBorders>
              <w:top w:val="nil"/>
              <w:left w:val="nil"/>
              <w:bottom w:val="nil"/>
              <w:right w:val="nil"/>
            </w:tcBorders>
          </w:tcPr>
          <w:p w14:paraId="76020B5B" w14:textId="77777777" w:rsidR="00443002" w:rsidRPr="00FE6B00" w:rsidRDefault="00443002" w:rsidP="00443002">
            <w:pPr>
              <w:spacing w:line="360" w:lineRule="auto"/>
              <w:rPr>
                <w:sz w:val="18"/>
              </w:rPr>
            </w:pPr>
            <w:r w:rsidRPr="00FE6B00">
              <w:rPr>
                <w:sz w:val="18"/>
              </w:rPr>
              <w:t>[</w:t>
            </w:r>
            <w:r>
              <w:rPr>
                <w:sz w:val="18"/>
              </w:rPr>
              <w:t>6</w:t>
            </w:r>
            <w:r w:rsidRPr="00FE6B00">
              <w:rPr>
                <w:sz w:val="18"/>
              </w:rPr>
              <w:t>][1</w:t>
            </w:r>
            <w:r>
              <w:rPr>
                <w:sz w:val="18"/>
              </w:rPr>
              <w:t>8</w:t>
            </w:r>
            <w:r w:rsidRPr="00FE6B00">
              <w:rPr>
                <w:sz w:val="18"/>
              </w:rPr>
              <w:t>]</w:t>
            </w:r>
          </w:p>
        </w:tc>
      </w:tr>
      <w:tr w:rsidR="00443002" w:rsidRPr="00FE6B00" w14:paraId="1B3464BE" w14:textId="77777777" w:rsidTr="00443002">
        <w:trPr>
          <w:trHeight w:val="282"/>
        </w:trPr>
        <w:tc>
          <w:tcPr>
            <w:tcW w:w="3510" w:type="dxa"/>
            <w:tcBorders>
              <w:top w:val="nil"/>
              <w:left w:val="nil"/>
              <w:bottom w:val="nil"/>
              <w:right w:val="nil"/>
            </w:tcBorders>
          </w:tcPr>
          <w:p w14:paraId="4345DD67" w14:textId="77777777" w:rsidR="00443002" w:rsidRPr="00FE6B00" w:rsidRDefault="00443002" w:rsidP="00443002">
            <w:pPr>
              <w:spacing w:line="360" w:lineRule="auto"/>
              <w:rPr>
                <w:b/>
                <w:szCs w:val="24"/>
              </w:rPr>
            </w:pPr>
          </w:p>
        </w:tc>
        <w:tc>
          <w:tcPr>
            <w:tcW w:w="3402" w:type="dxa"/>
            <w:tcBorders>
              <w:top w:val="nil"/>
              <w:left w:val="nil"/>
              <w:bottom w:val="nil"/>
              <w:right w:val="nil"/>
            </w:tcBorders>
          </w:tcPr>
          <w:p w14:paraId="6A4B8B96" w14:textId="77777777" w:rsidR="00443002" w:rsidRPr="00FE6B00" w:rsidRDefault="00443002" w:rsidP="00443002">
            <w:pPr>
              <w:spacing w:line="360" w:lineRule="auto"/>
            </w:pPr>
            <w:r w:rsidRPr="00FE6B00">
              <w:t xml:space="preserve">Avoid exclusion from work </w:t>
            </w:r>
          </w:p>
        </w:tc>
        <w:tc>
          <w:tcPr>
            <w:tcW w:w="709" w:type="dxa"/>
            <w:tcBorders>
              <w:top w:val="nil"/>
              <w:left w:val="nil"/>
              <w:bottom w:val="nil"/>
              <w:right w:val="nil"/>
            </w:tcBorders>
          </w:tcPr>
          <w:p w14:paraId="6F36EB28" w14:textId="77777777" w:rsidR="00443002" w:rsidRPr="00FE6B00" w:rsidRDefault="00443002" w:rsidP="00443002">
            <w:pPr>
              <w:spacing w:line="360" w:lineRule="auto"/>
              <w:jc w:val="right"/>
              <w:rPr>
                <w:sz w:val="20"/>
              </w:rPr>
            </w:pPr>
            <w:r w:rsidRPr="00FE6B00">
              <w:rPr>
                <w:sz w:val="20"/>
              </w:rPr>
              <w:t>3 %</w:t>
            </w:r>
          </w:p>
        </w:tc>
        <w:tc>
          <w:tcPr>
            <w:tcW w:w="284" w:type="dxa"/>
            <w:tcBorders>
              <w:top w:val="nil"/>
              <w:left w:val="nil"/>
              <w:bottom w:val="nil"/>
              <w:right w:val="nil"/>
            </w:tcBorders>
          </w:tcPr>
          <w:p w14:paraId="28E84C6D" w14:textId="77777777" w:rsidR="00443002" w:rsidRPr="00FE6B00" w:rsidRDefault="00443002" w:rsidP="00443002">
            <w:pPr>
              <w:spacing w:line="360" w:lineRule="auto"/>
            </w:pPr>
          </w:p>
        </w:tc>
        <w:tc>
          <w:tcPr>
            <w:tcW w:w="5953" w:type="dxa"/>
            <w:tcBorders>
              <w:top w:val="nil"/>
              <w:left w:val="nil"/>
              <w:bottom w:val="nil"/>
              <w:right w:val="nil"/>
            </w:tcBorders>
          </w:tcPr>
          <w:p w14:paraId="72C8C4D7" w14:textId="77777777" w:rsidR="00443002" w:rsidRPr="00FE6B00" w:rsidRDefault="00443002" w:rsidP="00443002">
            <w:pPr>
              <w:spacing w:line="360" w:lineRule="auto"/>
              <w:rPr>
                <w:sz w:val="18"/>
              </w:rPr>
            </w:pPr>
            <w:r w:rsidRPr="00FE6B00">
              <w:rPr>
                <w:sz w:val="18"/>
              </w:rPr>
              <w:t>[1</w:t>
            </w:r>
            <w:r>
              <w:rPr>
                <w:sz w:val="18"/>
              </w:rPr>
              <w:t>8</w:t>
            </w:r>
            <w:r w:rsidRPr="00FE6B00">
              <w:rPr>
                <w:sz w:val="18"/>
              </w:rPr>
              <w:t>]</w:t>
            </w:r>
          </w:p>
        </w:tc>
      </w:tr>
      <w:tr w:rsidR="00443002" w:rsidRPr="00FE6B00" w14:paraId="26998240" w14:textId="77777777" w:rsidTr="00443002">
        <w:trPr>
          <w:trHeight w:val="282"/>
        </w:trPr>
        <w:tc>
          <w:tcPr>
            <w:tcW w:w="3510" w:type="dxa"/>
            <w:tcBorders>
              <w:top w:val="nil"/>
              <w:left w:val="nil"/>
              <w:bottom w:val="nil"/>
              <w:right w:val="nil"/>
            </w:tcBorders>
          </w:tcPr>
          <w:p w14:paraId="44099195"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3E22E2B0" w14:textId="77777777" w:rsidR="00443002" w:rsidRPr="00FE6B00" w:rsidRDefault="00443002" w:rsidP="00443002">
            <w:pPr>
              <w:spacing w:line="360" w:lineRule="auto"/>
            </w:pPr>
            <w:r w:rsidRPr="00FE6B00">
              <w:t xml:space="preserve">Easier to get into gigs and clubs </w:t>
            </w:r>
          </w:p>
        </w:tc>
        <w:tc>
          <w:tcPr>
            <w:tcW w:w="709" w:type="dxa"/>
            <w:tcBorders>
              <w:top w:val="nil"/>
              <w:left w:val="nil"/>
              <w:bottom w:val="nil"/>
              <w:right w:val="nil"/>
            </w:tcBorders>
          </w:tcPr>
          <w:p w14:paraId="5B5F4072" w14:textId="77777777" w:rsidR="00443002" w:rsidRPr="00FE6B00" w:rsidRDefault="00443002" w:rsidP="00443002">
            <w:pPr>
              <w:spacing w:line="360" w:lineRule="auto"/>
              <w:jc w:val="right"/>
              <w:rPr>
                <w:sz w:val="20"/>
              </w:rPr>
            </w:pPr>
            <w:r w:rsidRPr="00FE6B00">
              <w:rPr>
                <w:sz w:val="20"/>
              </w:rPr>
              <w:t>3 %</w:t>
            </w:r>
          </w:p>
        </w:tc>
        <w:tc>
          <w:tcPr>
            <w:tcW w:w="284" w:type="dxa"/>
            <w:tcBorders>
              <w:top w:val="nil"/>
              <w:left w:val="nil"/>
              <w:bottom w:val="nil"/>
              <w:right w:val="nil"/>
            </w:tcBorders>
          </w:tcPr>
          <w:p w14:paraId="70382C54" w14:textId="77777777" w:rsidR="00443002" w:rsidRPr="00FE6B00" w:rsidRDefault="00443002" w:rsidP="00443002">
            <w:pPr>
              <w:spacing w:line="360" w:lineRule="auto"/>
            </w:pPr>
          </w:p>
        </w:tc>
        <w:tc>
          <w:tcPr>
            <w:tcW w:w="5953" w:type="dxa"/>
            <w:tcBorders>
              <w:top w:val="nil"/>
              <w:left w:val="nil"/>
              <w:bottom w:val="nil"/>
              <w:right w:val="nil"/>
            </w:tcBorders>
          </w:tcPr>
          <w:p w14:paraId="36098754" w14:textId="77777777" w:rsidR="00443002" w:rsidRPr="00FE6B00" w:rsidRDefault="00443002" w:rsidP="00443002">
            <w:pPr>
              <w:spacing w:line="360" w:lineRule="auto"/>
              <w:rPr>
                <w:sz w:val="18"/>
              </w:rPr>
            </w:pPr>
            <w:r w:rsidRPr="00FE6B00">
              <w:rPr>
                <w:sz w:val="18"/>
              </w:rPr>
              <w:t>[20]</w:t>
            </w:r>
          </w:p>
        </w:tc>
      </w:tr>
      <w:tr w:rsidR="00443002" w:rsidRPr="00FE6B00" w14:paraId="66F106F0" w14:textId="77777777" w:rsidTr="00443002">
        <w:trPr>
          <w:trHeight w:val="136"/>
        </w:trPr>
        <w:tc>
          <w:tcPr>
            <w:tcW w:w="3510" w:type="dxa"/>
            <w:tcBorders>
              <w:top w:val="single" w:sz="4" w:space="0" w:color="auto"/>
              <w:left w:val="nil"/>
              <w:bottom w:val="nil"/>
              <w:right w:val="nil"/>
            </w:tcBorders>
          </w:tcPr>
          <w:p w14:paraId="6A2697D5"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659BA443"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1EF98F09" w14:textId="77777777" w:rsidR="00443002" w:rsidRPr="00FE6B00" w:rsidRDefault="00443002" w:rsidP="00443002">
            <w:pPr>
              <w:spacing w:line="360" w:lineRule="auto"/>
              <w:rPr>
                <w:b/>
                <w:sz w:val="6"/>
              </w:rPr>
            </w:pPr>
          </w:p>
        </w:tc>
      </w:tr>
      <w:tr w:rsidR="00443002" w:rsidRPr="00FE6B00" w14:paraId="432A40BA" w14:textId="77777777" w:rsidTr="00443002">
        <w:trPr>
          <w:trHeight w:val="282"/>
        </w:trPr>
        <w:tc>
          <w:tcPr>
            <w:tcW w:w="3510" w:type="dxa"/>
            <w:tcBorders>
              <w:top w:val="nil"/>
              <w:left w:val="nil"/>
              <w:bottom w:val="nil"/>
              <w:right w:val="nil"/>
            </w:tcBorders>
          </w:tcPr>
          <w:p w14:paraId="47A407A5" w14:textId="77777777" w:rsidR="00443002" w:rsidRPr="00FE6B00" w:rsidRDefault="00443002" w:rsidP="00443002">
            <w:pPr>
              <w:spacing w:line="360" w:lineRule="auto"/>
              <w:rPr>
                <w:sz w:val="18"/>
              </w:rPr>
            </w:pPr>
            <w:r w:rsidRPr="00FE6B00">
              <w:rPr>
                <w:b/>
              </w:rPr>
              <w:t xml:space="preserve">Social influences </w:t>
            </w:r>
            <w:r>
              <w:rPr>
                <w:b/>
                <w:sz w:val="22"/>
              </w:rPr>
              <w:t>33</w:t>
            </w:r>
            <w:r w:rsidRPr="00FE6B00">
              <w:rPr>
                <w:b/>
                <w:sz w:val="22"/>
              </w:rPr>
              <w:t>%</w:t>
            </w:r>
          </w:p>
        </w:tc>
        <w:tc>
          <w:tcPr>
            <w:tcW w:w="3402" w:type="dxa"/>
            <w:tcBorders>
              <w:top w:val="nil"/>
              <w:left w:val="nil"/>
              <w:bottom w:val="nil"/>
              <w:right w:val="nil"/>
            </w:tcBorders>
          </w:tcPr>
          <w:p w14:paraId="7AC61257" w14:textId="77777777" w:rsidR="00443002" w:rsidRPr="00FE6B00" w:rsidRDefault="00443002" w:rsidP="00443002">
            <w:pPr>
              <w:spacing w:line="360" w:lineRule="auto"/>
            </w:pPr>
            <w:r w:rsidRPr="00FE6B00">
              <w:t xml:space="preserve">Positive social interactions </w:t>
            </w:r>
          </w:p>
        </w:tc>
        <w:tc>
          <w:tcPr>
            <w:tcW w:w="709" w:type="dxa"/>
            <w:tcBorders>
              <w:top w:val="nil"/>
              <w:left w:val="nil"/>
              <w:bottom w:val="nil"/>
              <w:right w:val="nil"/>
            </w:tcBorders>
          </w:tcPr>
          <w:p w14:paraId="1BBA85CC" w14:textId="77777777" w:rsidR="00443002" w:rsidRPr="00FE6B00" w:rsidRDefault="00443002" w:rsidP="00443002">
            <w:pPr>
              <w:spacing w:line="360" w:lineRule="auto"/>
              <w:jc w:val="right"/>
              <w:rPr>
                <w:sz w:val="20"/>
              </w:rPr>
            </w:pPr>
            <w:r>
              <w:rPr>
                <w:sz w:val="20"/>
              </w:rPr>
              <w:t>23</w:t>
            </w:r>
            <w:r w:rsidRPr="00FE6B00">
              <w:rPr>
                <w:sz w:val="20"/>
              </w:rPr>
              <w:t xml:space="preserve"> %</w:t>
            </w:r>
          </w:p>
        </w:tc>
        <w:tc>
          <w:tcPr>
            <w:tcW w:w="284" w:type="dxa"/>
            <w:tcBorders>
              <w:top w:val="nil"/>
              <w:left w:val="nil"/>
              <w:bottom w:val="nil"/>
              <w:right w:val="nil"/>
            </w:tcBorders>
          </w:tcPr>
          <w:p w14:paraId="5DABB60E" w14:textId="77777777" w:rsidR="00443002" w:rsidRPr="00FE6B00" w:rsidRDefault="00443002" w:rsidP="00443002">
            <w:pPr>
              <w:spacing w:line="360" w:lineRule="auto"/>
            </w:pPr>
          </w:p>
        </w:tc>
        <w:tc>
          <w:tcPr>
            <w:tcW w:w="5953" w:type="dxa"/>
            <w:tcBorders>
              <w:top w:val="nil"/>
              <w:left w:val="nil"/>
              <w:bottom w:val="nil"/>
              <w:right w:val="nil"/>
            </w:tcBorders>
          </w:tcPr>
          <w:p w14:paraId="1F7413D9" w14:textId="77777777" w:rsidR="00443002" w:rsidRPr="00FE6B00" w:rsidRDefault="00443002" w:rsidP="00443002">
            <w:pPr>
              <w:spacing w:line="360" w:lineRule="auto"/>
              <w:rPr>
                <w:sz w:val="18"/>
              </w:rPr>
            </w:pPr>
            <w:r w:rsidRPr="00FE6B00">
              <w:rPr>
                <w:sz w:val="18"/>
              </w:rPr>
              <w:t>[1][1</w:t>
            </w:r>
            <w:r>
              <w:rPr>
                <w:sz w:val="18"/>
              </w:rPr>
              <w:t>2</w:t>
            </w:r>
            <w:r w:rsidRPr="00FE6B00">
              <w:rPr>
                <w:sz w:val="18"/>
              </w:rPr>
              <w:t>][21][22][2</w:t>
            </w:r>
            <w:r>
              <w:rPr>
                <w:sz w:val="18"/>
              </w:rPr>
              <w:t>9</w:t>
            </w:r>
            <w:r w:rsidRPr="00FE6B00">
              <w:rPr>
                <w:sz w:val="18"/>
              </w:rPr>
              <w:t>][</w:t>
            </w:r>
            <w:r>
              <w:rPr>
                <w:sz w:val="18"/>
              </w:rPr>
              <w:t>30</w:t>
            </w:r>
            <w:r w:rsidRPr="00FE6B00">
              <w:rPr>
                <w:sz w:val="18"/>
              </w:rPr>
              <w:t>]</w:t>
            </w:r>
            <w:r>
              <w:rPr>
                <w:sz w:val="18"/>
              </w:rPr>
              <w:t>[31]</w:t>
            </w:r>
          </w:p>
        </w:tc>
      </w:tr>
      <w:tr w:rsidR="00443002" w:rsidRPr="00FE6B00" w14:paraId="1A920BDA" w14:textId="77777777" w:rsidTr="00443002">
        <w:trPr>
          <w:trHeight w:val="282"/>
        </w:trPr>
        <w:tc>
          <w:tcPr>
            <w:tcW w:w="3510" w:type="dxa"/>
            <w:tcBorders>
              <w:top w:val="nil"/>
              <w:left w:val="nil"/>
              <w:bottom w:val="nil"/>
              <w:right w:val="nil"/>
            </w:tcBorders>
          </w:tcPr>
          <w:p w14:paraId="4701F1B1" w14:textId="77777777" w:rsidR="00443002" w:rsidRPr="00FE6B00" w:rsidRDefault="00443002" w:rsidP="00443002">
            <w:pPr>
              <w:spacing w:line="360" w:lineRule="auto"/>
              <w:rPr>
                <w:b/>
              </w:rPr>
            </w:pPr>
          </w:p>
        </w:tc>
        <w:tc>
          <w:tcPr>
            <w:tcW w:w="3402" w:type="dxa"/>
            <w:tcBorders>
              <w:top w:val="nil"/>
              <w:left w:val="nil"/>
              <w:bottom w:val="nil"/>
              <w:right w:val="nil"/>
            </w:tcBorders>
          </w:tcPr>
          <w:p w14:paraId="30A1F023" w14:textId="77777777" w:rsidR="00443002" w:rsidRPr="00FE6B00" w:rsidRDefault="00443002" w:rsidP="00443002">
            <w:pPr>
              <w:spacing w:line="360" w:lineRule="auto"/>
            </w:pPr>
            <w:r w:rsidRPr="00FE6B00">
              <w:t xml:space="preserve">Fit in with friends </w:t>
            </w:r>
          </w:p>
        </w:tc>
        <w:tc>
          <w:tcPr>
            <w:tcW w:w="709" w:type="dxa"/>
            <w:tcBorders>
              <w:top w:val="nil"/>
              <w:left w:val="nil"/>
              <w:bottom w:val="nil"/>
              <w:right w:val="nil"/>
            </w:tcBorders>
          </w:tcPr>
          <w:p w14:paraId="4F864A94" w14:textId="77777777" w:rsidR="00443002" w:rsidRPr="00FE6B00" w:rsidRDefault="00443002" w:rsidP="00443002">
            <w:pPr>
              <w:spacing w:line="360" w:lineRule="auto"/>
              <w:jc w:val="right"/>
              <w:rPr>
                <w:sz w:val="20"/>
              </w:rPr>
            </w:pPr>
            <w:r w:rsidRPr="00FE6B00">
              <w:rPr>
                <w:sz w:val="20"/>
              </w:rPr>
              <w:t>1</w:t>
            </w:r>
            <w:r>
              <w:rPr>
                <w:sz w:val="20"/>
              </w:rPr>
              <w:t xml:space="preserve">0 </w:t>
            </w:r>
            <w:r w:rsidRPr="00FE6B00">
              <w:rPr>
                <w:sz w:val="20"/>
              </w:rPr>
              <w:t>%</w:t>
            </w:r>
          </w:p>
        </w:tc>
        <w:tc>
          <w:tcPr>
            <w:tcW w:w="284" w:type="dxa"/>
            <w:tcBorders>
              <w:top w:val="nil"/>
              <w:left w:val="nil"/>
              <w:bottom w:val="nil"/>
              <w:right w:val="nil"/>
            </w:tcBorders>
          </w:tcPr>
          <w:p w14:paraId="6DE7DDC3" w14:textId="77777777" w:rsidR="00443002" w:rsidRPr="00FE6B00" w:rsidRDefault="00443002" w:rsidP="00443002">
            <w:pPr>
              <w:spacing w:line="360" w:lineRule="auto"/>
            </w:pPr>
          </w:p>
        </w:tc>
        <w:tc>
          <w:tcPr>
            <w:tcW w:w="5953" w:type="dxa"/>
            <w:tcBorders>
              <w:top w:val="nil"/>
              <w:left w:val="nil"/>
              <w:bottom w:val="nil"/>
              <w:right w:val="nil"/>
            </w:tcBorders>
          </w:tcPr>
          <w:p w14:paraId="73338569" w14:textId="77777777" w:rsidR="00443002" w:rsidRPr="00FE6B00" w:rsidRDefault="00443002" w:rsidP="00443002">
            <w:pPr>
              <w:spacing w:line="360" w:lineRule="auto"/>
              <w:rPr>
                <w:sz w:val="18"/>
              </w:rPr>
            </w:pPr>
            <w:r w:rsidRPr="00FE6B00">
              <w:rPr>
                <w:sz w:val="18"/>
              </w:rPr>
              <w:t>[11]</w:t>
            </w:r>
            <w:r>
              <w:rPr>
                <w:sz w:val="18"/>
              </w:rPr>
              <w:t>[</w:t>
            </w:r>
            <w:r w:rsidRPr="00FE6B00">
              <w:rPr>
                <w:sz w:val="18"/>
              </w:rPr>
              <w:t>20][</w:t>
            </w:r>
            <w:r>
              <w:rPr>
                <w:sz w:val="18"/>
              </w:rPr>
              <w:t>30</w:t>
            </w:r>
            <w:r w:rsidRPr="00FE6B00">
              <w:rPr>
                <w:sz w:val="18"/>
              </w:rPr>
              <w:t>]</w:t>
            </w:r>
          </w:p>
        </w:tc>
      </w:tr>
      <w:tr w:rsidR="00443002" w:rsidRPr="00FE6B00" w14:paraId="7B8B8628" w14:textId="77777777" w:rsidTr="00443002">
        <w:trPr>
          <w:trHeight w:val="282"/>
        </w:trPr>
        <w:tc>
          <w:tcPr>
            <w:tcW w:w="3510" w:type="dxa"/>
            <w:tcBorders>
              <w:top w:val="nil"/>
              <w:left w:val="nil"/>
              <w:bottom w:val="nil"/>
              <w:right w:val="nil"/>
            </w:tcBorders>
          </w:tcPr>
          <w:p w14:paraId="6FDD63AA" w14:textId="77777777" w:rsidR="00443002" w:rsidRPr="00FE6B00" w:rsidRDefault="00443002" w:rsidP="00443002">
            <w:pPr>
              <w:spacing w:line="360" w:lineRule="auto"/>
              <w:rPr>
                <w:b/>
              </w:rPr>
            </w:pPr>
          </w:p>
        </w:tc>
        <w:tc>
          <w:tcPr>
            <w:tcW w:w="3402" w:type="dxa"/>
            <w:tcBorders>
              <w:top w:val="nil"/>
              <w:left w:val="nil"/>
              <w:bottom w:val="nil"/>
              <w:right w:val="nil"/>
            </w:tcBorders>
          </w:tcPr>
          <w:p w14:paraId="1B4556D0" w14:textId="77777777" w:rsidR="00443002" w:rsidRPr="00FE6B00" w:rsidRDefault="00443002" w:rsidP="00443002">
            <w:pPr>
              <w:spacing w:line="360" w:lineRule="auto"/>
            </w:pPr>
            <w:r>
              <w:t xml:space="preserve">Social acceptability </w:t>
            </w:r>
          </w:p>
        </w:tc>
        <w:tc>
          <w:tcPr>
            <w:tcW w:w="709" w:type="dxa"/>
            <w:tcBorders>
              <w:top w:val="nil"/>
              <w:left w:val="nil"/>
              <w:bottom w:val="nil"/>
              <w:right w:val="nil"/>
            </w:tcBorders>
          </w:tcPr>
          <w:p w14:paraId="4E202C53" w14:textId="77777777" w:rsidR="00443002" w:rsidRPr="00FE6B00" w:rsidRDefault="00443002" w:rsidP="00443002">
            <w:pPr>
              <w:spacing w:line="360" w:lineRule="auto"/>
              <w:jc w:val="right"/>
              <w:rPr>
                <w:sz w:val="20"/>
              </w:rPr>
            </w:pPr>
            <w:r>
              <w:rPr>
                <w:sz w:val="20"/>
              </w:rPr>
              <w:t>7 %</w:t>
            </w:r>
          </w:p>
        </w:tc>
        <w:tc>
          <w:tcPr>
            <w:tcW w:w="284" w:type="dxa"/>
            <w:tcBorders>
              <w:top w:val="nil"/>
              <w:left w:val="nil"/>
              <w:bottom w:val="nil"/>
              <w:right w:val="nil"/>
            </w:tcBorders>
          </w:tcPr>
          <w:p w14:paraId="43513FEC" w14:textId="77777777" w:rsidR="00443002" w:rsidRPr="00FE6B00" w:rsidRDefault="00443002" w:rsidP="00443002">
            <w:pPr>
              <w:spacing w:line="360" w:lineRule="auto"/>
            </w:pPr>
          </w:p>
        </w:tc>
        <w:tc>
          <w:tcPr>
            <w:tcW w:w="5953" w:type="dxa"/>
            <w:tcBorders>
              <w:top w:val="nil"/>
              <w:left w:val="nil"/>
              <w:bottom w:val="nil"/>
              <w:right w:val="nil"/>
            </w:tcBorders>
          </w:tcPr>
          <w:p w14:paraId="1F0E1D6C" w14:textId="77777777" w:rsidR="00443002" w:rsidRPr="00FE6B00" w:rsidRDefault="00443002" w:rsidP="00443002">
            <w:pPr>
              <w:spacing w:line="360" w:lineRule="auto"/>
              <w:rPr>
                <w:sz w:val="18"/>
              </w:rPr>
            </w:pPr>
            <w:r>
              <w:rPr>
                <w:sz w:val="18"/>
              </w:rPr>
              <w:t>[6][20]</w:t>
            </w:r>
          </w:p>
        </w:tc>
      </w:tr>
      <w:tr w:rsidR="00443002" w:rsidRPr="00FE6B00" w14:paraId="094CDB6F" w14:textId="77777777" w:rsidTr="00443002">
        <w:trPr>
          <w:trHeight w:val="136"/>
        </w:trPr>
        <w:tc>
          <w:tcPr>
            <w:tcW w:w="3510" w:type="dxa"/>
            <w:tcBorders>
              <w:top w:val="single" w:sz="4" w:space="0" w:color="auto"/>
              <w:left w:val="nil"/>
              <w:bottom w:val="nil"/>
              <w:right w:val="nil"/>
            </w:tcBorders>
          </w:tcPr>
          <w:p w14:paraId="32A6A923" w14:textId="77777777" w:rsidR="00443002" w:rsidRPr="00FE6B00" w:rsidRDefault="00443002" w:rsidP="00443002">
            <w:pPr>
              <w:spacing w:line="360" w:lineRule="auto"/>
              <w:rPr>
                <w:b/>
                <w:sz w:val="6"/>
              </w:rPr>
            </w:pPr>
          </w:p>
        </w:tc>
        <w:tc>
          <w:tcPr>
            <w:tcW w:w="4395" w:type="dxa"/>
            <w:gridSpan w:val="3"/>
            <w:tcBorders>
              <w:top w:val="single" w:sz="4" w:space="0" w:color="auto"/>
              <w:left w:val="nil"/>
              <w:bottom w:val="nil"/>
              <w:right w:val="nil"/>
            </w:tcBorders>
          </w:tcPr>
          <w:p w14:paraId="3EB38040"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074BFD9B" w14:textId="77777777" w:rsidR="00443002" w:rsidRPr="00FE6B00" w:rsidRDefault="00443002" w:rsidP="00443002">
            <w:pPr>
              <w:spacing w:line="360" w:lineRule="auto"/>
              <w:rPr>
                <w:b/>
                <w:sz w:val="6"/>
              </w:rPr>
            </w:pPr>
          </w:p>
        </w:tc>
      </w:tr>
      <w:tr w:rsidR="00443002" w:rsidRPr="00FE6B00" w14:paraId="144ADB74" w14:textId="77777777" w:rsidTr="00443002">
        <w:trPr>
          <w:trHeight w:val="380"/>
        </w:trPr>
        <w:tc>
          <w:tcPr>
            <w:tcW w:w="3510" w:type="dxa"/>
            <w:tcBorders>
              <w:top w:val="nil"/>
              <w:left w:val="nil"/>
              <w:bottom w:val="single" w:sz="4" w:space="0" w:color="auto"/>
              <w:right w:val="nil"/>
            </w:tcBorders>
          </w:tcPr>
          <w:p w14:paraId="648AE6AC" w14:textId="77777777" w:rsidR="00443002" w:rsidRPr="00FE6B00" w:rsidRDefault="00443002" w:rsidP="00443002">
            <w:pPr>
              <w:spacing w:line="360" w:lineRule="auto"/>
              <w:rPr>
                <w:sz w:val="18"/>
              </w:rPr>
            </w:pPr>
            <w:r w:rsidRPr="00FE6B00">
              <w:rPr>
                <w:b/>
              </w:rPr>
              <w:t>Avoiding detection 27%</w:t>
            </w:r>
          </w:p>
        </w:tc>
        <w:tc>
          <w:tcPr>
            <w:tcW w:w="3402" w:type="dxa"/>
            <w:tcBorders>
              <w:top w:val="nil"/>
              <w:left w:val="nil"/>
              <w:bottom w:val="single" w:sz="4" w:space="0" w:color="auto"/>
              <w:right w:val="nil"/>
            </w:tcBorders>
          </w:tcPr>
          <w:p w14:paraId="3FC03AE9" w14:textId="77777777" w:rsidR="00443002" w:rsidRPr="00FE6B00" w:rsidRDefault="00443002" w:rsidP="00443002">
            <w:pPr>
              <w:spacing w:line="360" w:lineRule="auto"/>
              <w:rPr>
                <w:sz w:val="20"/>
              </w:rPr>
            </w:pPr>
            <w:r w:rsidRPr="00FE6B00">
              <w:t xml:space="preserve">Not detected in drug tests </w:t>
            </w:r>
          </w:p>
        </w:tc>
        <w:tc>
          <w:tcPr>
            <w:tcW w:w="709" w:type="dxa"/>
            <w:tcBorders>
              <w:top w:val="nil"/>
              <w:left w:val="nil"/>
              <w:bottom w:val="single" w:sz="4" w:space="0" w:color="auto"/>
              <w:right w:val="nil"/>
            </w:tcBorders>
          </w:tcPr>
          <w:p w14:paraId="4CA0E219" w14:textId="77777777" w:rsidR="00443002" w:rsidRPr="00FE6B00" w:rsidRDefault="00443002" w:rsidP="00443002">
            <w:pPr>
              <w:spacing w:line="360" w:lineRule="auto"/>
              <w:jc w:val="right"/>
              <w:rPr>
                <w:sz w:val="20"/>
              </w:rPr>
            </w:pPr>
            <w:r>
              <w:rPr>
                <w:sz w:val="22"/>
              </w:rPr>
              <w:t>27</w:t>
            </w:r>
            <w:r w:rsidRPr="00FE6B00">
              <w:rPr>
                <w:sz w:val="22"/>
              </w:rPr>
              <w:t xml:space="preserve"> %</w:t>
            </w:r>
          </w:p>
        </w:tc>
        <w:tc>
          <w:tcPr>
            <w:tcW w:w="284" w:type="dxa"/>
            <w:tcBorders>
              <w:top w:val="nil"/>
              <w:left w:val="nil"/>
              <w:bottom w:val="single" w:sz="4" w:space="0" w:color="auto"/>
              <w:right w:val="nil"/>
            </w:tcBorders>
          </w:tcPr>
          <w:p w14:paraId="530EB0AC" w14:textId="77777777" w:rsidR="00443002" w:rsidRPr="00FE6B00" w:rsidRDefault="00443002" w:rsidP="00443002">
            <w:pPr>
              <w:spacing w:line="360" w:lineRule="auto"/>
              <w:jc w:val="right"/>
              <w:rPr>
                <w:sz w:val="20"/>
              </w:rPr>
            </w:pPr>
          </w:p>
        </w:tc>
        <w:tc>
          <w:tcPr>
            <w:tcW w:w="5953" w:type="dxa"/>
            <w:tcBorders>
              <w:top w:val="nil"/>
              <w:left w:val="nil"/>
              <w:bottom w:val="single" w:sz="4" w:space="0" w:color="auto"/>
              <w:right w:val="nil"/>
            </w:tcBorders>
          </w:tcPr>
          <w:p w14:paraId="759C9D48" w14:textId="77777777" w:rsidR="00443002" w:rsidRPr="00FE6B00" w:rsidRDefault="00443002" w:rsidP="00443002">
            <w:pPr>
              <w:spacing w:line="360" w:lineRule="auto"/>
              <w:rPr>
                <w:sz w:val="20"/>
              </w:rPr>
            </w:pPr>
            <w:r w:rsidRPr="00FE6B00">
              <w:rPr>
                <w:sz w:val="18"/>
              </w:rPr>
              <w:t>[3][</w:t>
            </w:r>
            <w:r>
              <w:rPr>
                <w:sz w:val="18"/>
              </w:rPr>
              <w:t>9</w:t>
            </w:r>
            <w:r w:rsidRPr="00FE6B00">
              <w:rPr>
                <w:sz w:val="18"/>
              </w:rPr>
              <w:t>][10][16][17][</w:t>
            </w:r>
            <w:r>
              <w:rPr>
                <w:sz w:val="18"/>
              </w:rPr>
              <w:t>18</w:t>
            </w:r>
            <w:r w:rsidRPr="00FE6B00">
              <w:rPr>
                <w:sz w:val="18"/>
              </w:rPr>
              <w:t>][</w:t>
            </w:r>
            <w:r>
              <w:rPr>
                <w:sz w:val="18"/>
              </w:rPr>
              <w:t>21</w:t>
            </w:r>
            <w:r w:rsidRPr="00FE6B00">
              <w:rPr>
                <w:sz w:val="18"/>
              </w:rPr>
              <w:t>][</w:t>
            </w:r>
            <w:r>
              <w:rPr>
                <w:sz w:val="18"/>
              </w:rPr>
              <w:t>23</w:t>
            </w:r>
            <w:r w:rsidRPr="00FE6B00">
              <w:rPr>
                <w:sz w:val="18"/>
              </w:rPr>
              <w:t>]</w:t>
            </w:r>
          </w:p>
        </w:tc>
      </w:tr>
      <w:tr w:rsidR="00443002" w:rsidRPr="00FE6B00" w14:paraId="551C0CDC" w14:textId="77777777" w:rsidTr="00443002">
        <w:trPr>
          <w:trHeight w:val="136"/>
        </w:trPr>
        <w:tc>
          <w:tcPr>
            <w:tcW w:w="3510" w:type="dxa"/>
            <w:tcBorders>
              <w:top w:val="single" w:sz="4" w:space="0" w:color="auto"/>
              <w:left w:val="nil"/>
              <w:bottom w:val="nil"/>
              <w:right w:val="nil"/>
            </w:tcBorders>
          </w:tcPr>
          <w:p w14:paraId="16D1B434" w14:textId="77777777" w:rsidR="00443002" w:rsidRPr="00FE6B00" w:rsidRDefault="00443002" w:rsidP="00443002">
            <w:pPr>
              <w:spacing w:line="360" w:lineRule="auto"/>
              <w:rPr>
                <w:b/>
                <w:sz w:val="2"/>
              </w:rPr>
            </w:pPr>
          </w:p>
        </w:tc>
        <w:tc>
          <w:tcPr>
            <w:tcW w:w="4395" w:type="dxa"/>
            <w:gridSpan w:val="3"/>
            <w:tcBorders>
              <w:top w:val="single" w:sz="4" w:space="0" w:color="auto"/>
              <w:left w:val="nil"/>
              <w:bottom w:val="nil"/>
              <w:right w:val="nil"/>
            </w:tcBorders>
          </w:tcPr>
          <w:p w14:paraId="05FAF82D"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080F7C31" w14:textId="77777777" w:rsidR="00443002" w:rsidRPr="00FE6B00" w:rsidRDefault="00443002" w:rsidP="00443002">
            <w:pPr>
              <w:spacing w:line="360" w:lineRule="auto"/>
              <w:rPr>
                <w:b/>
                <w:sz w:val="6"/>
              </w:rPr>
            </w:pPr>
          </w:p>
        </w:tc>
      </w:tr>
      <w:tr w:rsidR="00443002" w:rsidRPr="00FE6B00" w14:paraId="2619A8B6" w14:textId="77777777" w:rsidTr="00443002">
        <w:trPr>
          <w:trHeight w:val="282"/>
        </w:trPr>
        <w:tc>
          <w:tcPr>
            <w:tcW w:w="3510" w:type="dxa"/>
            <w:tcBorders>
              <w:top w:val="nil"/>
              <w:left w:val="nil"/>
              <w:bottom w:val="nil"/>
              <w:right w:val="nil"/>
            </w:tcBorders>
          </w:tcPr>
          <w:p w14:paraId="30264271" w14:textId="77777777" w:rsidR="00443002" w:rsidRPr="00FE6B00" w:rsidRDefault="00443002" w:rsidP="00443002">
            <w:pPr>
              <w:spacing w:line="360" w:lineRule="auto"/>
              <w:rPr>
                <w:sz w:val="18"/>
              </w:rPr>
            </w:pPr>
            <w:r w:rsidRPr="00FE6B00">
              <w:rPr>
                <w:b/>
              </w:rPr>
              <w:t>Safety reasons 23%</w:t>
            </w:r>
          </w:p>
        </w:tc>
        <w:tc>
          <w:tcPr>
            <w:tcW w:w="3402" w:type="dxa"/>
            <w:tcBorders>
              <w:top w:val="nil"/>
              <w:left w:val="nil"/>
              <w:bottom w:val="nil"/>
              <w:right w:val="nil"/>
            </w:tcBorders>
          </w:tcPr>
          <w:p w14:paraId="46CFBFD1" w14:textId="77777777" w:rsidR="00443002" w:rsidRPr="00FE6B00" w:rsidRDefault="00443002" w:rsidP="00443002">
            <w:pPr>
              <w:spacing w:line="360" w:lineRule="auto"/>
            </w:pPr>
            <w:r w:rsidRPr="00FE6B00">
              <w:t xml:space="preserve">Perceived safety </w:t>
            </w:r>
          </w:p>
        </w:tc>
        <w:tc>
          <w:tcPr>
            <w:tcW w:w="709" w:type="dxa"/>
            <w:tcBorders>
              <w:top w:val="nil"/>
              <w:left w:val="nil"/>
              <w:bottom w:val="nil"/>
              <w:right w:val="nil"/>
            </w:tcBorders>
          </w:tcPr>
          <w:p w14:paraId="2AFE9BCE" w14:textId="77777777" w:rsidR="00443002" w:rsidRPr="00FE6B00" w:rsidRDefault="00443002" w:rsidP="00443002">
            <w:pPr>
              <w:spacing w:line="360" w:lineRule="auto"/>
              <w:jc w:val="right"/>
              <w:rPr>
                <w:sz w:val="20"/>
              </w:rPr>
            </w:pPr>
            <w:r>
              <w:rPr>
                <w:sz w:val="20"/>
              </w:rPr>
              <w:t>17</w:t>
            </w:r>
            <w:r w:rsidRPr="00FE6B00">
              <w:rPr>
                <w:sz w:val="20"/>
              </w:rPr>
              <w:t xml:space="preserve"> %</w:t>
            </w:r>
          </w:p>
        </w:tc>
        <w:tc>
          <w:tcPr>
            <w:tcW w:w="284" w:type="dxa"/>
            <w:tcBorders>
              <w:top w:val="nil"/>
              <w:left w:val="nil"/>
              <w:bottom w:val="nil"/>
              <w:right w:val="nil"/>
            </w:tcBorders>
          </w:tcPr>
          <w:p w14:paraId="04ABF060" w14:textId="77777777" w:rsidR="00443002" w:rsidRPr="00FE6B00" w:rsidRDefault="00443002" w:rsidP="00443002">
            <w:pPr>
              <w:spacing w:line="360" w:lineRule="auto"/>
            </w:pPr>
          </w:p>
        </w:tc>
        <w:tc>
          <w:tcPr>
            <w:tcW w:w="5953" w:type="dxa"/>
            <w:tcBorders>
              <w:top w:val="nil"/>
              <w:left w:val="nil"/>
              <w:bottom w:val="nil"/>
              <w:right w:val="nil"/>
            </w:tcBorders>
          </w:tcPr>
          <w:p w14:paraId="533151BD" w14:textId="77777777" w:rsidR="00443002" w:rsidRPr="00FE6B00" w:rsidRDefault="00443002" w:rsidP="00443002">
            <w:pPr>
              <w:spacing w:line="360" w:lineRule="auto"/>
              <w:rPr>
                <w:sz w:val="18"/>
              </w:rPr>
            </w:pPr>
            <w:r>
              <w:rPr>
                <w:sz w:val="18"/>
              </w:rPr>
              <w:t>[6]</w:t>
            </w:r>
            <w:r w:rsidRPr="00FE6B00">
              <w:rPr>
                <w:sz w:val="18"/>
              </w:rPr>
              <w:t>[10][1</w:t>
            </w:r>
            <w:r>
              <w:rPr>
                <w:sz w:val="18"/>
              </w:rPr>
              <w:t>3</w:t>
            </w:r>
            <w:r w:rsidRPr="00FE6B00">
              <w:rPr>
                <w:sz w:val="18"/>
              </w:rPr>
              <w:t>][</w:t>
            </w:r>
            <w:r>
              <w:rPr>
                <w:sz w:val="18"/>
              </w:rPr>
              <w:t>14</w:t>
            </w:r>
            <w:r w:rsidRPr="00FE6B00">
              <w:rPr>
                <w:sz w:val="18"/>
              </w:rPr>
              <w:t>][2</w:t>
            </w:r>
            <w:r>
              <w:rPr>
                <w:sz w:val="18"/>
              </w:rPr>
              <w:t>8</w:t>
            </w:r>
            <w:r w:rsidRPr="00FE6B00">
              <w:rPr>
                <w:sz w:val="18"/>
              </w:rPr>
              <w:t>]</w:t>
            </w:r>
          </w:p>
        </w:tc>
      </w:tr>
      <w:tr w:rsidR="00443002" w:rsidRPr="00FE6B00" w14:paraId="09FF651B" w14:textId="77777777" w:rsidTr="00443002">
        <w:trPr>
          <w:trHeight w:val="425"/>
        </w:trPr>
        <w:tc>
          <w:tcPr>
            <w:tcW w:w="3510" w:type="dxa"/>
            <w:tcBorders>
              <w:top w:val="nil"/>
              <w:left w:val="nil"/>
              <w:bottom w:val="nil"/>
              <w:right w:val="nil"/>
            </w:tcBorders>
          </w:tcPr>
          <w:p w14:paraId="416A1AEB"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1E978A2E" w14:textId="77777777" w:rsidR="00443002" w:rsidRPr="00FE6B00" w:rsidRDefault="00443002" w:rsidP="00443002">
            <w:pPr>
              <w:spacing w:line="360" w:lineRule="auto"/>
            </w:pPr>
            <w:r w:rsidRPr="00FE6B00">
              <w:t xml:space="preserve">Safer than other drugs </w:t>
            </w:r>
          </w:p>
        </w:tc>
        <w:tc>
          <w:tcPr>
            <w:tcW w:w="709" w:type="dxa"/>
            <w:tcBorders>
              <w:top w:val="nil"/>
              <w:left w:val="nil"/>
              <w:bottom w:val="nil"/>
              <w:right w:val="nil"/>
            </w:tcBorders>
          </w:tcPr>
          <w:p w14:paraId="369CD443"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3987E81B" w14:textId="77777777" w:rsidR="00443002" w:rsidRPr="00FE6B00" w:rsidRDefault="00443002" w:rsidP="00443002">
            <w:pPr>
              <w:spacing w:line="360" w:lineRule="auto"/>
            </w:pPr>
          </w:p>
        </w:tc>
        <w:tc>
          <w:tcPr>
            <w:tcW w:w="5953" w:type="dxa"/>
            <w:tcBorders>
              <w:top w:val="nil"/>
              <w:left w:val="nil"/>
              <w:bottom w:val="nil"/>
              <w:right w:val="nil"/>
            </w:tcBorders>
          </w:tcPr>
          <w:p w14:paraId="2DE01E83" w14:textId="77777777" w:rsidR="00443002" w:rsidRPr="00FE6B00" w:rsidRDefault="00443002" w:rsidP="00443002">
            <w:pPr>
              <w:spacing w:line="360" w:lineRule="auto"/>
              <w:rPr>
                <w:sz w:val="18"/>
              </w:rPr>
            </w:pPr>
            <w:r w:rsidRPr="00FE6B00">
              <w:rPr>
                <w:sz w:val="18"/>
              </w:rPr>
              <w:t>[20][21]</w:t>
            </w:r>
          </w:p>
        </w:tc>
      </w:tr>
      <w:tr w:rsidR="00443002" w:rsidRPr="00FE6B00" w14:paraId="038F5496" w14:textId="77777777" w:rsidTr="00443002">
        <w:trPr>
          <w:trHeight w:val="136"/>
        </w:trPr>
        <w:tc>
          <w:tcPr>
            <w:tcW w:w="3510" w:type="dxa"/>
            <w:tcBorders>
              <w:top w:val="nil"/>
              <w:left w:val="nil"/>
              <w:bottom w:val="single" w:sz="4" w:space="0" w:color="auto"/>
              <w:right w:val="nil"/>
            </w:tcBorders>
          </w:tcPr>
          <w:p w14:paraId="25D6644C" w14:textId="77777777" w:rsidR="00443002" w:rsidRPr="00FE6B00" w:rsidRDefault="00443002" w:rsidP="00443002">
            <w:pPr>
              <w:spacing w:line="360" w:lineRule="auto"/>
              <w:rPr>
                <w:b/>
                <w:sz w:val="2"/>
              </w:rPr>
            </w:pPr>
          </w:p>
        </w:tc>
        <w:tc>
          <w:tcPr>
            <w:tcW w:w="4395" w:type="dxa"/>
            <w:gridSpan w:val="3"/>
            <w:tcBorders>
              <w:top w:val="nil"/>
              <w:left w:val="nil"/>
              <w:bottom w:val="single" w:sz="4" w:space="0" w:color="auto"/>
              <w:right w:val="nil"/>
            </w:tcBorders>
          </w:tcPr>
          <w:p w14:paraId="2CD286E3" w14:textId="77777777" w:rsidR="00443002" w:rsidRPr="00FE6B00" w:rsidRDefault="00443002" w:rsidP="00443002">
            <w:pPr>
              <w:spacing w:line="360" w:lineRule="auto"/>
              <w:rPr>
                <w:b/>
                <w:sz w:val="6"/>
              </w:rPr>
            </w:pPr>
          </w:p>
        </w:tc>
        <w:tc>
          <w:tcPr>
            <w:tcW w:w="5953" w:type="dxa"/>
            <w:tcBorders>
              <w:top w:val="nil"/>
              <w:left w:val="nil"/>
              <w:bottom w:val="single" w:sz="4" w:space="0" w:color="auto"/>
              <w:right w:val="nil"/>
            </w:tcBorders>
          </w:tcPr>
          <w:p w14:paraId="238D6CB0" w14:textId="77777777" w:rsidR="00443002" w:rsidRPr="00FE6B00" w:rsidRDefault="00443002" w:rsidP="00443002">
            <w:pPr>
              <w:spacing w:line="360" w:lineRule="auto"/>
              <w:rPr>
                <w:b/>
                <w:sz w:val="6"/>
              </w:rPr>
            </w:pPr>
          </w:p>
        </w:tc>
      </w:tr>
      <w:tr w:rsidR="00443002" w:rsidRPr="00FE6B00" w14:paraId="0CE1D6C7" w14:textId="77777777" w:rsidTr="00443002">
        <w:trPr>
          <w:trHeight w:val="136"/>
        </w:trPr>
        <w:tc>
          <w:tcPr>
            <w:tcW w:w="3510" w:type="dxa"/>
            <w:tcBorders>
              <w:top w:val="nil"/>
              <w:left w:val="nil"/>
              <w:bottom w:val="nil"/>
              <w:right w:val="nil"/>
            </w:tcBorders>
          </w:tcPr>
          <w:p w14:paraId="2CACBE42" w14:textId="77777777" w:rsidR="00443002" w:rsidRPr="00FE6B00" w:rsidRDefault="00443002" w:rsidP="00443002">
            <w:pPr>
              <w:spacing w:line="360" w:lineRule="auto"/>
              <w:rPr>
                <w:b/>
                <w:sz w:val="2"/>
              </w:rPr>
            </w:pPr>
          </w:p>
        </w:tc>
        <w:tc>
          <w:tcPr>
            <w:tcW w:w="4395" w:type="dxa"/>
            <w:gridSpan w:val="3"/>
            <w:tcBorders>
              <w:top w:val="nil"/>
              <w:left w:val="nil"/>
              <w:bottom w:val="nil"/>
              <w:right w:val="nil"/>
            </w:tcBorders>
          </w:tcPr>
          <w:p w14:paraId="7A0BB38E" w14:textId="77777777" w:rsidR="00443002" w:rsidRPr="00FE6B00" w:rsidRDefault="00443002" w:rsidP="00443002">
            <w:pPr>
              <w:spacing w:line="360" w:lineRule="auto"/>
              <w:rPr>
                <w:b/>
                <w:sz w:val="6"/>
              </w:rPr>
            </w:pPr>
          </w:p>
        </w:tc>
        <w:tc>
          <w:tcPr>
            <w:tcW w:w="5953" w:type="dxa"/>
            <w:tcBorders>
              <w:top w:val="nil"/>
              <w:left w:val="nil"/>
              <w:bottom w:val="nil"/>
              <w:right w:val="nil"/>
            </w:tcBorders>
          </w:tcPr>
          <w:p w14:paraId="2DF436AA" w14:textId="77777777" w:rsidR="00443002" w:rsidRPr="00FE6B00" w:rsidRDefault="00443002" w:rsidP="00443002">
            <w:pPr>
              <w:spacing w:line="360" w:lineRule="auto"/>
              <w:rPr>
                <w:b/>
                <w:sz w:val="6"/>
              </w:rPr>
            </w:pPr>
          </w:p>
        </w:tc>
      </w:tr>
    </w:tbl>
    <w:p w14:paraId="6FFD352B" w14:textId="4F63541A" w:rsidR="005E0305" w:rsidRPr="005E0305" w:rsidRDefault="005E0305">
      <w:pPr>
        <w:rPr>
          <w:b/>
        </w:rPr>
      </w:pPr>
      <w:r w:rsidRPr="005E0305">
        <w:rPr>
          <w:b/>
        </w:rPr>
        <w:t xml:space="preserve">Table </w:t>
      </w:r>
      <w:r>
        <w:rPr>
          <w:b/>
        </w:rPr>
        <w:t>4-</w:t>
      </w:r>
      <w:r w:rsidRPr="005E0305">
        <w:rPr>
          <w:b/>
        </w:rPr>
        <w:t>4. Reasons for use of NPS organised by theme - continued</w:t>
      </w:r>
    </w:p>
    <w:tbl>
      <w:tblPr>
        <w:tblStyle w:val="TableGrid"/>
        <w:tblW w:w="13858" w:type="dxa"/>
        <w:tblLayout w:type="fixed"/>
        <w:tblLook w:val="04A0" w:firstRow="1" w:lastRow="0" w:firstColumn="1" w:lastColumn="0" w:noHBand="0" w:noVBand="1"/>
      </w:tblPr>
      <w:tblGrid>
        <w:gridCol w:w="3510"/>
        <w:gridCol w:w="3402"/>
        <w:gridCol w:w="709"/>
        <w:gridCol w:w="284"/>
        <w:gridCol w:w="5953"/>
      </w:tblGrid>
      <w:tr w:rsidR="00443002" w:rsidRPr="00FE6B00" w14:paraId="1F447207" w14:textId="77777777" w:rsidTr="00443002">
        <w:trPr>
          <w:trHeight w:val="366"/>
        </w:trPr>
        <w:tc>
          <w:tcPr>
            <w:tcW w:w="3510" w:type="dxa"/>
            <w:tcBorders>
              <w:top w:val="single" w:sz="4" w:space="0" w:color="auto"/>
              <w:left w:val="nil"/>
              <w:bottom w:val="single" w:sz="4" w:space="0" w:color="auto"/>
              <w:right w:val="nil"/>
            </w:tcBorders>
          </w:tcPr>
          <w:p w14:paraId="4BB952FF" w14:textId="77777777" w:rsidR="00443002" w:rsidRPr="00FE6B00" w:rsidRDefault="00443002" w:rsidP="00443002">
            <w:pPr>
              <w:rPr>
                <w:b/>
              </w:rPr>
            </w:pPr>
            <w:r w:rsidRPr="00FE6B00">
              <w:rPr>
                <w:b/>
              </w:rPr>
              <w:t xml:space="preserve">Theme </w:t>
            </w:r>
          </w:p>
          <w:p w14:paraId="1FB1ED83" w14:textId="77777777" w:rsidR="00443002" w:rsidRPr="00213DDA" w:rsidRDefault="00443002" w:rsidP="00443002">
            <w:r w:rsidRPr="00213DDA">
              <w:t>(% of studies with theme)</w:t>
            </w:r>
            <w:r w:rsidRPr="00213DDA">
              <w:rPr>
                <w:rStyle w:val="FootnoteReference"/>
              </w:rPr>
              <w:footnoteReference w:id="5"/>
            </w:r>
          </w:p>
          <w:p w14:paraId="07F16B26" w14:textId="77777777" w:rsidR="00443002" w:rsidRPr="00FE6B00" w:rsidRDefault="00443002" w:rsidP="00443002">
            <w:pPr>
              <w:rPr>
                <w:b/>
                <w:sz w:val="10"/>
              </w:rPr>
            </w:pPr>
          </w:p>
        </w:tc>
        <w:tc>
          <w:tcPr>
            <w:tcW w:w="4395" w:type="dxa"/>
            <w:gridSpan w:val="3"/>
            <w:tcBorders>
              <w:top w:val="single" w:sz="4" w:space="0" w:color="auto"/>
              <w:left w:val="nil"/>
              <w:bottom w:val="single" w:sz="4" w:space="0" w:color="auto"/>
              <w:right w:val="nil"/>
            </w:tcBorders>
          </w:tcPr>
          <w:p w14:paraId="53A838E4" w14:textId="77777777" w:rsidR="00443002" w:rsidRPr="00FE6B00" w:rsidRDefault="00443002" w:rsidP="00443002">
            <w:pPr>
              <w:rPr>
                <w:b/>
              </w:rPr>
            </w:pPr>
            <w:r w:rsidRPr="00FE6B00">
              <w:rPr>
                <w:b/>
              </w:rPr>
              <w:t xml:space="preserve">Reason for use </w:t>
            </w:r>
            <w:r>
              <w:rPr>
                <w:b/>
              </w:rPr>
              <w:br/>
            </w:r>
            <w:r w:rsidRPr="00213DDA">
              <w:t>(% of studies with reason)</w:t>
            </w:r>
            <w:r w:rsidRPr="00213DDA">
              <w:rPr>
                <w:rStyle w:val="FootnoteReference"/>
              </w:rPr>
              <w:footnoteReference w:id="6"/>
            </w:r>
          </w:p>
        </w:tc>
        <w:tc>
          <w:tcPr>
            <w:tcW w:w="5953" w:type="dxa"/>
            <w:tcBorders>
              <w:top w:val="single" w:sz="4" w:space="0" w:color="auto"/>
              <w:left w:val="nil"/>
              <w:bottom w:val="single" w:sz="4" w:space="0" w:color="auto"/>
              <w:right w:val="nil"/>
            </w:tcBorders>
          </w:tcPr>
          <w:p w14:paraId="779B637C" w14:textId="77777777" w:rsidR="00443002" w:rsidRPr="00FE6B00" w:rsidRDefault="00443002" w:rsidP="00443002">
            <w:pPr>
              <w:rPr>
                <w:b/>
              </w:rPr>
            </w:pPr>
            <w:r w:rsidRPr="00FE6B00">
              <w:rPr>
                <w:b/>
              </w:rPr>
              <w:t>Study of origin reference</w:t>
            </w:r>
            <w:r>
              <w:rPr>
                <w:b/>
              </w:rPr>
              <w:br/>
            </w:r>
            <w:r w:rsidRPr="00213DDA">
              <w:t>(see Table 3)</w:t>
            </w:r>
            <w:r w:rsidRPr="00FE6B00">
              <w:rPr>
                <w:b/>
              </w:rPr>
              <w:t xml:space="preserve"> </w:t>
            </w:r>
          </w:p>
        </w:tc>
      </w:tr>
      <w:tr w:rsidR="00443002" w:rsidRPr="00FE6B00" w14:paraId="571E6C00" w14:textId="77777777" w:rsidTr="00443002">
        <w:trPr>
          <w:trHeight w:val="136"/>
        </w:trPr>
        <w:tc>
          <w:tcPr>
            <w:tcW w:w="3510" w:type="dxa"/>
            <w:tcBorders>
              <w:top w:val="single" w:sz="4" w:space="0" w:color="auto"/>
              <w:left w:val="nil"/>
              <w:bottom w:val="nil"/>
              <w:right w:val="nil"/>
            </w:tcBorders>
          </w:tcPr>
          <w:p w14:paraId="1FD73243" w14:textId="77777777" w:rsidR="00443002" w:rsidRPr="00FE6B00" w:rsidRDefault="00443002" w:rsidP="00443002">
            <w:pPr>
              <w:spacing w:line="360" w:lineRule="auto"/>
              <w:rPr>
                <w:b/>
                <w:sz w:val="2"/>
              </w:rPr>
            </w:pPr>
          </w:p>
        </w:tc>
        <w:tc>
          <w:tcPr>
            <w:tcW w:w="4395" w:type="dxa"/>
            <w:gridSpan w:val="3"/>
            <w:tcBorders>
              <w:top w:val="single" w:sz="4" w:space="0" w:color="auto"/>
              <w:left w:val="nil"/>
              <w:bottom w:val="nil"/>
              <w:right w:val="nil"/>
            </w:tcBorders>
          </w:tcPr>
          <w:p w14:paraId="1DB00544"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04C6BBC7" w14:textId="77777777" w:rsidR="00443002" w:rsidRPr="00FE6B00" w:rsidRDefault="00443002" w:rsidP="00443002">
            <w:pPr>
              <w:spacing w:line="360" w:lineRule="auto"/>
              <w:rPr>
                <w:b/>
                <w:sz w:val="6"/>
              </w:rPr>
            </w:pPr>
          </w:p>
        </w:tc>
      </w:tr>
      <w:tr w:rsidR="00443002" w:rsidRPr="00FE6B00" w14:paraId="5289AD7D" w14:textId="77777777" w:rsidTr="00443002">
        <w:trPr>
          <w:trHeight w:val="282"/>
        </w:trPr>
        <w:tc>
          <w:tcPr>
            <w:tcW w:w="3510" w:type="dxa"/>
            <w:tcBorders>
              <w:top w:val="nil"/>
              <w:left w:val="nil"/>
              <w:bottom w:val="nil"/>
              <w:right w:val="nil"/>
            </w:tcBorders>
          </w:tcPr>
          <w:p w14:paraId="45222A5F" w14:textId="77777777" w:rsidR="00443002" w:rsidRPr="00FE6B00" w:rsidRDefault="00443002" w:rsidP="00443002">
            <w:pPr>
              <w:spacing w:line="360" w:lineRule="auto"/>
              <w:rPr>
                <w:sz w:val="18"/>
              </w:rPr>
            </w:pPr>
            <w:r w:rsidRPr="00FE6B00">
              <w:rPr>
                <w:b/>
              </w:rPr>
              <w:t>Coping 23%</w:t>
            </w:r>
          </w:p>
        </w:tc>
        <w:tc>
          <w:tcPr>
            <w:tcW w:w="3402" w:type="dxa"/>
            <w:tcBorders>
              <w:top w:val="nil"/>
              <w:left w:val="nil"/>
              <w:bottom w:val="nil"/>
              <w:right w:val="nil"/>
            </w:tcBorders>
          </w:tcPr>
          <w:p w14:paraId="4AC04757" w14:textId="77777777" w:rsidR="00443002" w:rsidRPr="00FE6B00" w:rsidRDefault="00443002" w:rsidP="00443002">
            <w:pPr>
              <w:spacing w:line="360" w:lineRule="auto"/>
            </w:pPr>
            <w:r w:rsidRPr="00FE6B00">
              <w:t xml:space="preserve">Relaxation / stress reduction </w:t>
            </w:r>
          </w:p>
        </w:tc>
        <w:tc>
          <w:tcPr>
            <w:tcW w:w="709" w:type="dxa"/>
            <w:tcBorders>
              <w:top w:val="nil"/>
              <w:left w:val="nil"/>
              <w:bottom w:val="nil"/>
              <w:right w:val="nil"/>
            </w:tcBorders>
          </w:tcPr>
          <w:p w14:paraId="4D7DC3B9" w14:textId="77777777" w:rsidR="00443002" w:rsidRPr="00FE6B00" w:rsidRDefault="00443002" w:rsidP="00443002">
            <w:pPr>
              <w:spacing w:line="360" w:lineRule="auto"/>
              <w:jc w:val="right"/>
              <w:rPr>
                <w:sz w:val="20"/>
              </w:rPr>
            </w:pPr>
            <w:r w:rsidRPr="00FE6B00">
              <w:rPr>
                <w:sz w:val="20"/>
              </w:rPr>
              <w:t>10 %</w:t>
            </w:r>
          </w:p>
        </w:tc>
        <w:tc>
          <w:tcPr>
            <w:tcW w:w="284" w:type="dxa"/>
            <w:tcBorders>
              <w:top w:val="nil"/>
              <w:left w:val="nil"/>
              <w:bottom w:val="nil"/>
              <w:right w:val="nil"/>
            </w:tcBorders>
          </w:tcPr>
          <w:p w14:paraId="6CCA785B" w14:textId="77777777" w:rsidR="00443002" w:rsidRPr="00FE6B00" w:rsidRDefault="00443002" w:rsidP="00443002">
            <w:pPr>
              <w:spacing w:line="360" w:lineRule="auto"/>
            </w:pPr>
          </w:p>
        </w:tc>
        <w:tc>
          <w:tcPr>
            <w:tcW w:w="5953" w:type="dxa"/>
            <w:tcBorders>
              <w:top w:val="nil"/>
              <w:left w:val="nil"/>
              <w:bottom w:val="nil"/>
              <w:right w:val="nil"/>
            </w:tcBorders>
          </w:tcPr>
          <w:p w14:paraId="2E782755" w14:textId="77777777" w:rsidR="00443002" w:rsidRPr="00FE6B00" w:rsidRDefault="00443002" w:rsidP="00443002">
            <w:pPr>
              <w:spacing w:line="360" w:lineRule="auto"/>
              <w:rPr>
                <w:sz w:val="18"/>
              </w:rPr>
            </w:pPr>
            <w:r w:rsidRPr="00FE6B00">
              <w:rPr>
                <w:sz w:val="18"/>
              </w:rPr>
              <w:t>[16][17][21]</w:t>
            </w:r>
          </w:p>
        </w:tc>
      </w:tr>
      <w:tr w:rsidR="00443002" w:rsidRPr="00FE6B00" w14:paraId="1D61C983" w14:textId="77777777" w:rsidTr="00443002">
        <w:trPr>
          <w:trHeight w:val="282"/>
        </w:trPr>
        <w:tc>
          <w:tcPr>
            <w:tcW w:w="3510" w:type="dxa"/>
            <w:tcBorders>
              <w:top w:val="nil"/>
              <w:left w:val="nil"/>
              <w:bottom w:val="nil"/>
              <w:right w:val="nil"/>
            </w:tcBorders>
          </w:tcPr>
          <w:p w14:paraId="06D16470" w14:textId="77777777" w:rsidR="00443002" w:rsidRPr="00FE6B00" w:rsidRDefault="00443002" w:rsidP="00443002">
            <w:pPr>
              <w:spacing w:line="360" w:lineRule="auto"/>
              <w:rPr>
                <w:b/>
              </w:rPr>
            </w:pPr>
          </w:p>
        </w:tc>
        <w:tc>
          <w:tcPr>
            <w:tcW w:w="3402" w:type="dxa"/>
            <w:tcBorders>
              <w:top w:val="nil"/>
              <w:left w:val="nil"/>
              <w:bottom w:val="nil"/>
              <w:right w:val="nil"/>
            </w:tcBorders>
          </w:tcPr>
          <w:p w14:paraId="2A06CFDD" w14:textId="77777777" w:rsidR="00443002" w:rsidRPr="00FE6B00" w:rsidRDefault="00443002" w:rsidP="00443002">
            <w:pPr>
              <w:spacing w:line="360" w:lineRule="auto"/>
            </w:pPr>
            <w:r w:rsidRPr="00FE6B00">
              <w:t xml:space="preserve">Boredom </w:t>
            </w:r>
          </w:p>
        </w:tc>
        <w:tc>
          <w:tcPr>
            <w:tcW w:w="709" w:type="dxa"/>
            <w:tcBorders>
              <w:top w:val="nil"/>
              <w:left w:val="nil"/>
              <w:bottom w:val="nil"/>
              <w:right w:val="nil"/>
            </w:tcBorders>
          </w:tcPr>
          <w:p w14:paraId="62612D72" w14:textId="77777777" w:rsidR="00443002" w:rsidRPr="00FE6B00" w:rsidRDefault="00443002" w:rsidP="00443002">
            <w:pPr>
              <w:spacing w:line="360" w:lineRule="auto"/>
              <w:jc w:val="right"/>
              <w:rPr>
                <w:sz w:val="20"/>
              </w:rPr>
            </w:pPr>
            <w:r w:rsidRPr="00FE6B00">
              <w:rPr>
                <w:sz w:val="20"/>
              </w:rPr>
              <w:t>10 %</w:t>
            </w:r>
          </w:p>
        </w:tc>
        <w:tc>
          <w:tcPr>
            <w:tcW w:w="284" w:type="dxa"/>
            <w:tcBorders>
              <w:top w:val="nil"/>
              <w:left w:val="nil"/>
              <w:bottom w:val="nil"/>
              <w:right w:val="nil"/>
            </w:tcBorders>
          </w:tcPr>
          <w:p w14:paraId="4519584A" w14:textId="77777777" w:rsidR="00443002" w:rsidRPr="00FE6B00" w:rsidRDefault="00443002" w:rsidP="00443002">
            <w:pPr>
              <w:spacing w:line="360" w:lineRule="auto"/>
            </w:pPr>
          </w:p>
        </w:tc>
        <w:tc>
          <w:tcPr>
            <w:tcW w:w="5953" w:type="dxa"/>
            <w:tcBorders>
              <w:top w:val="nil"/>
              <w:left w:val="nil"/>
              <w:bottom w:val="nil"/>
              <w:right w:val="nil"/>
            </w:tcBorders>
          </w:tcPr>
          <w:p w14:paraId="785CDB9B" w14:textId="77777777" w:rsidR="00443002" w:rsidRPr="00FE6B00" w:rsidRDefault="00443002" w:rsidP="00443002">
            <w:pPr>
              <w:spacing w:line="360" w:lineRule="auto"/>
              <w:rPr>
                <w:sz w:val="18"/>
              </w:rPr>
            </w:pPr>
            <w:r w:rsidRPr="00FE6B00">
              <w:rPr>
                <w:sz w:val="18"/>
              </w:rPr>
              <w:t>[2][21][24]</w:t>
            </w:r>
          </w:p>
        </w:tc>
      </w:tr>
      <w:tr w:rsidR="00443002" w:rsidRPr="00FE6B00" w14:paraId="5D4A1507" w14:textId="77777777" w:rsidTr="00443002">
        <w:trPr>
          <w:trHeight w:val="282"/>
        </w:trPr>
        <w:tc>
          <w:tcPr>
            <w:tcW w:w="3510" w:type="dxa"/>
            <w:tcBorders>
              <w:top w:val="nil"/>
              <w:left w:val="nil"/>
              <w:bottom w:val="nil"/>
              <w:right w:val="nil"/>
            </w:tcBorders>
          </w:tcPr>
          <w:p w14:paraId="4B7C7856"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01215B9B" w14:textId="77777777" w:rsidR="00443002" w:rsidRPr="00FE6B00" w:rsidRDefault="00443002" w:rsidP="00443002">
            <w:pPr>
              <w:spacing w:line="360" w:lineRule="auto"/>
            </w:pPr>
            <w:r w:rsidRPr="00FE6B00">
              <w:t xml:space="preserve">Coping </w:t>
            </w:r>
          </w:p>
        </w:tc>
        <w:tc>
          <w:tcPr>
            <w:tcW w:w="709" w:type="dxa"/>
            <w:tcBorders>
              <w:top w:val="nil"/>
              <w:left w:val="nil"/>
              <w:bottom w:val="nil"/>
              <w:right w:val="nil"/>
            </w:tcBorders>
          </w:tcPr>
          <w:p w14:paraId="77C3ED0C"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3269D7DA" w14:textId="77777777" w:rsidR="00443002" w:rsidRPr="00FE6B00" w:rsidRDefault="00443002" w:rsidP="00443002">
            <w:pPr>
              <w:spacing w:line="360" w:lineRule="auto"/>
            </w:pPr>
          </w:p>
        </w:tc>
        <w:tc>
          <w:tcPr>
            <w:tcW w:w="5953" w:type="dxa"/>
            <w:tcBorders>
              <w:top w:val="nil"/>
              <w:left w:val="nil"/>
              <w:bottom w:val="nil"/>
              <w:right w:val="nil"/>
            </w:tcBorders>
          </w:tcPr>
          <w:p w14:paraId="218A9A31" w14:textId="77777777" w:rsidR="00443002" w:rsidRPr="00FE6B00" w:rsidRDefault="00443002" w:rsidP="00443002">
            <w:pPr>
              <w:spacing w:line="360" w:lineRule="auto"/>
              <w:rPr>
                <w:sz w:val="18"/>
              </w:rPr>
            </w:pPr>
            <w:r w:rsidRPr="00FE6B00">
              <w:rPr>
                <w:sz w:val="18"/>
              </w:rPr>
              <w:t>[21][28]</w:t>
            </w:r>
          </w:p>
        </w:tc>
      </w:tr>
      <w:tr w:rsidR="00443002" w:rsidRPr="00FE6B00" w14:paraId="7F04058B" w14:textId="77777777" w:rsidTr="00443002">
        <w:trPr>
          <w:trHeight w:val="421"/>
        </w:trPr>
        <w:tc>
          <w:tcPr>
            <w:tcW w:w="3510" w:type="dxa"/>
            <w:tcBorders>
              <w:top w:val="nil"/>
              <w:left w:val="nil"/>
              <w:bottom w:val="single" w:sz="4" w:space="0" w:color="auto"/>
              <w:right w:val="nil"/>
            </w:tcBorders>
          </w:tcPr>
          <w:p w14:paraId="7E159577"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1D13F3F6" w14:textId="77777777" w:rsidR="00443002" w:rsidRPr="00FE6B00" w:rsidRDefault="00443002" w:rsidP="00443002">
            <w:pPr>
              <w:spacing w:line="360" w:lineRule="auto"/>
            </w:pPr>
            <w:r w:rsidRPr="00FE6B00">
              <w:t>Escapism</w:t>
            </w:r>
          </w:p>
        </w:tc>
        <w:tc>
          <w:tcPr>
            <w:tcW w:w="709" w:type="dxa"/>
            <w:tcBorders>
              <w:top w:val="nil"/>
              <w:left w:val="nil"/>
              <w:bottom w:val="single" w:sz="4" w:space="0" w:color="auto"/>
              <w:right w:val="nil"/>
            </w:tcBorders>
          </w:tcPr>
          <w:p w14:paraId="2182F66A" w14:textId="77777777" w:rsidR="00443002" w:rsidRPr="00FE6B00" w:rsidRDefault="00443002" w:rsidP="00443002">
            <w:pPr>
              <w:spacing w:line="360" w:lineRule="auto"/>
              <w:jc w:val="right"/>
              <w:rPr>
                <w:sz w:val="20"/>
              </w:rPr>
            </w:pPr>
            <w:r>
              <w:rPr>
                <w:sz w:val="20"/>
              </w:rPr>
              <w:t>3 %</w:t>
            </w:r>
          </w:p>
        </w:tc>
        <w:tc>
          <w:tcPr>
            <w:tcW w:w="284" w:type="dxa"/>
            <w:tcBorders>
              <w:top w:val="nil"/>
              <w:left w:val="nil"/>
              <w:bottom w:val="single" w:sz="4" w:space="0" w:color="auto"/>
              <w:right w:val="nil"/>
            </w:tcBorders>
          </w:tcPr>
          <w:p w14:paraId="38341660"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414B40DC" w14:textId="77777777" w:rsidR="00443002" w:rsidRPr="00FE6B00" w:rsidRDefault="00443002" w:rsidP="00443002">
            <w:pPr>
              <w:spacing w:line="360" w:lineRule="auto"/>
              <w:rPr>
                <w:sz w:val="18"/>
              </w:rPr>
            </w:pPr>
            <w:r w:rsidRPr="00FE6B00">
              <w:rPr>
                <w:sz w:val="18"/>
              </w:rPr>
              <w:t>[23]</w:t>
            </w:r>
          </w:p>
        </w:tc>
      </w:tr>
      <w:tr w:rsidR="00443002" w:rsidRPr="00FE6B00" w14:paraId="0D898CA5" w14:textId="77777777" w:rsidTr="00443002">
        <w:trPr>
          <w:trHeight w:val="136"/>
        </w:trPr>
        <w:tc>
          <w:tcPr>
            <w:tcW w:w="3510" w:type="dxa"/>
            <w:tcBorders>
              <w:top w:val="single" w:sz="4" w:space="0" w:color="auto"/>
              <w:left w:val="nil"/>
              <w:bottom w:val="nil"/>
              <w:right w:val="nil"/>
            </w:tcBorders>
          </w:tcPr>
          <w:p w14:paraId="5855AC97" w14:textId="77777777" w:rsidR="00443002" w:rsidRPr="00FE6B00" w:rsidRDefault="00443002" w:rsidP="00443002">
            <w:pPr>
              <w:rPr>
                <w:b/>
                <w:sz w:val="2"/>
              </w:rPr>
            </w:pPr>
          </w:p>
        </w:tc>
        <w:tc>
          <w:tcPr>
            <w:tcW w:w="4395" w:type="dxa"/>
            <w:gridSpan w:val="3"/>
            <w:tcBorders>
              <w:top w:val="single" w:sz="4" w:space="0" w:color="auto"/>
              <w:left w:val="nil"/>
              <w:bottom w:val="nil"/>
              <w:right w:val="nil"/>
            </w:tcBorders>
          </w:tcPr>
          <w:p w14:paraId="69CB09E0" w14:textId="77777777" w:rsidR="00443002" w:rsidRPr="00FE6B00" w:rsidRDefault="00443002" w:rsidP="00443002">
            <w:pPr>
              <w:rPr>
                <w:b/>
                <w:sz w:val="6"/>
              </w:rPr>
            </w:pPr>
          </w:p>
        </w:tc>
        <w:tc>
          <w:tcPr>
            <w:tcW w:w="5953" w:type="dxa"/>
            <w:tcBorders>
              <w:top w:val="single" w:sz="4" w:space="0" w:color="auto"/>
              <w:left w:val="nil"/>
              <w:bottom w:val="nil"/>
              <w:right w:val="nil"/>
            </w:tcBorders>
          </w:tcPr>
          <w:p w14:paraId="2D46BB3B" w14:textId="77777777" w:rsidR="00443002" w:rsidRPr="00FE6B00" w:rsidRDefault="00443002" w:rsidP="00443002">
            <w:pPr>
              <w:rPr>
                <w:b/>
                <w:sz w:val="6"/>
              </w:rPr>
            </w:pPr>
          </w:p>
        </w:tc>
      </w:tr>
      <w:tr w:rsidR="00443002" w:rsidRPr="00FE6B00" w14:paraId="68EA36D1" w14:textId="77777777" w:rsidTr="00443002">
        <w:trPr>
          <w:trHeight w:val="282"/>
        </w:trPr>
        <w:tc>
          <w:tcPr>
            <w:tcW w:w="3510" w:type="dxa"/>
            <w:tcBorders>
              <w:top w:val="nil"/>
              <w:left w:val="nil"/>
              <w:bottom w:val="nil"/>
              <w:right w:val="nil"/>
            </w:tcBorders>
          </w:tcPr>
          <w:p w14:paraId="70E550FB" w14:textId="77777777" w:rsidR="00443002" w:rsidRPr="00FE6B00" w:rsidRDefault="00443002" w:rsidP="00443002">
            <w:pPr>
              <w:spacing w:line="360" w:lineRule="auto"/>
              <w:rPr>
                <w:sz w:val="18"/>
              </w:rPr>
            </w:pPr>
            <w:r w:rsidRPr="00FE6B00">
              <w:rPr>
                <w:b/>
              </w:rPr>
              <w:t xml:space="preserve">Managing drug use </w:t>
            </w:r>
            <w:r>
              <w:rPr>
                <w:b/>
              </w:rPr>
              <w:t>20</w:t>
            </w:r>
            <w:r w:rsidRPr="00FE6B00">
              <w:rPr>
                <w:b/>
              </w:rPr>
              <w:t>%</w:t>
            </w:r>
          </w:p>
        </w:tc>
        <w:tc>
          <w:tcPr>
            <w:tcW w:w="3402" w:type="dxa"/>
            <w:tcBorders>
              <w:top w:val="nil"/>
              <w:left w:val="nil"/>
              <w:bottom w:val="nil"/>
              <w:right w:val="nil"/>
            </w:tcBorders>
          </w:tcPr>
          <w:p w14:paraId="2860B27C" w14:textId="77777777" w:rsidR="00443002" w:rsidRPr="00FE6B00" w:rsidRDefault="00443002" w:rsidP="00443002">
            <w:pPr>
              <w:spacing w:line="360" w:lineRule="auto"/>
            </w:pPr>
            <w:r w:rsidRPr="00FE6B00">
              <w:t>Ability to maintain control</w:t>
            </w:r>
          </w:p>
        </w:tc>
        <w:tc>
          <w:tcPr>
            <w:tcW w:w="709" w:type="dxa"/>
            <w:tcBorders>
              <w:top w:val="nil"/>
              <w:left w:val="nil"/>
              <w:bottom w:val="nil"/>
              <w:right w:val="nil"/>
            </w:tcBorders>
          </w:tcPr>
          <w:p w14:paraId="20ABF7EB" w14:textId="77777777" w:rsidR="00443002" w:rsidRPr="00FE6B00" w:rsidRDefault="00443002" w:rsidP="00443002">
            <w:pPr>
              <w:spacing w:line="360" w:lineRule="auto"/>
              <w:jc w:val="right"/>
              <w:rPr>
                <w:sz w:val="20"/>
              </w:rPr>
            </w:pPr>
            <w:r w:rsidRPr="00FE6B00">
              <w:rPr>
                <w:sz w:val="20"/>
              </w:rPr>
              <w:t>13 %</w:t>
            </w:r>
          </w:p>
        </w:tc>
        <w:tc>
          <w:tcPr>
            <w:tcW w:w="284" w:type="dxa"/>
            <w:tcBorders>
              <w:top w:val="nil"/>
              <w:left w:val="nil"/>
              <w:bottom w:val="nil"/>
              <w:right w:val="nil"/>
            </w:tcBorders>
          </w:tcPr>
          <w:p w14:paraId="0052C70B" w14:textId="77777777" w:rsidR="00443002" w:rsidRPr="00FE6B00" w:rsidRDefault="00443002" w:rsidP="00443002">
            <w:pPr>
              <w:spacing w:line="360" w:lineRule="auto"/>
            </w:pPr>
          </w:p>
        </w:tc>
        <w:tc>
          <w:tcPr>
            <w:tcW w:w="5953" w:type="dxa"/>
            <w:tcBorders>
              <w:top w:val="nil"/>
              <w:left w:val="nil"/>
              <w:bottom w:val="nil"/>
              <w:right w:val="nil"/>
            </w:tcBorders>
          </w:tcPr>
          <w:p w14:paraId="02AAAE37" w14:textId="77777777" w:rsidR="00443002" w:rsidRPr="00FE6B00" w:rsidRDefault="00443002" w:rsidP="00443002">
            <w:pPr>
              <w:spacing w:line="360" w:lineRule="auto"/>
              <w:rPr>
                <w:sz w:val="18"/>
              </w:rPr>
            </w:pPr>
            <w:r w:rsidRPr="00FE6B00">
              <w:rPr>
                <w:sz w:val="18"/>
              </w:rPr>
              <w:t>[3][12][7][17]</w:t>
            </w:r>
          </w:p>
        </w:tc>
      </w:tr>
      <w:tr w:rsidR="00443002" w:rsidRPr="00FE6B00" w14:paraId="07B9F12B" w14:textId="77777777" w:rsidTr="00443002">
        <w:trPr>
          <w:trHeight w:val="282"/>
        </w:trPr>
        <w:tc>
          <w:tcPr>
            <w:tcW w:w="3510" w:type="dxa"/>
            <w:tcBorders>
              <w:top w:val="nil"/>
              <w:left w:val="nil"/>
              <w:bottom w:val="nil"/>
              <w:right w:val="nil"/>
            </w:tcBorders>
          </w:tcPr>
          <w:p w14:paraId="7C45D909"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1EA4287B" w14:textId="77777777" w:rsidR="00443002" w:rsidRPr="00FE6B00" w:rsidRDefault="00443002" w:rsidP="00443002">
            <w:pPr>
              <w:spacing w:line="360" w:lineRule="auto"/>
            </w:pPr>
            <w:r w:rsidRPr="00FE6B00">
              <w:t xml:space="preserve">Manage addiction to other drugs </w:t>
            </w:r>
          </w:p>
        </w:tc>
        <w:tc>
          <w:tcPr>
            <w:tcW w:w="709" w:type="dxa"/>
            <w:tcBorders>
              <w:top w:val="nil"/>
              <w:left w:val="nil"/>
              <w:bottom w:val="nil"/>
              <w:right w:val="nil"/>
            </w:tcBorders>
          </w:tcPr>
          <w:p w14:paraId="1AB1B40D" w14:textId="77777777" w:rsidR="00443002" w:rsidRPr="00FE6B00" w:rsidRDefault="00443002" w:rsidP="00443002">
            <w:pPr>
              <w:spacing w:line="360" w:lineRule="auto"/>
              <w:jc w:val="right"/>
              <w:rPr>
                <w:sz w:val="20"/>
              </w:rPr>
            </w:pPr>
            <w:r w:rsidRPr="00FE6B00">
              <w:rPr>
                <w:sz w:val="20"/>
              </w:rPr>
              <w:t>10 %</w:t>
            </w:r>
          </w:p>
        </w:tc>
        <w:tc>
          <w:tcPr>
            <w:tcW w:w="284" w:type="dxa"/>
            <w:tcBorders>
              <w:top w:val="nil"/>
              <w:left w:val="nil"/>
              <w:bottom w:val="nil"/>
              <w:right w:val="nil"/>
            </w:tcBorders>
          </w:tcPr>
          <w:p w14:paraId="2E55277F" w14:textId="77777777" w:rsidR="00443002" w:rsidRPr="00FE6B00" w:rsidRDefault="00443002" w:rsidP="00443002">
            <w:pPr>
              <w:spacing w:line="360" w:lineRule="auto"/>
            </w:pPr>
          </w:p>
        </w:tc>
        <w:tc>
          <w:tcPr>
            <w:tcW w:w="5953" w:type="dxa"/>
            <w:tcBorders>
              <w:top w:val="nil"/>
              <w:left w:val="nil"/>
              <w:bottom w:val="nil"/>
              <w:right w:val="nil"/>
            </w:tcBorders>
          </w:tcPr>
          <w:p w14:paraId="13D905A3" w14:textId="77777777" w:rsidR="00443002" w:rsidRPr="00FE6B00" w:rsidRDefault="00443002" w:rsidP="00443002">
            <w:pPr>
              <w:spacing w:line="360" w:lineRule="auto"/>
              <w:rPr>
                <w:sz w:val="18"/>
              </w:rPr>
            </w:pPr>
            <w:r w:rsidRPr="00FE6B00">
              <w:rPr>
                <w:sz w:val="18"/>
              </w:rPr>
              <w:t>[6][17][7]</w:t>
            </w:r>
          </w:p>
        </w:tc>
      </w:tr>
      <w:tr w:rsidR="00443002" w:rsidRPr="00FE6B00" w14:paraId="2F059B57" w14:textId="77777777" w:rsidTr="00443002">
        <w:trPr>
          <w:trHeight w:val="429"/>
        </w:trPr>
        <w:tc>
          <w:tcPr>
            <w:tcW w:w="3510" w:type="dxa"/>
            <w:tcBorders>
              <w:top w:val="nil"/>
              <w:left w:val="nil"/>
              <w:bottom w:val="single" w:sz="4" w:space="0" w:color="auto"/>
              <w:right w:val="nil"/>
            </w:tcBorders>
          </w:tcPr>
          <w:p w14:paraId="0365C5E2"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7265189C" w14:textId="77777777" w:rsidR="00443002" w:rsidRPr="00FE6B00" w:rsidRDefault="00443002" w:rsidP="00443002">
            <w:pPr>
              <w:spacing w:line="360" w:lineRule="auto"/>
            </w:pPr>
            <w:r w:rsidRPr="00FE6B00">
              <w:t xml:space="preserve">Manage effects of other drugs </w:t>
            </w:r>
          </w:p>
        </w:tc>
        <w:tc>
          <w:tcPr>
            <w:tcW w:w="709" w:type="dxa"/>
            <w:tcBorders>
              <w:top w:val="nil"/>
              <w:left w:val="nil"/>
              <w:bottom w:val="single" w:sz="4" w:space="0" w:color="auto"/>
              <w:right w:val="nil"/>
            </w:tcBorders>
          </w:tcPr>
          <w:p w14:paraId="2B6E0AA4"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single" w:sz="4" w:space="0" w:color="auto"/>
              <w:right w:val="nil"/>
            </w:tcBorders>
          </w:tcPr>
          <w:p w14:paraId="379AF3B2"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4E83BD65" w14:textId="77777777" w:rsidR="00443002" w:rsidRPr="00FE6B00" w:rsidRDefault="00443002" w:rsidP="00443002">
            <w:pPr>
              <w:spacing w:line="360" w:lineRule="auto"/>
              <w:rPr>
                <w:sz w:val="18"/>
              </w:rPr>
            </w:pPr>
            <w:r w:rsidRPr="00FE6B00">
              <w:rPr>
                <w:sz w:val="18"/>
              </w:rPr>
              <w:t>[3][21]</w:t>
            </w:r>
          </w:p>
        </w:tc>
      </w:tr>
      <w:tr w:rsidR="00443002" w:rsidRPr="00FE6B00" w14:paraId="7917C08B" w14:textId="77777777" w:rsidTr="00443002">
        <w:trPr>
          <w:trHeight w:val="136"/>
        </w:trPr>
        <w:tc>
          <w:tcPr>
            <w:tcW w:w="3510" w:type="dxa"/>
            <w:tcBorders>
              <w:top w:val="single" w:sz="4" w:space="0" w:color="auto"/>
              <w:left w:val="nil"/>
              <w:bottom w:val="nil"/>
              <w:right w:val="nil"/>
            </w:tcBorders>
          </w:tcPr>
          <w:p w14:paraId="052535AC" w14:textId="77777777" w:rsidR="00443002" w:rsidRPr="00FE6B00" w:rsidRDefault="00443002" w:rsidP="00443002">
            <w:pPr>
              <w:spacing w:line="360" w:lineRule="auto"/>
              <w:rPr>
                <w:b/>
                <w:sz w:val="2"/>
              </w:rPr>
            </w:pPr>
          </w:p>
        </w:tc>
        <w:tc>
          <w:tcPr>
            <w:tcW w:w="4395" w:type="dxa"/>
            <w:gridSpan w:val="3"/>
            <w:tcBorders>
              <w:top w:val="single" w:sz="4" w:space="0" w:color="auto"/>
              <w:left w:val="nil"/>
              <w:bottom w:val="nil"/>
              <w:right w:val="nil"/>
            </w:tcBorders>
          </w:tcPr>
          <w:p w14:paraId="7F88AB85" w14:textId="77777777" w:rsidR="00443002" w:rsidRPr="00FE6B00" w:rsidRDefault="00443002" w:rsidP="00443002">
            <w:pPr>
              <w:spacing w:line="360" w:lineRule="auto"/>
              <w:rPr>
                <w:b/>
                <w:sz w:val="6"/>
              </w:rPr>
            </w:pPr>
          </w:p>
        </w:tc>
        <w:tc>
          <w:tcPr>
            <w:tcW w:w="5953" w:type="dxa"/>
            <w:tcBorders>
              <w:top w:val="single" w:sz="4" w:space="0" w:color="auto"/>
              <w:left w:val="nil"/>
              <w:bottom w:val="nil"/>
              <w:right w:val="nil"/>
            </w:tcBorders>
          </w:tcPr>
          <w:p w14:paraId="39291BAE" w14:textId="77777777" w:rsidR="00443002" w:rsidRPr="00FE6B00" w:rsidRDefault="00443002" w:rsidP="00443002">
            <w:pPr>
              <w:spacing w:line="360" w:lineRule="auto"/>
              <w:rPr>
                <w:b/>
                <w:sz w:val="6"/>
              </w:rPr>
            </w:pPr>
          </w:p>
        </w:tc>
      </w:tr>
      <w:tr w:rsidR="00443002" w:rsidRPr="00FE6B00" w14:paraId="3CCEAD85" w14:textId="77777777" w:rsidTr="00443002">
        <w:trPr>
          <w:trHeight w:val="282"/>
        </w:trPr>
        <w:tc>
          <w:tcPr>
            <w:tcW w:w="3510" w:type="dxa"/>
            <w:tcBorders>
              <w:top w:val="nil"/>
              <w:left w:val="nil"/>
              <w:bottom w:val="nil"/>
              <w:right w:val="nil"/>
            </w:tcBorders>
          </w:tcPr>
          <w:p w14:paraId="1F4288A3" w14:textId="77777777" w:rsidR="00443002" w:rsidRPr="00FE6B00" w:rsidRDefault="00443002" w:rsidP="00443002">
            <w:pPr>
              <w:spacing w:line="360" w:lineRule="auto"/>
              <w:rPr>
                <w:sz w:val="18"/>
              </w:rPr>
            </w:pPr>
            <w:r w:rsidRPr="00FE6B00">
              <w:rPr>
                <w:b/>
              </w:rPr>
              <w:t>Other reasons 13%</w:t>
            </w:r>
          </w:p>
        </w:tc>
        <w:tc>
          <w:tcPr>
            <w:tcW w:w="3402" w:type="dxa"/>
            <w:tcBorders>
              <w:top w:val="nil"/>
              <w:left w:val="nil"/>
              <w:bottom w:val="nil"/>
              <w:right w:val="nil"/>
            </w:tcBorders>
          </w:tcPr>
          <w:p w14:paraId="56809DAB" w14:textId="77777777" w:rsidR="00443002" w:rsidRPr="00FE6B00" w:rsidRDefault="00443002" w:rsidP="00443002">
            <w:pPr>
              <w:spacing w:line="360" w:lineRule="auto"/>
            </w:pPr>
            <w:r w:rsidRPr="00FE6B00">
              <w:t xml:space="preserve">Addiction </w:t>
            </w:r>
          </w:p>
        </w:tc>
        <w:tc>
          <w:tcPr>
            <w:tcW w:w="709" w:type="dxa"/>
            <w:tcBorders>
              <w:top w:val="nil"/>
              <w:left w:val="nil"/>
              <w:bottom w:val="nil"/>
              <w:right w:val="nil"/>
            </w:tcBorders>
          </w:tcPr>
          <w:p w14:paraId="1F2D9BC4" w14:textId="77777777" w:rsidR="00443002" w:rsidRPr="00FE6B00" w:rsidRDefault="00443002" w:rsidP="00443002">
            <w:pPr>
              <w:spacing w:line="360" w:lineRule="auto"/>
              <w:jc w:val="right"/>
              <w:rPr>
                <w:sz w:val="20"/>
              </w:rPr>
            </w:pPr>
            <w:r>
              <w:rPr>
                <w:sz w:val="20"/>
              </w:rPr>
              <w:t>7</w:t>
            </w:r>
            <w:r w:rsidRPr="00FE6B00">
              <w:rPr>
                <w:sz w:val="20"/>
              </w:rPr>
              <w:t xml:space="preserve"> %</w:t>
            </w:r>
          </w:p>
        </w:tc>
        <w:tc>
          <w:tcPr>
            <w:tcW w:w="284" w:type="dxa"/>
            <w:tcBorders>
              <w:top w:val="nil"/>
              <w:left w:val="nil"/>
              <w:bottom w:val="nil"/>
              <w:right w:val="nil"/>
            </w:tcBorders>
          </w:tcPr>
          <w:p w14:paraId="33BD5E3C" w14:textId="77777777" w:rsidR="00443002" w:rsidRPr="00FE6B00" w:rsidRDefault="00443002" w:rsidP="00443002">
            <w:pPr>
              <w:spacing w:line="360" w:lineRule="auto"/>
            </w:pPr>
          </w:p>
        </w:tc>
        <w:tc>
          <w:tcPr>
            <w:tcW w:w="5953" w:type="dxa"/>
            <w:tcBorders>
              <w:top w:val="nil"/>
              <w:left w:val="nil"/>
              <w:bottom w:val="nil"/>
              <w:right w:val="nil"/>
            </w:tcBorders>
          </w:tcPr>
          <w:p w14:paraId="02D4E7D6" w14:textId="77777777" w:rsidR="00443002" w:rsidRPr="00FE6B00" w:rsidRDefault="00443002" w:rsidP="00443002">
            <w:pPr>
              <w:spacing w:line="360" w:lineRule="auto"/>
              <w:rPr>
                <w:sz w:val="18"/>
              </w:rPr>
            </w:pPr>
            <w:r w:rsidRPr="00FE6B00">
              <w:rPr>
                <w:sz w:val="18"/>
              </w:rPr>
              <w:t>[2][21]</w:t>
            </w:r>
          </w:p>
        </w:tc>
      </w:tr>
      <w:tr w:rsidR="00443002" w:rsidRPr="00FE6B00" w14:paraId="5C3EFE6F" w14:textId="77777777" w:rsidTr="00443002">
        <w:trPr>
          <w:trHeight w:val="282"/>
        </w:trPr>
        <w:tc>
          <w:tcPr>
            <w:tcW w:w="3510" w:type="dxa"/>
            <w:tcBorders>
              <w:top w:val="nil"/>
              <w:left w:val="nil"/>
              <w:bottom w:val="nil"/>
              <w:right w:val="nil"/>
            </w:tcBorders>
          </w:tcPr>
          <w:p w14:paraId="5FE3AAAC" w14:textId="77777777" w:rsidR="00443002" w:rsidRPr="00FE6B00" w:rsidRDefault="00443002" w:rsidP="00443002">
            <w:pPr>
              <w:spacing w:line="360" w:lineRule="auto"/>
              <w:rPr>
                <w:sz w:val="18"/>
              </w:rPr>
            </w:pPr>
          </w:p>
        </w:tc>
        <w:tc>
          <w:tcPr>
            <w:tcW w:w="3402" w:type="dxa"/>
            <w:tcBorders>
              <w:top w:val="nil"/>
              <w:left w:val="nil"/>
              <w:bottom w:val="nil"/>
              <w:right w:val="nil"/>
            </w:tcBorders>
          </w:tcPr>
          <w:p w14:paraId="3C1773C8" w14:textId="77777777" w:rsidR="00443002" w:rsidRPr="00FE6B00" w:rsidRDefault="00443002" w:rsidP="00443002">
            <w:pPr>
              <w:spacing w:line="360" w:lineRule="auto"/>
            </w:pPr>
            <w:r w:rsidRPr="00FE6B00">
              <w:t xml:space="preserve">Rebellion </w:t>
            </w:r>
          </w:p>
        </w:tc>
        <w:tc>
          <w:tcPr>
            <w:tcW w:w="709" w:type="dxa"/>
            <w:tcBorders>
              <w:top w:val="nil"/>
              <w:left w:val="nil"/>
              <w:bottom w:val="nil"/>
              <w:right w:val="nil"/>
            </w:tcBorders>
          </w:tcPr>
          <w:p w14:paraId="6AC19DB0" w14:textId="77777777" w:rsidR="00443002" w:rsidRPr="00FE6B00" w:rsidRDefault="00443002" w:rsidP="00443002">
            <w:pPr>
              <w:spacing w:line="360" w:lineRule="auto"/>
              <w:jc w:val="right"/>
              <w:rPr>
                <w:sz w:val="20"/>
              </w:rPr>
            </w:pPr>
            <w:r w:rsidRPr="00FE6B00">
              <w:rPr>
                <w:sz w:val="20"/>
              </w:rPr>
              <w:t>3 %</w:t>
            </w:r>
          </w:p>
        </w:tc>
        <w:tc>
          <w:tcPr>
            <w:tcW w:w="284" w:type="dxa"/>
            <w:tcBorders>
              <w:top w:val="nil"/>
              <w:left w:val="nil"/>
              <w:bottom w:val="nil"/>
              <w:right w:val="nil"/>
            </w:tcBorders>
          </w:tcPr>
          <w:p w14:paraId="20CB6792" w14:textId="77777777" w:rsidR="00443002" w:rsidRPr="00FE6B00" w:rsidRDefault="00443002" w:rsidP="00443002">
            <w:pPr>
              <w:spacing w:line="360" w:lineRule="auto"/>
            </w:pPr>
          </w:p>
        </w:tc>
        <w:tc>
          <w:tcPr>
            <w:tcW w:w="5953" w:type="dxa"/>
            <w:tcBorders>
              <w:top w:val="nil"/>
              <w:left w:val="nil"/>
              <w:bottom w:val="nil"/>
              <w:right w:val="nil"/>
            </w:tcBorders>
          </w:tcPr>
          <w:p w14:paraId="3650FE77" w14:textId="77777777" w:rsidR="00443002" w:rsidRPr="00FE6B00" w:rsidRDefault="00443002" w:rsidP="00443002">
            <w:pPr>
              <w:spacing w:line="360" w:lineRule="auto"/>
              <w:rPr>
                <w:sz w:val="18"/>
              </w:rPr>
            </w:pPr>
            <w:r w:rsidRPr="00FE6B00">
              <w:rPr>
                <w:sz w:val="18"/>
              </w:rPr>
              <w:t>[10]</w:t>
            </w:r>
          </w:p>
        </w:tc>
      </w:tr>
      <w:tr w:rsidR="00443002" w:rsidRPr="00FE6B00" w14:paraId="1F2C0AB8" w14:textId="77777777" w:rsidTr="00443002">
        <w:trPr>
          <w:trHeight w:val="421"/>
        </w:trPr>
        <w:tc>
          <w:tcPr>
            <w:tcW w:w="3510" w:type="dxa"/>
            <w:tcBorders>
              <w:top w:val="nil"/>
              <w:left w:val="nil"/>
              <w:bottom w:val="single" w:sz="4" w:space="0" w:color="auto"/>
              <w:right w:val="nil"/>
            </w:tcBorders>
          </w:tcPr>
          <w:p w14:paraId="77B3D50B" w14:textId="77777777" w:rsidR="00443002" w:rsidRPr="00FE6B00" w:rsidRDefault="00443002" w:rsidP="00443002">
            <w:pPr>
              <w:spacing w:line="360" w:lineRule="auto"/>
              <w:rPr>
                <w:sz w:val="18"/>
              </w:rPr>
            </w:pPr>
          </w:p>
        </w:tc>
        <w:tc>
          <w:tcPr>
            <w:tcW w:w="3402" w:type="dxa"/>
            <w:tcBorders>
              <w:top w:val="nil"/>
              <w:left w:val="nil"/>
              <w:bottom w:val="single" w:sz="4" w:space="0" w:color="auto"/>
              <w:right w:val="nil"/>
            </w:tcBorders>
          </w:tcPr>
          <w:p w14:paraId="4900F657" w14:textId="77777777" w:rsidR="00443002" w:rsidRPr="00FE6B00" w:rsidRDefault="00443002" w:rsidP="00443002">
            <w:pPr>
              <w:spacing w:line="360" w:lineRule="auto"/>
            </w:pPr>
            <w:r w:rsidRPr="00FE6B00">
              <w:t xml:space="preserve">Sexual reasons </w:t>
            </w:r>
          </w:p>
        </w:tc>
        <w:tc>
          <w:tcPr>
            <w:tcW w:w="709" w:type="dxa"/>
            <w:tcBorders>
              <w:top w:val="nil"/>
              <w:left w:val="nil"/>
              <w:bottom w:val="single" w:sz="4" w:space="0" w:color="auto"/>
              <w:right w:val="nil"/>
            </w:tcBorders>
          </w:tcPr>
          <w:p w14:paraId="44F73E73" w14:textId="77777777" w:rsidR="00443002" w:rsidRPr="00FE6B00" w:rsidRDefault="00443002" w:rsidP="00443002">
            <w:pPr>
              <w:spacing w:line="360" w:lineRule="auto"/>
              <w:jc w:val="right"/>
              <w:rPr>
                <w:sz w:val="20"/>
              </w:rPr>
            </w:pPr>
            <w:r w:rsidRPr="00FE6B00">
              <w:rPr>
                <w:sz w:val="20"/>
              </w:rPr>
              <w:t>3 %</w:t>
            </w:r>
          </w:p>
        </w:tc>
        <w:tc>
          <w:tcPr>
            <w:tcW w:w="284" w:type="dxa"/>
            <w:tcBorders>
              <w:top w:val="nil"/>
              <w:left w:val="nil"/>
              <w:bottom w:val="single" w:sz="4" w:space="0" w:color="auto"/>
              <w:right w:val="nil"/>
            </w:tcBorders>
          </w:tcPr>
          <w:p w14:paraId="5C238942" w14:textId="77777777" w:rsidR="00443002" w:rsidRPr="00FE6B00" w:rsidRDefault="00443002" w:rsidP="00443002">
            <w:pPr>
              <w:spacing w:line="360" w:lineRule="auto"/>
            </w:pPr>
          </w:p>
        </w:tc>
        <w:tc>
          <w:tcPr>
            <w:tcW w:w="5953" w:type="dxa"/>
            <w:tcBorders>
              <w:top w:val="nil"/>
              <w:left w:val="nil"/>
              <w:bottom w:val="single" w:sz="4" w:space="0" w:color="auto"/>
              <w:right w:val="nil"/>
            </w:tcBorders>
          </w:tcPr>
          <w:p w14:paraId="5A558DC1" w14:textId="77777777" w:rsidR="00443002" w:rsidRPr="00FE6B00" w:rsidRDefault="00443002" w:rsidP="00443002">
            <w:pPr>
              <w:spacing w:line="360" w:lineRule="auto"/>
              <w:rPr>
                <w:sz w:val="18"/>
              </w:rPr>
            </w:pPr>
            <w:r w:rsidRPr="00FE6B00">
              <w:rPr>
                <w:sz w:val="18"/>
              </w:rPr>
              <w:t>[</w:t>
            </w:r>
            <w:r>
              <w:rPr>
                <w:sz w:val="18"/>
              </w:rPr>
              <w:t>23</w:t>
            </w:r>
            <w:r w:rsidRPr="00FE6B00">
              <w:rPr>
                <w:sz w:val="18"/>
              </w:rPr>
              <w:t>]</w:t>
            </w:r>
          </w:p>
        </w:tc>
      </w:tr>
      <w:tr w:rsidR="00443002" w:rsidRPr="00FE6B00" w14:paraId="0FFD7494" w14:textId="77777777" w:rsidTr="00443002">
        <w:trPr>
          <w:trHeight w:val="136"/>
        </w:trPr>
        <w:tc>
          <w:tcPr>
            <w:tcW w:w="3510" w:type="dxa"/>
            <w:tcBorders>
              <w:top w:val="single" w:sz="4" w:space="0" w:color="auto"/>
              <w:left w:val="nil"/>
              <w:bottom w:val="nil"/>
              <w:right w:val="nil"/>
            </w:tcBorders>
          </w:tcPr>
          <w:p w14:paraId="77A3F401" w14:textId="77777777" w:rsidR="00443002" w:rsidRPr="00FE6B00" w:rsidRDefault="00443002" w:rsidP="00443002">
            <w:pPr>
              <w:rPr>
                <w:b/>
                <w:sz w:val="6"/>
              </w:rPr>
            </w:pPr>
          </w:p>
        </w:tc>
        <w:tc>
          <w:tcPr>
            <w:tcW w:w="4395" w:type="dxa"/>
            <w:gridSpan w:val="3"/>
            <w:tcBorders>
              <w:top w:val="single" w:sz="4" w:space="0" w:color="auto"/>
              <w:left w:val="nil"/>
              <w:bottom w:val="nil"/>
              <w:right w:val="nil"/>
            </w:tcBorders>
          </w:tcPr>
          <w:p w14:paraId="67D4CF49" w14:textId="77777777" w:rsidR="00443002" w:rsidRPr="00FE6B00" w:rsidRDefault="00443002" w:rsidP="00443002">
            <w:pPr>
              <w:rPr>
                <w:b/>
                <w:sz w:val="6"/>
              </w:rPr>
            </w:pPr>
          </w:p>
        </w:tc>
        <w:tc>
          <w:tcPr>
            <w:tcW w:w="5953" w:type="dxa"/>
            <w:tcBorders>
              <w:top w:val="single" w:sz="4" w:space="0" w:color="auto"/>
              <w:left w:val="nil"/>
              <w:bottom w:val="nil"/>
              <w:right w:val="nil"/>
            </w:tcBorders>
          </w:tcPr>
          <w:p w14:paraId="6A210659" w14:textId="77777777" w:rsidR="00443002" w:rsidRPr="00FE6B00" w:rsidRDefault="00443002" w:rsidP="00443002">
            <w:pPr>
              <w:rPr>
                <w:b/>
                <w:sz w:val="6"/>
              </w:rPr>
            </w:pPr>
          </w:p>
        </w:tc>
      </w:tr>
    </w:tbl>
    <w:p w14:paraId="096E08FE" w14:textId="77777777" w:rsidR="00443002" w:rsidRPr="00FE6B00" w:rsidRDefault="00443002" w:rsidP="00443002">
      <w:pPr>
        <w:rPr>
          <w:sz w:val="18"/>
        </w:rPr>
      </w:pPr>
    </w:p>
    <w:p w14:paraId="5D5BA6BA" w14:textId="77777777" w:rsidR="00443002" w:rsidRPr="00FE6B00" w:rsidRDefault="00443002" w:rsidP="00443002">
      <w:pPr>
        <w:rPr>
          <w:sz w:val="18"/>
        </w:rPr>
      </w:pPr>
    </w:p>
    <w:p w14:paraId="20181F17" w14:textId="77777777" w:rsidR="00443002" w:rsidRPr="00FE6B00" w:rsidRDefault="00443002" w:rsidP="00443002">
      <w:pPr>
        <w:rPr>
          <w:sz w:val="18"/>
        </w:rPr>
      </w:pPr>
    </w:p>
    <w:p w14:paraId="586D6FF3" w14:textId="77777777" w:rsidR="00443002" w:rsidRPr="00FE6B00" w:rsidRDefault="00443002" w:rsidP="00443002">
      <w:pPr>
        <w:rPr>
          <w:sz w:val="18"/>
        </w:rPr>
      </w:pPr>
    </w:p>
    <w:p w14:paraId="796C98C3" w14:textId="77777777" w:rsidR="00443002" w:rsidRPr="00FE6B00" w:rsidRDefault="00443002" w:rsidP="00443002">
      <w:pPr>
        <w:rPr>
          <w:sz w:val="18"/>
        </w:rPr>
      </w:pPr>
    </w:p>
    <w:p w14:paraId="562D68B9" w14:textId="77777777" w:rsidR="00443002" w:rsidRPr="00FE6B00" w:rsidRDefault="00443002" w:rsidP="00443002">
      <w:pPr>
        <w:rPr>
          <w:sz w:val="18"/>
        </w:rPr>
        <w:sectPr w:rsidR="00443002" w:rsidRPr="00FE6B00" w:rsidSect="00443002">
          <w:pgSz w:w="16840" w:h="11900" w:orient="landscape"/>
          <w:pgMar w:top="1440" w:right="1440" w:bottom="993" w:left="1440" w:header="709" w:footer="709" w:gutter="0"/>
          <w:cols w:space="708"/>
          <w:docGrid w:linePitch="360"/>
        </w:sectPr>
      </w:pPr>
    </w:p>
    <w:p w14:paraId="27177306" w14:textId="0D2467A3" w:rsidR="00443002" w:rsidRPr="00FE6B00" w:rsidRDefault="00443002" w:rsidP="00C42A80">
      <w:pPr>
        <w:pStyle w:val="Heading3"/>
      </w:pPr>
      <w:bookmarkStart w:id="293" w:name="_Toc35892598"/>
      <w:bookmarkEnd w:id="292"/>
      <w:r w:rsidRPr="00FE6B00">
        <w:t>Findings: Prevalence of reasons for use</w:t>
      </w:r>
      <w:bookmarkEnd w:id="293"/>
      <w:r w:rsidRPr="00FE6B00">
        <w:t xml:space="preserve"> </w:t>
      </w:r>
    </w:p>
    <w:p w14:paraId="49A483A6" w14:textId="77777777" w:rsidR="00443002" w:rsidRPr="00A428C2" w:rsidRDefault="00443002" w:rsidP="00443002">
      <w:pPr>
        <w:spacing w:line="480" w:lineRule="auto"/>
      </w:pPr>
      <w:r w:rsidRPr="00A428C2">
        <w:t xml:space="preserve">Thirty studies reported reasons why people used NPS. From this set of studies 146 individual reasons were extracted which were collated into 34 unique reasons for use which were then grouped into 12 themes (see </w:t>
      </w:r>
      <w:r>
        <w:t>T</w:t>
      </w:r>
      <w:r w:rsidRPr="00A428C2">
        <w:t xml:space="preserve">able 4). </w:t>
      </w:r>
    </w:p>
    <w:p w14:paraId="475B424F" w14:textId="1227260E" w:rsidR="00443002" w:rsidRDefault="00443002" w:rsidP="00C42A80">
      <w:pPr>
        <w:pStyle w:val="Heading3"/>
      </w:pPr>
      <w:bookmarkStart w:id="294" w:name="_Toc35892599"/>
      <w:r>
        <w:t>Accessibility</w:t>
      </w:r>
      <w:bookmarkEnd w:id="294"/>
      <w:r>
        <w:t xml:space="preserve"> </w:t>
      </w:r>
    </w:p>
    <w:p w14:paraId="130BA3B9" w14:textId="5D634858" w:rsidR="00443002" w:rsidRDefault="00443002" w:rsidP="00443002">
      <w:pPr>
        <w:spacing w:line="480" w:lineRule="auto"/>
      </w:pPr>
      <w:r>
        <w:t xml:space="preserve">Accessibility emerged as the theme with the greatest prominence across the full set of studies, being reported in more studies than any other reason for use. Accessibility also demonstrated great consistency across study contexts, receiving the greatest attention within all but one study subcategory (studies conducted outside of the EU). In general, availability appears to be the primary driver of accessibility, but </w:t>
      </w:r>
      <w:r w:rsidR="00A868BB">
        <w:t xml:space="preserve">the </w:t>
      </w:r>
      <w:r>
        <w:t>low cost was also seen as contributing to making NPS more accessible.</w:t>
      </w:r>
    </w:p>
    <w:p w14:paraId="4094AD93" w14:textId="77777777" w:rsidR="00443002" w:rsidRPr="004A1718" w:rsidRDefault="00443002" w:rsidP="00443002">
      <w:pPr>
        <w:spacing w:line="480" w:lineRule="auto"/>
      </w:pPr>
      <w:r>
        <w:t xml:space="preserve">Several studies emphasised the importance of understanding the relative nature of the choices people make, and how accessibility-based reasons are intimately interwoven with the accessibility and quality of other drugs </w:t>
      </w:r>
      <w:r w:rsidRPr="00212285">
        <w:t>(Mc</w:t>
      </w:r>
      <w:r>
        <w:t>E</w:t>
      </w:r>
      <w:r w:rsidRPr="00212285">
        <w:t>lrath &amp; O'Neill, 2010</w:t>
      </w:r>
      <w:r>
        <w:t xml:space="preserve">; </w:t>
      </w:r>
      <w:r w:rsidRPr="00E934CA">
        <w:t>Measham et. al, 2010</w:t>
      </w:r>
      <w:r>
        <w:t xml:space="preserve">; </w:t>
      </w:r>
      <w:r w:rsidRPr="00E934CA">
        <w:t>McElrath &amp; Van Hout, 2011</w:t>
      </w:r>
      <w:r>
        <w:t xml:space="preserve">; </w:t>
      </w:r>
      <w:r w:rsidRPr="00E934CA">
        <w:t>Van Hout &amp; Brennan, 2011</w:t>
      </w:r>
      <w:r>
        <w:t xml:space="preserve">; 12; </w:t>
      </w:r>
      <w:r w:rsidRPr="00E934CA">
        <w:t>Barratt et. al., 2013</w:t>
      </w:r>
      <w:r>
        <w:t xml:space="preserve">; </w:t>
      </w:r>
      <w:r w:rsidRPr="00E934CA">
        <w:t>Barnard et. al., 2014</w:t>
      </w:r>
      <w:r>
        <w:t xml:space="preserve">; </w:t>
      </w:r>
      <w:r w:rsidRPr="00E934CA">
        <w:t>Norman et. al., 2014</w:t>
      </w:r>
      <w:r>
        <w:t xml:space="preserve">; </w:t>
      </w:r>
      <w:r w:rsidRPr="00E934CA">
        <w:t>Van Hout, 2014)</w:t>
      </w:r>
      <w:r>
        <w:t xml:space="preserve">. </w:t>
      </w:r>
      <w:r w:rsidRPr="004A1718">
        <w:t>Users have been found to turn to NPS when other, preferred</w:t>
      </w:r>
      <w:r>
        <w:t>,</w:t>
      </w:r>
      <w:r w:rsidRPr="004A1718">
        <w:t xml:space="preserve"> drugs are unavailable </w:t>
      </w:r>
      <w:r w:rsidRPr="00212285">
        <w:t>(Mc</w:t>
      </w:r>
      <w:r>
        <w:t>E</w:t>
      </w:r>
      <w:r w:rsidRPr="00212285">
        <w:t>lrath &amp; O'Neill, 2010</w:t>
      </w:r>
      <w:r>
        <w:t xml:space="preserve">; </w:t>
      </w:r>
      <w:r w:rsidRPr="00E934CA">
        <w:t>Measham et. al, 2010</w:t>
      </w:r>
      <w:r>
        <w:t xml:space="preserve">; </w:t>
      </w:r>
      <w:r w:rsidRPr="00E934CA">
        <w:t>McElrath &amp; Van Hout, 2011</w:t>
      </w:r>
      <w:r>
        <w:t xml:space="preserve">; </w:t>
      </w:r>
      <w:r w:rsidRPr="00E934CA">
        <w:t>Van Hout &amp; Brennan, 2011</w:t>
      </w:r>
      <w:r>
        <w:t xml:space="preserve">; 12; </w:t>
      </w:r>
      <w:r w:rsidRPr="00E934CA">
        <w:t>Barratt et. al., 2013</w:t>
      </w:r>
      <w:r>
        <w:t xml:space="preserve">; </w:t>
      </w:r>
      <w:r w:rsidRPr="00E934CA">
        <w:t>Barnard et. al., 2014</w:t>
      </w:r>
      <w:r>
        <w:t xml:space="preserve">; </w:t>
      </w:r>
      <w:r w:rsidRPr="00E934CA">
        <w:t>Norman et. al., 2014</w:t>
      </w:r>
      <w:r>
        <w:t xml:space="preserve">; </w:t>
      </w:r>
      <w:r w:rsidRPr="00E934CA">
        <w:t>Van Hout, 2014)</w:t>
      </w:r>
      <w:r w:rsidRPr="004A1718">
        <w:t xml:space="preserve"> or when the quality </w:t>
      </w:r>
      <w:r>
        <w:t xml:space="preserve">of traditional drugs </w:t>
      </w:r>
      <w:r w:rsidRPr="004A1718">
        <w:t>noticeably drops (</w:t>
      </w:r>
      <w:r w:rsidRPr="004A1718">
        <w:rPr>
          <w:color w:val="000000"/>
          <w:szCs w:val="24"/>
          <w:lang w:eastAsia="en-GB"/>
        </w:rPr>
        <w:t>Measham et. al, 2010</w:t>
      </w:r>
      <w:r>
        <w:rPr>
          <w:color w:val="000000"/>
          <w:szCs w:val="24"/>
          <w:lang w:eastAsia="en-GB"/>
        </w:rPr>
        <w:t xml:space="preserve">; </w:t>
      </w:r>
      <w:r w:rsidRPr="004A1718">
        <w:rPr>
          <w:color w:val="000000"/>
          <w:szCs w:val="24"/>
          <w:lang w:eastAsia="en-GB"/>
        </w:rPr>
        <w:t>Winstock et. al., 2010</w:t>
      </w:r>
      <w:r>
        <w:rPr>
          <w:color w:val="000000"/>
          <w:szCs w:val="24"/>
          <w:lang w:eastAsia="en-GB"/>
        </w:rPr>
        <w:t xml:space="preserve">; </w:t>
      </w:r>
      <w:r w:rsidRPr="004A1718">
        <w:rPr>
          <w:color w:val="000000"/>
          <w:szCs w:val="24"/>
          <w:lang w:eastAsia="en-GB"/>
        </w:rPr>
        <w:t>McElrath &amp; Van Hout, 2011</w:t>
      </w:r>
      <w:r>
        <w:rPr>
          <w:color w:val="000000"/>
          <w:szCs w:val="24"/>
          <w:lang w:eastAsia="en-GB"/>
        </w:rPr>
        <w:t xml:space="preserve">; </w:t>
      </w:r>
      <w:r w:rsidRPr="004A1718">
        <w:rPr>
          <w:color w:val="000000"/>
          <w:szCs w:val="24"/>
          <w:lang w:eastAsia="en-GB"/>
        </w:rPr>
        <w:t>Van Hout &amp; Brennan, 2011</w:t>
      </w:r>
      <w:r>
        <w:rPr>
          <w:color w:val="000000"/>
          <w:szCs w:val="24"/>
          <w:lang w:eastAsia="en-GB"/>
        </w:rPr>
        <w:t xml:space="preserve">; </w:t>
      </w:r>
      <w:r w:rsidRPr="004A1718">
        <w:rPr>
          <w:color w:val="000000"/>
          <w:szCs w:val="24"/>
          <w:lang w:eastAsia="en-GB"/>
        </w:rPr>
        <w:t>2012)</w:t>
      </w:r>
      <w:r>
        <w:rPr>
          <w:color w:val="000000"/>
          <w:szCs w:val="24"/>
          <w:lang w:eastAsia="en-GB"/>
        </w:rPr>
        <w:t>. However, when the quality of traditional drugs and NPS were reasonably comparable, the convenience of the easy availability of NPS was seen to increase in appeal (Measham, 2010;</w:t>
      </w:r>
      <w:r w:rsidRPr="00C72AFB">
        <w:t xml:space="preserve"> </w:t>
      </w:r>
      <w:r>
        <w:t>Van Hout &amp; Brennan, 2011</w:t>
      </w:r>
      <w:r>
        <w:rPr>
          <w:color w:val="000000"/>
          <w:szCs w:val="24"/>
          <w:lang w:eastAsia="en-GB"/>
        </w:rPr>
        <w:t xml:space="preserve">).   </w:t>
      </w:r>
    </w:p>
    <w:p w14:paraId="22D3B12D" w14:textId="357123EF" w:rsidR="00443002" w:rsidRDefault="00443002" w:rsidP="00443002">
      <w:pPr>
        <w:spacing w:line="480" w:lineRule="auto"/>
      </w:pPr>
      <w:r>
        <w:t xml:space="preserve">Ease of access was linked with social networks, headshops and online retailers to different degrees in different contexts. The importance of social networks for access to NPS was noted in several studies, with many users preferring to obtain NPS from friends or known dealers, even for substances that were legally available and cheaper via retailers (McElrath &amp; O’Neill, 2011). Although this was said to reflect the spontaneity of NPS use when people were offered NPS by friends (McElrath &amp; O’Neill, 2011), some users also expressed a lack of desire to use headshops or online retailers (McElrath &amp; O’Neill, 2011; Van Hout </w:t>
      </w:r>
      <w:r w:rsidR="007E0F63">
        <w:t>&amp;</w:t>
      </w:r>
      <w:r>
        <w:t xml:space="preserve"> Brennan 2011). According to McElrath </w:t>
      </w:r>
      <w:r w:rsidR="007E0F63">
        <w:t>&amp;</w:t>
      </w:r>
      <w:r>
        <w:t xml:space="preserve"> O’Neill (2011), the reluctance to use high</w:t>
      </w:r>
      <w:r w:rsidR="007E0F63">
        <w:t xml:space="preserve"> </w:t>
      </w:r>
      <w:r>
        <w:t xml:space="preserve">street shops and websites was, for some mephedrone users, a way to avoid the stigma of a drug user identity by not being associated with headshops or having a record of their transactions on statements or credit card bills. </w:t>
      </w:r>
    </w:p>
    <w:p w14:paraId="2E40DDD8" w14:textId="77777777" w:rsidR="00443002" w:rsidRDefault="00443002" w:rsidP="00443002">
      <w:pPr>
        <w:spacing w:line="480" w:lineRule="auto"/>
      </w:pPr>
      <w:r>
        <w:t xml:space="preserve">For other NPS users, headshops appeared to be an important source of NPS, particularly for younger or novice users without connections with established drug-using subcultures or dealers </w:t>
      </w:r>
      <w:r w:rsidRPr="00060684">
        <w:t>(Sheridan &amp; Butler, 2010</w:t>
      </w:r>
      <w:r>
        <w:t>; McElrath &amp; O’Neill, 2011; 2014; Measham, 2016). For others motivated by a desire to avoid the black market or the stigma associated with illicit drug use, legally sourced NPS from headshops added a degree of social respectability (Van Hout &amp; Brennan, 2011;</w:t>
      </w:r>
      <w:r w:rsidRPr="006434BC">
        <w:t xml:space="preserve"> Barnard et. al., 2014</w:t>
      </w:r>
      <w:r>
        <w:t xml:space="preserve">). </w:t>
      </w:r>
    </w:p>
    <w:p w14:paraId="098B80C9" w14:textId="61DBA035" w:rsidR="00443002" w:rsidRDefault="00443002" w:rsidP="00443002">
      <w:pPr>
        <w:spacing w:line="480" w:lineRule="auto"/>
      </w:pPr>
      <w:r>
        <w:t>In terms of substances, while mephedrone-based studies noted users were less likely to use headshops, those examining the broader category of ‘legal highs’ noted that users more commonly used headshops as a source, although, to some extent, the connection might be explained by age as younger users were seen to be both more likely to report use of legal highs (</w:t>
      </w:r>
      <w:r w:rsidR="00270550" w:rsidRPr="00270550">
        <w:t xml:space="preserve"> </w:t>
      </w:r>
      <w:r w:rsidR="00270550" w:rsidRPr="006434BC">
        <w:t>Barnard et al., 2014</w:t>
      </w:r>
      <w:r w:rsidR="00270550">
        <w:t xml:space="preserve">; Rees et al., 2015; </w:t>
      </w:r>
      <w:r>
        <w:t>Van Hout &amp; Brennan, 2011) and more likely to rely on over the counter sales (</w:t>
      </w:r>
      <w:r w:rsidRPr="006434BC">
        <w:t>Butler &amp; Sheridan, 2007</w:t>
      </w:r>
      <w:r>
        <w:t xml:space="preserve">; </w:t>
      </w:r>
      <w:r w:rsidRPr="00060684">
        <w:t>Sheridan &amp; Butler, 2010</w:t>
      </w:r>
      <w:r>
        <w:t xml:space="preserve">; Van Hout &amp; Brennan, 2011). </w:t>
      </w:r>
    </w:p>
    <w:p w14:paraId="47D86647" w14:textId="4C6927FC" w:rsidR="00443002" w:rsidRDefault="00443002" w:rsidP="00443002">
      <w:pPr>
        <w:spacing w:line="480" w:lineRule="auto"/>
      </w:pPr>
      <w:r>
        <w:t>U</w:t>
      </w:r>
      <w:r w:rsidRPr="00774B95">
        <w:t xml:space="preserve">nsurprisingly, </w:t>
      </w:r>
      <w:r>
        <w:t>t</w:t>
      </w:r>
      <w:r w:rsidRPr="00774B95">
        <w:t>he th</w:t>
      </w:r>
      <w:r>
        <w:t>ree</w:t>
      </w:r>
      <w:r w:rsidRPr="00774B95">
        <w:t xml:space="preserve"> studies </w:t>
      </w:r>
      <w:r>
        <w:t>that</w:t>
      </w:r>
      <w:r w:rsidRPr="00774B95">
        <w:t xml:space="preserve"> involved analysis of online NPS-related communities connected ease of availability with online retailers,</w:t>
      </w:r>
      <w:r>
        <w:t xml:space="preserve"> with</w:t>
      </w:r>
      <w:r w:rsidRPr="00774B95">
        <w:t xml:space="preserve"> </w:t>
      </w:r>
      <w:r>
        <w:t>members of online communities preferring to use internet-based sources, placing value on the ease of online purchasing and the fast, often next day delivery services (</w:t>
      </w:r>
      <w:r w:rsidR="00296596" w:rsidRPr="004509D9">
        <w:t>O'Brien et. al., 2015</w:t>
      </w:r>
      <w:r w:rsidR="00296596">
        <w:t xml:space="preserve">; </w:t>
      </w:r>
      <w:r w:rsidRPr="004509D9">
        <w:t>Schifano et al., 2009</w:t>
      </w:r>
      <w:r>
        <w:t xml:space="preserve">; </w:t>
      </w:r>
      <w:r w:rsidRPr="004509D9">
        <w:t>Van Hout, 2014)</w:t>
      </w:r>
      <w:r>
        <w:t xml:space="preserve">.  Although for individual users, the availability of NPS appears to be more commonly associated with social networks and headshops, online sources are thought to be especially important for the NPS market, with the internet likely to be the original source of many of the NPS available through social networks (Van Hout </w:t>
      </w:r>
      <w:r w:rsidR="007E0F63">
        <w:t>&amp;</w:t>
      </w:r>
      <w:r>
        <w:t xml:space="preserve"> Brennan 2011; Van Hout, 2014</w:t>
      </w:r>
      <w:r w:rsidR="00296596">
        <w:t>;</w:t>
      </w:r>
      <w:r w:rsidR="00296596" w:rsidRPr="00296596">
        <w:t xml:space="preserve"> </w:t>
      </w:r>
      <w:r w:rsidR="00296596">
        <w:t>Winstock et. al, 2010</w:t>
      </w:r>
      <w:r>
        <w:t xml:space="preserve">). </w:t>
      </w:r>
    </w:p>
    <w:p w14:paraId="53D881AA" w14:textId="7EB792F1" w:rsidR="00443002" w:rsidRDefault="00443002" w:rsidP="00C42A80">
      <w:pPr>
        <w:pStyle w:val="Heading3"/>
      </w:pPr>
      <w:bookmarkStart w:id="295" w:name="_Toc35892600"/>
      <w:r>
        <w:t>Substitution</w:t>
      </w:r>
      <w:bookmarkEnd w:id="295"/>
    </w:p>
    <w:p w14:paraId="33F348BA" w14:textId="025473C4" w:rsidR="00443002" w:rsidRPr="00E06380" w:rsidRDefault="00443002" w:rsidP="00443002">
      <w:pPr>
        <w:spacing w:line="480" w:lineRule="auto"/>
      </w:pPr>
      <w:r>
        <w:t xml:space="preserve">The substitution theme encompassed reasons for using NPS in place of traditional illicit drugs. As already noted, the use of NPS was closely interrelated with factors affecting the use of traditional illicit substances. The use of NPS as an alternative to illicit drugs was overtly reported in the majority of studies reviewed. In addition, most of the remaining studies presented the use of NPS as a substitute for traditional drugs as an assumption, which suggests that the influence of reasons connected to factors affecting the illicit drug market are highly significant for understanding why many people use NPS </w:t>
      </w:r>
      <w:r w:rsidRPr="00E06380">
        <w:t>(Carhart-Harris &amp; Nutt, 2011</w:t>
      </w:r>
      <w:r>
        <w:t xml:space="preserve">; </w:t>
      </w:r>
      <w:r w:rsidRPr="00E06380">
        <w:t>Corazza et. al., 2014</w:t>
      </w:r>
      <w:r>
        <w:t xml:space="preserve">; </w:t>
      </w:r>
      <w:r w:rsidRPr="00E06380">
        <w:t>Johnson &amp; Johnson, 2014</w:t>
      </w:r>
      <w:r>
        <w:t xml:space="preserve">; </w:t>
      </w:r>
      <w:r w:rsidR="00296596" w:rsidRPr="00E06380">
        <w:t>Kelleher et al., 2011</w:t>
      </w:r>
      <w:r w:rsidR="00296596">
        <w:t xml:space="preserve">; </w:t>
      </w:r>
      <w:r w:rsidR="00296596" w:rsidRPr="00E06380">
        <w:t>Newcombe, 2009</w:t>
      </w:r>
      <w:r w:rsidR="00296596">
        <w:t xml:space="preserve">; </w:t>
      </w:r>
      <w:r w:rsidRPr="00E06380">
        <w:t>O'Brien et. al., 2015</w:t>
      </w:r>
      <w:r>
        <w:t>; Rees</w:t>
      </w:r>
      <w:r w:rsidRPr="00E06380">
        <w:t xml:space="preserve"> et. al., 2015</w:t>
      </w:r>
      <w:r>
        <w:t xml:space="preserve">; </w:t>
      </w:r>
      <w:r w:rsidRPr="00E06380">
        <w:t>van Amsterdam et. al., 2015</w:t>
      </w:r>
      <w:r>
        <w:t xml:space="preserve">; </w:t>
      </w:r>
      <w:r w:rsidRPr="00E06380">
        <w:rPr>
          <w:color w:val="000000"/>
          <w:szCs w:val="24"/>
          <w:lang w:eastAsia="en-GB"/>
        </w:rPr>
        <w:t>Lauritsen &amp; Rosenberg, 2016)</w:t>
      </w:r>
      <w:r>
        <w:rPr>
          <w:color w:val="000000"/>
          <w:szCs w:val="24"/>
          <w:lang w:eastAsia="en-GB"/>
        </w:rPr>
        <w:t xml:space="preserve">. </w:t>
      </w:r>
    </w:p>
    <w:p w14:paraId="1739C59D" w14:textId="77777777" w:rsidR="00443002" w:rsidRDefault="00443002" w:rsidP="00443002">
      <w:pPr>
        <w:spacing w:line="480" w:lineRule="auto"/>
      </w:pPr>
      <w:r>
        <w:t xml:space="preserve">Within the substitution theme, people’s reasons for using NPS instead of traditional drugs related to several of the other core themes found, including accessibility, pleasure, quality, safety and management of drug use. When NPS were seen as easier or cheaper to get hold of, their quality, effects, or safety were perceived as better, and their addictiveness as lower, then NPS were favoured over traditional illicit drugs. </w:t>
      </w:r>
    </w:p>
    <w:p w14:paraId="1E5EDACC" w14:textId="78FFD7B1" w:rsidR="00443002" w:rsidRDefault="00443002" w:rsidP="00443002">
      <w:pPr>
        <w:spacing w:line="480" w:lineRule="auto"/>
      </w:pPr>
      <w:r>
        <w:t>The relative availability of traditional illicit drugs appeared to be a particularly important driver of NPS use, as did the relative quality of NPS. Although some NPS, most notably mephedrone, seemed to be a drug of choice, many users appeared to prefer traditional substances such as ecstasy and cocaine but chose legal highs as a result of the poor quality or lack of availability of street drugs (</w:t>
      </w:r>
      <w:r w:rsidRPr="003C69C7">
        <w:t>McElrath &amp; O'Neill, 2010</w:t>
      </w:r>
      <w:r>
        <w:t xml:space="preserve">; </w:t>
      </w:r>
      <w:r w:rsidR="00296596" w:rsidRPr="003C69C7">
        <w:t>Measham et. al, 2010</w:t>
      </w:r>
      <w:r w:rsidR="00296596">
        <w:t>;</w:t>
      </w:r>
      <w:r w:rsidR="00296596" w:rsidRPr="003C69C7">
        <w:t xml:space="preserve"> </w:t>
      </w:r>
      <w:r w:rsidRPr="003C69C7">
        <w:t>McElrath &amp; Van Hout, 2011</w:t>
      </w:r>
      <w:r>
        <w:t>; Van Hout &amp; Brennan, 2011; 12). Preferences appeared to be based on not just the psychoactive effects of substances, but also the consistency of the product, which was often perceived to be greater for branded legal highs (</w:t>
      </w:r>
      <w:r w:rsidRPr="003C69C7">
        <w:t>McElrath &amp; O'Neill, 2010</w:t>
      </w:r>
      <w:r>
        <w:t xml:space="preserve">; </w:t>
      </w:r>
      <w:r w:rsidRPr="003C69C7">
        <w:t>McElrath &amp; Van Hout, 2011</w:t>
      </w:r>
      <w:r>
        <w:t xml:space="preserve">; Van Hout &amp; Brennan, 2011; 12). One notable exception was synthetic cannabinoids, which were not necessarily chosen for reasons relating to relative quality or availability, </w:t>
      </w:r>
      <w:r w:rsidRPr="00280623">
        <w:t>but for their legality and ability to evade drug tests (</w:t>
      </w:r>
      <w:r w:rsidR="00296596" w:rsidRPr="000A64F6">
        <w:t>Barratt et. al., 2013</w:t>
      </w:r>
      <w:r w:rsidR="00296596">
        <w:t xml:space="preserve">; </w:t>
      </w:r>
      <w:r w:rsidR="00296596" w:rsidRPr="000A64F6">
        <w:t>Bonar et. al., 2014</w:t>
      </w:r>
      <w:r w:rsidR="00296596">
        <w:t xml:space="preserve">; </w:t>
      </w:r>
      <w:r w:rsidR="00296596" w:rsidRPr="000A64F6">
        <w:t>Every-Palmer, 2011</w:t>
      </w:r>
      <w:r w:rsidR="00296596">
        <w:t xml:space="preserve">; </w:t>
      </w:r>
      <w:r w:rsidRPr="00280623">
        <w:t>Hammersley, 2010;</w:t>
      </w:r>
      <w:r>
        <w:t xml:space="preserve"> </w:t>
      </w:r>
      <w:r w:rsidRPr="000A64F6">
        <w:t>Lauritsen &amp; Rosenberg, 2016</w:t>
      </w:r>
      <w:r>
        <w:t>; Palamar &amp; Barratt, 2016</w:t>
      </w:r>
      <w:r w:rsidR="00296596">
        <w:t>;</w:t>
      </w:r>
      <w:r w:rsidR="00296596" w:rsidRPr="00296596">
        <w:t xml:space="preserve"> </w:t>
      </w:r>
      <w:r w:rsidR="00296596" w:rsidRPr="000A64F6">
        <w:t>Perrone et. al., 2013</w:t>
      </w:r>
      <w:r w:rsidR="00296596">
        <w:t xml:space="preserve">; </w:t>
      </w:r>
      <w:r w:rsidR="00296596" w:rsidRPr="000A64F6">
        <w:t>Vandrey et. al, 2012</w:t>
      </w:r>
      <w:r>
        <w:t xml:space="preserve">). </w:t>
      </w:r>
    </w:p>
    <w:p w14:paraId="37FC97E1" w14:textId="318AC982" w:rsidR="00443002" w:rsidRDefault="00443002" w:rsidP="00C42A80">
      <w:pPr>
        <w:pStyle w:val="Heading3"/>
      </w:pPr>
      <w:bookmarkStart w:id="296" w:name="_Toc35892601"/>
      <w:r>
        <w:t>Pleasurable effects</w:t>
      </w:r>
      <w:bookmarkEnd w:id="296"/>
    </w:p>
    <w:p w14:paraId="705B6F6C" w14:textId="4943520B" w:rsidR="00443002" w:rsidRDefault="00443002" w:rsidP="00443002">
      <w:pPr>
        <w:spacing w:line="480" w:lineRule="auto"/>
      </w:pPr>
      <w:r>
        <w:t xml:space="preserve">The pleasurable effects of NPS were also found to be a primary driver of NPS use, reported as a reason for use in more than half of the studies reviewed, with greater consistency across study contexts than any other reason. Pleasurable effects generally focused on pleasurable euphoric feelings </w:t>
      </w:r>
      <w:r w:rsidRPr="00F315AB">
        <w:t>(</w:t>
      </w:r>
      <w:r w:rsidR="00296596" w:rsidRPr="005039BA">
        <w:t>Ashrafioun et. al., 2016</w:t>
      </w:r>
      <w:r w:rsidR="00296596">
        <w:t xml:space="preserve">; </w:t>
      </w:r>
      <w:r w:rsidR="00296596" w:rsidRPr="00F315AB">
        <w:t>McElrath &amp; Van Hout, 2011</w:t>
      </w:r>
      <w:r w:rsidR="00296596">
        <w:t xml:space="preserve">; </w:t>
      </w:r>
      <w:r w:rsidRPr="00F315AB">
        <w:t>Newcombe, 2009</w:t>
      </w:r>
      <w:r>
        <w:t xml:space="preserve">; </w:t>
      </w:r>
      <w:r w:rsidR="00296596" w:rsidRPr="00F315AB">
        <w:t>Norman et. al., 2014</w:t>
      </w:r>
      <w:r w:rsidR="00296596">
        <w:t xml:space="preserve">; </w:t>
      </w:r>
      <w:r w:rsidRPr="00F315AB">
        <w:t xml:space="preserve">Van Hout &amp; Brennan, </w:t>
      </w:r>
      <w:r>
        <w:t>2011; 201</w:t>
      </w:r>
      <w:r w:rsidRPr="00F315AB">
        <w:t>2</w:t>
      </w:r>
      <w:r>
        <w:t xml:space="preserve">;) a stimulating buzz </w:t>
      </w:r>
      <w:r w:rsidRPr="00F315AB">
        <w:t>(Butler &amp; Sheridan, 2007</w:t>
      </w:r>
      <w:r>
        <w:t xml:space="preserve">; </w:t>
      </w:r>
      <w:r w:rsidRPr="00F315AB">
        <w:t>Johnson &amp; Johnson, 2014</w:t>
      </w:r>
      <w:r>
        <w:t xml:space="preserve">), psychedelic experiences </w:t>
      </w:r>
      <w:r w:rsidRPr="00F315AB">
        <w:t>(Johnson &amp; Johnson, 2014</w:t>
      </w:r>
      <w:r>
        <w:t xml:space="preserve">; </w:t>
      </w:r>
      <w:r w:rsidRPr="00F315AB">
        <w:t>van Amsterdam et. al., 2015)</w:t>
      </w:r>
      <w:r>
        <w:t xml:space="preserve"> or relaxation </w:t>
      </w:r>
      <w:r w:rsidRPr="00F315AB">
        <w:t>(</w:t>
      </w:r>
      <w:r w:rsidR="00296596" w:rsidRPr="00F315AB">
        <w:t>Bonar et. al., 2014</w:t>
      </w:r>
      <w:r w:rsidR="00296596">
        <w:t xml:space="preserve">; </w:t>
      </w:r>
      <w:r w:rsidRPr="00F315AB">
        <w:t>Vandrey et. al, 2012)</w:t>
      </w:r>
      <w:r>
        <w:t>. While a pleasurable high was associated with all drug types, benzylpiperazine was linked with a stimulating buzz, synthetic cannabinoids with relaxation, and synthetic cathinones were associated with euphoria, psychedelic experiences and stimulation.</w:t>
      </w:r>
    </w:p>
    <w:p w14:paraId="7ECE7685" w14:textId="5B1BAB5D" w:rsidR="00443002" w:rsidRDefault="00443002" w:rsidP="00C42A80">
      <w:pPr>
        <w:pStyle w:val="Heading3"/>
      </w:pPr>
      <w:bookmarkStart w:id="297" w:name="_Toc35892602"/>
      <w:r>
        <w:t>Quality reasons</w:t>
      </w:r>
      <w:bookmarkEnd w:id="297"/>
    </w:p>
    <w:p w14:paraId="51A5C8EC" w14:textId="415A2562" w:rsidR="00443002" w:rsidRDefault="00443002" w:rsidP="00443002">
      <w:pPr>
        <w:spacing w:line="480" w:lineRule="auto"/>
      </w:pPr>
      <w:r>
        <w:t>The perceived quality of NPS appeared to be an important factor in a significant proportion of the studies reviewed. Quality was most commonly related to consistency, with users appreciating the reliability of a consistent product (</w:t>
      </w:r>
      <w:r w:rsidRPr="007F71FE">
        <w:t>Carhart-Harris &amp; Nutt, 2011</w:t>
      </w:r>
      <w:r>
        <w:t xml:space="preserve">; </w:t>
      </w:r>
      <w:r w:rsidRPr="007F71FE">
        <w:t>Every-Palmer, 2011</w:t>
      </w:r>
      <w:r>
        <w:t xml:space="preserve">; </w:t>
      </w:r>
      <w:r w:rsidRPr="007F71FE">
        <w:t>Kelleher et al., 2011</w:t>
      </w:r>
      <w:r>
        <w:t xml:space="preserve">; </w:t>
      </w:r>
      <w:r w:rsidRPr="007F71FE">
        <w:t>McElrath &amp; Van Hout, 2011</w:t>
      </w:r>
      <w:r>
        <w:t xml:space="preserve">; </w:t>
      </w:r>
      <w:r w:rsidR="00296596" w:rsidRPr="007F71FE">
        <w:t>Norman et. al., 2014</w:t>
      </w:r>
      <w:r w:rsidR="00296596">
        <w:t xml:space="preserve">; </w:t>
      </w:r>
      <w:r w:rsidRPr="007F71FE">
        <w:t>Van Hout &amp; Brennan, 2011)</w:t>
      </w:r>
      <w:r>
        <w:t>. Quality was also related to purity, both the high purity of NPS products (</w:t>
      </w:r>
      <w:r w:rsidRPr="007F71FE">
        <w:t>Every-Palmer, 2011</w:t>
      </w:r>
      <w:r>
        <w:t xml:space="preserve">; </w:t>
      </w:r>
      <w:r w:rsidRPr="007F71FE">
        <w:t>F</w:t>
      </w:r>
      <w:r>
        <w:t>ree</w:t>
      </w:r>
      <w:r w:rsidRPr="007F71FE">
        <w:t>man et. al., 201</w:t>
      </w:r>
      <w:r>
        <w:t xml:space="preserve">2; </w:t>
      </w:r>
      <w:r w:rsidRPr="007F71FE">
        <w:t>O'Brien et. al., 2015)</w:t>
      </w:r>
      <w:r>
        <w:t xml:space="preserve"> and their purity relative to traditional illicit drugs </w:t>
      </w:r>
      <w:r w:rsidRPr="007F71FE">
        <w:t>(Van Hout &amp; Brennan, 2011</w:t>
      </w:r>
      <w:r w:rsidRPr="00280623">
        <w:t>).</w:t>
      </w:r>
      <w:r>
        <w:t xml:space="preserve"> While the quality of NPS appeared to be reasonably important to recreational drug users, it was less commonly reported as a reason for use by problem-dru</w:t>
      </w:r>
      <w:r w:rsidR="00BC139F">
        <w:t>g</w:t>
      </w:r>
      <w:r>
        <w:t xml:space="preserve"> users, particularly of synthetic cannabinoids </w:t>
      </w:r>
      <w:r w:rsidRPr="00203139">
        <w:t>(</w:t>
      </w:r>
      <w:r w:rsidR="00296596" w:rsidRPr="00203139">
        <w:t>Besli et al., 2015</w:t>
      </w:r>
      <w:r w:rsidR="00296596">
        <w:t xml:space="preserve">; </w:t>
      </w:r>
      <w:r w:rsidR="00296596" w:rsidRPr="00203139">
        <w:t>Bonar et al., 2014</w:t>
      </w:r>
      <w:r w:rsidR="00296596">
        <w:t xml:space="preserve">; </w:t>
      </w:r>
      <w:r w:rsidR="00296596" w:rsidRPr="00203139">
        <w:t>Castellanos et al., 2011</w:t>
      </w:r>
      <w:r w:rsidR="00296596">
        <w:t xml:space="preserve">; </w:t>
      </w:r>
      <w:r w:rsidR="00296596" w:rsidRPr="00203139">
        <w:t>Lauritsen &amp; Rosenberg, 2016</w:t>
      </w:r>
      <w:r w:rsidR="00296596">
        <w:t xml:space="preserve">; </w:t>
      </w:r>
      <w:r w:rsidR="00296596" w:rsidRPr="00203139">
        <w:t>Perrone e</w:t>
      </w:r>
      <w:r w:rsidR="00296596">
        <w:t>t</w:t>
      </w:r>
      <w:r w:rsidR="00296596" w:rsidRPr="00203139">
        <w:t>. al., 2013</w:t>
      </w:r>
      <w:r w:rsidR="00296596">
        <w:t xml:space="preserve">; </w:t>
      </w:r>
      <w:r w:rsidRPr="00203139">
        <w:t>Schifano et al., 2009)</w:t>
      </w:r>
      <w:r w:rsidR="00BC139F">
        <w:t xml:space="preserve">. Note that the terms problem-drug and problem-drug user are used to refer to the problematic use of drugs which may be due the drug itself, the circumstances of the user, or </w:t>
      </w:r>
      <w:r w:rsidR="00A868BB">
        <w:t>how</w:t>
      </w:r>
      <w:r w:rsidR="00BC139F">
        <w:t xml:space="preserve"> the drug is used. For a more in</w:t>
      </w:r>
      <w:r w:rsidR="00A868BB">
        <w:t>-</w:t>
      </w:r>
      <w:r w:rsidR="00BC139F">
        <w:t>depth discussion of the issues around the terminology of problematic drug use see literature review Part I.</w:t>
      </w:r>
    </w:p>
    <w:p w14:paraId="6019E245" w14:textId="3ED339D1" w:rsidR="00443002" w:rsidRDefault="00443002" w:rsidP="00C42A80">
      <w:pPr>
        <w:pStyle w:val="Heading3"/>
      </w:pPr>
      <w:bookmarkStart w:id="298" w:name="_Toc35892603"/>
      <w:r>
        <w:t>Curiosity</w:t>
      </w:r>
      <w:bookmarkEnd w:id="298"/>
    </w:p>
    <w:p w14:paraId="5C0A576B" w14:textId="62EAA386" w:rsidR="00443002" w:rsidRDefault="00443002" w:rsidP="00443002">
      <w:pPr>
        <w:spacing w:line="480" w:lineRule="auto"/>
      </w:pPr>
      <w:r>
        <w:t xml:space="preserve">Curiosity was cited as a reason for use in half of the studies reviewed. Curiosity was either presented as a reason in and of itself </w:t>
      </w:r>
      <w:r w:rsidRPr="003B3DC8">
        <w:t>(</w:t>
      </w:r>
      <w:r w:rsidR="00296596" w:rsidRPr="00086801">
        <w:t>Ashrafioun et. al., 2016</w:t>
      </w:r>
      <w:r w:rsidR="00296596">
        <w:t xml:space="preserve">; </w:t>
      </w:r>
      <w:r w:rsidR="00296596" w:rsidRPr="003B3DC8">
        <w:t>Barnard et. al., 2014</w:t>
      </w:r>
      <w:r w:rsidR="00296596">
        <w:t>;</w:t>
      </w:r>
      <w:r w:rsidR="00296596" w:rsidRPr="003B3DC8">
        <w:t xml:space="preserve"> Bonar et. al., 2014</w:t>
      </w:r>
      <w:r w:rsidR="00296596">
        <w:t xml:space="preserve">; </w:t>
      </w:r>
      <w:r w:rsidR="00296596" w:rsidRPr="00086801">
        <w:t>Johnson &amp; Johnson, 2014</w:t>
      </w:r>
      <w:r w:rsidR="00296596">
        <w:t>;</w:t>
      </w:r>
      <w:r w:rsidR="00296596" w:rsidRPr="003B3DC8">
        <w:t>Kelleher et al., 2011</w:t>
      </w:r>
      <w:r w:rsidR="00296596">
        <w:t xml:space="preserve">; </w:t>
      </w:r>
      <w:r w:rsidR="00296596" w:rsidRPr="00086801">
        <w:t>Norman et. al., 2014</w:t>
      </w:r>
      <w:r w:rsidR="00296596">
        <w:t>;</w:t>
      </w:r>
      <w:r w:rsidR="00296596" w:rsidRPr="00086801">
        <w:t xml:space="preserve"> O'Brien et. al., 2015</w:t>
      </w:r>
      <w:r w:rsidR="00296596">
        <w:t xml:space="preserve">; </w:t>
      </w:r>
      <w:r w:rsidRPr="003B3DC8">
        <w:t>Schifano et al., 2009</w:t>
      </w:r>
      <w:r>
        <w:t xml:space="preserve">; </w:t>
      </w:r>
      <w:r w:rsidR="00296596" w:rsidRPr="003B3DC8">
        <w:t>Vandrey et. al, 2012</w:t>
      </w:r>
      <w:r w:rsidR="00296596">
        <w:t xml:space="preserve">; </w:t>
      </w:r>
      <w:r w:rsidRPr="00086801">
        <w:t>Van Hout &amp; Brennan, 2011</w:t>
      </w:r>
      <w:r>
        <w:t xml:space="preserve">; </w:t>
      </w:r>
      <w:r w:rsidRPr="00086801">
        <w:t>Van Hout, 2014</w:t>
      </w:r>
      <w:r>
        <w:t xml:space="preserve">) or as curiosity about the similarity of synthetic cannabinoids to cannabis </w:t>
      </w:r>
      <w:r w:rsidRPr="00086801">
        <w:t>(Barratt et. al., 2013</w:t>
      </w:r>
      <w:r>
        <w:t xml:space="preserve">; </w:t>
      </w:r>
      <w:r w:rsidRPr="00086801">
        <w:t>Lauritsen &amp; Rosenberg, 2016)</w:t>
      </w:r>
      <w:r>
        <w:t xml:space="preserve">. Curiosity was linked to the alluring names and colourful packaging of NPS which was thought to be especially appealing to young people (Rees et. al, 2015; </w:t>
      </w:r>
      <w:r w:rsidRPr="003B3DC8">
        <w:t>Schifano et al., 2009</w:t>
      </w:r>
      <w:r>
        <w:t>). Curiosity was also reported to be more relevant within studies sampling recreational users than those which sampled problem-drug users.</w:t>
      </w:r>
    </w:p>
    <w:p w14:paraId="13C8825C" w14:textId="77777777" w:rsidR="00443002" w:rsidRDefault="00443002" w:rsidP="00443002">
      <w:pPr>
        <w:spacing w:line="480" w:lineRule="auto"/>
      </w:pPr>
      <w:r>
        <w:t>Curiosity appeared to be related to initiation of NPS use (</w:t>
      </w:r>
      <w:r w:rsidRPr="00086801">
        <w:t>Barratt et. al., 2013</w:t>
      </w:r>
      <w:r>
        <w:t>; Newcombe, 2009) and was commonly found in studies examining the use of legal highs/NPS but appeared not to be as relevant within studies looking at more specific drug categories such as mephedrone, benzylpiperazine, synthetic cannabinoids and synthetic cathinones. This may reflect the experience level of the populations, as studies aimed at experienced drug users tended to target specific drug types, while studies focused on legal highs/NPS may have incorporated more novice users with higher rates of drug initiation.</w:t>
      </w:r>
      <w:r w:rsidRPr="00F96B67">
        <w:t xml:space="preserve"> </w:t>
      </w:r>
    </w:p>
    <w:p w14:paraId="0E3DB8C6" w14:textId="62871407" w:rsidR="00443002" w:rsidRDefault="00443002" w:rsidP="00C42A80">
      <w:pPr>
        <w:pStyle w:val="Heading3"/>
      </w:pPr>
      <w:bookmarkStart w:id="299" w:name="_Toc35892604"/>
      <w:r>
        <w:t>Legal status</w:t>
      </w:r>
      <w:bookmarkEnd w:id="299"/>
    </w:p>
    <w:p w14:paraId="70E643FE" w14:textId="56AE7C16" w:rsidR="00443002" w:rsidRPr="00FE67D1" w:rsidRDefault="00443002" w:rsidP="00443002">
      <w:pPr>
        <w:spacing w:before="240" w:line="480" w:lineRule="auto"/>
        <w:rPr>
          <w:color w:val="365F91" w:themeColor="accent1" w:themeShade="BF"/>
        </w:rPr>
      </w:pPr>
      <w:r>
        <w:t>Legal reasons for use of NPS were cited in about one</w:t>
      </w:r>
      <w:r w:rsidR="00A868BB">
        <w:t>-</w:t>
      </w:r>
      <w:r>
        <w:t>third of the studies reviewed. In the majority of these studies, legality was presented as a reason in and of itself, although a few studies were more specific</w:t>
      </w:r>
      <w:r w:rsidRPr="00BF3887">
        <w:rPr>
          <w:rStyle w:val="NotesstructureChar"/>
        </w:rPr>
        <w:t xml:space="preserve">. </w:t>
      </w:r>
      <w:r>
        <w:t>Participants who used NPS for legal reasons were motivated to avoid a criminal record, legal penalties and exclusion from treatment or employment (</w:t>
      </w:r>
      <w:r w:rsidR="00296596" w:rsidRPr="00C87EFC">
        <w:t>Perrone et. al., 2013</w:t>
      </w:r>
      <w:r w:rsidR="00296596">
        <w:t xml:space="preserve">; </w:t>
      </w:r>
      <w:r w:rsidRPr="00C87EFC">
        <w:t>Sheridan &amp; Butler, 2010)</w:t>
      </w:r>
      <w:r>
        <w:t>. For other users</w:t>
      </w:r>
      <w:r w:rsidR="00A868BB">
        <w:t>,</w:t>
      </w:r>
      <w:r>
        <w:t xml:space="preserve"> the legal status of NPS was appealing as they thought they could take NPS into clubs and gigs easily </w:t>
      </w:r>
      <w:r w:rsidRPr="00C87EFC">
        <w:t>(Barnard et. al., 2014)</w:t>
      </w:r>
      <w:r>
        <w:t xml:space="preserve">. Legal reasons were found to be most relevant within samples of problem-drug users </w:t>
      </w:r>
      <w:r w:rsidRPr="00F24206">
        <w:t>(</w:t>
      </w:r>
      <w:r w:rsidR="00296596" w:rsidRPr="00F24206">
        <w:t>Barratt et. al., 2013</w:t>
      </w:r>
      <w:r w:rsidR="00296596">
        <w:t xml:space="preserve">; </w:t>
      </w:r>
      <w:r w:rsidRPr="00F24206">
        <w:t>Every-Palmer, 2011</w:t>
      </w:r>
      <w:r>
        <w:t xml:space="preserve">; </w:t>
      </w:r>
      <w:r w:rsidRPr="00F24206">
        <w:t>Perrone et. al., 2013</w:t>
      </w:r>
      <w:r>
        <w:t>; Rees</w:t>
      </w:r>
      <w:r w:rsidRPr="00F24206">
        <w:t xml:space="preserve"> et. al., 2015)</w:t>
      </w:r>
      <w:r>
        <w:t>. Problem-drug users appeared to place a high priority on legal reasons, unlike recreational users for whom legal reasons did not seem to be of primary importance (</w:t>
      </w:r>
      <w:r w:rsidR="00460CFC" w:rsidRPr="00B06297">
        <w:t>McElrath &amp; O'Neill, 2010</w:t>
      </w:r>
      <w:r w:rsidR="00460CFC">
        <w:t xml:space="preserve">; </w:t>
      </w:r>
      <w:r>
        <w:t>Measham, 2010;</w:t>
      </w:r>
      <w:r w:rsidRPr="00B06297">
        <w:t>)</w:t>
      </w:r>
      <w:r>
        <w:t>. Similarly, legal status also emerged as particularly relevant for users of synthetic cannabinoids</w:t>
      </w:r>
      <w:r w:rsidRPr="00280623">
        <w:t xml:space="preserve">, </w:t>
      </w:r>
      <w:r w:rsidRPr="003A4C11">
        <w:t>many users preferring cannabis but choosing to use a non-prohibited alternative for legal reasons</w:t>
      </w:r>
      <w:r>
        <w:t xml:space="preserve"> (</w:t>
      </w:r>
      <w:r w:rsidRPr="006B72CF">
        <w:t>Barratt et. al., 2013</w:t>
      </w:r>
      <w:r>
        <w:t xml:space="preserve">; </w:t>
      </w:r>
      <w:r w:rsidRPr="006B72CF">
        <w:t>Perrone et. al., 2013</w:t>
      </w:r>
      <w:r>
        <w:t>)</w:t>
      </w:r>
      <w:r w:rsidRPr="00280623">
        <w:t>.</w:t>
      </w:r>
      <w:r>
        <w:t xml:space="preserve"> Although studies of recreational users did not generally emphasise the importance of legal reasons, a few authors noted that some recreational users appeared to value the legal status of NPS, as legal status offered some measure of protection and distance from stigmatising drug user identities (McElrath &amp; O’Neill, 2011; Van Hout &amp; Brennan, 2011). </w:t>
      </w:r>
    </w:p>
    <w:p w14:paraId="4CCB4CBA" w14:textId="77DB1DFE" w:rsidR="00443002" w:rsidRDefault="00443002" w:rsidP="00C42A80">
      <w:pPr>
        <w:pStyle w:val="Heading3"/>
      </w:pPr>
      <w:bookmarkStart w:id="300" w:name="_Toc35892605"/>
      <w:r>
        <w:t>Social influences</w:t>
      </w:r>
      <w:bookmarkEnd w:id="300"/>
    </w:p>
    <w:p w14:paraId="2E4B5350" w14:textId="5986C7E6" w:rsidR="00443002" w:rsidRDefault="00443002" w:rsidP="00443002">
      <w:pPr>
        <w:spacing w:line="480" w:lineRule="auto"/>
      </w:pPr>
      <w:r>
        <w:t xml:space="preserve">About a third of the studies noted the relevance of social reasons for use of NPS. Users wanted to fit in with friends and siblings, both in response to a desire to share a good time with friends or to avoid social rejection </w:t>
      </w:r>
      <w:r w:rsidRPr="00103FA0">
        <w:t>(</w:t>
      </w:r>
      <w:r w:rsidR="00460CFC" w:rsidRPr="00103FA0">
        <w:t>Ashrafioun et. al., 2016</w:t>
      </w:r>
      <w:r w:rsidR="00460CFC">
        <w:t xml:space="preserve">; </w:t>
      </w:r>
      <w:r w:rsidR="00460CFC" w:rsidRPr="00103FA0">
        <w:t>Barnard et. al., 2014</w:t>
      </w:r>
      <w:r w:rsidR="00460CFC">
        <w:t xml:space="preserve">; </w:t>
      </w:r>
      <w:r w:rsidR="00460CFC" w:rsidRPr="00103FA0">
        <w:t>Bonar et. al., 2014</w:t>
      </w:r>
      <w:r w:rsidR="00460CFC">
        <w:t xml:space="preserve">; </w:t>
      </w:r>
      <w:r w:rsidRPr="00103FA0">
        <w:t>Kelleher et al., 201</w:t>
      </w:r>
      <w:r>
        <w:t>1</w:t>
      </w:r>
      <w:r w:rsidRPr="00103FA0">
        <w:t>)</w:t>
      </w:r>
      <w:r>
        <w:t xml:space="preserve">. NPS were seen as a way to enhance positive social experiences by making people feel more confident, outgoing, chatty and connected </w:t>
      </w:r>
      <w:r w:rsidRPr="00103FA0">
        <w:t>(</w:t>
      </w:r>
      <w:r w:rsidR="00460CFC" w:rsidRPr="00103FA0">
        <w:t>Bonar et. al., 2014</w:t>
      </w:r>
      <w:r w:rsidR="00460CFC">
        <w:t xml:space="preserve">; </w:t>
      </w:r>
      <w:r w:rsidRPr="00103FA0">
        <w:t>Butler &amp; Sheridan, 2007</w:t>
      </w:r>
      <w:r>
        <w:t xml:space="preserve">; </w:t>
      </w:r>
      <w:r w:rsidR="00460CFC" w:rsidRPr="00103FA0">
        <w:t>Lauritsen &amp; Rosenberg, 2016</w:t>
      </w:r>
      <w:r w:rsidR="00460CFC">
        <w:t xml:space="preserve">; </w:t>
      </w:r>
      <w:r w:rsidRPr="00103FA0">
        <w:t>McElrath &amp; Van Hout, 2011</w:t>
      </w:r>
      <w:r>
        <w:t xml:space="preserve">; </w:t>
      </w:r>
      <w:r w:rsidRPr="00103FA0">
        <w:t>van Amsterdam et. al., 2015</w:t>
      </w:r>
      <w:r>
        <w:t>;</w:t>
      </w:r>
      <w:r w:rsidRPr="00103FA0">
        <w:t>)</w:t>
      </w:r>
      <w:r>
        <w:t>,</w:t>
      </w:r>
      <w:r w:rsidRPr="00103FA0">
        <w:t xml:space="preserve"> </w:t>
      </w:r>
      <w:r>
        <w:t xml:space="preserve">particularly at parties (Ashrafioun et. al., 2016) and when using synthetic stimulants and empathogens </w:t>
      </w:r>
      <w:r w:rsidRPr="00103FA0">
        <w:t>(</w:t>
      </w:r>
      <w:r w:rsidR="00460CFC" w:rsidRPr="005F5AB0">
        <w:t>Ashrafioun et. al., 2016</w:t>
      </w:r>
      <w:r w:rsidR="00460CFC">
        <w:t xml:space="preserve">; </w:t>
      </w:r>
      <w:r w:rsidRPr="00103FA0">
        <w:t>Butler &amp; Sheridan, 2007</w:t>
      </w:r>
      <w:r>
        <w:t xml:space="preserve">; </w:t>
      </w:r>
      <w:r w:rsidR="00460CFC" w:rsidRPr="00103FA0">
        <w:t>McElrath &amp; Van Hout, 2011</w:t>
      </w:r>
      <w:r w:rsidR="00460CFC">
        <w:t xml:space="preserve">; </w:t>
      </w:r>
      <w:r w:rsidRPr="005F5AB0">
        <w:t>Sheridan &amp; Butler, 2010)</w:t>
      </w:r>
      <w:r>
        <w:t xml:space="preserve">. For some users, NPS were seen as more socially acceptable due to the reduced stigma associated with legally available substances </w:t>
      </w:r>
      <w:r w:rsidRPr="00103FA0">
        <w:t>(</w:t>
      </w:r>
      <w:r>
        <w:t xml:space="preserve">Barnard et. al., 2014; </w:t>
      </w:r>
      <w:r w:rsidRPr="00103FA0">
        <w:t>McElrath &amp; Van Hout, 2011</w:t>
      </w:r>
      <w:r>
        <w:t xml:space="preserve">; </w:t>
      </w:r>
      <w:r w:rsidRPr="00103FA0">
        <w:t>Sheridan &amp; Butler, 2010)</w:t>
      </w:r>
      <w:r>
        <w:t xml:space="preserve">. </w:t>
      </w:r>
    </w:p>
    <w:p w14:paraId="1AC7F271" w14:textId="305C2730" w:rsidR="00443002" w:rsidRDefault="00443002" w:rsidP="00C42A80">
      <w:pPr>
        <w:pStyle w:val="Heading3"/>
      </w:pPr>
      <w:bookmarkStart w:id="301" w:name="_Toc35892606"/>
      <w:r>
        <w:t>Safety reasons</w:t>
      </w:r>
      <w:bookmarkEnd w:id="301"/>
    </w:p>
    <w:p w14:paraId="03AC8C61" w14:textId="7EDB2D7B" w:rsidR="00443002" w:rsidRDefault="00443002" w:rsidP="00443002">
      <w:pPr>
        <w:spacing w:line="480" w:lineRule="auto"/>
      </w:pPr>
      <w:r>
        <w:t xml:space="preserve">The use of NPS was linked with perceptions of safety in less than a quarter of the studies reviewed. Safety beliefs were explicitly linked to legal status in four studies: two research papers from New Zealand, investigating </w:t>
      </w:r>
      <w:r w:rsidR="00A868BB">
        <w:t xml:space="preserve">the </w:t>
      </w:r>
      <w:r>
        <w:t xml:space="preserve">use of benzylpiperazine </w:t>
      </w:r>
      <w:r w:rsidRPr="00824DF3">
        <w:t>(Sheridan &amp; Butler, 2010)</w:t>
      </w:r>
      <w:r>
        <w:t xml:space="preserve"> and synthetic cannabinoids </w:t>
      </w:r>
      <w:r w:rsidRPr="00824DF3">
        <w:t>(Every-Palmer, 2011)</w:t>
      </w:r>
      <w:r>
        <w:t xml:space="preserve"> and two area assessments relating to use of legal highs, a local needs assessment for Buckinghamshire County Council (Barnard et. al., 2014), and an enquiry by the National Assembly for Wales (Rees et. al., 2015). </w:t>
      </w:r>
    </w:p>
    <w:p w14:paraId="0D9228FA" w14:textId="396CD18D" w:rsidR="00443002" w:rsidRDefault="00443002" w:rsidP="00443002">
      <w:pPr>
        <w:spacing w:line="480" w:lineRule="auto"/>
      </w:pPr>
      <w:r>
        <w:t xml:space="preserve">In their interviews with young people Sheridan and Butler (2010) found that users of benzylpiperazine typically thought it was safe because it was legal, with some users assuming that as it was legally available it had been tested and regulated (Sheridan &amp; Butler, 2010). Similarly, the studies looking at legal highs also </w:t>
      </w:r>
      <w:r w:rsidRPr="00FE67D1">
        <w:t>found a propensity for people to assume that legal high products were safe because they were legal and readily available and that this was particularly true for novice users (Barnard; 2014, Rees et. al., 2015)</w:t>
      </w:r>
      <w:r>
        <w:t>. Users of synthetic cannabis were also found to connect legal status with perceptions of safety in the study conducted by Every-Palmer (2011), although to some extent assumptions about safety were driven by marketing, as several users believed that products advertised as organic were natural and therefore safe. In contrast to studies which highlighted connections between young or novice users and perceptions of safety, studies focused on more experienced drug users reported that they tended not to think of NPS as safe (Corazza et. al., 2014; Norman et. al., 2014</w:t>
      </w:r>
      <w:r w:rsidRPr="009D6E13">
        <w:t>)</w:t>
      </w:r>
      <w:r>
        <w:t xml:space="preserve"> noting that many users understood that legal status was no guarantee of safety</w:t>
      </w:r>
      <w:r w:rsidRPr="009D6E13">
        <w:t xml:space="preserve"> </w:t>
      </w:r>
      <w:r>
        <w:t xml:space="preserve">(McElrath &amp; O’Neill, 2011) nor was marketing to be trusted (Van Hout &amp; Brennan, 2011). </w:t>
      </w:r>
    </w:p>
    <w:p w14:paraId="3B3ABA17" w14:textId="5EA87100" w:rsidR="00443002" w:rsidRDefault="00443002" w:rsidP="00443002">
      <w:pPr>
        <w:spacing w:line="480" w:lineRule="auto"/>
      </w:pPr>
      <w:r>
        <w:t>Although users widely ignored marketing and instructions on packets, often due to the contradictory labelling of ‘</w:t>
      </w:r>
      <w:r w:rsidRPr="00027C52">
        <w:t>not for human consumption</w:t>
      </w:r>
      <w:r>
        <w:t xml:space="preserve">’ (Van Hout </w:t>
      </w:r>
      <w:r w:rsidR="007E0F63">
        <w:t>&amp;</w:t>
      </w:r>
      <w:r>
        <w:t xml:space="preserve"> Brennan, 2011), the response to the distrust of usage instructions appeared to be mediated by the level of drug</w:t>
      </w:r>
      <w:r w:rsidR="00A868BB">
        <w:t>-</w:t>
      </w:r>
      <w:r w:rsidRPr="00C83CCD">
        <w:t xml:space="preserve">taking experience.  More experienced drug users appeared to be aware that NPS could be higher in potency than traditional street drugs and were described as taking care to judge dosing, and more likely to employ harm reduction practices such as gauging and use of test </w:t>
      </w:r>
      <w:r>
        <w:t>kits (</w:t>
      </w:r>
      <w:r w:rsidR="00460CFC" w:rsidRPr="008811C0">
        <w:t>O'Brien et. al</w:t>
      </w:r>
      <w:r w:rsidR="00460CFC" w:rsidRPr="00AF3F8D">
        <w:t>., 2015</w:t>
      </w:r>
      <w:r w:rsidR="00460CFC">
        <w:t xml:space="preserve">; </w:t>
      </w:r>
      <w:r>
        <w:t xml:space="preserve">Van Hout </w:t>
      </w:r>
      <w:r w:rsidR="007E0F63">
        <w:t>&amp;</w:t>
      </w:r>
      <w:r>
        <w:t xml:space="preserve"> Brennan, 2011; Van Hout, 2014</w:t>
      </w:r>
      <w:r w:rsidRPr="00AF3F8D">
        <w:t>)</w:t>
      </w:r>
      <w:r>
        <w:t>.</w:t>
      </w:r>
      <w:r w:rsidRPr="00AF3F8D">
        <w:t xml:space="preserve"> In contrast, </w:t>
      </w:r>
      <w:r>
        <w:t>younger, less experienced users were reported to be more reckless, with some intentionally exceeding recommended doses based on the belief that legal status implied lower potency (</w:t>
      </w:r>
      <w:r w:rsidR="00460CFC">
        <w:t xml:space="preserve">Rees et. al., 2015; </w:t>
      </w:r>
      <w:r>
        <w:t xml:space="preserve">Sheridan &amp; Butler, 2010;). Despite pervasive distrust of packaging instructions, branded products were often viewed by experienced drug users as safer, not by virtue of their legitimacy, but on account of the greater purity and consistency of unadulterated branded products (Van Hout </w:t>
      </w:r>
      <w:r w:rsidR="007E0F63">
        <w:t>&amp;</w:t>
      </w:r>
      <w:r>
        <w:t xml:space="preserve"> Brennan, 2011). Safety in this context was presented as relative to traditional illicit drugs, the purity of which was considered by many to have dropped to unacceptably low levels, positioning NPS as a safer option (McElrath &amp; O’Neill, 2011). </w:t>
      </w:r>
    </w:p>
    <w:p w14:paraId="5701D1D5" w14:textId="460A7C87" w:rsidR="00443002" w:rsidRDefault="00443002" w:rsidP="00443002">
      <w:pPr>
        <w:spacing w:line="480" w:lineRule="auto"/>
      </w:pPr>
      <w:r>
        <w:t>For users engaging with online communities, safety was associated with use of online retailers by virtue of customer ratings and feedback systems as well as the high level of information sharing within NPS-related forums and websites (</w:t>
      </w:r>
      <w:r w:rsidR="00460CFC" w:rsidRPr="008811C0">
        <w:t>O'Brien et. al., 2015</w:t>
      </w:r>
      <w:r w:rsidR="00460CFC">
        <w:t xml:space="preserve">; </w:t>
      </w:r>
      <w:r w:rsidRPr="00BF2F98">
        <w:t>Schifano et al., 2009</w:t>
      </w:r>
      <w:r>
        <w:t xml:space="preserve">; Van Hout, 2014). </w:t>
      </w:r>
    </w:p>
    <w:p w14:paraId="7BDBAB2C" w14:textId="1A15D487" w:rsidR="00443002" w:rsidRPr="0061627A" w:rsidRDefault="00443002" w:rsidP="00C42A80">
      <w:pPr>
        <w:pStyle w:val="Heading3"/>
      </w:pPr>
      <w:bookmarkStart w:id="302" w:name="_Toc35892607"/>
      <w:r w:rsidRPr="0061627A">
        <w:t>Coping</w:t>
      </w:r>
      <w:bookmarkEnd w:id="302"/>
    </w:p>
    <w:p w14:paraId="3542AC2C" w14:textId="7F03E530" w:rsidR="00443002" w:rsidRPr="0061627A" w:rsidRDefault="00443002" w:rsidP="00443002">
      <w:pPr>
        <w:spacing w:line="480" w:lineRule="auto"/>
      </w:pPr>
      <w:r w:rsidRPr="0061627A">
        <w:t xml:space="preserve">The therapeutic effects of NPS were cited as a reason for use in </w:t>
      </w:r>
      <w:r>
        <w:t>seven</w:t>
      </w:r>
      <w:r w:rsidRPr="0061627A">
        <w:t xml:space="preserve"> studies. For participants in some studies</w:t>
      </w:r>
      <w:r>
        <w:t>,</w:t>
      </w:r>
      <w:r w:rsidRPr="0061627A">
        <w:t xml:space="preserve"> taking NPS </w:t>
      </w:r>
      <w:r>
        <w:t>was</w:t>
      </w:r>
      <w:r w:rsidRPr="0061627A">
        <w:t xml:space="preserve"> reported a</w:t>
      </w:r>
      <w:r>
        <w:t>s a</w:t>
      </w:r>
      <w:r w:rsidRPr="0061627A">
        <w:t xml:space="preserve"> way to relax and find relief from stress, anxiety, insomnia or pain (Barratt et. al., 2013; Bonar et. al., 2014; Vandrey et. al, 2012), while for others it was a way to cope by escaping from frustration and problems (Bonar et. al., 2014; Rees et. al., 2015) and feelings of boredom (Bonar et. al., 2014; Newcombe, 2009; Norman et. al., 2014). Boredom and the desire to relax was noted to be linked with drug initiation (Barratt et. al., 2013; Newcombe, 2009), while use of NPS as a coping mechanism seemed to be associated with on-going use of NPS and problem-drug use (Bonar et. al., 2014; Rees et. al., 2015). For problem-drug users</w:t>
      </w:r>
      <w:r w:rsidR="00A868BB">
        <w:t>,</w:t>
      </w:r>
      <w:r w:rsidRPr="0061627A">
        <w:t xml:space="preserve"> NPS </w:t>
      </w:r>
      <w:r>
        <w:t>appeared to be</w:t>
      </w:r>
      <w:r w:rsidRPr="0061627A">
        <w:t xml:space="preserve"> a way to cope with mental health problems, homelessness, poverty and unemployment by offering a way to forget life (Rees et. al., 2015). </w:t>
      </w:r>
    </w:p>
    <w:p w14:paraId="59D3F11E" w14:textId="7D7DEBDC" w:rsidR="00443002" w:rsidRPr="004A322A" w:rsidRDefault="00443002" w:rsidP="00C42A80">
      <w:pPr>
        <w:pStyle w:val="Heading3"/>
      </w:pPr>
      <w:bookmarkStart w:id="303" w:name="_Toc35892608"/>
      <w:r w:rsidRPr="004A322A">
        <w:t>Managing drug use</w:t>
      </w:r>
      <w:bookmarkEnd w:id="303"/>
    </w:p>
    <w:p w14:paraId="32D603A3" w14:textId="537C5A9F" w:rsidR="00443002" w:rsidRPr="004A322A" w:rsidRDefault="00443002" w:rsidP="00443002">
      <w:pPr>
        <w:spacing w:line="480" w:lineRule="auto"/>
      </w:pPr>
      <w:r w:rsidRPr="004A322A">
        <w:t xml:space="preserve">NPS were also used as a way of managing drug use, ether to enhance the effects of other drugs (Bonar et. al., 2014; Schifano et al., 2009), to reduce or manage addiction to other drugs (Barratt et. al., 2013; Winstock et. al., 2010) or to maintain physical control (McElrath &amp; Van Hout, 2011; Sheridan &amp; Butler, 2010). The use of NPS to manage drug use was linked to perceptions of NPS being weaker and more consistent in strength and quality. Being able to maintain control was seen as being important to some users, particularly in public or semi-public places (McElrath &amp; Van Hout, 2011). Reasons related to </w:t>
      </w:r>
      <w:r w:rsidR="00A868BB">
        <w:t xml:space="preserve">the </w:t>
      </w:r>
      <w:r w:rsidRPr="004A322A">
        <w:t xml:space="preserve">management of drug use were generally associated with experienced drug users. </w:t>
      </w:r>
    </w:p>
    <w:p w14:paraId="575641BB" w14:textId="05529630" w:rsidR="00443002" w:rsidRDefault="00443002" w:rsidP="00C42A80">
      <w:pPr>
        <w:pStyle w:val="Heading3"/>
      </w:pPr>
      <w:bookmarkStart w:id="304" w:name="_Toc35892609"/>
      <w:r>
        <w:t>Avoiding detection</w:t>
      </w:r>
      <w:bookmarkEnd w:id="304"/>
    </w:p>
    <w:p w14:paraId="232481A5" w14:textId="032C224D" w:rsidR="00443002" w:rsidRDefault="00443002" w:rsidP="00443002">
      <w:pPr>
        <w:spacing w:line="480" w:lineRule="auto"/>
      </w:pPr>
      <w:r>
        <w:t xml:space="preserve">The use of NPS as a way to avoid a positive result in drug testing was noted in eight studies. Due to their novelty, many drug tests do not screen for NPS, making them an attractive choice for many users within studies. The majority of studies which reported motives to evade positive drug tests incorporated samples of problem-drug users </w:t>
      </w:r>
      <w:r w:rsidRPr="005847BE">
        <w:t>(</w:t>
      </w:r>
      <w:r w:rsidR="00460CFC">
        <w:t>B</w:t>
      </w:r>
      <w:r w:rsidR="00460CFC" w:rsidRPr="005847BE">
        <w:t>arratt et. al., 2013</w:t>
      </w:r>
      <w:r w:rsidR="00460CFC">
        <w:t xml:space="preserve">; </w:t>
      </w:r>
      <w:r w:rsidR="00460CFC" w:rsidRPr="005847BE">
        <w:t>Bonar et. al., 2014</w:t>
      </w:r>
      <w:r w:rsidR="00460CFC">
        <w:t xml:space="preserve">; </w:t>
      </w:r>
      <w:r w:rsidRPr="005847BE">
        <w:t>Castellanos et. al., 2011</w:t>
      </w:r>
      <w:r>
        <w:t xml:space="preserve">; </w:t>
      </w:r>
      <w:r w:rsidRPr="005847BE">
        <w:t>Every-Palmer, 2011</w:t>
      </w:r>
      <w:r>
        <w:t xml:space="preserve">; </w:t>
      </w:r>
      <w:r w:rsidRPr="005847BE">
        <w:t>Perrone et. al., 2013)</w:t>
      </w:r>
      <w:r>
        <w:t xml:space="preserve"> while all but one focused on the use of synthetic cannabinoids </w:t>
      </w:r>
      <w:r w:rsidRPr="005847BE">
        <w:t>(Johnson &amp; Johnson, 2014)</w:t>
      </w:r>
      <w:r>
        <w:t>. The desire to avoid a positive drug test appeared to be linked with context, as a number of the problem-drug user samples were drawn from treatment settings where mandatory drug testing may be typical. In addition, a significant proportion of the studies examining use of synthetic cannabis were conducted in the USA,</w:t>
      </w:r>
      <w:r w:rsidRPr="00DB527E">
        <w:t xml:space="preserve"> </w:t>
      </w:r>
      <w:r>
        <w:t xml:space="preserve">a cultural context in which drug testing as a legal or organisational requirement is more commonplace than in Europe and the UK </w:t>
      </w:r>
      <w:r w:rsidRPr="001E0173">
        <w:t>(</w:t>
      </w:r>
      <w:r w:rsidR="00460CFC" w:rsidRPr="00396B74">
        <w:t>Bonar et. al., 2014</w:t>
      </w:r>
      <w:r w:rsidR="00460CFC">
        <w:t xml:space="preserve">; </w:t>
      </w:r>
      <w:r w:rsidRPr="001E0173">
        <w:t>Castellanos et. al., 2011</w:t>
      </w:r>
      <w:r>
        <w:t xml:space="preserve">; </w:t>
      </w:r>
      <w:r w:rsidRPr="00396B74">
        <w:t>Lauritsen &amp; Rosenberg, 2016</w:t>
      </w:r>
      <w:r w:rsidR="00460CFC">
        <w:t xml:space="preserve">; </w:t>
      </w:r>
      <w:r w:rsidR="00460CFC" w:rsidRPr="00396B74">
        <w:t>Perrone et. al., 2013</w:t>
      </w:r>
      <w:r>
        <w:t xml:space="preserve">). </w:t>
      </w:r>
    </w:p>
    <w:p w14:paraId="7CF0B8A5" w14:textId="26C0B35D" w:rsidR="00443002" w:rsidRPr="000D0311" w:rsidRDefault="00590C20" w:rsidP="00C42A80">
      <w:pPr>
        <w:pStyle w:val="Heading3"/>
      </w:pPr>
      <w:bookmarkStart w:id="305" w:name="_Toc35892610"/>
      <w:r>
        <w:t>Potential moderators</w:t>
      </w:r>
      <w:bookmarkEnd w:id="305"/>
    </w:p>
    <w:p w14:paraId="39E88555" w14:textId="77777777" w:rsidR="00443002" w:rsidRPr="00EC6D88" w:rsidRDefault="00443002" w:rsidP="00443002">
      <w:pPr>
        <w:spacing w:line="480" w:lineRule="auto"/>
      </w:pPr>
      <w:r>
        <w:t>Factors determined as suitable for making comparisons within the sample of studies were age, nationality, type of drug, type of user and study methodology.</w:t>
      </w:r>
    </w:p>
    <w:p w14:paraId="284FDD3B" w14:textId="5ECB18E7" w:rsidR="00443002" w:rsidRDefault="00443002" w:rsidP="00C42A80">
      <w:pPr>
        <w:pStyle w:val="Heading3"/>
      </w:pPr>
      <w:bookmarkStart w:id="306" w:name="_Toc35892611"/>
      <w:r>
        <w:t>Age (see Table 5)</w:t>
      </w:r>
      <w:bookmarkEnd w:id="306"/>
    </w:p>
    <w:p w14:paraId="1AE6E1A0" w14:textId="77777777" w:rsidR="00443002" w:rsidRDefault="00443002" w:rsidP="00443002">
      <w:pPr>
        <w:spacing w:line="480" w:lineRule="auto"/>
        <w:rPr>
          <w:color w:val="808080" w:themeColor="background1" w:themeShade="80"/>
        </w:rPr>
      </w:pPr>
      <w:r>
        <w:t xml:space="preserve">While 7 studies focused exclusively on young people, the majority included young people within their samples, and only 1 study was limited to interviews with adults (n=2; Measham, 2010). For the studies sampling young people (age range approximately 14-25), the salience of perceptions of safely as a reason for use was noticeably greater when compared with other studies which also included older ages within their samples </w:t>
      </w:r>
      <w:r w:rsidRPr="00A428C2">
        <w:t>(Freeman et. al., 2012</w:t>
      </w:r>
      <w:r>
        <w:t xml:space="preserve">; </w:t>
      </w:r>
      <w:r w:rsidRPr="00A428C2">
        <w:t>Rees et. al., 2015</w:t>
      </w:r>
      <w:r>
        <w:t>;</w:t>
      </w:r>
      <w:r w:rsidRPr="00A428C2">
        <w:t xml:space="preserve"> Sheridan &amp; Butler, 2010)</w:t>
      </w:r>
      <w:r>
        <w:t xml:space="preserve">. While perceptions of safety were cited as a reason for use in 43% of studies sampling young people exclusively, it was found to be an important reason in only 5% of studies that included older users within their samples. </w:t>
      </w:r>
      <w:r w:rsidRPr="0036361C">
        <w:rPr>
          <w:color w:val="808080" w:themeColor="background1" w:themeShade="80"/>
        </w:rPr>
        <w:t xml:space="preserve"> </w:t>
      </w:r>
    </w:p>
    <w:p w14:paraId="13A7CC03" w14:textId="77777777" w:rsidR="00BC139F" w:rsidRDefault="00BC139F">
      <w:pPr>
        <w:rPr>
          <w:b/>
        </w:rPr>
      </w:pPr>
      <w:r>
        <w:rPr>
          <w:b/>
        </w:rPr>
        <w:br w:type="page"/>
      </w:r>
    </w:p>
    <w:p w14:paraId="266A6BA7" w14:textId="27982A9F" w:rsidR="00443002" w:rsidRPr="005E0305" w:rsidRDefault="00443002" w:rsidP="005E0305">
      <w:pPr>
        <w:pStyle w:val="TableHeader"/>
        <w:rPr>
          <w:b/>
        </w:rPr>
      </w:pPr>
      <w:bookmarkStart w:id="307" w:name="_Toc9509058"/>
      <w:r w:rsidRPr="005E0305">
        <w:rPr>
          <w:b/>
        </w:rPr>
        <w:t xml:space="preserve">Table </w:t>
      </w:r>
      <w:r w:rsidR="005E0305">
        <w:rPr>
          <w:b/>
        </w:rPr>
        <w:t>4-</w:t>
      </w:r>
      <w:r w:rsidRPr="005E0305">
        <w:rPr>
          <w:b/>
        </w:rPr>
        <w:t>5. Most commonly cited reasons for use by age range</w:t>
      </w:r>
      <w:bookmarkEnd w:id="307"/>
    </w:p>
    <w:tbl>
      <w:tblPr>
        <w:tblStyle w:val="TableGrid"/>
        <w:tblW w:w="9039" w:type="dxa"/>
        <w:tblLayout w:type="fixed"/>
        <w:tblLook w:val="04A0" w:firstRow="1" w:lastRow="0" w:firstColumn="1" w:lastColumn="0" w:noHBand="0" w:noVBand="1"/>
      </w:tblPr>
      <w:tblGrid>
        <w:gridCol w:w="2518"/>
        <w:gridCol w:w="1701"/>
        <w:gridCol w:w="2410"/>
        <w:gridCol w:w="2410"/>
      </w:tblGrid>
      <w:tr w:rsidR="00443002" w:rsidRPr="00470F40" w14:paraId="3B251397" w14:textId="77777777" w:rsidTr="00443002">
        <w:trPr>
          <w:trHeight w:val="366"/>
        </w:trPr>
        <w:tc>
          <w:tcPr>
            <w:tcW w:w="2518" w:type="dxa"/>
            <w:tcBorders>
              <w:top w:val="single" w:sz="4" w:space="0" w:color="auto"/>
              <w:left w:val="nil"/>
              <w:bottom w:val="nil"/>
              <w:right w:val="nil"/>
            </w:tcBorders>
            <w:vAlign w:val="center"/>
          </w:tcPr>
          <w:p w14:paraId="5BB0A5CE" w14:textId="77777777" w:rsidR="00443002" w:rsidRPr="00470F40" w:rsidRDefault="00443002" w:rsidP="00443002">
            <w:pPr>
              <w:rPr>
                <w:b/>
              </w:rPr>
            </w:pPr>
            <w:r>
              <w:rPr>
                <w:b/>
              </w:rPr>
              <w:t>Age range</w:t>
            </w:r>
          </w:p>
        </w:tc>
        <w:tc>
          <w:tcPr>
            <w:tcW w:w="4111" w:type="dxa"/>
            <w:gridSpan w:val="2"/>
            <w:tcBorders>
              <w:top w:val="single" w:sz="4" w:space="0" w:color="auto"/>
              <w:left w:val="nil"/>
              <w:bottom w:val="nil"/>
              <w:right w:val="nil"/>
            </w:tcBorders>
            <w:vAlign w:val="center"/>
          </w:tcPr>
          <w:p w14:paraId="22D5BC42" w14:textId="77777777" w:rsidR="00443002" w:rsidRPr="00470F40" w:rsidRDefault="00443002" w:rsidP="00443002">
            <w:pPr>
              <w:rPr>
                <w:b/>
              </w:rPr>
            </w:pPr>
            <w:r>
              <w:rPr>
                <w:b/>
              </w:rPr>
              <w:t>Reason for use</w:t>
            </w:r>
          </w:p>
        </w:tc>
        <w:tc>
          <w:tcPr>
            <w:tcW w:w="2410" w:type="dxa"/>
            <w:tcBorders>
              <w:top w:val="single" w:sz="4" w:space="0" w:color="auto"/>
              <w:left w:val="nil"/>
              <w:bottom w:val="nil"/>
              <w:right w:val="nil"/>
            </w:tcBorders>
            <w:vAlign w:val="center"/>
          </w:tcPr>
          <w:p w14:paraId="7CA40371" w14:textId="77777777" w:rsidR="00443002" w:rsidRPr="00470F40" w:rsidRDefault="00443002" w:rsidP="00443002">
            <w:pPr>
              <w:rPr>
                <w:b/>
              </w:rPr>
            </w:pPr>
            <w:r>
              <w:rPr>
                <w:b/>
              </w:rPr>
              <w:t xml:space="preserve">Number of studies </w:t>
            </w:r>
          </w:p>
        </w:tc>
      </w:tr>
      <w:tr w:rsidR="00443002" w:rsidRPr="00470F40" w14:paraId="6ED4A0A5" w14:textId="77777777" w:rsidTr="00443002">
        <w:trPr>
          <w:trHeight w:val="366"/>
        </w:trPr>
        <w:tc>
          <w:tcPr>
            <w:tcW w:w="2518" w:type="dxa"/>
            <w:tcBorders>
              <w:top w:val="nil"/>
              <w:left w:val="nil"/>
              <w:bottom w:val="single" w:sz="4" w:space="0" w:color="auto"/>
              <w:right w:val="nil"/>
            </w:tcBorders>
            <w:vAlign w:val="center"/>
          </w:tcPr>
          <w:p w14:paraId="186D6658" w14:textId="77777777" w:rsidR="00443002" w:rsidRPr="00470F40" w:rsidRDefault="00443002" w:rsidP="00443002">
            <w:pPr>
              <w:rPr>
                <w:b/>
              </w:rPr>
            </w:pPr>
          </w:p>
        </w:tc>
        <w:tc>
          <w:tcPr>
            <w:tcW w:w="4111" w:type="dxa"/>
            <w:gridSpan w:val="2"/>
            <w:tcBorders>
              <w:top w:val="nil"/>
              <w:left w:val="nil"/>
              <w:bottom w:val="single" w:sz="4" w:space="0" w:color="auto"/>
              <w:right w:val="nil"/>
            </w:tcBorders>
            <w:vAlign w:val="center"/>
          </w:tcPr>
          <w:p w14:paraId="37FBF352" w14:textId="77777777" w:rsidR="00443002" w:rsidRPr="00470F40" w:rsidRDefault="00443002" w:rsidP="00443002">
            <w:pPr>
              <w:rPr>
                <w:b/>
              </w:rPr>
            </w:pPr>
          </w:p>
        </w:tc>
        <w:tc>
          <w:tcPr>
            <w:tcW w:w="2410" w:type="dxa"/>
            <w:tcBorders>
              <w:top w:val="nil"/>
              <w:left w:val="nil"/>
              <w:bottom w:val="single" w:sz="4" w:space="0" w:color="auto"/>
              <w:right w:val="nil"/>
            </w:tcBorders>
            <w:vAlign w:val="center"/>
          </w:tcPr>
          <w:p w14:paraId="57B250DA" w14:textId="77777777" w:rsidR="00443002" w:rsidRPr="00DF687E" w:rsidRDefault="00443002" w:rsidP="00443002">
            <w:r>
              <w:rPr>
                <w:sz w:val="22"/>
              </w:rPr>
              <w:t xml:space="preserve">% reporting reason </w:t>
            </w:r>
          </w:p>
        </w:tc>
      </w:tr>
      <w:tr w:rsidR="00443002" w:rsidRPr="00A5260C" w14:paraId="13244A14" w14:textId="77777777" w:rsidTr="00443002">
        <w:tc>
          <w:tcPr>
            <w:tcW w:w="4219" w:type="dxa"/>
            <w:gridSpan w:val="2"/>
            <w:tcBorders>
              <w:top w:val="nil"/>
              <w:left w:val="nil"/>
              <w:bottom w:val="nil"/>
              <w:right w:val="nil"/>
            </w:tcBorders>
            <w:vAlign w:val="bottom"/>
          </w:tcPr>
          <w:p w14:paraId="6E23D7E5" w14:textId="77777777" w:rsidR="00443002" w:rsidRPr="00A5260C" w:rsidRDefault="00443002" w:rsidP="00443002">
            <w:pPr>
              <w:spacing w:line="360" w:lineRule="auto"/>
              <w:rPr>
                <w:b/>
                <w:sz w:val="6"/>
              </w:rPr>
            </w:pPr>
            <w:r>
              <w:rPr>
                <w:b/>
                <w:sz w:val="22"/>
              </w:rPr>
              <w:t xml:space="preserve">Young people only </w:t>
            </w:r>
          </w:p>
        </w:tc>
        <w:tc>
          <w:tcPr>
            <w:tcW w:w="2410" w:type="dxa"/>
            <w:tcBorders>
              <w:top w:val="nil"/>
              <w:left w:val="nil"/>
              <w:bottom w:val="nil"/>
              <w:right w:val="nil"/>
            </w:tcBorders>
            <w:vAlign w:val="bottom"/>
          </w:tcPr>
          <w:p w14:paraId="701E5311"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56659C26"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7</w:t>
            </w:r>
            <w:r w:rsidRPr="004D5A7C">
              <w:rPr>
                <w:b/>
                <w:color w:val="FFFFFF" w:themeColor="background1"/>
                <w:szCs w:val="24"/>
              </w:rPr>
              <w:t xml:space="preserve"> </w:t>
            </w:r>
            <w:r w:rsidRPr="004D5A7C">
              <w:rPr>
                <w:b/>
                <w:szCs w:val="24"/>
              </w:rPr>
              <w:t>Studies</w:t>
            </w:r>
          </w:p>
        </w:tc>
      </w:tr>
      <w:tr w:rsidR="00443002" w:rsidRPr="005E3E31" w14:paraId="70FAF40C" w14:textId="77777777" w:rsidTr="00443002">
        <w:trPr>
          <w:trHeight w:val="282"/>
        </w:trPr>
        <w:tc>
          <w:tcPr>
            <w:tcW w:w="2518" w:type="dxa"/>
            <w:tcBorders>
              <w:top w:val="nil"/>
              <w:left w:val="nil"/>
              <w:bottom w:val="nil"/>
              <w:right w:val="nil"/>
            </w:tcBorders>
          </w:tcPr>
          <w:p w14:paraId="723AA6CC"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F1DCF87"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45AF4BC7" w14:textId="77777777" w:rsidR="00443002" w:rsidRPr="003D2159" w:rsidRDefault="00443002" w:rsidP="00443002">
            <w:pPr>
              <w:spacing w:line="360" w:lineRule="auto"/>
              <w:rPr>
                <w:sz w:val="20"/>
              </w:rPr>
            </w:pPr>
            <w:r>
              <w:rPr>
                <w:sz w:val="20"/>
              </w:rPr>
              <w:t>71</w:t>
            </w:r>
            <w:r w:rsidRPr="003D2159">
              <w:rPr>
                <w:sz w:val="20"/>
              </w:rPr>
              <w:t>%</w:t>
            </w:r>
          </w:p>
        </w:tc>
      </w:tr>
      <w:tr w:rsidR="00443002" w:rsidRPr="005E3E31" w14:paraId="7A137A41" w14:textId="77777777" w:rsidTr="00443002">
        <w:trPr>
          <w:trHeight w:val="282"/>
        </w:trPr>
        <w:tc>
          <w:tcPr>
            <w:tcW w:w="2518" w:type="dxa"/>
            <w:tcBorders>
              <w:top w:val="nil"/>
              <w:left w:val="nil"/>
              <w:bottom w:val="nil"/>
              <w:right w:val="nil"/>
            </w:tcBorders>
          </w:tcPr>
          <w:p w14:paraId="667159A2"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5887DA3"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00488B45" w14:textId="77777777" w:rsidR="00443002" w:rsidRPr="003D2159" w:rsidRDefault="00443002" w:rsidP="00443002">
            <w:pPr>
              <w:spacing w:line="360" w:lineRule="auto"/>
              <w:rPr>
                <w:sz w:val="20"/>
              </w:rPr>
            </w:pPr>
            <w:r>
              <w:rPr>
                <w:sz w:val="20"/>
              </w:rPr>
              <w:t xml:space="preserve">43 </w:t>
            </w:r>
            <w:r w:rsidRPr="003D2159">
              <w:rPr>
                <w:sz w:val="20"/>
              </w:rPr>
              <w:t>%</w:t>
            </w:r>
          </w:p>
        </w:tc>
      </w:tr>
      <w:tr w:rsidR="00443002" w:rsidRPr="005E3E31" w14:paraId="122251EA" w14:textId="77777777" w:rsidTr="00443002">
        <w:trPr>
          <w:trHeight w:val="282"/>
        </w:trPr>
        <w:tc>
          <w:tcPr>
            <w:tcW w:w="2518" w:type="dxa"/>
            <w:tcBorders>
              <w:top w:val="nil"/>
              <w:left w:val="nil"/>
              <w:bottom w:val="nil"/>
              <w:right w:val="nil"/>
            </w:tcBorders>
          </w:tcPr>
          <w:p w14:paraId="5846058D"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114FD6B4" w14:textId="77777777" w:rsidR="00443002" w:rsidRPr="005E3E31" w:rsidRDefault="00443002" w:rsidP="00443002">
            <w:pPr>
              <w:spacing w:line="360" w:lineRule="auto"/>
              <w:rPr>
                <w:sz w:val="22"/>
              </w:rPr>
            </w:pPr>
            <w:r>
              <w:rPr>
                <w:sz w:val="22"/>
              </w:rPr>
              <w:t>Safety</w:t>
            </w:r>
          </w:p>
        </w:tc>
        <w:tc>
          <w:tcPr>
            <w:tcW w:w="2410" w:type="dxa"/>
            <w:tcBorders>
              <w:top w:val="nil"/>
              <w:left w:val="nil"/>
              <w:bottom w:val="nil"/>
              <w:right w:val="nil"/>
            </w:tcBorders>
          </w:tcPr>
          <w:p w14:paraId="3EEC811F" w14:textId="77777777" w:rsidR="00443002" w:rsidRPr="003D2159" w:rsidRDefault="00443002" w:rsidP="00443002">
            <w:pPr>
              <w:spacing w:line="360" w:lineRule="auto"/>
              <w:rPr>
                <w:sz w:val="20"/>
              </w:rPr>
            </w:pPr>
            <w:r>
              <w:rPr>
                <w:sz w:val="20"/>
              </w:rPr>
              <w:t xml:space="preserve">43 </w:t>
            </w:r>
            <w:r w:rsidRPr="003D2159">
              <w:rPr>
                <w:sz w:val="20"/>
              </w:rPr>
              <w:t>%</w:t>
            </w:r>
          </w:p>
        </w:tc>
      </w:tr>
      <w:tr w:rsidR="00443002" w:rsidRPr="005E3E31" w14:paraId="3C3D8BBE" w14:textId="77777777" w:rsidTr="00443002">
        <w:trPr>
          <w:trHeight w:val="282"/>
        </w:trPr>
        <w:tc>
          <w:tcPr>
            <w:tcW w:w="2518" w:type="dxa"/>
            <w:tcBorders>
              <w:top w:val="nil"/>
              <w:left w:val="nil"/>
              <w:bottom w:val="nil"/>
              <w:right w:val="nil"/>
            </w:tcBorders>
          </w:tcPr>
          <w:p w14:paraId="49AD34B5"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14CBCE29"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69B0BC88" w14:textId="77777777" w:rsidR="00443002" w:rsidRPr="003D2159" w:rsidRDefault="00443002" w:rsidP="00443002">
            <w:pPr>
              <w:spacing w:line="360" w:lineRule="auto"/>
              <w:rPr>
                <w:sz w:val="20"/>
              </w:rPr>
            </w:pPr>
            <w:r>
              <w:rPr>
                <w:sz w:val="20"/>
              </w:rPr>
              <w:t xml:space="preserve">43 </w:t>
            </w:r>
            <w:r w:rsidRPr="003D2159">
              <w:rPr>
                <w:sz w:val="20"/>
              </w:rPr>
              <w:t>%</w:t>
            </w:r>
          </w:p>
        </w:tc>
      </w:tr>
      <w:tr w:rsidR="00443002" w:rsidRPr="005E3E31" w14:paraId="0D0C8C46" w14:textId="77777777" w:rsidTr="00443002">
        <w:trPr>
          <w:trHeight w:val="282"/>
        </w:trPr>
        <w:tc>
          <w:tcPr>
            <w:tcW w:w="2518" w:type="dxa"/>
            <w:tcBorders>
              <w:top w:val="nil"/>
              <w:left w:val="nil"/>
              <w:bottom w:val="single" w:sz="4" w:space="0" w:color="auto"/>
              <w:right w:val="nil"/>
            </w:tcBorders>
          </w:tcPr>
          <w:p w14:paraId="2026C5CD"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0A7F11C8" w14:textId="77777777" w:rsidR="00443002" w:rsidRPr="005E3E31" w:rsidRDefault="00443002" w:rsidP="00443002">
            <w:pPr>
              <w:spacing w:line="360" w:lineRule="auto"/>
              <w:rPr>
                <w:sz w:val="22"/>
              </w:rPr>
            </w:pPr>
            <w:r>
              <w:rPr>
                <w:sz w:val="22"/>
              </w:rPr>
              <w:t>Pleasure</w:t>
            </w:r>
            <w:r>
              <w:rPr>
                <w:sz w:val="22"/>
              </w:rPr>
              <w:br/>
            </w:r>
            <w:r w:rsidRPr="00EE6571">
              <w:rPr>
                <w:color w:val="FFFFFF" w:themeColor="background1"/>
                <w:sz w:val="6"/>
              </w:rPr>
              <w:t>n</w:t>
            </w:r>
          </w:p>
        </w:tc>
        <w:tc>
          <w:tcPr>
            <w:tcW w:w="2410" w:type="dxa"/>
            <w:tcBorders>
              <w:top w:val="nil"/>
              <w:left w:val="nil"/>
              <w:bottom w:val="single" w:sz="4" w:space="0" w:color="auto"/>
              <w:right w:val="nil"/>
            </w:tcBorders>
          </w:tcPr>
          <w:p w14:paraId="47D9E3FF" w14:textId="77777777" w:rsidR="00443002" w:rsidRPr="003D2159" w:rsidRDefault="00443002" w:rsidP="00443002">
            <w:pPr>
              <w:spacing w:line="360" w:lineRule="auto"/>
              <w:rPr>
                <w:sz w:val="20"/>
              </w:rPr>
            </w:pPr>
            <w:r>
              <w:rPr>
                <w:sz w:val="20"/>
              </w:rPr>
              <w:t xml:space="preserve">29 </w:t>
            </w:r>
            <w:r w:rsidRPr="003D2159">
              <w:rPr>
                <w:sz w:val="20"/>
              </w:rPr>
              <w:t>%</w:t>
            </w:r>
          </w:p>
        </w:tc>
      </w:tr>
      <w:tr w:rsidR="00443002" w:rsidRPr="00A5260C" w14:paraId="1686D6EB" w14:textId="77777777" w:rsidTr="00443002">
        <w:tc>
          <w:tcPr>
            <w:tcW w:w="4219" w:type="dxa"/>
            <w:gridSpan w:val="2"/>
            <w:tcBorders>
              <w:top w:val="nil"/>
              <w:left w:val="nil"/>
              <w:bottom w:val="nil"/>
              <w:right w:val="nil"/>
            </w:tcBorders>
            <w:vAlign w:val="bottom"/>
          </w:tcPr>
          <w:p w14:paraId="356E1CB7" w14:textId="77777777" w:rsidR="00443002" w:rsidRPr="00A5260C" w:rsidRDefault="00443002" w:rsidP="00443002">
            <w:pPr>
              <w:spacing w:line="360" w:lineRule="auto"/>
              <w:rPr>
                <w:b/>
                <w:sz w:val="6"/>
              </w:rPr>
            </w:pPr>
            <w:r>
              <w:rPr>
                <w:b/>
                <w:sz w:val="22"/>
              </w:rPr>
              <w:t xml:space="preserve">Adults (inc. young people) </w:t>
            </w:r>
          </w:p>
        </w:tc>
        <w:tc>
          <w:tcPr>
            <w:tcW w:w="2410" w:type="dxa"/>
            <w:tcBorders>
              <w:top w:val="nil"/>
              <w:left w:val="nil"/>
              <w:bottom w:val="nil"/>
              <w:right w:val="nil"/>
            </w:tcBorders>
            <w:vAlign w:val="bottom"/>
          </w:tcPr>
          <w:p w14:paraId="5C5076AA"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15E53DF7"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21</w:t>
            </w:r>
            <w:r w:rsidRPr="004D5A7C">
              <w:rPr>
                <w:b/>
                <w:color w:val="FFFFFF" w:themeColor="background1"/>
                <w:szCs w:val="24"/>
              </w:rPr>
              <w:t xml:space="preserve"> </w:t>
            </w:r>
            <w:r w:rsidRPr="004D5A7C">
              <w:rPr>
                <w:b/>
                <w:szCs w:val="24"/>
              </w:rPr>
              <w:t>Studies</w:t>
            </w:r>
          </w:p>
        </w:tc>
      </w:tr>
      <w:tr w:rsidR="00443002" w:rsidRPr="005E3E31" w14:paraId="2BDE5B37" w14:textId="77777777" w:rsidTr="00443002">
        <w:trPr>
          <w:trHeight w:val="282"/>
        </w:trPr>
        <w:tc>
          <w:tcPr>
            <w:tcW w:w="2518" w:type="dxa"/>
            <w:tcBorders>
              <w:top w:val="nil"/>
              <w:left w:val="nil"/>
              <w:bottom w:val="nil"/>
              <w:right w:val="nil"/>
            </w:tcBorders>
          </w:tcPr>
          <w:p w14:paraId="4DEFB2F6"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7FB16D0B"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54B12B7E" w14:textId="77777777" w:rsidR="00443002" w:rsidRPr="003D2159" w:rsidRDefault="00443002" w:rsidP="00443002">
            <w:pPr>
              <w:spacing w:line="360" w:lineRule="auto"/>
              <w:rPr>
                <w:sz w:val="20"/>
              </w:rPr>
            </w:pPr>
            <w:r>
              <w:rPr>
                <w:sz w:val="20"/>
              </w:rPr>
              <w:t xml:space="preserve">71 </w:t>
            </w:r>
            <w:r w:rsidRPr="003D2159">
              <w:rPr>
                <w:sz w:val="20"/>
              </w:rPr>
              <w:t>%</w:t>
            </w:r>
          </w:p>
        </w:tc>
      </w:tr>
      <w:tr w:rsidR="00443002" w:rsidRPr="005E3E31" w14:paraId="76782ED3" w14:textId="77777777" w:rsidTr="00443002">
        <w:trPr>
          <w:trHeight w:val="282"/>
        </w:trPr>
        <w:tc>
          <w:tcPr>
            <w:tcW w:w="2518" w:type="dxa"/>
            <w:tcBorders>
              <w:top w:val="nil"/>
              <w:left w:val="nil"/>
              <w:bottom w:val="nil"/>
              <w:right w:val="nil"/>
            </w:tcBorders>
          </w:tcPr>
          <w:p w14:paraId="0C5E09AD"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EA5EA46"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0E192A4B" w14:textId="77777777" w:rsidR="00443002" w:rsidRPr="003D2159" w:rsidRDefault="00443002" w:rsidP="00443002">
            <w:pPr>
              <w:spacing w:line="360" w:lineRule="auto"/>
              <w:rPr>
                <w:sz w:val="20"/>
              </w:rPr>
            </w:pPr>
            <w:r>
              <w:rPr>
                <w:sz w:val="20"/>
              </w:rPr>
              <w:t xml:space="preserve">62 </w:t>
            </w:r>
            <w:r w:rsidRPr="003D2159">
              <w:rPr>
                <w:sz w:val="20"/>
              </w:rPr>
              <w:t>%</w:t>
            </w:r>
          </w:p>
        </w:tc>
      </w:tr>
      <w:tr w:rsidR="00443002" w:rsidRPr="005E3E31" w14:paraId="44621B32" w14:textId="77777777" w:rsidTr="00443002">
        <w:trPr>
          <w:trHeight w:val="282"/>
        </w:trPr>
        <w:tc>
          <w:tcPr>
            <w:tcW w:w="2518" w:type="dxa"/>
            <w:tcBorders>
              <w:top w:val="nil"/>
              <w:left w:val="nil"/>
              <w:bottom w:val="nil"/>
              <w:right w:val="nil"/>
            </w:tcBorders>
          </w:tcPr>
          <w:p w14:paraId="7BA93B9A"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66072F7" w14:textId="77777777" w:rsidR="00443002" w:rsidRPr="005E3E31" w:rsidRDefault="00443002" w:rsidP="00443002">
            <w:pPr>
              <w:spacing w:line="360" w:lineRule="auto"/>
              <w:rPr>
                <w:sz w:val="22"/>
              </w:rPr>
            </w:pPr>
            <w:r>
              <w:rPr>
                <w:sz w:val="22"/>
              </w:rPr>
              <w:t>Curiosity</w:t>
            </w:r>
          </w:p>
        </w:tc>
        <w:tc>
          <w:tcPr>
            <w:tcW w:w="2410" w:type="dxa"/>
            <w:tcBorders>
              <w:top w:val="nil"/>
              <w:left w:val="nil"/>
              <w:bottom w:val="nil"/>
              <w:right w:val="nil"/>
            </w:tcBorders>
          </w:tcPr>
          <w:p w14:paraId="5D27367C" w14:textId="77777777" w:rsidR="00443002" w:rsidRPr="003D2159" w:rsidRDefault="00443002" w:rsidP="00443002">
            <w:pPr>
              <w:spacing w:line="360" w:lineRule="auto"/>
              <w:rPr>
                <w:sz w:val="20"/>
              </w:rPr>
            </w:pPr>
            <w:r>
              <w:rPr>
                <w:sz w:val="20"/>
              </w:rPr>
              <w:t xml:space="preserve">57 </w:t>
            </w:r>
            <w:r w:rsidRPr="003D2159">
              <w:rPr>
                <w:sz w:val="20"/>
              </w:rPr>
              <w:t>%</w:t>
            </w:r>
          </w:p>
        </w:tc>
      </w:tr>
      <w:tr w:rsidR="00443002" w:rsidRPr="005E3E31" w14:paraId="2F70EF81" w14:textId="77777777" w:rsidTr="00443002">
        <w:trPr>
          <w:trHeight w:val="282"/>
        </w:trPr>
        <w:tc>
          <w:tcPr>
            <w:tcW w:w="2518" w:type="dxa"/>
            <w:tcBorders>
              <w:top w:val="nil"/>
              <w:left w:val="nil"/>
              <w:bottom w:val="nil"/>
              <w:right w:val="nil"/>
            </w:tcBorders>
          </w:tcPr>
          <w:p w14:paraId="02BA3971"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3D3A4339"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7F31AAC3" w14:textId="77777777" w:rsidR="00443002" w:rsidRPr="003D2159" w:rsidRDefault="00443002" w:rsidP="00443002">
            <w:pPr>
              <w:spacing w:line="360" w:lineRule="auto"/>
              <w:rPr>
                <w:sz w:val="20"/>
              </w:rPr>
            </w:pPr>
            <w:r>
              <w:rPr>
                <w:sz w:val="20"/>
              </w:rPr>
              <w:t xml:space="preserve">57 </w:t>
            </w:r>
            <w:r w:rsidRPr="003D2159">
              <w:rPr>
                <w:sz w:val="20"/>
              </w:rPr>
              <w:t>%</w:t>
            </w:r>
          </w:p>
        </w:tc>
      </w:tr>
      <w:tr w:rsidR="00443002" w:rsidRPr="005E3E31" w14:paraId="45FD710E" w14:textId="77777777" w:rsidTr="00443002">
        <w:trPr>
          <w:trHeight w:val="282"/>
        </w:trPr>
        <w:tc>
          <w:tcPr>
            <w:tcW w:w="2518" w:type="dxa"/>
            <w:tcBorders>
              <w:top w:val="nil"/>
              <w:left w:val="nil"/>
              <w:bottom w:val="single" w:sz="4" w:space="0" w:color="auto"/>
              <w:right w:val="nil"/>
            </w:tcBorders>
          </w:tcPr>
          <w:p w14:paraId="1AA0FAA9"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2CBCF438" w14:textId="77777777" w:rsidR="00443002" w:rsidRPr="005E3E31" w:rsidRDefault="00443002" w:rsidP="00443002">
            <w:pPr>
              <w:spacing w:line="360" w:lineRule="auto"/>
              <w:rPr>
                <w:sz w:val="22"/>
              </w:rPr>
            </w:pPr>
            <w:r>
              <w:rPr>
                <w:sz w:val="22"/>
              </w:rPr>
              <w:t>Quality</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67F1E57A" w14:textId="77777777" w:rsidR="00443002" w:rsidRPr="003D2159" w:rsidRDefault="00443002" w:rsidP="00443002">
            <w:pPr>
              <w:spacing w:line="360" w:lineRule="auto"/>
              <w:rPr>
                <w:sz w:val="20"/>
              </w:rPr>
            </w:pPr>
            <w:r>
              <w:rPr>
                <w:sz w:val="20"/>
              </w:rPr>
              <w:t xml:space="preserve">38 </w:t>
            </w:r>
            <w:r w:rsidRPr="003D2159">
              <w:rPr>
                <w:sz w:val="20"/>
              </w:rPr>
              <w:t>%</w:t>
            </w:r>
          </w:p>
        </w:tc>
      </w:tr>
    </w:tbl>
    <w:p w14:paraId="26E709F8" w14:textId="77777777" w:rsidR="00443002" w:rsidRDefault="00443002" w:rsidP="00443002">
      <w:pPr>
        <w:spacing w:line="480" w:lineRule="auto"/>
      </w:pPr>
    </w:p>
    <w:p w14:paraId="08762772" w14:textId="72DC83B6" w:rsidR="00443002" w:rsidRDefault="00443002" w:rsidP="00C42A80">
      <w:pPr>
        <w:pStyle w:val="Heading3"/>
      </w:pPr>
      <w:bookmarkStart w:id="308" w:name="_Toc35892612"/>
      <w:bookmarkStart w:id="309" w:name="_Hlk6468998"/>
      <w:r>
        <w:t xml:space="preserve">Regional differences (see Table </w:t>
      </w:r>
      <w:r w:rsidR="00BC139F">
        <w:t>4-</w:t>
      </w:r>
      <w:r>
        <w:t>6)</w:t>
      </w:r>
      <w:bookmarkEnd w:id="308"/>
    </w:p>
    <w:p w14:paraId="37D3E44E" w14:textId="77777777" w:rsidR="00443002" w:rsidRPr="00BD00FC" w:rsidRDefault="00443002" w:rsidP="00443002">
      <w:pPr>
        <w:spacing w:line="480" w:lineRule="auto"/>
      </w:pPr>
      <w:r>
        <w:t xml:space="preserve">The distribution of reasons found in the UK studies shared a similar profile to those conducted in Europe (excluding the UK) which is in line with evidence that the UK and European NPS markets are highly interconnected (EMCDDA, 2018). In contrast, the most commonly reported reasons for use in the studies conducted outside of Europe and the UK differed noticeably. For UK based studies, drug-testing concerns and legal status appeared to be of little relevance, whereas for studies conducted predominantly in the USA, Australia and New Zealand, avoiding positive drug tests and legal penalties were reported as primary motives for the use of NPS. </w:t>
      </w:r>
    </w:p>
    <w:bookmarkEnd w:id="309"/>
    <w:p w14:paraId="69D3E4B8" w14:textId="77777777" w:rsidR="00BC139F" w:rsidRDefault="00BC139F">
      <w:pPr>
        <w:rPr>
          <w:b/>
        </w:rPr>
      </w:pPr>
      <w:r>
        <w:rPr>
          <w:b/>
        </w:rPr>
        <w:br w:type="page"/>
      </w:r>
    </w:p>
    <w:p w14:paraId="56EA5E66" w14:textId="274A560C" w:rsidR="00443002" w:rsidRPr="005E0305" w:rsidRDefault="00443002" w:rsidP="005E0305">
      <w:pPr>
        <w:pStyle w:val="TableHeader"/>
        <w:rPr>
          <w:b/>
        </w:rPr>
      </w:pPr>
      <w:bookmarkStart w:id="310" w:name="_Toc9509059"/>
      <w:r w:rsidRPr="005E0305">
        <w:rPr>
          <w:b/>
        </w:rPr>
        <w:t xml:space="preserve">Table </w:t>
      </w:r>
      <w:r w:rsidR="005E0305">
        <w:rPr>
          <w:b/>
        </w:rPr>
        <w:t>4-</w:t>
      </w:r>
      <w:r w:rsidRPr="005E0305">
        <w:rPr>
          <w:b/>
        </w:rPr>
        <w:t>6. Most commonly cited reasons for use by country</w:t>
      </w:r>
      <w:bookmarkEnd w:id="310"/>
      <w:r w:rsidRPr="005E0305">
        <w:rPr>
          <w:b/>
        </w:rPr>
        <w:t xml:space="preserve"> </w:t>
      </w:r>
    </w:p>
    <w:tbl>
      <w:tblPr>
        <w:tblStyle w:val="TableGrid"/>
        <w:tblW w:w="9039" w:type="dxa"/>
        <w:tblLayout w:type="fixed"/>
        <w:tblLook w:val="04A0" w:firstRow="1" w:lastRow="0" w:firstColumn="1" w:lastColumn="0" w:noHBand="0" w:noVBand="1"/>
      </w:tblPr>
      <w:tblGrid>
        <w:gridCol w:w="2518"/>
        <w:gridCol w:w="4111"/>
        <w:gridCol w:w="2410"/>
      </w:tblGrid>
      <w:tr w:rsidR="00443002" w:rsidRPr="00470F40" w14:paraId="0991D28C" w14:textId="77777777" w:rsidTr="00443002">
        <w:trPr>
          <w:trHeight w:val="366"/>
        </w:trPr>
        <w:tc>
          <w:tcPr>
            <w:tcW w:w="2518" w:type="dxa"/>
            <w:tcBorders>
              <w:top w:val="single" w:sz="4" w:space="0" w:color="auto"/>
              <w:left w:val="nil"/>
              <w:bottom w:val="nil"/>
              <w:right w:val="nil"/>
            </w:tcBorders>
            <w:vAlign w:val="center"/>
          </w:tcPr>
          <w:p w14:paraId="783455A1" w14:textId="77777777" w:rsidR="00443002" w:rsidRPr="00470F40" w:rsidRDefault="00443002" w:rsidP="00443002">
            <w:pPr>
              <w:rPr>
                <w:b/>
              </w:rPr>
            </w:pPr>
            <w:r>
              <w:rPr>
                <w:b/>
              </w:rPr>
              <w:t xml:space="preserve">Country/region </w:t>
            </w:r>
          </w:p>
        </w:tc>
        <w:tc>
          <w:tcPr>
            <w:tcW w:w="4111" w:type="dxa"/>
            <w:tcBorders>
              <w:top w:val="single" w:sz="4" w:space="0" w:color="auto"/>
              <w:left w:val="nil"/>
              <w:bottom w:val="nil"/>
              <w:right w:val="nil"/>
            </w:tcBorders>
            <w:vAlign w:val="center"/>
          </w:tcPr>
          <w:p w14:paraId="0AC5F4E2" w14:textId="77777777" w:rsidR="00443002" w:rsidRPr="00470F40" w:rsidRDefault="00443002" w:rsidP="00443002">
            <w:pPr>
              <w:rPr>
                <w:b/>
              </w:rPr>
            </w:pPr>
            <w:r>
              <w:rPr>
                <w:b/>
              </w:rPr>
              <w:t>Reason for use</w:t>
            </w:r>
          </w:p>
        </w:tc>
        <w:tc>
          <w:tcPr>
            <w:tcW w:w="2410" w:type="dxa"/>
            <w:tcBorders>
              <w:top w:val="single" w:sz="4" w:space="0" w:color="auto"/>
              <w:left w:val="nil"/>
              <w:bottom w:val="nil"/>
              <w:right w:val="nil"/>
            </w:tcBorders>
            <w:vAlign w:val="center"/>
          </w:tcPr>
          <w:p w14:paraId="67502B16" w14:textId="77777777" w:rsidR="00443002" w:rsidRPr="00470F40" w:rsidRDefault="00443002" w:rsidP="00443002">
            <w:pPr>
              <w:rPr>
                <w:b/>
              </w:rPr>
            </w:pPr>
            <w:r>
              <w:rPr>
                <w:b/>
              </w:rPr>
              <w:t xml:space="preserve">Number of studies </w:t>
            </w:r>
          </w:p>
        </w:tc>
      </w:tr>
      <w:tr w:rsidR="00443002" w:rsidRPr="00470F40" w14:paraId="50A1A81E" w14:textId="77777777" w:rsidTr="00443002">
        <w:trPr>
          <w:trHeight w:val="366"/>
        </w:trPr>
        <w:tc>
          <w:tcPr>
            <w:tcW w:w="2518" w:type="dxa"/>
            <w:tcBorders>
              <w:top w:val="nil"/>
              <w:left w:val="nil"/>
              <w:bottom w:val="single" w:sz="4" w:space="0" w:color="auto"/>
              <w:right w:val="nil"/>
            </w:tcBorders>
            <w:vAlign w:val="center"/>
          </w:tcPr>
          <w:p w14:paraId="3A46F963" w14:textId="77777777" w:rsidR="00443002" w:rsidRPr="00470F40" w:rsidRDefault="00443002" w:rsidP="00443002">
            <w:pPr>
              <w:rPr>
                <w:b/>
              </w:rPr>
            </w:pPr>
          </w:p>
        </w:tc>
        <w:tc>
          <w:tcPr>
            <w:tcW w:w="4111" w:type="dxa"/>
            <w:tcBorders>
              <w:top w:val="nil"/>
              <w:left w:val="nil"/>
              <w:bottom w:val="single" w:sz="4" w:space="0" w:color="auto"/>
              <w:right w:val="nil"/>
            </w:tcBorders>
            <w:vAlign w:val="center"/>
          </w:tcPr>
          <w:p w14:paraId="4FDA0B1A" w14:textId="77777777" w:rsidR="00443002" w:rsidRPr="00470F40" w:rsidRDefault="00443002" w:rsidP="00443002">
            <w:pPr>
              <w:rPr>
                <w:b/>
              </w:rPr>
            </w:pPr>
          </w:p>
        </w:tc>
        <w:tc>
          <w:tcPr>
            <w:tcW w:w="2410" w:type="dxa"/>
            <w:tcBorders>
              <w:top w:val="nil"/>
              <w:left w:val="nil"/>
              <w:bottom w:val="single" w:sz="4" w:space="0" w:color="auto"/>
              <w:right w:val="nil"/>
            </w:tcBorders>
            <w:vAlign w:val="center"/>
          </w:tcPr>
          <w:p w14:paraId="7AE8D0DD" w14:textId="77777777" w:rsidR="00443002" w:rsidRPr="00DF687E" w:rsidRDefault="00443002" w:rsidP="00443002">
            <w:r>
              <w:rPr>
                <w:sz w:val="22"/>
              </w:rPr>
              <w:t xml:space="preserve">% reporting reason </w:t>
            </w:r>
          </w:p>
        </w:tc>
      </w:tr>
      <w:tr w:rsidR="00443002" w:rsidRPr="00A5260C" w14:paraId="1AD92BCB" w14:textId="77777777" w:rsidTr="00443002">
        <w:tc>
          <w:tcPr>
            <w:tcW w:w="2518" w:type="dxa"/>
            <w:tcBorders>
              <w:top w:val="nil"/>
              <w:left w:val="nil"/>
              <w:bottom w:val="nil"/>
              <w:right w:val="nil"/>
            </w:tcBorders>
            <w:vAlign w:val="bottom"/>
          </w:tcPr>
          <w:p w14:paraId="64BB6E39" w14:textId="77777777" w:rsidR="00443002" w:rsidRPr="00A5260C" w:rsidRDefault="00443002" w:rsidP="00443002">
            <w:pPr>
              <w:spacing w:line="360" w:lineRule="auto"/>
              <w:rPr>
                <w:b/>
                <w:sz w:val="6"/>
              </w:rPr>
            </w:pPr>
            <w:r>
              <w:rPr>
                <w:b/>
                <w:sz w:val="22"/>
              </w:rPr>
              <w:t>United Kingdom</w:t>
            </w:r>
          </w:p>
        </w:tc>
        <w:tc>
          <w:tcPr>
            <w:tcW w:w="4111" w:type="dxa"/>
            <w:tcBorders>
              <w:top w:val="nil"/>
              <w:left w:val="nil"/>
              <w:bottom w:val="nil"/>
              <w:right w:val="nil"/>
            </w:tcBorders>
            <w:vAlign w:val="bottom"/>
          </w:tcPr>
          <w:p w14:paraId="05806D0F"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2AE47E97"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sidRPr="004D5A7C">
              <w:rPr>
                <w:b/>
                <w:szCs w:val="24"/>
              </w:rPr>
              <w:t>10</w:t>
            </w:r>
            <w:r w:rsidRPr="004D5A7C">
              <w:rPr>
                <w:b/>
                <w:color w:val="FFFFFF" w:themeColor="background1"/>
                <w:szCs w:val="24"/>
              </w:rPr>
              <w:t xml:space="preserve"> </w:t>
            </w:r>
            <w:r w:rsidRPr="004D5A7C">
              <w:rPr>
                <w:b/>
                <w:szCs w:val="24"/>
              </w:rPr>
              <w:t>Studies</w:t>
            </w:r>
          </w:p>
        </w:tc>
      </w:tr>
      <w:tr w:rsidR="00443002" w:rsidRPr="005E3E31" w14:paraId="5AAF0611" w14:textId="77777777" w:rsidTr="00443002">
        <w:trPr>
          <w:trHeight w:val="282"/>
        </w:trPr>
        <w:tc>
          <w:tcPr>
            <w:tcW w:w="2518" w:type="dxa"/>
            <w:tcBorders>
              <w:top w:val="nil"/>
              <w:left w:val="nil"/>
              <w:bottom w:val="nil"/>
              <w:right w:val="nil"/>
            </w:tcBorders>
          </w:tcPr>
          <w:p w14:paraId="1871C26C"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5F3C5B23"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29812682" w14:textId="77777777" w:rsidR="00443002" w:rsidRPr="003D2159" w:rsidRDefault="00443002" w:rsidP="00443002">
            <w:pPr>
              <w:spacing w:line="360" w:lineRule="auto"/>
              <w:rPr>
                <w:sz w:val="20"/>
              </w:rPr>
            </w:pPr>
            <w:r w:rsidRPr="003D2159">
              <w:rPr>
                <w:sz w:val="20"/>
              </w:rPr>
              <w:t>70</w:t>
            </w:r>
            <w:r>
              <w:rPr>
                <w:sz w:val="20"/>
              </w:rPr>
              <w:t xml:space="preserve"> </w:t>
            </w:r>
            <w:r w:rsidRPr="003D2159">
              <w:rPr>
                <w:sz w:val="20"/>
              </w:rPr>
              <w:t>%</w:t>
            </w:r>
          </w:p>
        </w:tc>
      </w:tr>
      <w:tr w:rsidR="00443002" w:rsidRPr="005E3E31" w14:paraId="1DE632C7" w14:textId="77777777" w:rsidTr="00443002">
        <w:trPr>
          <w:trHeight w:val="282"/>
        </w:trPr>
        <w:tc>
          <w:tcPr>
            <w:tcW w:w="2518" w:type="dxa"/>
            <w:tcBorders>
              <w:top w:val="nil"/>
              <w:left w:val="nil"/>
              <w:bottom w:val="nil"/>
              <w:right w:val="nil"/>
            </w:tcBorders>
          </w:tcPr>
          <w:p w14:paraId="0788A6E7"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20778E89"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25A3F477" w14:textId="77777777" w:rsidR="00443002" w:rsidRPr="003D2159" w:rsidRDefault="00443002" w:rsidP="00443002">
            <w:pPr>
              <w:spacing w:line="360" w:lineRule="auto"/>
              <w:rPr>
                <w:sz w:val="20"/>
              </w:rPr>
            </w:pPr>
            <w:r w:rsidRPr="003D2159">
              <w:rPr>
                <w:sz w:val="20"/>
              </w:rPr>
              <w:t>60</w:t>
            </w:r>
            <w:r>
              <w:rPr>
                <w:sz w:val="20"/>
              </w:rPr>
              <w:t xml:space="preserve"> </w:t>
            </w:r>
            <w:r w:rsidRPr="003D2159">
              <w:rPr>
                <w:sz w:val="20"/>
              </w:rPr>
              <w:t>%</w:t>
            </w:r>
          </w:p>
        </w:tc>
      </w:tr>
      <w:tr w:rsidR="00443002" w:rsidRPr="005E3E31" w14:paraId="273FC65C" w14:textId="77777777" w:rsidTr="00443002">
        <w:trPr>
          <w:trHeight w:val="282"/>
        </w:trPr>
        <w:tc>
          <w:tcPr>
            <w:tcW w:w="2518" w:type="dxa"/>
            <w:tcBorders>
              <w:top w:val="nil"/>
              <w:left w:val="nil"/>
              <w:bottom w:val="nil"/>
              <w:right w:val="nil"/>
            </w:tcBorders>
          </w:tcPr>
          <w:p w14:paraId="2336C2F4"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06E1C922" w14:textId="77777777" w:rsidR="00443002" w:rsidRPr="005E3E31" w:rsidRDefault="00443002" w:rsidP="00443002">
            <w:pPr>
              <w:spacing w:line="360" w:lineRule="auto"/>
              <w:rPr>
                <w:sz w:val="22"/>
              </w:rPr>
            </w:pPr>
            <w:r>
              <w:rPr>
                <w:sz w:val="22"/>
              </w:rPr>
              <w:t>Curiosity</w:t>
            </w:r>
          </w:p>
        </w:tc>
        <w:tc>
          <w:tcPr>
            <w:tcW w:w="2410" w:type="dxa"/>
            <w:tcBorders>
              <w:top w:val="nil"/>
              <w:left w:val="nil"/>
              <w:bottom w:val="nil"/>
              <w:right w:val="nil"/>
            </w:tcBorders>
          </w:tcPr>
          <w:p w14:paraId="1EEDE390" w14:textId="77777777" w:rsidR="00443002" w:rsidRPr="003D2159" w:rsidRDefault="00443002" w:rsidP="00443002">
            <w:pPr>
              <w:spacing w:line="360" w:lineRule="auto"/>
              <w:rPr>
                <w:sz w:val="20"/>
              </w:rPr>
            </w:pPr>
            <w:r w:rsidRPr="003D2159">
              <w:rPr>
                <w:sz w:val="20"/>
              </w:rPr>
              <w:t>50</w:t>
            </w:r>
            <w:r>
              <w:rPr>
                <w:sz w:val="20"/>
              </w:rPr>
              <w:t xml:space="preserve"> </w:t>
            </w:r>
            <w:r w:rsidRPr="003D2159">
              <w:rPr>
                <w:sz w:val="20"/>
              </w:rPr>
              <w:t>%</w:t>
            </w:r>
          </w:p>
        </w:tc>
      </w:tr>
      <w:tr w:rsidR="00443002" w:rsidRPr="005E3E31" w14:paraId="1CD74FE3" w14:textId="77777777" w:rsidTr="00443002">
        <w:trPr>
          <w:trHeight w:val="282"/>
        </w:trPr>
        <w:tc>
          <w:tcPr>
            <w:tcW w:w="2518" w:type="dxa"/>
            <w:tcBorders>
              <w:top w:val="nil"/>
              <w:left w:val="nil"/>
              <w:bottom w:val="nil"/>
              <w:right w:val="nil"/>
            </w:tcBorders>
          </w:tcPr>
          <w:p w14:paraId="54A96FFE"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033A4270"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6D136A06" w14:textId="77777777" w:rsidR="00443002" w:rsidRPr="003D2159" w:rsidRDefault="00443002" w:rsidP="00443002">
            <w:pPr>
              <w:spacing w:line="360" w:lineRule="auto"/>
              <w:rPr>
                <w:sz w:val="20"/>
              </w:rPr>
            </w:pPr>
            <w:r>
              <w:rPr>
                <w:sz w:val="20"/>
              </w:rPr>
              <w:t>4</w:t>
            </w:r>
            <w:r w:rsidRPr="003D2159">
              <w:rPr>
                <w:sz w:val="20"/>
              </w:rPr>
              <w:t>0</w:t>
            </w:r>
            <w:r>
              <w:rPr>
                <w:sz w:val="20"/>
              </w:rPr>
              <w:t xml:space="preserve"> </w:t>
            </w:r>
            <w:r w:rsidRPr="003D2159">
              <w:rPr>
                <w:sz w:val="20"/>
              </w:rPr>
              <w:t>%</w:t>
            </w:r>
          </w:p>
        </w:tc>
      </w:tr>
      <w:tr w:rsidR="00443002" w:rsidRPr="005E3E31" w14:paraId="44CD5992" w14:textId="77777777" w:rsidTr="00443002">
        <w:trPr>
          <w:trHeight w:val="282"/>
        </w:trPr>
        <w:tc>
          <w:tcPr>
            <w:tcW w:w="2518" w:type="dxa"/>
            <w:tcBorders>
              <w:top w:val="nil"/>
              <w:left w:val="nil"/>
              <w:bottom w:val="single" w:sz="4" w:space="0" w:color="auto"/>
              <w:right w:val="nil"/>
            </w:tcBorders>
          </w:tcPr>
          <w:p w14:paraId="0B206AA5" w14:textId="77777777" w:rsidR="00443002" w:rsidRPr="005E3E31" w:rsidRDefault="00443002" w:rsidP="00443002">
            <w:pPr>
              <w:spacing w:line="360" w:lineRule="auto"/>
              <w:rPr>
                <w:sz w:val="22"/>
              </w:rPr>
            </w:pPr>
          </w:p>
        </w:tc>
        <w:tc>
          <w:tcPr>
            <w:tcW w:w="4111" w:type="dxa"/>
            <w:tcBorders>
              <w:top w:val="nil"/>
              <w:left w:val="nil"/>
              <w:bottom w:val="single" w:sz="4" w:space="0" w:color="auto"/>
              <w:right w:val="nil"/>
            </w:tcBorders>
          </w:tcPr>
          <w:p w14:paraId="75A7F1BD" w14:textId="77777777" w:rsidR="00443002" w:rsidRPr="005E3E31" w:rsidRDefault="00443002" w:rsidP="00443002">
            <w:pPr>
              <w:spacing w:line="360" w:lineRule="auto"/>
              <w:rPr>
                <w:sz w:val="22"/>
              </w:rPr>
            </w:pPr>
            <w:r>
              <w:rPr>
                <w:sz w:val="22"/>
              </w:rPr>
              <w:t xml:space="preserve">Pleasure </w:t>
            </w:r>
          </w:p>
        </w:tc>
        <w:tc>
          <w:tcPr>
            <w:tcW w:w="2410" w:type="dxa"/>
            <w:tcBorders>
              <w:top w:val="nil"/>
              <w:left w:val="nil"/>
              <w:bottom w:val="single" w:sz="4" w:space="0" w:color="auto"/>
              <w:right w:val="nil"/>
            </w:tcBorders>
          </w:tcPr>
          <w:p w14:paraId="46F1C989" w14:textId="77777777" w:rsidR="00443002" w:rsidRPr="003D2159" w:rsidRDefault="00443002" w:rsidP="00443002">
            <w:pPr>
              <w:spacing w:line="360" w:lineRule="auto"/>
              <w:rPr>
                <w:sz w:val="20"/>
              </w:rPr>
            </w:pPr>
            <w:r w:rsidRPr="003D2159">
              <w:rPr>
                <w:sz w:val="20"/>
              </w:rPr>
              <w:t>40</w:t>
            </w:r>
            <w:r>
              <w:rPr>
                <w:sz w:val="20"/>
              </w:rPr>
              <w:t xml:space="preserve"> </w:t>
            </w:r>
            <w:r w:rsidRPr="003D2159">
              <w:rPr>
                <w:sz w:val="20"/>
              </w:rPr>
              <w:t>%</w:t>
            </w:r>
          </w:p>
        </w:tc>
      </w:tr>
      <w:tr w:rsidR="00443002" w:rsidRPr="00A5260C" w14:paraId="307B75DA" w14:textId="77777777" w:rsidTr="00443002">
        <w:tc>
          <w:tcPr>
            <w:tcW w:w="2518" w:type="dxa"/>
            <w:tcBorders>
              <w:top w:val="single" w:sz="4" w:space="0" w:color="auto"/>
              <w:left w:val="nil"/>
              <w:bottom w:val="nil"/>
              <w:right w:val="nil"/>
            </w:tcBorders>
            <w:vAlign w:val="bottom"/>
          </w:tcPr>
          <w:p w14:paraId="14F216D9" w14:textId="77777777" w:rsidR="00443002" w:rsidRPr="00A5260C" w:rsidRDefault="00443002" w:rsidP="00443002">
            <w:pPr>
              <w:spacing w:line="360" w:lineRule="auto"/>
              <w:rPr>
                <w:b/>
                <w:sz w:val="6"/>
              </w:rPr>
            </w:pPr>
            <w:r>
              <w:rPr>
                <w:b/>
                <w:sz w:val="22"/>
              </w:rPr>
              <w:t>Rest of Europe</w:t>
            </w:r>
          </w:p>
        </w:tc>
        <w:tc>
          <w:tcPr>
            <w:tcW w:w="4111" w:type="dxa"/>
            <w:tcBorders>
              <w:top w:val="single" w:sz="4" w:space="0" w:color="auto"/>
              <w:left w:val="nil"/>
              <w:bottom w:val="nil"/>
              <w:right w:val="nil"/>
            </w:tcBorders>
            <w:vAlign w:val="bottom"/>
          </w:tcPr>
          <w:p w14:paraId="26635062" w14:textId="77777777" w:rsidR="00443002" w:rsidRPr="00A5260C" w:rsidRDefault="00443002" w:rsidP="00443002">
            <w:pPr>
              <w:spacing w:line="360" w:lineRule="auto"/>
              <w:rPr>
                <w:b/>
                <w:sz w:val="20"/>
              </w:rPr>
            </w:pPr>
          </w:p>
        </w:tc>
        <w:tc>
          <w:tcPr>
            <w:tcW w:w="2410" w:type="dxa"/>
            <w:tcBorders>
              <w:top w:val="single" w:sz="4" w:space="0" w:color="auto"/>
              <w:left w:val="nil"/>
              <w:bottom w:val="nil"/>
              <w:right w:val="nil"/>
            </w:tcBorders>
            <w:vAlign w:val="bottom"/>
          </w:tcPr>
          <w:p w14:paraId="4B0F995E"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8</w:t>
            </w:r>
            <w:r w:rsidRPr="004D5A7C">
              <w:rPr>
                <w:b/>
                <w:color w:val="FFFFFF" w:themeColor="background1"/>
                <w:szCs w:val="24"/>
              </w:rPr>
              <w:t xml:space="preserve"> </w:t>
            </w:r>
            <w:r w:rsidRPr="004D5A7C">
              <w:rPr>
                <w:b/>
                <w:szCs w:val="24"/>
              </w:rPr>
              <w:t>Studies</w:t>
            </w:r>
          </w:p>
        </w:tc>
      </w:tr>
      <w:tr w:rsidR="00443002" w:rsidRPr="005E3E31" w14:paraId="02E3BBB7" w14:textId="77777777" w:rsidTr="00443002">
        <w:trPr>
          <w:trHeight w:val="282"/>
        </w:trPr>
        <w:tc>
          <w:tcPr>
            <w:tcW w:w="2518" w:type="dxa"/>
            <w:tcBorders>
              <w:top w:val="nil"/>
              <w:left w:val="nil"/>
              <w:bottom w:val="nil"/>
              <w:right w:val="nil"/>
            </w:tcBorders>
          </w:tcPr>
          <w:p w14:paraId="0B6509B6"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3E32329B" w14:textId="77777777" w:rsidR="00443002" w:rsidRPr="005E3E31" w:rsidRDefault="00443002" w:rsidP="00443002">
            <w:pPr>
              <w:spacing w:line="360" w:lineRule="auto"/>
              <w:rPr>
                <w:sz w:val="22"/>
              </w:rPr>
            </w:pPr>
            <w:r>
              <w:rPr>
                <w:sz w:val="22"/>
              </w:rPr>
              <w:t xml:space="preserve">Accessibility </w:t>
            </w:r>
          </w:p>
        </w:tc>
        <w:tc>
          <w:tcPr>
            <w:tcW w:w="2410" w:type="dxa"/>
            <w:tcBorders>
              <w:top w:val="nil"/>
              <w:left w:val="nil"/>
              <w:bottom w:val="nil"/>
              <w:right w:val="nil"/>
            </w:tcBorders>
          </w:tcPr>
          <w:p w14:paraId="26CC3396" w14:textId="77777777" w:rsidR="00443002" w:rsidRPr="003D2159" w:rsidRDefault="00443002" w:rsidP="00443002">
            <w:pPr>
              <w:spacing w:line="360" w:lineRule="auto"/>
              <w:rPr>
                <w:sz w:val="20"/>
              </w:rPr>
            </w:pPr>
            <w:r>
              <w:rPr>
                <w:sz w:val="20"/>
              </w:rPr>
              <w:t xml:space="preserve">88 </w:t>
            </w:r>
            <w:r w:rsidRPr="003D2159">
              <w:rPr>
                <w:sz w:val="20"/>
              </w:rPr>
              <w:t>%</w:t>
            </w:r>
          </w:p>
        </w:tc>
      </w:tr>
      <w:tr w:rsidR="00443002" w:rsidRPr="005E3E31" w14:paraId="4D0904AC" w14:textId="77777777" w:rsidTr="00443002">
        <w:trPr>
          <w:trHeight w:val="282"/>
        </w:trPr>
        <w:tc>
          <w:tcPr>
            <w:tcW w:w="2518" w:type="dxa"/>
            <w:tcBorders>
              <w:top w:val="nil"/>
              <w:left w:val="nil"/>
              <w:bottom w:val="nil"/>
              <w:right w:val="nil"/>
            </w:tcBorders>
          </w:tcPr>
          <w:p w14:paraId="75A51420"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5901F5C1"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3B3DCDB2" w14:textId="77777777" w:rsidR="00443002" w:rsidRPr="003D2159" w:rsidRDefault="00443002" w:rsidP="00443002">
            <w:pPr>
              <w:spacing w:line="360" w:lineRule="auto"/>
              <w:rPr>
                <w:sz w:val="20"/>
              </w:rPr>
            </w:pPr>
            <w:r>
              <w:rPr>
                <w:sz w:val="20"/>
              </w:rPr>
              <w:t xml:space="preserve">63 </w:t>
            </w:r>
            <w:r w:rsidRPr="003D2159">
              <w:rPr>
                <w:sz w:val="20"/>
              </w:rPr>
              <w:t>%</w:t>
            </w:r>
          </w:p>
        </w:tc>
      </w:tr>
      <w:tr w:rsidR="00443002" w:rsidRPr="005E3E31" w14:paraId="35799A38" w14:textId="77777777" w:rsidTr="00443002">
        <w:trPr>
          <w:trHeight w:val="282"/>
        </w:trPr>
        <w:tc>
          <w:tcPr>
            <w:tcW w:w="2518" w:type="dxa"/>
            <w:tcBorders>
              <w:top w:val="nil"/>
              <w:left w:val="nil"/>
              <w:bottom w:val="nil"/>
              <w:right w:val="nil"/>
            </w:tcBorders>
          </w:tcPr>
          <w:p w14:paraId="6E05209C"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55C0F09D"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65DB9F42" w14:textId="77777777" w:rsidR="00443002" w:rsidRPr="003D2159" w:rsidRDefault="00443002" w:rsidP="00443002">
            <w:pPr>
              <w:spacing w:line="360" w:lineRule="auto"/>
              <w:rPr>
                <w:sz w:val="20"/>
              </w:rPr>
            </w:pPr>
            <w:r>
              <w:rPr>
                <w:sz w:val="20"/>
              </w:rPr>
              <w:t xml:space="preserve">50 </w:t>
            </w:r>
            <w:r w:rsidRPr="003D2159">
              <w:rPr>
                <w:sz w:val="20"/>
              </w:rPr>
              <w:t>%</w:t>
            </w:r>
          </w:p>
        </w:tc>
      </w:tr>
      <w:tr w:rsidR="00443002" w:rsidRPr="005E3E31" w14:paraId="0CF7C26B" w14:textId="77777777" w:rsidTr="00443002">
        <w:trPr>
          <w:trHeight w:val="282"/>
        </w:trPr>
        <w:tc>
          <w:tcPr>
            <w:tcW w:w="2518" w:type="dxa"/>
            <w:tcBorders>
              <w:top w:val="nil"/>
              <w:left w:val="nil"/>
              <w:bottom w:val="nil"/>
              <w:right w:val="nil"/>
            </w:tcBorders>
          </w:tcPr>
          <w:p w14:paraId="151E17C2"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3E8236E8" w14:textId="77777777" w:rsidR="00443002" w:rsidRPr="005E3E31" w:rsidRDefault="00443002" w:rsidP="00443002">
            <w:pPr>
              <w:spacing w:line="360" w:lineRule="auto"/>
              <w:rPr>
                <w:sz w:val="22"/>
              </w:rPr>
            </w:pPr>
            <w:r>
              <w:rPr>
                <w:sz w:val="22"/>
              </w:rPr>
              <w:t xml:space="preserve">Quality </w:t>
            </w:r>
          </w:p>
        </w:tc>
        <w:tc>
          <w:tcPr>
            <w:tcW w:w="2410" w:type="dxa"/>
            <w:tcBorders>
              <w:top w:val="nil"/>
              <w:left w:val="nil"/>
              <w:bottom w:val="nil"/>
              <w:right w:val="nil"/>
            </w:tcBorders>
          </w:tcPr>
          <w:p w14:paraId="24813C6C" w14:textId="77777777" w:rsidR="00443002" w:rsidRPr="003D2159" w:rsidRDefault="00443002" w:rsidP="00443002">
            <w:pPr>
              <w:spacing w:line="360" w:lineRule="auto"/>
              <w:rPr>
                <w:sz w:val="20"/>
              </w:rPr>
            </w:pPr>
            <w:r>
              <w:rPr>
                <w:sz w:val="20"/>
              </w:rPr>
              <w:t>38</w:t>
            </w:r>
            <w:r w:rsidRPr="003D2159">
              <w:rPr>
                <w:sz w:val="20"/>
              </w:rPr>
              <w:t>%</w:t>
            </w:r>
          </w:p>
        </w:tc>
      </w:tr>
      <w:tr w:rsidR="00443002" w:rsidRPr="005E3E31" w14:paraId="6ED26D54" w14:textId="77777777" w:rsidTr="00443002">
        <w:trPr>
          <w:trHeight w:val="282"/>
        </w:trPr>
        <w:tc>
          <w:tcPr>
            <w:tcW w:w="2518" w:type="dxa"/>
            <w:tcBorders>
              <w:top w:val="nil"/>
              <w:left w:val="nil"/>
              <w:bottom w:val="single" w:sz="4" w:space="0" w:color="auto"/>
              <w:right w:val="nil"/>
            </w:tcBorders>
          </w:tcPr>
          <w:p w14:paraId="17EA4BC7" w14:textId="77777777" w:rsidR="00443002" w:rsidRPr="005E3E31" w:rsidRDefault="00443002" w:rsidP="00443002">
            <w:pPr>
              <w:spacing w:line="360" w:lineRule="auto"/>
              <w:rPr>
                <w:sz w:val="22"/>
              </w:rPr>
            </w:pPr>
          </w:p>
        </w:tc>
        <w:tc>
          <w:tcPr>
            <w:tcW w:w="4111" w:type="dxa"/>
            <w:tcBorders>
              <w:top w:val="nil"/>
              <w:left w:val="nil"/>
              <w:bottom w:val="single" w:sz="4" w:space="0" w:color="auto"/>
              <w:right w:val="nil"/>
            </w:tcBorders>
          </w:tcPr>
          <w:p w14:paraId="1269E105" w14:textId="77777777" w:rsidR="00443002" w:rsidRPr="005E3E31" w:rsidRDefault="00443002" w:rsidP="00443002">
            <w:pPr>
              <w:spacing w:line="360" w:lineRule="auto"/>
              <w:rPr>
                <w:sz w:val="22"/>
              </w:rPr>
            </w:pPr>
            <w:r>
              <w:rPr>
                <w:sz w:val="22"/>
              </w:rPr>
              <w:t>Curiosity</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02EA3A7D" w14:textId="77777777" w:rsidR="00443002" w:rsidRPr="003D2159" w:rsidRDefault="00443002" w:rsidP="00443002">
            <w:pPr>
              <w:spacing w:line="360" w:lineRule="auto"/>
              <w:rPr>
                <w:sz w:val="20"/>
              </w:rPr>
            </w:pPr>
            <w:r>
              <w:rPr>
                <w:sz w:val="20"/>
              </w:rPr>
              <w:t xml:space="preserve">38 </w:t>
            </w:r>
            <w:r w:rsidRPr="003D2159">
              <w:rPr>
                <w:sz w:val="20"/>
              </w:rPr>
              <w:t>%</w:t>
            </w:r>
          </w:p>
        </w:tc>
      </w:tr>
      <w:tr w:rsidR="00443002" w:rsidRPr="00A5260C" w14:paraId="7AB8CB68" w14:textId="77777777" w:rsidTr="00443002">
        <w:tc>
          <w:tcPr>
            <w:tcW w:w="6629" w:type="dxa"/>
            <w:gridSpan w:val="2"/>
            <w:tcBorders>
              <w:top w:val="nil"/>
              <w:left w:val="nil"/>
              <w:bottom w:val="nil"/>
              <w:right w:val="nil"/>
            </w:tcBorders>
            <w:vAlign w:val="bottom"/>
          </w:tcPr>
          <w:p w14:paraId="19B917E5" w14:textId="77777777" w:rsidR="00443002" w:rsidRPr="00A5260C" w:rsidRDefault="00443002" w:rsidP="00443002">
            <w:pPr>
              <w:spacing w:line="360" w:lineRule="auto"/>
              <w:rPr>
                <w:b/>
                <w:sz w:val="20"/>
              </w:rPr>
            </w:pPr>
            <w:r>
              <w:rPr>
                <w:b/>
                <w:sz w:val="22"/>
              </w:rPr>
              <w:t>Non-EU</w:t>
            </w:r>
          </w:p>
        </w:tc>
        <w:tc>
          <w:tcPr>
            <w:tcW w:w="2410" w:type="dxa"/>
            <w:tcBorders>
              <w:top w:val="nil"/>
              <w:left w:val="nil"/>
              <w:bottom w:val="nil"/>
              <w:right w:val="nil"/>
            </w:tcBorders>
          </w:tcPr>
          <w:p w14:paraId="6CD677A4"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11</w:t>
            </w:r>
            <w:r w:rsidRPr="004D5A7C">
              <w:rPr>
                <w:b/>
                <w:color w:val="FFFFFF" w:themeColor="background1"/>
                <w:szCs w:val="24"/>
              </w:rPr>
              <w:t xml:space="preserve"> </w:t>
            </w:r>
            <w:r w:rsidRPr="004D5A7C">
              <w:rPr>
                <w:b/>
                <w:szCs w:val="24"/>
              </w:rPr>
              <w:t>Studies</w:t>
            </w:r>
          </w:p>
        </w:tc>
      </w:tr>
      <w:tr w:rsidR="00443002" w:rsidRPr="005E3E31" w14:paraId="7400C6D1" w14:textId="77777777" w:rsidTr="00443002">
        <w:trPr>
          <w:trHeight w:val="282"/>
        </w:trPr>
        <w:tc>
          <w:tcPr>
            <w:tcW w:w="2518" w:type="dxa"/>
            <w:tcBorders>
              <w:top w:val="nil"/>
              <w:left w:val="nil"/>
              <w:bottom w:val="nil"/>
              <w:right w:val="nil"/>
            </w:tcBorders>
          </w:tcPr>
          <w:p w14:paraId="1E60464D"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6E75B2A4"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34532009" w14:textId="77777777" w:rsidR="00443002" w:rsidRPr="003D2159" w:rsidRDefault="00443002" w:rsidP="00443002">
            <w:pPr>
              <w:spacing w:line="360" w:lineRule="auto"/>
              <w:rPr>
                <w:sz w:val="20"/>
              </w:rPr>
            </w:pPr>
            <w:r>
              <w:rPr>
                <w:sz w:val="20"/>
              </w:rPr>
              <w:t xml:space="preserve">73 </w:t>
            </w:r>
            <w:r w:rsidRPr="003D2159">
              <w:rPr>
                <w:sz w:val="20"/>
              </w:rPr>
              <w:t>%</w:t>
            </w:r>
          </w:p>
        </w:tc>
      </w:tr>
      <w:tr w:rsidR="00443002" w:rsidRPr="005E3E31" w14:paraId="58F3C7F9" w14:textId="77777777" w:rsidTr="00443002">
        <w:trPr>
          <w:trHeight w:val="282"/>
        </w:trPr>
        <w:tc>
          <w:tcPr>
            <w:tcW w:w="2518" w:type="dxa"/>
            <w:tcBorders>
              <w:top w:val="nil"/>
              <w:left w:val="nil"/>
              <w:bottom w:val="nil"/>
              <w:right w:val="nil"/>
            </w:tcBorders>
          </w:tcPr>
          <w:p w14:paraId="5CD8400D"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6F1E23F0" w14:textId="77777777" w:rsidR="00443002" w:rsidRPr="005E3E31" w:rsidRDefault="00443002" w:rsidP="00443002">
            <w:pPr>
              <w:spacing w:line="360" w:lineRule="auto"/>
              <w:rPr>
                <w:sz w:val="22"/>
              </w:rPr>
            </w:pPr>
            <w:r>
              <w:rPr>
                <w:sz w:val="22"/>
              </w:rPr>
              <w:t>Not detected in drug tests</w:t>
            </w:r>
          </w:p>
        </w:tc>
        <w:tc>
          <w:tcPr>
            <w:tcW w:w="2410" w:type="dxa"/>
            <w:tcBorders>
              <w:top w:val="nil"/>
              <w:left w:val="nil"/>
              <w:bottom w:val="nil"/>
              <w:right w:val="nil"/>
            </w:tcBorders>
          </w:tcPr>
          <w:p w14:paraId="725599A2" w14:textId="77777777" w:rsidR="00443002" w:rsidRPr="003D2159" w:rsidRDefault="00443002" w:rsidP="00443002">
            <w:pPr>
              <w:spacing w:line="360" w:lineRule="auto"/>
              <w:rPr>
                <w:sz w:val="20"/>
              </w:rPr>
            </w:pPr>
            <w:r>
              <w:rPr>
                <w:sz w:val="20"/>
              </w:rPr>
              <w:t xml:space="preserve">64 </w:t>
            </w:r>
            <w:r w:rsidRPr="003D2159">
              <w:rPr>
                <w:sz w:val="20"/>
              </w:rPr>
              <w:t>%</w:t>
            </w:r>
          </w:p>
        </w:tc>
      </w:tr>
      <w:tr w:rsidR="00443002" w:rsidRPr="005E3E31" w14:paraId="489F7170" w14:textId="77777777" w:rsidTr="00443002">
        <w:trPr>
          <w:trHeight w:val="282"/>
        </w:trPr>
        <w:tc>
          <w:tcPr>
            <w:tcW w:w="2518" w:type="dxa"/>
            <w:tcBorders>
              <w:top w:val="nil"/>
              <w:left w:val="nil"/>
              <w:bottom w:val="nil"/>
              <w:right w:val="nil"/>
            </w:tcBorders>
          </w:tcPr>
          <w:p w14:paraId="1B4B797F"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3980AF0A"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18C7EB6D" w14:textId="77777777" w:rsidR="00443002" w:rsidRPr="003D2159" w:rsidRDefault="00443002" w:rsidP="00443002">
            <w:pPr>
              <w:spacing w:line="360" w:lineRule="auto"/>
              <w:rPr>
                <w:sz w:val="20"/>
              </w:rPr>
            </w:pPr>
            <w:r>
              <w:rPr>
                <w:sz w:val="20"/>
              </w:rPr>
              <w:t xml:space="preserve">64 </w:t>
            </w:r>
            <w:r w:rsidRPr="003D2159">
              <w:rPr>
                <w:sz w:val="20"/>
              </w:rPr>
              <w:t>%</w:t>
            </w:r>
          </w:p>
        </w:tc>
      </w:tr>
      <w:tr w:rsidR="00443002" w:rsidRPr="005E3E31" w14:paraId="1DC11456" w14:textId="77777777" w:rsidTr="00443002">
        <w:trPr>
          <w:trHeight w:val="282"/>
        </w:trPr>
        <w:tc>
          <w:tcPr>
            <w:tcW w:w="2518" w:type="dxa"/>
            <w:tcBorders>
              <w:top w:val="nil"/>
              <w:left w:val="nil"/>
              <w:bottom w:val="nil"/>
              <w:right w:val="nil"/>
            </w:tcBorders>
          </w:tcPr>
          <w:p w14:paraId="27CFC269" w14:textId="77777777" w:rsidR="00443002" w:rsidRPr="005E3E31" w:rsidRDefault="00443002" w:rsidP="00443002">
            <w:pPr>
              <w:spacing w:line="360" w:lineRule="auto"/>
              <w:rPr>
                <w:sz w:val="22"/>
              </w:rPr>
            </w:pPr>
          </w:p>
        </w:tc>
        <w:tc>
          <w:tcPr>
            <w:tcW w:w="4111" w:type="dxa"/>
            <w:tcBorders>
              <w:top w:val="nil"/>
              <w:left w:val="nil"/>
              <w:bottom w:val="nil"/>
              <w:right w:val="nil"/>
            </w:tcBorders>
          </w:tcPr>
          <w:p w14:paraId="6861FF1F" w14:textId="77777777" w:rsidR="00443002" w:rsidRPr="005E3E31" w:rsidRDefault="00443002" w:rsidP="00443002">
            <w:pPr>
              <w:spacing w:line="360" w:lineRule="auto"/>
              <w:rPr>
                <w:sz w:val="22"/>
              </w:rPr>
            </w:pPr>
            <w:r>
              <w:rPr>
                <w:sz w:val="22"/>
              </w:rPr>
              <w:t>Curiosity</w:t>
            </w:r>
          </w:p>
        </w:tc>
        <w:tc>
          <w:tcPr>
            <w:tcW w:w="2410" w:type="dxa"/>
            <w:tcBorders>
              <w:top w:val="nil"/>
              <w:left w:val="nil"/>
              <w:bottom w:val="nil"/>
              <w:right w:val="nil"/>
            </w:tcBorders>
          </w:tcPr>
          <w:p w14:paraId="12854552" w14:textId="77777777" w:rsidR="00443002" w:rsidRPr="003D2159" w:rsidRDefault="00443002" w:rsidP="00443002">
            <w:pPr>
              <w:spacing w:line="360" w:lineRule="auto"/>
              <w:rPr>
                <w:sz w:val="20"/>
              </w:rPr>
            </w:pPr>
            <w:r>
              <w:rPr>
                <w:sz w:val="20"/>
              </w:rPr>
              <w:t xml:space="preserve">55 </w:t>
            </w:r>
            <w:r w:rsidRPr="003D2159">
              <w:rPr>
                <w:sz w:val="20"/>
              </w:rPr>
              <w:t>%</w:t>
            </w:r>
          </w:p>
        </w:tc>
      </w:tr>
      <w:tr w:rsidR="00443002" w:rsidRPr="005E3E31" w14:paraId="7B127519" w14:textId="77777777" w:rsidTr="00443002">
        <w:trPr>
          <w:trHeight w:val="282"/>
        </w:trPr>
        <w:tc>
          <w:tcPr>
            <w:tcW w:w="2518" w:type="dxa"/>
            <w:tcBorders>
              <w:top w:val="nil"/>
              <w:left w:val="nil"/>
              <w:bottom w:val="single" w:sz="4" w:space="0" w:color="auto"/>
              <w:right w:val="nil"/>
            </w:tcBorders>
          </w:tcPr>
          <w:p w14:paraId="1335EDE7" w14:textId="77777777" w:rsidR="00443002" w:rsidRPr="005E3E31" w:rsidRDefault="00443002" w:rsidP="00443002">
            <w:pPr>
              <w:spacing w:line="360" w:lineRule="auto"/>
              <w:rPr>
                <w:sz w:val="22"/>
              </w:rPr>
            </w:pPr>
          </w:p>
        </w:tc>
        <w:tc>
          <w:tcPr>
            <w:tcW w:w="4111" w:type="dxa"/>
            <w:tcBorders>
              <w:top w:val="nil"/>
              <w:left w:val="nil"/>
              <w:bottom w:val="single" w:sz="4" w:space="0" w:color="auto"/>
              <w:right w:val="nil"/>
            </w:tcBorders>
          </w:tcPr>
          <w:p w14:paraId="16F47569" w14:textId="77777777" w:rsidR="00443002" w:rsidRPr="005E3E31" w:rsidRDefault="00443002" w:rsidP="00443002">
            <w:pPr>
              <w:spacing w:line="360" w:lineRule="auto"/>
              <w:rPr>
                <w:sz w:val="22"/>
              </w:rPr>
            </w:pPr>
            <w:r>
              <w:rPr>
                <w:sz w:val="22"/>
              </w:rPr>
              <w:t>Legal reasons</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3B49035A" w14:textId="77777777" w:rsidR="00443002" w:rsidRPr="003D2159" w:rsidRDefault="00443002" w:rsidP="00443002">
            <w:pPr>
              <w:spacing w:line="360" w:lineRule="auto"/>
              <w:rPr>
                <w:sz w:val="20"/>
              </w:rPr>
            </w:pPr>
            <w:r>
              <w:rPr>
                <w:sz w:val="20"/>
              </w:rPr>
              <w:t xml:space="preserve">45 </w:t>
            </w:r>
            <w:r w:rsidRPr="003D2159">
              <w:rPr>
                <w:sz w:val="20"/>
              </w:rPr>
              <w:t>%</w:t>
            </w:r>
          </w:p>
        </w:tc>
      </w:tr>
    </w:tbl>
    <w:p w14:paraId="0E234562" w14:textId="221641BC" w:rsidR="00443002" w:rsidRDefault="00443002" w:rsidP="00C42A80">
      <w:pPr>
        <w:pStyle w:val="Heading3"/>
      </w:pPr>
      <w:bookmarkStart w:id="311" w:name="_Toc35892613"/>
      <w:r>
        <w:t xml:space="preserve">Type of substance (see Table </w:t>
      </w:r>
      <w:r w:rsidR="00BC139F">
        <w:t>4-</w:t>
      </w:r>
      <w:r>
        <w:t>7)</w:t>
      </w:r>
      <w:bookmarkEnd w:id="311"/>
    </w:p>
    <w:p w14:paraId="7A297978" w14:textId="6C3ED156" w:rsidR="00443002" w:rsidRDefault="00443002" w:rsidP="00443002">
      <w:pPr>
        <w:spacing w:line="480" w:lineRule="auto"/>
      </w:pPr>
      <w:r>
        <w:t xml:space="preserve">There were 8 studies included in this review that focused on use of legal highs and NPS more generally, rather than specific named substances. Of these studies, 5 were based in the UK </w:t>
      </w:r>
      <w:r w:rsidRPr="001D6C29">
        <w:t>(Barnard et. al., 2014</w:t>
      </w:r>
      <w:r>
        <w:t xml:space="preserve">; </w:t>
      </w:r>
      <w:r w:rsidRPr="001D6C29">
        <w:t>Corazza et. al., 2014</w:t>
      </w:r>
      <w:r>
        <w:t xml:space="preserve">; </w:t>
      </w:r>
      <w:r w:rsidRPr="001D6C29">
        <w:t>Norman et. al., 2014</w:t>
      </w:r>
      <w:r>
        <w:t xml:space="preserve">; </w:t>
      </w:r>
      <w:r w:rsidRPr="001D6C29">
        <w:t>O'Brien et. al., 201</w:t>
      </w:r>
      <w:r>
        <w:t xml:space="preserve">5; </w:t>
      </w:r>
      <w:r w:rsidRPr="001D6C29">
        <w:t>Rees et. al., 2015)</w:t>
      </w:r>
      <w:r>
        <w:t xml:space="preserve">, 2 in the </w:t>
      </w:r>
      <w:r w:rsidR="00A868BB">
        <w:t>R</w:t>
      </w:r>
      <w:r>
        <w:t>epublic of Ireland (</w:t>
      </w:r>
      <w:r w:rsidRPr="001D6C29">
        <w:t>Kelleher et al., 2011</w:t>
      </w:r>
      <w:r>
        <w:t xml:space="preserve">; </w:t>
      </w:r>
      <w:r w:rsidRPr="001D6C29">
        <w:t>Van Hout &amp; Brennan, 2011</w:t>
      </w:r>
      <w:r>
        <w:t xml:space="preserve">) and 1 in the Netherlands </w:t>
      </w:r>
      <w:r w:rsidRPr="001D6C29">
        <w:t>(van Amsterdam et. al., 2015)</w:t>
      </w:r>
      <w:r>
        <w:t>. Each of the studies included young people within their samples but only one focused specifically on young people. Compared to the overall sample, within the studies that examined the broad category of legal highs/NPS rather than specific substances, the salience of safety perceptions as a reason for use appeared greater. In addition, users of legal highs/NPS were more likely to cite curiosity as a reason for use, which appeared to reflect the greater inclusion of drug-naïve users within the samples of studies asking questions about these groups of substances.</w:t>
      </w:r>
    </w:p>
    <w:p w14:paraId="2425EBA1" w14:textId="40F1C31C" w:rsidR="00443002" w:rsidRDefault="00443002" w:rsidP="00443002">
      <w:pPr>
        <w:spacing w:line="480" w:lineRule="auto"/>
      </w:pPr>
      <w:r>
        <w:t>In contrast, studies exploring people’s reasons for using specific types of NPS, such as synthetic cannabinoids and cathinones, did not highlight safety reasons or curiosity as especially important. Users of synthetic cannabinoids were found to prioritise the desire to avoid a positive drug test and legal reasons more than users of other substances, which as noted previously appears</w:t>
      </w:r>
      <w:r w:rsidR="00A868BB">
        <w:t xml:space="preserve"> to</w:t>
      </w:r>
      <w:r>
        <w:t xml:space="preserve"> be linked to problem-drug use in settings where drug testing is more common. For users of synthetic stimulants and empathogens, social reasons seemed to be most relevant, which reflects the social contexts of use typically associated with these substances </w:t>
      </w:r>
      <w:r w:rsidRPr="00103FA0">
        <w:t>(</w:t>
      </w:r>
      <w:r w:rsidR="00460CFC" w:rsidRPr="005F5AB0">
        <w:t>Ashrafioun et. al., 2016</w:t>
      </w:r>
      <w:r w:rsidR="00460CFC">
        <w:t xml:space="preserve">; </w:t>
      </w:r>
      <w:r w:rsidRPr="00103FA0">
        <w:t>Butler &amp; Sheridan, 2007</w:t>
      </w:r>
      <w:r>
        <w:t xml:space="preserve">; </w:t>
      </w:r>
      <w:r w:rsidR="00460CFC" w:rsidRPr="00103FA0">
        <w:t>McElrath &amp; Van Hout, 2011</w:t>
      </w:r>
      <w:r w:rsidR="00460CFC">
        <w:t xml:space="preserve">; </w:t>
      </w:r>
      <w:r w:rsidRPr="005F5AB0">
        <w:t>Sheridan &amp; Butler, 2010)</w:t>
      </w:r>
      <w:r>
        <w:t xml:space="preserve">.  </w:t>
      </w:r>
    </w:p>
    <w:p w14:paraId="5DCD3CDA" w14:textId="77777777" w:rsidR="00443002" w:rsidRDefault="00443002" w:rsidP="00443002">
      <w:r>
        <w:br w:type="page"/>
      </w:r>
    </w:p>
    <w:p w14:paraId="25A46E55" w14:textId="4B72EC3E" w:rsidR="00443002" w:rsidRPr="005E0305" w:rsidRDefault="00443002" w:rsidP="005E0305">
      <w:pPr>
        <w:pStyle w:val="TableHeader"/>
        <w:rPr>
          <w:b/>
        </w:rPr>
      </w:pPr>
      <w:bookmarkStart w:id="312" w:name="_Toc9509060"/>
      <w:r w:rsidRPr="005E0305">
        <w:rPr>
          <w:b/>
        </w:rPr>
        <w:t xml:space="preserve">Table </w:t>
      </w:r>
      <w:r w:rsidR="005E0305">
        <w:rPr>
          <w:b/>
        </w:rPr>
        <w:t>4-</w:t>
      </w:r>
      <w:r w:rsidRPr="005E0305">
        <w:rPr>
          <w:b/>
        </w:rPr>
        <w:t>7. Most commonly cited reasons for use by substance type</w:t>
      </w:r>
      <w:bookmarkEnd w:id="312"/>
    </w:p>
    <w:tbl>
      <w:tblPr>
        <w:tblStyle w:val="TableGrid"/>
        <w:tblW w:w="9039" w:type="dxa"/>
        <w:tblLayout w:type="fixed"/>
        <w:tblLook w:val="04A0" w:firstRow="1" w:lastRow="0" w:firstColumn="1" w:lastColumn="0" w:noHBand="0" w:noVBand="1"/>
      </w:tblPr>
      <w:tblGrid>
        <w:gridCol w:w="2518"/>
        <w:gridCol w:w="1701"/>
        <w:gridCol w:w="2410"/>
        <w:gridCol w:w="2410"/>
      </w:tblGrid>
      <w:tr w:rsidR="00443002" w:rsidRPr="00A5260C" w14:paraId="155E0753" w14:textId="77777777" w:rsidTr="00443002">
        <w:tc>
          <w:tcPr>
            <w:tcW w:w="2518" w:type="dxa"/>
            <w:tcBorders>
              <w:top w:val="nil"/>
              <w:left w:val="nil"/>
              <w:bottom w:val="single" w:sz="4" w:space="0" w:color="auto"/>
              <w:right w:val="nil"/>
            </w:tcBorders>
          </w:tcPr>
          <w:p w14:paraId="30298560" w14:textId="77777777" w:rsidR="00443002" w:rsidRPr="00A5260C" w:rsidRDefault="00443002" w:rsidP="00443002">
            <w:pPr>
              <w:rPr>
                <w:b/>
                <w:sz w:val="6"/>
              </w:rPr>
            </w:pPr>
          </w:p>
        </w:tc>
        <w:tc>
          <w:tcPr>
            <w:tcW w:w="4111" w:type="dxa"/>
            <w:gridSpan w:val="2"/>
            <w:tcBorders>
              <w:top w:val="nil"/>
              <w:left w:val="nil"/>
              <w:bottom w:val="single" w:sz="4" w:space="0" w:color="auto"/>
              <w:right w:val="nil"/>
            </w:tcBorders>
          </w:tcPr>
          <w:p w14:paraId="43EE8D31" w14:textId="77777777" w:rsidR="00443002" w:rsidRPr="00A5260C" w:rsidRDefault="00443002" w:rsidP="00443002">
            <w:pPr>
              <w:rPr>
                <w:b/>
                <w:sz w:val="6"/>
              </w:rPr>
            </w:pPr>
          </w:p>
        </w:tc>
        <w:tc>
          <w:tcPr>
            <w:tcW w:w="2410" w:type="dxa"/>
            <w:tcBorders>
              <w:top w:val="nil"/>
              <w:left w:val="nil"/>
              <w:bottom w:val="single" w:sz="4" w:space="0" w:color="auto"/>
              <w:right w:val="nil"/>
            </w:tcBorders>
          </w:tcPr>
          <w:p w14:paraId="31AB580F" w14:textId="77777777" w:rsidR="00443002" w:rsidRPr="00A5260C" w:rsidRDefault="00443002" w:rsidP="00443002">
            <w:pPr>
              <w:rPr>
                <w:b/>
                <w:sz w:val="6"/>
              </w:rPr>
            </w:pPr>
          </w:p>
        </w:tc>
      </w:tr>
      <w:tr w:rsidR="00443002" w:rsidRPr="00470F40" w14:paraId="37C54E09" w14:textId="77777777" w:rsidTr="00443002">
        <w:trPr>
          <w:trHeight w:val="366"/>
        </w:trPr>
        <w:tc>
          <w:tcPr>
            <w:tcW w:w="2518" w:type="dxa"/>
            <w:tcBorders>
              <w:top w:val="single" w:sz="4" w:space="0" w:color="auto"/>
              <w:left w:val="nil"/>
              <w:bottom w:val="nil"/>
              <w:right w:val="nil"/>
            </w:tcBorders>
            <w:vAlign w:val="center"/>
          </w:tcPr>
          <w:p w14:paraId="534BC6C1" w14:textId="77777777" w:rsidR="00443002" w:rsidRPr="00470F40" w:rsidRDefault="00443002" w:rsidP="00443002">
            <w:pPr>
              <w:rPr>
                <w:b/>
              </w:rPr>
            </w:pPr>
            <w:r>
              <w:rPr>
                <w:b/>
              </w:rPr>
              <w:t xml:space="preserve">Type of substance  </w:t>
            </w:r>
          </w:p>
        </w:tc>
        <w:tc>
          <w:tcPr>
            <w:tcW w:w="4111" w:type="dxa"/>
            <w:gridSpan w:val="2"/>
            <w:tcBorders>
              <w:top w:val="single" w:sz="4" w:space="0" w:color="auto"/>
              <w:left w:val="nil"/>
              <w:bottom w:val="nil"/>
              <w:right w:val="nil"/>
            </w:tcBorders>
            <w:vAlign w:val="center"/>
          </w:tcPr>
          <w:p w14:paraId="1D14BE85" w14:textId="77777777" w:rsidR="00443002" w:rsidRPr="00470F40" w:rsidRDefault="00443002" w:rsidP="00443002">
            <w:pPr>
              <w:rPr>
                <w:b/>
              </w:rPr>
            </w:pPr>
            <w:r>
              <w:rPr>
                <w:b/>
              </w:rPr>
              <w:t>Reason for use</w:t>
            </w:r>
          </w:p>
        </w:tc>
        <w:tc>
          <w:tcPr>
            <w:tcW w:w="2410" w:type="dxa"/>
            <w:tcBorders>
              <w:top w:val="single" w:sz="4" w:space="0" w:color="auto"/>
              <w:left w:val="nil"/>
              <w:bottom w:val="nil"/>
              <w:right w:val="nil"/>
            </w:tcBorders>
            <w:vAlign w:val="center"/>
          </w:tcPr>
          <w:p w14:paraId="3FDDB714" w14:textId="77777777" w:rsidR="00443002" w:rsidRPr="00470F40" w:rsidRDefault="00443002" w:rsidP="00443002">
            <w:pPr>
              <w:rPr>
                <w:b/>
              </w:rPr>
            </w:pPr>
            <w:r>
              <w:rPr>
                <w:b/>
              </w:rPr>
              <w:t xml:space="preserve">Number of studies </w:t>
            </w:r>
          </w:p>
        </w:tc>
      </w:tr>
      <w:tr w:rsidR="00443002" w:rsidRPr="00470F40" w14:paraId="0D40B0DB" w14:textId="77777777" w:rsidTr="00443002">
        <w:trPr>
          <w:trHeight w:val="366"/>
        </w:trPr>
        <w:tc>
          <w:tcPr>
            <w:tcW w:w="2518" w:type="dxa"/>
            <w:tcBorders>
              <w:top w:val="nil"/>
              <w:left w:val="nil"/>
              <w:bottom w:val="single" w:sz="4" w:space="0" w:color="auto"/>
              <w:right w:val="nil"/>
            </w:tcBorders>
            <w:vAlign w:val="center"/>
          </w:tcPr>
          <w:p w14:paraId="274F8BF5" w14:textId="77777777" w:rsidR="00443002" w:rsidRPr="00470F40" w:rsidRDefault="00443002" w:rsidP="00443002">
            <w:pPr>
              <w:rPr>
                <w:b/>
              </w:rPr>
            </w:pPr>
          </w:p>
        </w:tc>
        <w:tc>
          <w:tcPr>
            <w:tcW w:w="4111" w:type="dxa"/>
            <w:gridSpan w:val="2"/>
            <w:tcBorders>
              <w:top w:val="nil"/>
              <w:left w:val="nil"/>
              <w:bottom w:val="single" w:sz="4" w:space="0" w:color="auto"/>
              <w:right w:val="nil"/>
            </w:tcBorders>
            <w:vAlign w:val="center"/>
          </w:tcPr>
          <w:p w14:paraId="31B903EE" w14:textId="77777777" w:rsidR="00443002" w:rsidRPr="00470F40" w:rsidRDefault="00443002" w:rsidP="00443002">
            <w:pPr>
              <w:rPr>
                <w:b/>
              </w:rPr>
            </w:pPr>
          </w:p>
        </w:tc>
        <w:tc>
          <w:tcPr>
            <w:tcW w:w="2410" w:type="dxa"/>
            <w:tcBorders>
              <w:top w:val="nil"/>
              <w:left w:val="nil"/>
              <w:bottom w:val="single" w:sz="4" w:space="0" w:color="auto"/>
              <w:right w:val="nil"/>
            </w:tcBorders>
            <w:vAlign w:val="center"/>
          </w:tcPr>
          <w:p w14:paraId="21D897B5" w14:textId="77777777" w:rsidR="00443002" w:rsidRPr="00DF687E" w:rsidRDefault="00443002" w:rsidP="00443002">
            <w:r>
              <w:rPr>
                <w:sz w:val="22"/>
              </w:rPr>
              <w:t xml:space="preserve">% reporting reason </w:t>
            </w:r>
          </w:p>
        </w:tc>
      </w:tr>
      <w:tr w:rsidR="00443002" w:rsidRPr="00A5260C" w14:paraId="4D19BBC8" w14:textId="77777777" w:rsidTr="00443002">
        <w:tc>
          <w:tcPr>
            <w:tcW w:w="4219" w:type="dxa"/>
            <w:gridSpan w:val="2"/>
            <w:tcBorders>
              <w:top w:val="nil"/>
              <w:left w:val="nil"/>
              <w:bottom w:val="nil"/>
              <w:right w:val="nil"/>
            </w:tcBorders>
            <w:vAlign w:val="bottom"/>
          </w:tcPr>
          <w:p w14:paraId="05CD7A95" w14:textId="77777777" w:rsidR="00443002" w:rsidRPr="00A5260C" w:rsidRDefault="00443002" w:rsidP="00443002">
            <w:pPr>
              <w:spacing w:line="360" w:lineRule="auto"/>
              <w:rPr>
                <w:b/>
                <w:sz w:val="6"/>
              </w:rPr>
            </w:pPr>
            <w:r>
              <w:rPr>
                <w:b/>
                <w:sz w:val="22"/>
              </w:rPr>
              <w:t xml:space="preserve">Legal highs/ NPS </w:t>
            </w:r>
          </w:p>
        </w:tc>
        <w:tc>
          <w:tcPr>
            <w:tcW w:w="2410" w:type="dxa"/>
            <w:tcBorders>
              <w:top w:val="nil"/>
              <w:left w:val="nil"/>
              <w:bottom w:val="nil"/>
              <w:right w:val="nil"/>
            </w:tcBorders>
            <w:vAlign w:val="bottom"/>
          </w:tcPr>
          <w:p w14:paraId="36E4625F"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729EB1D9"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8</w:t>
            </w:r>
            <w:r w:rsidRPr="004D5A7C">
              <w:rPr>
                <w:b/>
                <w:color w:val="FFFFFF" w:themeColor="background1"/>
                <w:szCs w:val="24"/>
              </w:rPr>
              <w:t xml:space="preserve"> </w:t>
            </w:r>
            <w:r w:rsidRPr="004D5A7C">
              <w:rPr>
                <w:b/>
                <w:szCs w:val="24"/>
              </w:rPr>
              <w:t>Studies</w:t>
            </w:r>
          </w:p>
        </w:tc>
      </w:tr>
      <w:tr w:rsidR="00443002" w:rsidRPr="005E3E31" w14:paraId="698EEA99" w14:textId="77777777" w:rsidTr="00443002">
        <w:trPr>
          <w:trHeight w:val="282"/>
        </w:trPr>
        <w:tc>
          <w:tcPr>
            <w:tcW w:w="2518" w:type="dxa"/>
            <w:tcBorders>
              <w:top w:val="nil"/>
              <w:left w:val="nil"/>
              <w:bottom w:val="nil"/>
              <w:right w:val="nil"/>
            </w:tcBorders>
          </w:tcPr>
          <w:p w14:paraId="6F45BB80"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61370127"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1634257D" w14:textId="77777777" w:rsidR="00443002" w:rsidRPr="003D2159" w:rsidRDefault="00443002" w:rsidP="00443002">
            <w:pPr>
              <w:spacing w:line="360" w:lineRule="auto"/>
              <w:rPr>
                <w:sz w:val="20"/>
              </w:rPr>
            </w:pPr>
            <w:r>
              <w:rPr>
                <w:sz w:val="20"/>
              </w:rPr>
              <w:t>8</w:t>
            </w:r>
            <w:r w:rsidRPr="003D2159">
              <w:rPr>
                <w:sz w:val="20"/>
              </w:rPr>
              <w:t>8 %</w:t>
            </w:r>
          </w:p>
        </w:tc>
      </w:tr>
      <w:tr w:rsidR="00443002" w:rsidRPr="005E3E31" w14:paraId="33C5B9CA" w14:textId="77777777" w:rsidTr="00443002">
        <w:trPr>
          <w:trHeight w:val="282"/>
        </w:trPr>
        <w:tc>
          <w:tcPr>
            <w:tcW w:w="2518" w:type="dxa"/>
            <w:tcBorders>
              <w:top w:val="nil"/>
              <w:left w:val="nil"/>
              <w:bottom w:val="nil"/>
              <w:right w:val="nil"/>
            </w:tcBorders>
          </w:tcPr>
          <w:p w14:paraId="2ACAE6A5"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4FF1378" w14:textId="77777777" w:rsidR="00443002" w:rsidRPr="005E3E31" w:rsidRDefault="00443002" w:rsidP="00443002">
            <w:pPr>
              <w:spacing w:line="360" w:lineRule="auto"/>
              <w:rPr>
                <w:sz w:val="22"/>
              </w:rPr>
            </w:pPr>
            <w:r>
              <w:rPr>
                <w:sz w:val="22"/>
              </w:rPr>
              <w:t>Curiosity</w:t>
            </w:r>
          </w:p>
        </w:tc>
        <w:tc>
          <w:tcPr>
            <w:tcW w:w="2410" w:type="dxa"/>
            <w:tcBorders>
              <w:top w:val="nil"/>
              <w:left w:val="nil"/>
              <w:bottom w:val="nil"/>
              <w:right w:val="nil"/>
            </w:tcBorders>
          </w:tcPr>
          <w:p w14:paraId="089AC008" w14:textId="77777777" w:rsidR="00443002" w:rsidRPr="003D2159" w:rsidRDefault="00443002" w:rsidP="00443002">
            <w:pPr>
              <w:spacing w:line="360" w:lineRule="auto"/>
              <w:rPr>
                <w:sz w:val="20"/>
              </w:rPr>
            </w:pPr>
            <w:r>
              <w:rPr>
                <w:sz w:val="20"/>
              </w:rPr>
              <w:t>75</w:t>
            </w:r>
            <w:r w:rsidRPr="003D2159">
              <w:rPr>
                <w:sz w:val="20"/>
              </w:rPr>
              <w:t xml:space="preserve"> %</w:t>
            </w:r>
          </w:p>
        </w:tc>
      </w:tr>
      <w:tr w:rsidR="00443002" w:rsidRPr="005E3E31" w14:paraId="4C9C7746" w14:textId="77777777" w:rsidTr="00443002">
        <w:trPr>
          <w:trHeight w:val="282"/>
        </w:trPr>
        <w:tc>
          <w:tcPr>
            <w:tcW w:w="2518" w:type="dxa"/>
            <w:tcBorders>
              <w:top w:val="nil"/>
              <w:left w:val="nil"/>
              <w:bottom w:val="nil"/>
              <w:right w:val="nil"/>
            </w:tcBorders>
          </w:tcPr>
          <w:p w14:paraId="43754DC7"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635AB81"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54013008" w14:textId="77777777" w:rsidR="00443002" w:rsidRPr="003D2159" w:rsidRDefault="00443002" w:rsidP="00443002">
            <w:pPr>
              <w:spacing w:line="360" w:lineRule="auto"/>
              <w:rPr>
                <w:sz w:val="20"/>
              </w:rPr>
            </w:pPr>
            <w:r w:rsidRPr="003D2159">
              <w:rPr>
                <w:sz w:val="20"/>
              </w:rPr>
              <w:t>6</w:t>
            </w:r>
            <w:r>
              <w:rPr>
                <w:sz w:val="20"/>
              </w:rPr>
              <w:t>3</w:t>
            </w:r>
            <w:r w:rsidRPr="003D2159">
              <w:rPr>
                <w:sz w:val="20"/>
              </w:rPr>
              <w:t xml:space="preserve"> %</w:t>
            </w:r>
          </w:p>
        </w:tc>
      </w:tr>
      <w:tr w:rsidR="00443002" w:rsidRPr="005E3E31" w14:paraId="1DC995B2" w14:textId="77777777" w:rsidTr="00443002">
        <w:trPr>
          <w:trHeight w:val="282"/>
        </w:trPr>
        <w:tc>
          <w:tcPr>
            <w:tcW w:w="2518" w:type="dxa"/>
            <w:tcBorders>
              <w:top w:val="nil"/>
              <w:left w:val="nil"/>
              <w:bottom w:val="nil"/>
              <w:right w:val="nil"/>
            </w:tcBorders>
          </w:tcPr>
          <w:p w14:paraId="2998A680"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60384FD2"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6B5B0487" w14:textId="77777777" w:rsidR="00443002" w:rsidRPr="003D2159" w:rsidRDefault="00443002" w:rsidP="00443002">
            <w:pPr>
              <w:spacing w:line="360" w:lineRule="auto"/>
              <w:rPr>
                <w:sz w:val="20"/>
              </w:rPr>
            </w:pPr>
            <w:r>
              <w:rPr>
                <w:sz w:val="20"/>
              </w:rPr>
              <w:t>50</w:t>
            </w:r>
            <w:r w:rsidRPr="003D2159">
              <w:rPr>
                <w:sz w:val="20"/>
              </w:rPr>
              <w:t xml:space="preserve"> %</w:t>
            </w:r>
          </w:p>
        </w:tc>
      </w:tr>
      <w:tr w:rsidR="00443002" w:rsidRPr="005E3E31" w14:paraId="393879B6" w14:textId="77777777" w:rsidTr="00443002">
        <w:trPr>
          <w:trHeight w:val="282"/>
        </w:trPr>
        <w:tc>
          <w:tcPr>
            <w:tcW w:w="2518" w:type="dxa"/>
            <w:tcBorders>
              <w:top w:val="nil"/>
              <w:left w:val="nil"/>
              <w:bottom w:val="single" w:sz="4" w:space="0" w:color="auto"/>
              <w:right w:val="nil"/>
            </w:tcBorders>
          </w:tcPr>
          <w:p w14:paraId="5980A1CF"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36CC5B5D" w14:textId="77777777" w:rsidR="00443002" w:rsidRPr="005E3E31" w:rsidRDefault="00443002" w:rsidP="00443002">
            <w:pPr>
              <w:spacing w:line="360" w:lineRule="auto"/>
              <w:rPr>
                <w:sz w:val="22"/>
              </w:rPr>
            </w:pPr>
            <w:r>
              <w:rPr>
                <w:sz w:val="22"/>
              </w:rPr>
              <w:t>Safety</w:t>
            </w:r>
            <w:r>
              <w:rPr>
                <w:sz w:val="22"/>
              </w:rPr>
              <w:br/>
            </w:r>
            <w:r w:rsidRPr="00EE6571">
              <w:rPr>
                <w:color w:val="FFFFFF" w:themeColor="background1"/>
                <w:sz w:val="6"/>
              </w:rPr>
              <w:t>n</w:t>
            </w:r>
          </w:p>
        </w:tc>
        <w:tc>
          <w:tcPr>
            <w:tcW w:w="2410" w:type="dxa"/>
            <w:tcBorders>
              <w:top w:val="nil"/>
              <w:left w:val="nil"/>
              <w:bottom w:val="single" w:sz="4" w:space="0" w:color="auto"/>
              <w:right w:val="nil"/>
            </w:tcBorders>
          </w:tcPr>
          <w:p w14:paraId="58D9DE78" w14:textId="77777777" w:rsidR="00443002" w:rsidRPr="003D2159" w:rsidRDefault="00443002" w:rsidP="00443002">
            <w:pPr>
              <w:spacing w:line="360" w:lineRule="auto"/>
              <w:rPr>
                <w:sz w:val="20"/>
              </w:rPr>
            </w:pPr>
            <w:r>
              <w:rPr>
                <w:sz w:val="20"/>
              </w:rPr>
              <w:t>38</w:t>
            </w:r>
            <w:r w:rsidRPr="003D2159">
              <w:rPr>
                <w:sz w:val="20"/>
              </w:rPr>
              <w:t xml:space="preserve"> %</w:t>
            </w:r>
          </w:p>
        </w:tc>
      </w:tr>
      <w:tr w:rsidR="00443002" w:rsidRPr="00A5260C" w14:paraId="060763D6" w14:textId="77777777" w:rsidTr="00443002">
        <w:tc>
          <w:tcPr>
            <w:tcW w:w="4219" w:type="dxa"/>
            <w:gridSpan w:val="2"/>
            <w:tcBorders>
              <w:top w:val="nil"/>
              <w:left w:val="nil"/>
              <w:bottom w:val="nil"/>
              <w:right w:val="nil"/>
            </w:tcBorders>
            <w:vAlign w:val="bottom"/>
          </w:tcPr>
          <w:p w14:paraId="46A205F8" w14:textId="77777777" w:rsidR="00443002" w:rsidRPr="00A5260C" w:rsidRDefault="00443002" w:rsidP="00443002">
            <w:pPr>
              <w:spacing w:line="360" w:lineRule="auto"/>
              <w:rPr>
                <w:b/>
                <w:sz w:val="6"/>
              </w:rPr>
            </w:pPr>
            <w:r>
              <w:rPr>
                <w:b/>
                <w:sz w:val="22"/>
              </w:rPr>
              <w:t xml:space="preserve">Synthetic stimulants/empathogens </w:t>
            </w:r>
          </w:p>
        </w:tc>
        <w:tc>
          <w:tcPr>
            <w:tcW w:w="2410" w:type="dxa"/>
            <w:tcBorders>
              <w:top w:val="nil"/>
              <w:left w:val="nil"/>
              <w:bottom w:val="nil"/>
              <w:right w:val="nil"/>
            </w:tcBorders>
            <w:vAlign w:val="bottom"/>
          </w:tcPr>
          <w:p w14:paraId="50CBE68A"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3958281B"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13</w:t>
            </w:r>
            <w:r w:rsidRPr="004D5A7C">
              <w:rPr>
                <w:b/>
                <w:color w:val="FFFFFF" w:themeColor="background1"/>
                <w:szCs w:val="24"/>
              </w:rPr>
              <w:t xml:space="preserve"> </w:t>
            </w:r>
            <w:r w:rsidRPr="004D5A7C">
              <w:rPr>
                <w:b/>
                <w:szCs w:val="24"/>
              </w:rPr>
              <w:t>Studies</w:t>
            </w:r>
          </w:p>
        </w:tc>
      </w:tr>
      <w:tr w:rsidR="00443002" w:rsidRPr="005E3E31" w14:paraId="3CF467E2" w14:textId="77777777" w:rsidTr="00443002">
        <w:trPr>
          <w:trHeight w:val="282"/>
        </w:trPr>
        <w:tc>
          <w:tcPr>
            <w:tcW w:w="2518" w:type="dxa"/>
            <w:tcBorders>
              <w:top w:val="nil"/>
              <w:left w:val="nil"/>
              <w:bottom w:val="nil"/>
              <w:right w:val="nil"/>
            </w:tcBorders>
          </w:tcPr>
          <w:p w14:paraId="648DBBEB"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C6F0289"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39C10548" w14:textId="77777777" w:rsidR="00443002" w:rsidRPr="003D2159" w:rsidRDefault="00443002" w:rsidP="00443002">
            <w:pPr>
              <w:spacing w:line="360" w:lineRule="auto"/>
              <w:rPr>
                <w:sz w:val="20"/>
              </w:rPr>
            </w:pPr>
            <w:r>
              <w:rPr>
                <w:sz w:val="20"/>
              </w:rPr>
              <w:t xml:space="preserve">62 </w:t>
            </w:r>
            <w:r w:rsidRPr="003D2159">
              <w:rPr>
                <w:sz w:val="20"/>
              </w:rPr>
              <w:t>%</w:t>
            </w:r>
          </w:p>
        </w:tc>
      </w:tr>
      <w:tr w:rsidR="00443002" w:rsidRPr="005E3E31" w14:paraId="3E67324F" w14:textId="77777777" w:rsidTr="00443002">
        <w:trPr>
          <w:trHeight w:val="282"/>
        </w:trPr>
        <w:tc>
          <w:tcPr>
            <w:tcW w:w="2518" w:type="dxa"/>
            <w:tcBorders>
              <w:top w:val="nil"/>
              <w:left w:val="nil"/>
              <w:bottom w:val="nil"/>
              <w:right w:val="nil"/>
            </w:tcBorders>
          </w:tcPr>
          <w:p w14:paraId="074222F2"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F43493A"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235CE919" w14:textId="77777777" w:rsidR="00443002" w:rsidRPr="003D2159" w:rsidRDefault="00443002" w:rsidP="00443002">
            <w:pPr>
              <w:spacing w:line="360" w:lineRule="auto"/>
              <w:rPr>
                <w:sz w:val="20"/>
              </w:rPr>
            </w:pPr>
            <w:r>
              <w:rPr>
                <w:sz w:val="20"/>
              </w:rPr>
              <w:t xml:space="preserve">54 </w:t>
            </w:r>
            <w:r w:rsidRPr="003D2159">
              <w:rPr>
                <w:sz w:val="20"/>
              </w:rPr>
              <w:t>%</w:t>
            </w:r>
          </w:p>
        </w:tc>
      </w:tr>
      <w:tr w:rsidR="00443002" w:rsidRPr="005E3E31" w14:paraId="6CA56A2C" w14:textId="77777777" w:rsidTr="00443002">
        <w:trPr>
          <w:trHeight w:val="282"/>
        </w:trPr>
        <w:tc>
          <w:tcPr>
            <w:tcW w:w="2518" w:type="dxa"/>
            <w:tcBorders>
              <w:top w:val="nil"/>
              <w:left w:val="nil"/>
              <w:bottom w:val="nil"/>
              <w:right w:val="nil"/>
            </w:tcBorders>
          </w:tcPr>
          <w:p w14:paraId="1801CC74"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180D4A1F"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50E141C8" w14:textId="77777777" w:rsidR="00443002" w:rsidRPr="003D2159" w:rsidRDefault="00443002" w:rsidP="00443002">
            <w:pPr>
              <w:spacing w:line="360" w:lineRule="auto"/>
              <w:rPr>
                <w:sz w:val="20"/>
              </w:rPr>
            </w:pPr>
            <w:r>
              <w:rPr>
                <w:sz w:val="20"/>
              </w:rPr>
              <w:t xml:space="preserve">54 </w:t>
            </w:r>
            <w:r w:rsidRPr="003D2159">
              <w:rPr>
                <w:sz w:val="20"/>
              </w:rPr>
              <w:t>%</w:t>
            </w:r>
          </w:p>
        </w:tc>
      </w:tr>
      <w:tr w:rsidR="00443002" w:rsidRPr="005E3E31" w14:paraId="124B1D14" w14:textId="77777777" w:rsidTr="00443002">
        <w:trPr>
          <w:trHeight w:val="282"/>
        </w:trPr>
        <w:tc>
          <w:tcPr>
            <w:tcW w:w="2518" w:type="dxa"/>
            <w:tcBorders>
              <w:top w:val="nil"/>
              <w:left w:val="nil"/>
              <w:bottom w:val="nil"/>
              <w:right w:val="nil"/>
            </w:tcBorders>
          </w:tcPr>
          <w:p w14:paraId="20E715FE"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5C437C6D"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2409428F" w14:textId="77777777" w:rsidR="00443002" w:rsidRPr="003D2159" w:rsidRDefault="00443002" w:rsidP="00443002">
            <w:pPr>
              <w:spacing w:line="360" w:lineRule="auto"/>
              <w:rPr>
                <w:sz w:val="20"/>
              </w:rPr>
            </w:pPr>
            <w:r>
              <w:rPr>
                <w:sz w:val="20"/>
              </w:rPr>
              <w:t xml:space="preserve">46 </w:t>
            </w:r>
            <w:r w:rsidRPr="003D2159">
              <w:rPr>
                <w:sz w:val="20"/>
              </w:rPr>
              <w:t>%</w:t>
            </w:r>
          </w:p>
        </w:tc>
      </w:tr>
      <w:tr w:rsidR="00443002" w:rsidRPr="005E3E31" w14:paraId="35A10FCE" w14:textId="77777777" w:rsidTr="00443002">
        <w:trPr>
          <w:trHeight w:val="282"/>
        </w:trPr>
        <w:tc>
          <w:tcPr>
            <w:tcW w:w="2518" w:type="dxa"/>
            <w:tcBorders>
              <w:top w:val="nil"/>
              <w:left w:val="nil"/>
              <w:bottom w:val="single" w:sz="4" w:space="0" w:color="auto"/>
              <w:right w:val="nil"/>
            </w:tcBorders>
          </w:tcPr>
          <w:p w14:paraId="66A7336C"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376CA80D" w14:textId="77777777" w:rsidR="00443002" w:rsidRPr="005E3E31" w:rsidRDefault="00443002" w:rsidP="00443002">
            <w:pPr>
              <w:spacing w:line="360" w:lineRule="auto"/>
              <w:rPr>
                <w:sz w:val="22"/>
              </w:rPr>
            </w:pPr>
            <w:r>
              <w:rPr>
                <w:sz w:val="22"/>
              </w:rPr>
              <w:t>Positive social interactions</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5E77D130" w14:textId="77777777" w:rsidR="00443002" w:rsidRPr="00A411A6" w:rsidRDefault="00443002" w:rsidP="00443002">
            <w:pPr>
              <w:spacing w:line="360" w:lineRule="auto"/>
              <w:rPr>
                <w:sz w:val="20"/>
              </w:rPr>
            </w:pPr>
            <w:r>
              <w:rPr>
                <w:sz w:val="20"/>
              </w:rPr>
              <w:t>38 %</w:t>
            </w:r>
          </w:p>
        </w:tc>
      </w:tr>
      <w:tr w:rsidR="00443002" w:rsidRPr="00A5260C" w14:paraId="224E9B66" w14:textId="77777777" w:rsidTr="00443002">
        <w:tc>
          <w:tcPr>
            <w:tcW w:w="4219" w:type="dxa"/>
            <w:gridSpan w:val="2"/>
            <w:tcBorders>
              <w:top w:val="single" w:sz="4" w:space="0" w:color="auto"/>
              <w:left w:val="nil"/>
              <w:bottom w:val="nil"/>
              <w:right w:val="nil"/>
            </w:tcBorders>
            <w:vAlign w:val="bottom"/>
          </w:tcPr>
          <w:p w14:paraId="7EE824DA" w14:textId="77777777" w:rsidR="00443002" w:rsidRPr="00A5260C" w:rsidRDefault="00443002" w:rsidP="00443002">
            <w:pPr>
              <w:spacing w:line="360" w:lineRule="auto"/>
              <w:rPr>
                <w:b/>
                <w:sz w:val="6"/>
              </w:rPr>
            </w:pPr>
            <w:r>
              <w:rPr>
                <w:b/>
                <w:sz w:val="22"/>
              </w:rPr>
              <w:t xml:space="preserve">Synthetic cannabinoids </w:t>
            </w:r>
          </w:p>
        </w:tc>
        <w:tc>
          <w:tcPr>
            <w:tcW w:w="2410" w:type="dxa"/>
            <w:tcBorders>
              <w:top w:val="single" w:sz="4" w:space="0" w:color="auto"/>
              <w:left w:val="nil"/>
              <w:bottom w:val="nil"/>
              <w:right w:val="nil"/>
            </w:tcBorders>
            <w:vAlign w:val="bottom"/>
          </w:tcPr>
          <w:p w14:paraId="2ADAC94A" w14:textId="77777777" w:rsidR="00443002" w:rsidRPr="00A5260C" w:rsidRDefault="00443002" w:rsidP="00443002">
            <w:pPr>
              <w:spacing w:line="360" w:lineRule="auto"/>
              <w:rPr>
                <w:b/>
                <w:sz w:val="20"/>
              </w:rPr>
            </w:pPr>
          </w:p>
        </w:tc>
        <w:tc>
          <w:tcPr>
            <w:tcW w:w="2410" w:type="dxa"/>
            <w:tcBorders>
              <w:top w:val="single" w:sz="4" w:space="0" w:color="auto"/>
              <w:left w:val="nil"/>
              <w:bottom w:val="nil"/>
              <w:right w:val="nil"/>
            </w:tcBorders>
            <w:vAlign w:val="bottom"/>
          </w:tcPr>
          <w:p w14:paraId="2668ECBB"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9</w:t>
            </w:r>
            <w:r w:rsidRPr="004D5A7C">
              <w:rPr>
                <w:b/>
                <w:color w:val="FFFFFF" w:themeColor="background1"/>
                <w:szCs w:val="24"/>
              </w:rPr>
              <w:t xml:space="preserve"> </w:t>
            </w:r>
            <w:r w:rsidRPr="004D5A7C">
              <w:rPr>
                <w:b/>
                <w:szCs w:val="24"/>
              </w:rPr>
              <w:t>Studies</w:t>
            </w:r>
          </w:p>
        </w:tc>
      </w:tr>
      <w:tr w:rsidR="00443002" w:rsidRPr="005E3E31" w14:paraId="0DC9F081" w14:textId="77777777" w:rsidTr="00443002">
        <w:trPr>
          <w:trHeight w:val="282"/>
        </w:trPr>
        <w:tc>
          <w:tcPr>
            <w:tcW w:w="2518" w:type="dxa"/>
            <w:tcBorders>
              <w:top w:val="nil"/>
              <w:left w:val="nil"/>
              <w:bottom w:val="nil"/>
              <w:right w:val="nil"/>
            </w:tcBorders>
          </w:tcPr>
          <w:p w14:paraId="3CAC6D40"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3DE7F7E2" w14:textId="77777777" w:rsidR="00443002" w:rsidRPr="005E3E31" w:rsidRDefault="00443002" w:rsidP="00443002">
            <w:pPr>
              <w:spacing w:line="360" w:lineRule="auto"/>
              <w:rPr>
                <w:sz w:val="22"/>
              </w:rPr>
            </w:pPr>
            <w:r>
              <w:rPr>
                <w:sz w:val="22"/>
              </w:rPr>
              <w:t xml:space="preserve">Not detected in drug tests </w:t>
            </w:r>
          </w:p>
        </w:tc>
        <w:tc>
          <w:tcPr>
            <w:tcW w:w="2410" w:type="dxa"/>
            <w:tcBorders>
              <w:top w:val="nil"/>
              <w:left w:val="nil"/>
              <w:bottom w:val="nil"/>
              <w:right w:val="nil"/>
            </w:tcBorders>
          </w:tcPr>
          <w:p w14:paraId="071D6575" w14:textId="77777777" w:rsidR="00443002" w:rsidRPr="003D2159" w:rsidRDefault="00443002" w:rsidP="00443002">
            <w:pPr>
              <w:spacing w:line="360" w:lineRule="auto"/>
              <w:rPr>
                <w:sz w:val="20"/>
              </w:rPr>
            </w:pPr>
            <w:r>
              <w:rPr>
                <w:sz w:val="20"/>
              </w:rPr>
              <w:t>7</w:t>
            </w:r>
            <w:r w:rsidRPr="003D2159">
              <w:rPr>
                <w:sz w:val="20"/>
              </w:rPr>
              <w:t>8</w:t>
            </w:r>
            <w:r>
              <w:rPr>
                <w:sz w:val="20"/>
              </w:rPr>
              <w:t xml:space="preserve"> </w:t>
            </w:r>
            <w:r w:rsidRPr="003D2159">
              <w:rPr>
                <w:sz w:val="20"/>
              </w:rPr>
              <w:t>%</w:t>
            </w:r>
          </w:p>
        </w:tc>
      </w:tr>
      <w:tr w:rsidR="00443002" w:rsidRPr="005E3E31" w14:paraId="7CEF4EF5" w14:textId="77777777" w:rsidTr="00443002">
        <w:trPr>
          <w:trHeight w:val="282"/>
        </w:trPr>
        <w:tc>
          <w:tcPr>
            <w:tcW w:w="2518" w:type="dxa"/>
            <w:tcBorders>
              <w:top w:val="nil"/>
              <w:left w:val="nil"/>
              <w:bottom w:val="nil"/>
              <w:right w:val="nil"/>
            </w:tcBorders>
          </w:tcPr>
          <w:p w14:paraId="171C44C8"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32875DCF"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0E26AE09" w14:textId="77777777" w:rsidR="00443002" w:rsidRPr="003D2159" w:rsidRDefault="00443002" w:rsidP="00443002">
            <w:pPr>
              <w:spacing w:line="360" w:lineRule="auto"/>
              <w:rPr>
                <w:sz w:val="20"/>
              </w:rPr>
            </w:pPr>
            <w:r>
              <w:rPr>
                <w:sz w:val="20"/>
              </w:rPr>
              <w:t>7</w:t>
            </w:r>
            <w:r w:rsidRPr="003D2159">
              <w:rPr>
                <w:sz w:val="20"/>
              </w:rPr>
              <w:t>8</w:t>
            </w:r>
            <w:r>
              <w:rPr>
                <w:sz w:val="20"/>
              </w:rPr>
              <w:t xml:space="preserve"> </w:t>
            </w:r>
            <w:r w:rsidRPr="003D2159">
              <w:rPr>
                <w:sz w:val="20"/>
              </w:rPr>
              <w:t>%</w:t>
            </w:r>
          </w:p>
        </w:tc>
      </w:tr>
      <w:tr w:rsidR="00443002" w:rsidRPr="005E3E31" w14:paraId="299430AC" w14:textId="77777777" w:rsidTr="00443002">
        <w:trPr>
          <w:trHeight w:val="282"/>
        </w:trPr>
        <w:tc>
          <w:tcPr>
            <w:tcW w:w="2518" w:type="dxa"/>
            <w:tcBorders>
              <w:top w:val="nil"/>
              <w:left w:val="nil"/>
              <w:bottom w:val="nil"/>
              <w:right w:val="nil"/>
            </w:tcBorders>
          </w:tcPr>
          <w:p w14:paraId="03B4F5FC"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504D6417" w14:textId="77777777" w:rsidR="00443002" w:rsidRPr="005E3E31" w:rsidRDefault="00443002" w:rsidP="00443002">
            <w:pPr>
              <w:spacing w:line="360" w:lineRule="auto"/>
              <w:rPr>
                <w:sz w:val="22"/>
              </w:rPr>
            </w:pPr>
            <w:r>
              <w:rPr>
                <w:sz w:val="22"/>
              </w:rPr>
              <w:t xml:space="preserve">Pleasure </w:t>
            </w:r>
          </w:p>
        </w:tc>
        <w:tc>
          <w:tcPr>
            <w:tcW w:w="2410" w:type="dxa"/>
            <w:tcBorders>
              <w:top w:val="nil"/>
              <w:left w:val="nil"/>
              <w:bottom w:val="nil"/>
              <w:right w:val="nil"/>
            </w:tcBorders>
          </w:tcPr>
          <w:p w14:paraId="4405B241" w14:textId="77777777" w:rsidR="00443002" w:rsidRPr="003D2159" w:rsidRDefault="00443002" w:rsidP="00443002">
            <w:pPr>
              <w:spacing w:line="360" w:lineRule="auto"/>
              <w:rPr>
                <w:sz w:val="20"/>
              </w:rPr>
            </w:pPr>
            <w:r>
              <w:rPr>
                <w:sz w:val="20"/>
              </w:rPr>
              <w:t xml:space="preserve">67 </w:t>
            </w:r>
            <w:r w:rsidRPr="003D2159">
              <w:rPr>
                <w:sz w:val="20"/>
              </w:rPr>
              <w:t>%</w:t>
            </w:r>
          </w:p>
        </w:tc>
      </w:tr>
      <w:tr w:rsidR="00443002" w:rsidRPr="005E3E31" w14:paraId="3476F7BF" w14:textId="77777777" w:rsidTr="00443002">
        <w:trPr>
          <w:trHeight w:val="282"/>
        </w:trPr>
        <w:tc>
          <w:tcPr>
            <w:tcW w:w="2518" w:type="dxa"/>
            <w:tcBorders>
              <w:top w:val="nil"/>
              <w:left w:val="nil"/>
              <w:bottom w:val="nil"/>
              <w:right w:val="nil"/>
            </w:tcBorders>
          </w:tcPr>
          <w:p w14:paraId="351BEDC8"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B7DED72" w14:textId="77777777" w:rsidR="00443002" w:rsidRPr="005E3E31" w:rsidRDefault="00443002" w:rsidP="00443002">
            <w:pPr>
              <w:spacing w:line="360" w:lineRule="auto"/>
              <w:rPr>
                <w:sz w:val="22"/>
              </w:rPr>
            </w:pPr>
            <w:r>
              <w:rPr>
                <w:sz w:val="22"/>
              </w:rPr>
              <w:t>Legal reasons</w:t>
            </w:r>
          </w:p>
        </w:tc>
        <w:tc>
          <w:tcPr>
            <w:tcW w:w="2410" w:type="dxa"/>
            <w:tcBorders>
              <w:top w:val="nil"/>
              <w:left w:val="nil"/>
              <w:bottom w:val="nil"/>
              <w:right w:val="nil"/>
            </w:tcBorders>
          </w:tcPr>
          <w:p w14:paraId="790AF571" w14:textId="77777777" w:rsidR="00443002" w:rsidRPr="003D2159" w:rsidRDefault="00443002" w:rsidP="00443002">
            <w:pPr>
              <w:spacing w:line="360" w:lineRule="auto"/>
              <w:rPr>
                <w:sz w:val="20"/>
              </w:rPr>
            </w:pPr>
            <w:r>
              <w:rPr>
                <w:sz w:val="20"/>
              </w:rPr>
              <w:t xml:space="preserve">56 </w:t>
            </w:r>
            <w:r w:rsidRPr="003D2159">
              <w:rPr>
                <w:sz w:val="20"/>
              </w:rPr>
              <w:t>%</w:t>
            </w:r>
          </w:p>
        </w:tc>
      </w:tr>
      <w:tr w:rsidR="00443002" w:rsidRPr="005E3E31" w14:paraId="2AD90BF1" w14:textId="77777777" w:rsidTr="00443002">
        <w:trPr>
          <w:trHeight w:val="282"/>
        </w:trPr>
        <w:tc>
          <w:tcPr>
            <w:tcW w:w="2518" w:type="dxa"/>
            <w:tcBorders>
              <w:top w:val="nil"/>
              <w:left w:val="nil"/>
              <w:bottom w:val="single" w:sz="4" w:space="0" w:color="auto"/>
              <w:right w:val="nil"/>
            </w:tcBorders>
          </w:tcPr>
          <w:p w14:paraId="530B326D"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6F9A69D8" w14:textId="77777777" w:rsidR="00443002" w:rsidRPr="005E3E31" w:rsidRDefault="00443002" w:rsidP="00443002">
            <w:pPr>
              <w:spacing w:line="360" w:lineRule="auto"/>
              <w:rPr>
                <w:sz w:val="22"/>
              </w:rPr>
            </w:pPr>
            <w:r>
              <w:rPr>
                <w:sz w:val="22"/>
              </w:rPr>
              <w:t>Accessibility</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11DB730A" w14:textId="77777777" w:rsidR="00443002" w:rsidRPr="003D2159" w:rsidRDefault="00443002" w:rsidP="00443002">
            <w:pPr>
              <w:spacing w:line="360" w:lineRule="auto"/>
              <w:rPr>
                <w:sz w:val="20"/>
              </w:rPr>
            </w:pPr>
            <w:r>
              <w:rPr>
                <w:sz w:val="20"/>
              </w:rPr>
              <w:t xml:space="preserve">56 </w:t>
            </w:r>
            <w:r w:rsidRPr="003D2159">
              <w:rPr>
                <w:sz w:val="20"/>
              </w:rPr>
              <w:t>%</w:t>
            </w:r>
          </w:p>
        </w:tc>
      </w:tr>
    </w:tbl>
    <w:p w14:paraId="63ABF710" w14:textId="77777777" w:rsidR="00443002" w:rsidRDefault="00443002" w:rsidP="00443002">
      <w:pPr>
        <w:spacing w:line="480" w:lineRule="auto"/>
      </w:pPr>
    </w:p>
    <w:p w14:paraId="57320AD6" w14:textId="4EF71728" w:rsidR="00443002" w:rsidRDefault="00443002" w:rsidP="00C42A80">
      <w:pPr>
        <w:pStyle w:val="Heading3"/>
      </w:pPr>
      <w:bookmarkStart w:id="313" w:name="_Toc35892614"/>
      <w:r>
        <w:t xml:space="preserve">Type of use(r) (see Table </w:t>
      </w:r>
      <w:r w:rsidR="00BC139F">
        <w:t>4-</w:t>
      </w:r>
      <w:r>
        <w:t>8)</w:t>
      </w:r>
      <w:bookmarkEnd w:id="313"/>
    </w:p>
    <w:p w14:paraId="35D68E68" w14:textId="0263BE27" w:rsidR="00443002" w:rsidRPr="001B4154" w:rsidRDefault="00443002" w:rsidP="00443002">
      <w:pPr>
        <w:spacing w:line="480" w:lineRule="auto"/>
      </w:pPr>
      <w:r>
        <w:t xml:space="preserve">The majority of studies included in the review sampled populations in which NPS use was presented as recreational in nature. As noted previously, for recreational users, accessibility appeared to be of primary importance. Also found to be particularly relevant for explaining recreational use of NPS was curiosity, pleasure, substitution for traditional illicit drugs and quality-based reasons. In comparison, problem-drug users appeared to be less commonly motivated by curiosity and </w:t>
      </w:r>
      <w:r w:rsidR="00460CFC">
        <w:t>quality-based</w:t>
      </w:r>
      <w:r>
        <w:t xml:space="preserve"> reasons, with legal reasons and the ability of NPS to evade drug testing more frequently noted.    </w:t>
      </w:r>
    </w:p>
    <w:p w14:paraId="0321FD62" w14:textId="6CB09FB6" w:rsidR="00443002" w:rsidRPr="005E0305" w:rsidRDefault="00443002" w:rsidP="005E0305">
      <w:pPr>
        <w:pStyle w:val="TableHeader"/>
        <w:rPr>
          <w:b/>
        </w:rPr>
      </w:pPr>
      <w:bookmarkStart w:id="314" w:name="_Toc9509061"/>
      <w:r w:rsidRPr="005E0305">
        <w:rPr>
          <w:b/>
        </w:rPr>
        <w:t xml:space="preserve">Table </w:t>
      </w:r>
      <w:r w:rsidR="005E0305">
        <w:rPr>
          <w:b/>
        </w:rPr>
        <w:t>4-</w:t>
      </w:r>
      <w:r w:rsidRPr="005E0305">
        <w:rPr>
          <w:b/>
        </w:rPr>
        <w:t>8. Most commonly cited reasons for use by type of drug use</w:t>
      </w:r>
      <w:r w:rsidR="00A868BB">
        <w:rPr>
          <w:b/>
        </w:rPr>
        <w:t>/</w:t>
      </w:r>
      <w:r w:rsidRPr="005E0305">
        <w:rPr>
          <w:b/>
        </w:rPr>
        <w:t>user type</w:t>
      </w:r>
      <w:bookmarkEnd w:id="314"/>
    </w:p>
    <w:tbl>
      <w:tblPr>
        <w:tblStyle w:val="TableGrid"/>
        <w:tblW w:w="9039" w:type="dxa"/>
        <w:tblLayout w:type="fixed"/>
        <w:tblLook w:val="04A0" w:firstRow="1" w:lastRow="0" w:firstColumn="1" w:lastColumn="0" w:noHBand="0" w:noVBand="1"/>
      </w:tblPr>
      <w:tblGrid>
        <w:gridCol w:w="2518"/>
        <w:gridCol w:w="1701"/>
        <w:gridCol w:w="2410"/>
        <w:gridCol w:w="142"/>
        <w:gridCol w:w="2268"/>
      </w:tblGrid>
      <w:tr w:rsidR="00443002" w:rsidRPr="00470F40" w14:paraId="7513CC36" w14:textId="77777777" w:rsidTr="00443002">
        <w:trPr>
          <w:trHeight w:val="366"/>
        </w:trPr>
        <w:tc>
          <w:tcPr>
            <w:tcW w:w="2518" w:type="dxa"/>
            <w:tcBorders>
              <w:top w:val="single" w:sz="4" w:space="0" w:color="auto"/>
              <w:left w:val="nil"/>
              <w:bottom w:val="nil"/>
              <w:right w:val="nil"/>
            </w:tcBorders>
            <w:vAlign w:val="center"/>
          </w:tcPr>
          <w:p w14:paraId="4A0244A9" w14:textId="77777777" w:rsidR="00443002" w:rsidRPr="00470F40" w:rsidRDefault="00443002" w:rsidP="00443002">
            <w:pPr>
              <w:rPr>
                <w:b/>
              </w:rPr>
            </w:pPr>
            <w:r>
              <w:rPr>
                <w:b/>
              </w:rPr>
              <w:t xml:space="preserve">Type of use/r </w:t>
            </w:r>
          </w:p>
        </w:tc>
        <w:tc>
          <w:tcPr>
            <w:tcW w:w="4111" w:type="dxa"/>
            <w:gridSpan w:val="2"/>
            <w:tcBorders>
              <w:top w:val="single" w:sz="4" w:space="0" w:color="auto"/>
              <w:left w:val="nil"/>
              <w:bottom w:val="nil"/>
              <w:right w:val="nil"/>
            </w:tcBorders>
            <w:vAlign w:val="center"/>
          </w:tcPr>
          <w:p w14:paraId="5410D9BE" w14:textId="77777777" w:rsidR="00443002" w:rsidRPr="00470F40" w:rsidRDefault="00443002" w:rsidP="00443002">
            <w:pPr>
              <w:rPr>
                <w:b/>
              </w:rPr>
            </w:pPr>
            <w:r>
              <w:rPr>
                <w:b/>
              </w:rPr>
              <w:t>Reason for use</w:t>
            </w:r>
          </w:p>
        </w:tc>
        <w:tc>
          <w:tcPr>
            <w:tcW w:w="2410" w:type="dxa"/>
            <w:gridSpan w:val="2"/>
            <w:tcBorders>
              <w:top w:val="single" w:sz="4" w:space="0" w:color="auto"/>
              <w:left w:val="nil"/>
              <w:bottom w:val="nil"/>
              <w:right w:val="nil"/>
            </w:tcBorders>
            <w:vAlign w:val="center"/>
          </w:tcPr>
          <w:p w14:paraId="257E3068" w14:textId="77777777" w:rsidR="00443002" w:rsidRPr="00470F40" w:rsidRDefault="00443002" w:rsidP="00443002">
            <w:pPr>
              <w:rPr>
                <w:b/>
              </w:rPr>
            </w:pPr>
            <w:r>
              <w:rPr>
                <w:b/>
              </w:rPr>
              <w:t xml:space="preserve">Number of studies </w:t>
            </w:r>
          </w:p>
        </w:tc>
      </w:tr>
      <w:tr w:rsidR="00443002" w:rsidRPr="00470F40" w14:paraId="19735DD4" w14:textId="77777777" w:rsidTr="00443002">
        <w:trPr>
          <w:trHeight w:val="366"/>
        </w:trPr>
        <w:tc>
          <w:tcPr>
            <w:tcW w:w="2518" w:type="dxa"/>
            <w:tcBorders>
              <w:top w:val="nil"/>
              <w:left w:val="nil"/>
              <w:bottom w:val="single" w:sz="4" w:space="0" w:color="auto"/>
              <w:right w:val="nil"/>
            </w:tcBorders>
            <w:vAlign w:val="center"/>
          </w:tcPr>
          <w:p w14:paraId="138E29EF" w14:textId="77777777" w:rsidR="00443002" w:rsidRPr="00470F40" w:rsidRDefault="00443002" w:rsidP="00443002">
            <w:pPr>
              <w:rPr>
                <w:b/>
              </w:rPr>
            </w:pPr>
          </w:p>
        </w:tc>
        <w:tc>
          <w:tcPr>
            <w:tcW w:w="4111" w:type="dxa"/>
            <w:gridSpan w:val="2"/>
            <w:tcBorders>
              <w:top w:val="nil"/>
              <w:left w:val="nil"/>
              <w:bottom w:val="single" w:sz="4" w:space="0" w:color="auto"/>
              <w:right w:val="nil"/>
            </w:tcBorders>
            <w:vAlign w:val="center"/>
          </w:tcPr>
          <w:p w14:paraId="4FEB621B" w14:textId="77777777" w:rsidR="00443002" w:rsidRPr="00470F40" w:rsidRDefault="00443002" w:rsidP="00443002">
            <w:pPr>
              <w:rPr>
                <w:b/>
              </w:rPr>
            </w:pPr>
          </w:p>
        </w:tc>
        <w:tc>
          <w:tcPr>
            <w:tcW w:w="2410" w:type="dxa"/>
            <w:gridSpan w:val="2"/>
            <w:tcBorders>
              <w:top w:val="nil"/>
              <w:left w:val="nil"/>
              <w:bottom w:val="single" w:sz="4" w:space="0" w:color="auto"/>
              <w:right w:val="nil"/>
            </w:tcBorders>
            <w:vAlign w:val="center"/>
          </w:tcPr>
          <w:p w14:paraId="141F8D10" w14:textId="77777777" w:rsidR="00443002" w:rsidRPr="00DF687E" w:rsidRDefault="00443002" w:rsidP="00443002">
            <w:r>
              <w:rPr>
                <w:sz w:val="22"/>
              </w:rPr>
              <w:t xml:space="preserve">% reporting reason </w:t>
            </w:r>
          </w:p>
        </w:tc>
      </w:tr>
      <w:tr w:rsidR="00443002" w:rsidRPr="00A5260C" w14:paraId="289AB1CF" w14:textId="77777777" w:rsidTr="00443002">
        <w:tc>
          <w:tcPr>
            <w:tcW w:w="4219" w:type="dxa"/>
            <w:gridSpan w:val="2"/>
            <w:tcBorders>
              <w:top w:val="nil"/>
              <w:left w:val="nil"/>
              <w:bottom w:val="nil"/>
              <w:right w:val="nil"/>
            </w:tcBorders>
            <w:vAlign w:val="bottom"/>
          </w:tcPr>
          <w:p w14:paraId="79E35EA3" w14:textId="77777777" w:rsidR="00443002" w:rsidRPr="00A5260C" w:rsidRDefault="00443002" w:rsidP="00443002">
            <w:pPr>
              <w:spacing w:line="360" w:lineRule="auto"/>
              <w:rPr>
                <w:b/>
                <w:sz w:val="6"/>
              </w:rPr>
            </w:pPr>
            <w:r>
              <w:rPr>
                <w:b/>
                <w:sz w:val="22"/>
              </w:rPr>
              <w:t xml:space="preserve">Recreational drug users </w:t>
            </w:r>
          </w:p>
        </w:tc>
        <w:tc>
          <w:tcPr>
            <w:tcW w:w="2552" w:type="dxa"/>
            <w:gridSpan w:val="2"/>
            <w:tcBorders>
              <w:top w:val="nil"/>
              <w:left w:val="nil"/>
              <w:bottom w:val="nil"/>
              <w:right w:val="nil"/>
            </w:tcBorders>
            <w:vAlign w:val="bottom"/>
          </w:tcPr>
          <w:p w14:paraId="22B27E24" w14:textId="77777777" w:rsidR="00443002" w:rsidRPr="00A5260C" w:rsidRDefault="00443002" w:rsidP="00443002">
            <w:pPr>
              <w:spacing w:line="360" w:lineRule="auto"/>
              <w:rPr>
                <w:b/>
                <w:sz w:val="20"/>
              </w:rPr>
            </w:pPr>
          </w:p>
        </w:tc>
        <w:tc>
          <w:tcPr>
            <w:tcW w:w="2268" w:type="dxa"/>
            <w:tcBorders>
              <w:top w:val="nil"/>
              <w:left w:val="nil"/>
              <w:bottom w:val="nil"/>
              <w:right w:val="nil"/>
            </w:tcBorders>
            <w:vAlign w:val="bottom"/>
          </w:tcPr>
          <w:p w14:paraId="349DE659"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24</w:t>
            </w:r>
            <w:r w:rsidRPr="004D5A7C">
              <w:rPr>
                <w:b/>
                <w:color w:val="FFFFFF" w:themeColor="background1"/>
                <w:szCs w:val="24"/>
              </w:rPr>
              <w:t xml:space="preserve"> </w:t>
            </w:r>
            <w:r w:rsidRPr="004D5A7C">
              <w:rPr>
                <w:b/>
                <w:szCs w:val="24"/>
              </w:rPr>
              <w:t>Studies</w:t>
            </w:r>
          </w:p>
        </w:tc>
      </w:tr>
      <w:tr w:rsidR="00443002" w:rsidRPr="005E3E31" w14:paraId="3F0274BC" w14:textId="77777777" w:rsidTr="00443002">
        <w:trPr>
          <w:trHeight w:val="282"/>
        </w:trPr>
        <w:tc>
          <w:tcPr>
            <w:tcW w:w="2518" w:type="dxa"/>
            <w:tcBorders>
              <w:top w:val="nil"/>
              <w:left w:val="nil"/>
              <w:bottom w:val="nil"/>
              <w:right w:val="nil"/>
            </w:tcBorders>
          </w:tcPr>
          <w:p w14:paraId="51A424FF"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212C1977" w14:textId="77777777" w:rsidR="00443002" w:rsidRPr="005E3E31" w:rsidRDefault="00443002" w:rsidP="00443002">
            <w:pPr>
              <w:spacing w:line="360" w:lineRule="auto"/>
              <w:rPr>
                <w:sz w:val="22"/>
              </w:rPr>
            </w:pPr>
            <w:r>
              <w:rPr>
                <w:sz w:val="22"/>
              </w:rPr>
              <w:t>Accessibility</w:t>
            </w:r>
          </w:p>
        </w:tc>
        <w:tc>
          <w:tcPr>
            <w:tcW w:w="2268" w:type="dxa"/>
            <w:tcBorders>
              <w:top w:val="nil"/>
              <w:left w:val="nil"/>
              <w:bottom w:val="nil"/>
              <w:right w:val="nil"/>
            </w:tcBorders>
          </w:tcPr>
          <w:p w14:paraId="33D9A101" w14:textId="77777777" w:rsidR="00443002" w:rsidRPr="003D2159" w:rsidRDefault="00443002" w:rsidP="00443002">
            <w:pPr>
              <w:spacing w:line="360" w:lineRule="auto"/>
              <w:rPr>
                <w:sz w:val="20"/>
              </w:rPr>
            </w:pPr>
            <w:r w:rsidRPr="003D2159">
              <w:rPr>
                <w:sz w:val="20"/>
              </w:rPr>
              <w:t>7</w:t>
            </w:r>
            <w:r>
              <w:rPr>
                <w:sz w:val="20"/>
              </w:rPr>
              <w:t xml:space="preserve">0 </w:t>
            </w:r>
            <w:r w:rsidRPr="003D2159">
              <w:rPr>
                <w:sz w:val="20"/>
              </w:rPr>
              <w:t>%</w:t>
            </w:r>
          </w:p>
        </w:tc>
      </w:tr>
      <w:tr w:rsidR="00443002" w:rsidRPr="005E3E31" w14:paraId="453D6174" w14:textId="77777777" w:rsidTr="00443002">
        <w:trPr>
          <w:trHeight w:val="282"/>
        </w:trPr>
        <w:tc>
          <w:tcPr>
            <w:tcW w:w="2518" w:type="dxa"/>
            <w:tcBorders>
              <w:top w:val="nil"/>
              <w:left w:val="nil"/>
              <w:bottom w:val="nil"/>
              <w:right w:val="nil"/>
            </w:tcBorders>
          </w:tcPr>
          <w:p w14:paraId="5C45342D"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65EF810E" w14:textId="77777777" w:rsidR="00443002" w:rsidRPr="005E3E31" w:rsidRDefault="00443002" w:rsidP="00443002">
            <w:pPr>
              <w:spacing w:line="360" w:lineRule="auto"/>
              <w:rPr>
                <w:sz w:val="22"/>
              </w:rPr>
            </w:pPr>
            <w:r>
              <w:rPr>
                <w:sz w:val="22"/>
              </w:rPr>
              <w:t>Curiosity</w:t>
            </w:r>
          </w:p>
        </w:tc>
        <w:tc>
          <w:tcPr>
            <w:tcW w:w="2268" w:type="dxa"/>
            <w:tcBorders>
              <w:top w:val="nil"/>
              <w:left w:val="nil"/>
              <w:bottom w:val="nil"/>
              <w:right w:val="nil"/>
            </w:tcBorders>
          </w:tcPr>
          <w:p w14:paraId="3036E6B4" w14:textId="77777777" w:rsidR="00443002" w:rsidRPr="003D2159" w:rsidRDefault="00443002" w:rsidP="00443002">
            <w:pPr>
              <w:spacing w:line="360" w:lineRule="auto"/>
              <w:rPr>
                <w:sz w:val="20"/>
              </w:rPr>
            </w:pPr>
            <w:r>
              <w:rPr>
                <w:sz w:val="20"/>
              </w:rPr>
              <w:t xml:space="preserve">54 </w:t>
            </w:r>
            <w:r w:rsidRPr="003D2159">
              <w:rPr>
                <w:sz w:val="20"/>
              </w:rPr>
              <w:t>%</w:t>
            </w:r>
          </w:p>
        </w:tc>
      </w:tr>
      <w:tr w:rsidR="00443002" w:rsidRPr="005E3E31" w14:paraId="3A51F2FA" w14:textId="77777777" w:rsidTr="00443002">
        <w:trPr>
          <w:trHeight w:val="282"/>
        </w:trPr>
        <w:tc>
          <w:tcPr>
            <w:tcW w:w="2518" w:type="dxa"/>
            <w:tcBorders>
              <w:top w:val="nil"/>
              <w:left w:val="nil"/>
              <w:bottom w:val="nil"/>
              <w:right w:val="nil"/>
            </w:tcBorders>
          </w:tcPr>
          <w:p w14:paraId="5ED085B7"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00A6B0E0" w14:textId="77777777" w:rsidR="00443002" w:rsidRPr="005E3E31" w:rsidRDefault="00443002" w:rsidP="00443002">
            <w:pPr>
              <w:spacing w:line="360" w:lineRule="auto"/>
              <w:rPr>
                <w:sz w:val="22"/>
              </w:rPr>
            </w:pPr>
            <w:r>
              <w:rPr>
                <w:sz w:val="22"/>
              </w:rPr>
              <w:t>Pleasure</w:t>
            </w:r>
          </w:p>
        </w:tc>
        <w:tc>
          <w:tcPr>
            <w:tcW w:w="2268" w:type="dxa"/>
            <w:tcBorders>
              <w:top w:val="nil"/>
              <w:left w:val="nil"/>
              <w:bottom w:val="nil"/>
              <w:right w:val="nil"/>
            </w:tcBorders>
          </w:tcPr>
          <w:p w14:paraId="15DC2A5D" w14:textId="77777777" w:rsidR="00443002" w:rsidRPr="003D2159" w:rsidRDefault="00443002" w:rsidP="00443002">
            <w:pPr>
              <w:spacing w:line="360" w:lineRule="auto"/>
              <w:rPr>
                <w:sz w:val="20"/>
              </w:rPr>
            </w:pPr>
            <w:r>
              <w:rPr>
                <w:sz w:val="20"/>
              </w:rPr>
              <w:t xml:space="preserve">54 </w:t>
            </w:r>
            <w:r w:rsidRPr="003D2159">
              <w:rPr>
                <w:sz w:val="20"/>
              </w:rPr>
              <w:t>%</w:t>
            </w:r>
          </w:p>
        </w:tc>
      </w:tr>
      <w:tr w:rsidR="00443002" w:rsidRPr="005E3E31" w14:paraId="70ADAFFE" w14:textId="77777777" w:rsidTr="00443002">
        <w:trPr>
          <w:trHeight w:val="282"/>
        </w:trPr>
        <w:tc>
          <w:tcPr>
            <w:tcW w:w="2518" w:type="dxa"/>
            <w:tcBorders>
              <w:top w:val="nil"/>
              <w:left w:val="nil"/>
              <w:bottom w:val="nil"/>
              <w:right w:val="nil"/>
            </w:tcBorders>
          </w:tcPr>
          <w:p w14:paraId="74E320D8"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486FF3A8" w14:textId="77777777" w:rsidR="00443002" w:rsidRPr="005E3E31" w:rsidRDefault="00443002" w:rsidP="00443002">
            <w:pPr>
              <w:spacing w:line="360" w:lineRule="auto"/>
              <w:rPr>
                <w:sz w:val="22"/>
              </w:rPr>
            </w:pPr>
            <w:r>
              <w:rPr>
                <w:sz w:val="22"/>
              </w:rPr>
              <w:t>Substitution</w:t>
            </w:r>
          </w:p>
        </w:tc>
        <w:tc>
          <w:tcPr>
            <w:tcW w:w="2268" w:type="dxa"/>
            <w:tcBorders>
              <w:top w:val="nil"/>
              <w:left w:val="nil"/>
              <w:bottom w:val="nil"/>
              <w:right w:val="nil"/>
            </w:tcBorders>
          </w:tcPr>
          <w:p w14:paraId="09E3512C" w14:textId="77777777" w:rsidR="00443002" w:rsidRPr="003D2159" w:rsidRDefault="00443002" w:rsidP="00443002">
            <w:pPr>
              <w:spacing w:line="360" w:lineRule="auto"/>
              <w:rPr>
                <w:sz w:val="20"/>
              </w:rPr>
            </w:pPr>
            <w:r>
              <w:rPr>
                <w:sz w:val="20"/>
              </w:rPr>
              <w:t xml:space="preserve">50 </w:t>
            </w:r>
            <w:r w:rsidRPr="003D2159">
              <w:rPr>
                <w:sz w:val="20"/>
              </w:rPr>
              <w:t>%</w:t>
            </w:r>
          </w:p>
        </w:tc>
      </w:tr>
      <w:tr w:rsidR="00443002" w:rsidRPr="005E3E31" w14:paraId="5E66BA3A" w14:textId="77777777" w:rsidTr="00443002">
        <w:trPr>
          <w:trHeight w:val="282"/>
        </w:trPr>
        <w:tc>
          <w:tcPr>
            <w:tcW w:w="2518" w:type="dxa"/>
            <w:tcBorders>
              <w:top w:val="nil"/>
              <w:left w:val="nil"/>
              <w:bottom w:val="single" w:sz="4" w:space="0" w:color="auto"/>
              <w:right w:val="nil"/>
            </w:tcBorders>
          </w:tcPr>
          <w:p w14:paraId="52458727" w14:textId="77777777" w:rsidR="00443002" w:rsidRPr="005E3E31" w:rsidRDefault="00443002" w:rsidP="00443002">
            <w:pPr>
              <w:spacing w:line="360" w:lineRule="auto"/>
              <w:rPr>
                <w:sz w:val="22"/>
              </w:rPr>
            </w:pPr>
          </w:p>
        </w:tc>
        <w:tc>
          <w:tcPr>
            <w:tcW w:w="4253" w:type="dxa"/>
            <w:gridSpan w:val="3"/>
            <w:tcBorders>
              <w:top w:val="nil"/>
              <w:left w:val="nil"/>
              <w:bottom w:val="single" w:sz="4" w:space="0" w:color="auto"/>
              <w:right w:val="nil"/>
            </w:tcBorders>
          </w:tcPr>
          <w:p w14:paraId="505EC1F4" w14:textId="77777777" w:rsidR="00443002" w:rsidRPr="005E3E31" w:rsidRDefault="00443002" w:rsidP="00443002">
            <w:pPr>
              <w:spacing w:line="360" w:lineRule="auto"/>
              <w:rPr>
                <w:sz w:val="22"/>
              </w:rPr>
            </w:pPr>
            <w:r>
              <w:rPr>
                <w:sz w:val="22"/>
              </w:rPr>
              <w:t>Quality</w:t>
            </w:r>
            <w:r>
              <w:rPr>
                <w:sz w:val="22"/>
              </w:rPr>
              <w:br/>
            </w:r>
            <w:r w:rsidRPr="00EE6571">
              <w:rPr>
                <w:color w:val="FFFFFF" w:themeColor="background1"/>
                <w:sz w:val="6"/>
              </w:rPr>
              <w:t>n</w:t>
            </w:r>
          </w:p>
        </w:tc>
        <w:tc>
          <w:tcPr>
            <w:tcW w:w="2268" w:type="dxa"/>
            <w:tcBorders>
              <w:top w:val="nil"/>
              <w:left w:val="nil"/>
              <w:bottom w:val="single" w:sz="4" w:space="0" w:color="auto"/>
              <w:right w:val="nil"/>
            </w:tcBorders>
          </w:tcPr>
          <w:p w14:paraId="5E437EDD" w14:textId="77777777" w:rsidR="00443002" w:rsidRPr="003D2159" w:rsidRDefault="00443002" w:rsidP="00443002">
            <w:pPr>
              <w:spacing w:line="360" w:lineRule="auto"/>
              <w:rPr>
                <w:sz w:val="20"/>
              </w:rPr>
            </w:pPr>
            <w:r>
              <w:rPr>
                <w:sz w:val="20"/>
              </w:rPr>
              <w:t xml:space="preserve">46 </w:t>
            </w:r>
            <w:r w:rsidRPr="003D2159">
              <w:rPr>
                <w:sz w:val="20"/>
              </w:rPr>
              <w:t>%</w:t>
            </w:r>
          </w:p>
        </w:tc>
      </w:tr>
      <w:tr w:rsidR="00443002" w:rsidRPr="00A5260C" w14:paraId="0408A7A4" w14:textId="77777777" w:rsidTr="00443002">
        <w:tc>
          <w:tcPr>
            <w:tcW w:w="4219" w:type="dxa"/>
            <w:gridSpan w:val="2"/>
            <w:tcBorders>
              <w:top w:val="nil"/>
              <w:left w:val="nil"/>
              <w:bottom w:val="nil"/>
              <w:right w:val="nil"/>
            </w:tcBorders>
            <w:vAlign w:val="bottom"/>
          </w:tcPr>
          <w:p w14:paraId="26032A06" w14:textId="77777777" w:rsidR="00443002" w:rsidRPr="00A5260C" w:rsidRDefault="00443002" w:rsidP="00443002">
            <w:pPr>
              <w:spacing w:line="360" w:lineRule="auto"/>
              <w:rPr>
                <w:b/>
                <w:sz w:val="6"/>
              </w:rPr>
            </w:pPr>
            <w:r>
              <w:rPr>
                <w:b/>
                <w:sz w:val="22"/>
              </w:rPr>
              <w:t xml:space="preserve">Problem drug users </w:t>
            </w:r>
          </w:p>
        </w:tc>
        <w:tc>
          <w:tcPr>
            <w:tcW w:w="2552" w:type="dxa"/>
            <w:gridSpan w:val="2"/>
            <w:tcBorders>
              <w:top w:val="nil"/>
              <w:left w:val="nil"/>
              <w:bottom w:val="nil"/>
              <w:right w:val="nil"/>
            </w:tcBorders>
            <w:vAlign w:val="bottom"/>
          </w:tcPr>
          <w:p w14:paraId="626FF1AF" w14:textId="77777777" w:rsidR="00443002" w:rsidRPr="00A5260C" w:rsidRDefault="00443002" w:rsidP="00443002">
            <w:pPr>
              <w:spacing w:line="360" w:lineRule="auto"/>
              <w:rPr>
                <w:b/>
                <w:sz w:val="20"/>
              </w:rPr>
            </w:pPr>
          </w:p>
        </w:tc>
        <w:tc>
          <w:tcPr>
            <w:tcW w:w="2268" w:type="dxa"/>
            <w:tcBorders>
              <w:top w:val="nil"/>
              <w:left w:val="nil"/>
              <w:bottom w:val="nil"/>
              <w:right w:val="nil"/>
            </w:tcBorders>
            <w:vAlign w:val="bottom"/>
          </w:tcPr>
          <w:p w14:paraId="7B97A7AE"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7</w:t>
            </w:r>
            <w:r w:rsidRPr="004D5A7C">
              <w:rPr>
                <w:b/>
                <w:color w:val="FFFFFF" w:themeColor="background1"/>
                <w:szCs w:val="24"/>
              </w:rPr>
              <w:t xml:space="preserve"> </w:t>
            </w:r>
            <w:r w:rsidRPr="004D5A7C">
              <w:rPr>
                <w:b/>
                <w:szCs w:val="24"/>
              </w:rPr>
              <w:t>Studies</w:t>
            </w:r>
          </w:p>
        </w:tc>
      </w:tr>
      <w:tr w:rsidR="00443002" w:rsidRPr="005E3E31" w14:paraId="06A0F945" w14:textId="77777777" w:rsidTr="00443002">
        <w:trPr>
          <w:trHeight w:val="282"/>
        </w:trPr>
        <w:tc>
          <w:tcPr>
            <w:tcW w:w="2518" w:type="dxa"/>
            <w:tcBorders>
              <w:top w:val="nil"/>
              <w:left w:val="nil"/>
              <w:bottom w:val="nil"/>
              <w:right w:val="nil"/>
            </w:tcBorders>
          </w:tcPr>
          <w:p w14:paraId="5B13E191"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24C17136" w14:textId="77777777" w:rsidR="00443002" w:rsidRPr="005E3E31" w:rsidRDefault="00443002" w:rsidP="00443002">
            <w:pPr>
              <w:spacing w:line="360" w:lineRule="auto"/>
              <w:rPr>
                <w:sz w:val="22"/>
              </w:rPr>
            </w:pPr>
            <w:r>
              <w:rPr>
                <w:sz w:val="22"/>
              </w:rPr>
              <w:t>Not detected in drug tests</w:t>
            </w:r>
          </w:p>
        </w:tc>
        <w:tc>
          <w:tcPr>
            <w:tcW w:w="2268" w:type="dxa"/>
            <w:tcBorders>
              <w:top w:val="nil"/>
              <w:left w:val="nil"/>
              <w:bottom w:val="nil"/>
              <w:right w:val="nil"/>
            </w:tcBorders>
          </w:tcPr>
          <w:p w14:paraId="2C20EFEC" w14:textId="77777777" w:rsidR="00443002" w:rsidRPr="003D2159" w:rsidRDefault="00443002" w:rsidP="00443002">
            <w:pPr>
              <w:spacing w:line="360" w:lineRule="auto"/>
              <w:rPr>
                <w:sz w:val="20"/>
              </w:rPr>
            </w:pPr>
            <w:r>
              <w:rPr>
                <w:sz w:val="20"/>
              </w:rPr>
              <w:t xml:space="preserve">71 </w:t>
            </w:r>
            <w:r w:rsidRPr="003D2159">
              <w:rPr>
                <w:sz w:val="20"/>
              </w:rPr>
              <w:t>%</w:t>
            </w:r>
          </w:p>
        </w:tc>
      </w:tr>
      <w:tr w:rsidR="00443002" w:rsidRPr="005E3E31" w14:paraId="3DCCBF79" w14:textId="77777777" w:rsidTr="00443002">
        <w:trPr>
          <w:trHeight w:val="282"/>
        </w:trPr>
        <w:tc>
          <w:tcPr>
            <w:tcW w:w="2518" w:type="dxa"/>
            <w:tcBorders>
              <w:top w:val="nil"/>
              <w:left w:val="nil"/>
              <w:bottom w:val="nil"/>
              <w:right w:val="nil"/>
            </w:tcBorders>
          </w:tcPr>
          <w:p w14:paraId="688778F2"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3037D48D" w14:textId="77777777" w:rsidR="00443002" w:rsidRPr="005E3E31" w:rsidRDefault="00443002" w:rsidP="00443002">
            <w:pPr>
              <w:spacing w:line="360" w:lineRule="auto"/>
              <w:rPr>
                <w:sz w:val="22"/>
              </w:rPr>
            </w:pPr>
            <w:r>
              <w:rPr>
                <w:sz w:val="22"/>
              </w:rPr>
              <w:t>Substitution</w:t>
            </w:r>
          </w:p>
        </w:tc>
        <w:tc>
          <w:tcPr>
            <w:tcW w:w="2268" w:type="dxa"/>
            <w:tcBorders>
              <w:top w:val="nil"/>
              <w:left w:val="nil"/>
              <w:bottom w:val="nil"/>
              <w:right w:val="nil"/>
            </w:tcBorders>
          </w:tcPr>
          <w:p w14:paraId="68E1E9A1" w14:textId="77777777" w:rsidR="00443002" w:rsidRPr="003D2159" w:rsidRDefault="00443002" w:rsidP="00443002">
            <w:pPr>
              <w:spacing w:line="360" w:lineRule="auto"/>
              <w:rPr>
                <w:sz w:val="20"/>
              </w:rPr>
            </w:pPr>
            <w:r>
              <w:rPr>
                <w:sz w:val="20"/>
              </w:rPr>
              <w:t xml:space="preserve">71 </w:t>
            </w:r>
            <w:r w:rsidRPr="003D2159">
              <w:rPr>
                <w:sz w:val="20"/>
              </w:rPr>
              <w:t>%</w:t>
            </w:r>
          </w:p>
        </w:tc>
      </w:tr>
      <w:tr w:rsidR="00443002" w:rsidRPr="005E3E31" w14:paraId="788BD750" w14:textId="77777777" w:rsidTr="00443002">
        <w:trPr>
          <w:trHeight w:val="282"/>
        </w:trPr>
        <w:tc>
          <w:tcPr>
            <w:tcW w:w="2518" w:type="dxa"/>
            <w:tcBorders>
              <w:top w:val="nil"/>
              <w:left w:val="nil"/>
              <w:bottom w:val="nil"/>
              <w:right w:val="nil"/>
            </w:tcBorders>
          </w:tcPr>
          <w:p w14:paraId="72DA53B4"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3CCA1CEC" w14:textId="77777777" w:rsidR="00443002" w:rsidRPr="005E3E31" w:rsidRDefault="00443002" w:rsidP="00443002">
            <w:pPr>
              <w:spacing w:line="360" w:lineRule="auto"/>
              <w:rPr>
                <w:sz w:val="22"/>
              </w:rPr>
            </w:pPr>
            <w:r>
              <w:rPr>
                <w:sz w:val="22"/>
              </w:rPr>
              <w:t>Pleasure</w:t>
            </w:r>
          </w:p>
        </w:tc>
        <w:tc>
          <w:tcPr>
            <w:tcW w:w="2268" w:type="dxa"/>
            <w:tcBorders>
              <w:top w:val="nil"/>
              <w:left w:val="nil"/>
              <w:bottom w:val="nil"/>
              <w:right w:val="nil"/>
            </w:tcBorders>
          </w:tcPr>
          <w:p w14:paraId="30C45F61" w14:textId="77777777" w:rsidR="00443002" w:rsidRPr="003D2159" w:rsidRDefault="00443002" w:rsidP="00443002">
            <w:pPr>
              <w:spacing w:line="360" w:lineRule="auto"/>
              <w:rPr>
                <w:sz w:val="20"/>
              </w:rPr>
            </w:pPr>
            <w:r>
              <w:rPr>
                <w:sz w:val="20"/>
              </w:rPr>
              <w:t xml:space="preserve">57 </w:t>
            </w:r>
            <w:r w:rsidRPr="003D2159">
              <w:rPr>
                <w:sz w:val="20"/>
              </w:rPr>
              <w:t>%</w:t>
            </w:r>
          </w:p>
        </w:tc>
      </w:tr>
      <w:tr w:rsidR="00443002" w:rsidRPr="005E3E31" w14:paraId="551DDF39" w14:textId="77777777" w:rsidTr="00443002">
        <w:trPr>
          <w:trHeight w:val="282"/>
        </w:trPr>
        <w:tc>
          <w:tcPr>
            <w:tcW w:w="2518" w:type="dxa"/>
            <w:tcBorders>
              <w:top w:val="nil"/>
              <w:left w:val="nil"/>
              <w:bottom w:val="nil"/>
              <w:right w:val="nil"/>
            </w:tcBorders>
          </w:tcPr>
          <w:p w14:paraId="27D0186B" w14:textId="77777777" w:rsidR="00443002" w:rsidRPr="005E3E31" w:rsidRDefault="00443002" w:rsidP="00443002">
            <w:pPr>
              <w:spacing w:line="360" w:lineRule="auto"/>
              <w:rPr>
                <w:sz w:val="22"/>
              </w:rPr>
            </w:pPr>
          </w:p>
        </w:tc>
        <w:tc>
          <w:tcPr>
            <w:tcW w:w="4253" w:type="dxa"/>
            <w:gridSpan w:val="3"/>
            <w:tcBorders>
              <w:top w:val="nil"/>
              <w:left w:val="nil"/>
              <w:bottom w:val="nil"/>
              <w:right w:val="nil"/>
            </w:tcBorders>
          </w:tcPr>
          <w:p w14:paraId="75457A30" w14:textId="77777777" w:rsidR="00443002" w:rsidRPr="005E3E31" w:rsidRDefault="00443002" w:rsidP="00443002">
            <w:pPr>
              <w:spacing w:line="360" w:lineRule="auto"/>
              <w:rPr>
                <w:sz w:val="22"/>
              </w:rPr>
            </w:pPr>
            <w:r>
              <w:rPr>
                <w:sz w:val="22"/>
              </w:rPr>
              <w:t>Legal reasons</w:t>
            </w:r>
          </w:p>
        </w:tc>
        <w:tc>
          <w:tcPr>
            <w:tcW w:w="2268" w:type="dxa"/>
            <w:tcBorders>
              <w:top w:val="nil"/>
              <w:left w:val="nil"/>
              <w:bottom w:val="nil"/>
              <w:right w:val="nil"/>
            </w:tcBorders>
          </w:tcPr>
          <w:p w14:paraId="056D81EC" w14:textId="77777777" w:rsidR="00443002" w:rsidRPr="003D2159" w:rsidRDefault="00443002" w:rsidP="00443002">
            <w:pPr>
              <w:spacing w:line="360" w:lineRule="auto"/>
              <w:rPr>
                <w:sz w:val="20"/>
              </w:rPr>
            </w:pPr>
            <w:r>
              <w:rPr>
                <w:sz w:val="20"/>
              </w:rPr>
              <w:t xml:space="preserve">57 </w:t>
            </w:r>
            <w:r w:rsidRPr="003D2159">
              <w:rPr>
                <w:sz w:val="20"/>
              </w:rPr>
              <w:t>%</w:t>
            </w:r>
          </w:p>
        </w:tc>
      </w:tr>
      <w:tr w:rsidR="00443002" w:rsidRPr="005E3E31" w14:paraId="6CB620DA" w14:textId="77777777" w:rsidTr="00443002">
        <w:trPr>
          <w:trHeight w:val="282"/>
        </w:trPr>
        <w:tc>
          <w:tcPr>
            <w:tcW w:w="2518" w:type="dxa"/>
            <w:tcBorders>
              <w:top w:val="nil"/>
              <w:left w:val="nil"/>
              <w:bottom w:val="single" w:sz="4" w:space="0" w:color="auto"/>
              <w:right w:val="nil"/>
            </w:tcBorders>
          </w:tcPr>
          <w:p w14:paraId="76097927" w14:textId="77777777" w:rsidR="00443002" w:rsidRPr="005E3E31" w:rsidRDefault="00443002" w:rsidP="00443002">
            <w:pPr>
              <w:spacing w:line="360" w:lineRule="auto"/>
              <w:rPr>
                <w:sz w:val="22"/>
              </w:rPr>
            </w:pPr>
          </w:p>
        </w:tc>
        <w:tc>
          <w:tcPr>
            <w:tcW w:w="4253" w:type="dxa"/>
            <w:gridSpan w:val="3"/>
            <w:tcBorders>
              <w:top w:val="nil"/>
              <w:left w:val="nil"/>
              <w:bottom w:val="single" w:sz="4" w:space="0" w:color="auto"/>
              <w:right w:val="nil"/>
            </w:tcBorders>
          </w:tcPr>
          <w:p w14:paraId="6479B923" w14:textId="77777777" w:rsidR="00443002" w:rsidRPr="005E3E31" w:rsidRDefault="00443002" w:rsidP="00443002">
            <w:pPr>
              <w:spacing w:line="360" w:lineRule="auto"/>
              <w:rPr>
                <w:sz w:val="22"/>
              </w:rPr>
            </w:pPr>
            <w:r>
              <w:rPr>
                <w:sz w:val="22"/>
              </w:rPr>
              <w:t>Accessibility</w:t>
            </w:r>
            <w:r w:rsidRPr="005E3E31">
              <w:rPr>
                <w:sz w:val="22"/>
              </w:rPr>
              <w:br/>
            </w:r>
            <w:r w:rsidRPr="005E3E31">
              <w:rPr>
                <w:color w:val="FFFFFF" w:themeColor="background1"/>
                <w:sz w:val="6"/>
              </w:rPr>
              <w:t>n</w:t>
            </w:r>
          </w:p>
        </w:tc>
        <w:tc>
          <w:tcPr>
            <w:tcW w:w="2268" w:type="dxa"/>
            <w:tcBorders>
              <w:top w:val="nil"/>
              <w:left w:val="nil"/>
              <w:bottom w:val="single" w:sz="4" w:space="0" w:color="auto"/>
              <w:right w:val="nil"/>
            </w:tcBorders>
          </w:tcPr>
          <w:p w14:paraId="2CC06A2E" w14:textId="77777777" w:rsidR="00443002" w:rsidRPr="003D2159" w:rsidRDefault="00443002" w:rsidP="00443002">
            <w:pPr>
              <w:spacing w:line="360" w:lineRule="auto"/>
              <w:rPr>
                <w:sz w:val="20"/>
              </w:rPr>
            </w:pPr>
            <w:r>
              <w:rPr>
                <w:sz w:val="20"/>
              </w:rPr>
              <w:t xml:space="preserve">57 </w:t>
            </w:r>
            <w:r w:rsidRPr="003D2159">
              <w:rPr>
                <w:sz w:val="20"/>
              </w:rPr>
              <w:t>%</w:t>
            </w:r>
          </w:p>
        </w:tc>
      </w:tr>
    </w:tbl>
    <w:p w14:paraId="2217499A" w14:textId="77777777" w:rsidR="00443002" w:rsidRDefault="00443002" w:rsidP="00443002">
      <w:pPr>
        <w:pStyle w:val="Heading3"/>
        <w:numPr>
          <w:ilvl w:val="0"/>
          <w:numId w:val="0"/>
        </w:numPr>
      </w:pPr>
    </w:p>
    <w:p w14:paraId="726F5CE7" w14:textId="4DA2A04D" w:rsidR="00443002" w:rsidRPr="0020138A" w:rsidRDefault="00443002" w:rsidP="00C42A80">
      <w:pPr>
        <w:pStyle w:val="Heading3"/>
      </w:pPr>
      <w:bookmarkStart w:id="315" w:name="_Toc35892615"/>
      <w:r>
        <w:t>M</w:t>
      </w:r>
      <w:r w:rsidRPr="0020138A">
        <w:t>ethodolog</w:t>
      </w:r>
      <w:r>
        <w:t xml:space="preserve">ical differences (see Tables </w:t>
      </w:r>
      <w:r w:rsidR="00BC139F">
        <w:t>4-</w:t>
      </w:r>
      <w:r>
        <w:t xml:space="preserve">9 and </w:t>
      </w:r>
      <w:r w:rsidR="00BC139F">
        <w:t>4-</w:t>
      </w:r>
      <w:r>
        <w:t>10)</w:t>
      </w:r>
      <w:bookmarkEnd w:id="315"/>
    </w:p>
    <w:p w14:paraId="354C0075" w14:textId="77777777" w:rsidR="00443002" w:rsidRDefault="00443002" w:rsidP="00443002">
      <w:pPr>
        <w:spacing w:line="480" w:lineRule="auto"/>
      </w:pPr>
      <w:r>
        <w:t xml:space="preserve">The full set of studies employed a range of methodologies, between which few variables could be compared directly, although general comparisons could be made between those using open-ended questioning (n=16) and those using closed questions or analysis of pre-existing data (n=15) as well as studies using small samples (n=16) and large samples (n=15).  </w:t>
      </w:r>
    </w:p>
    <w:p w14:paraId="3FBA49C4" w14:textId="77777777" w:rsidR="00443002" w:rsidRDefault="00443002" w:rsidP="00443002">
      <w:pPr>
        <w:spacing w:line="480" w:lineRule="auto"/>
      </w:pPr>
      <w:r>
        <w:t xml:space="preserve">As methods utilising closed questions were typically devised by drawing upon factors known to be relevant to use of traditional illicit drugs, open-ended questioning provided an opportunity for any reasons unique to the context of NPS to emerge. Generally, the findings of both open-ended and closed questions were similar, noting the importance of accessibility, pleasure, quality and the use of NPS as a substitute for traditional drugs. However, while open-ended questioning also emphasised the relevance of legal reasons, closed questions highlighted the significance of curiosity as a motivation for </w:t>
      </w:r>
      <w:r w:rsidRPr="001B4154">
        <w:t xml:space="preserve">use. </w:t>
      </w:r>
    </w:p>
    <w:p w14:paraId="68ACC60F" w14:textId="58BB11BA" w:rsidR="00443002" w:rsidRPr="005E0305" w:rsidRDefault="00443002" w:rsidP="005E0305">
      <w:pPr>
        <w:pStyle w:val="TableHeader"/>
        <w:rPr>
          <w:b/>
        </w:rPr>
      </w:pPr>
      <w:bookmarkStart w:id="316" w:name="_Toc9509062"/>
      <w:r w:rsidRPr="005E0305">
        <w:rPr>
          <w:b/>
        </w:rPr>
        <w:t xml:space="preserve">Table </w:t>
      </w:r>
      <w:r w:rsidR="005E0305">
        <w:rPr>
          <w:b/>
        </w:rPr>
        <w:t>4-</w:t>
      </w:r>
      <w:r w:rsidRPr="005E0305">
        <w:rPr>
          <w:b/>
        </w:rPr>
        <w:t>9. Most commonly cited reasons for use type of question</w:t>
      </w:r>
      <w:bookmarkEnd w:id="316"/>
    </w:p>
    <w:tbl>
      <w:tblPr>
        <w:tblStyle w:val="TableGrid"/>
        <w:tblW w:w="9039" w:type="dxa"/>
        <w:tblLayout w:type="fixed"/>
        <w:tblLook w:val="04A0" w:firstRow="1" w:lastRow="0" w:firstColumn="1" w:lastColumn="0" w:noHBand="0" w:noVBand="1"/>
      </w:tblPr>
      <w:tblGrid>
        <w:gridCol w:w="2518"/>
        <w:gridCol w:w="1701"/>
        <w:gridCol w:w="2410"/>
        <w:gridCol w:w="2410"/>
      </w:tblGrid>
      <w:tr w:rsidR="00443002" w:rsidRPr="00470F40" w14:paraId="29EBE72A" w14:textId="77777777" w:rsidTr="00443002">
        <w:trPr>
          <w:trHeight w:val="366"/>
        </w:trPr>
        <w:tc>
          <w:tcPr>
            <w:tcW w:w="2518" w:type="dxa"/>
            <w:tcBorders>
              <w:top w:val="single" w:sz="4" w:space="0" w:color="auto"/>
              <w:left w:val="nil"/>
              <w:bottom w:val="nil"/>
              <w:right w:val="nil"/>
            </w:tcBorders>
            <w:vAlign w:val="center"/>
          </w:tcPr>
          <w:p w14:paraId="47370FD4" w14:textId="77777777" w:rsidR="00443002" w:rsidRPr="00470F40" w:rsidRDefault="00443002" w:rsidP="00443002">
            <w:pPr>
              <w:rPr>
                <w:b/>
              </w:rPr>
            </w:pPr>
            <w:r>
              <w:rPr>
                <w:b/>
              </w:rPr>
              <w:t xml:space="preserve">Type of questioning </w:t>
            </w:r>
          </w:p>
        </w:tc>
        <w:tc>
          <w:tcPr>
            <w:tcW w:w="4111" w:type="dxa"/>
            <w:gridSpan w:val="2"/>
            <w:tcBorders>
              <w:top w:val="single" w:sz="4" w:space="0" w:color="auto"/>
              <w:left w:val="nil"/>
              <w:bottom w:val="nil"/>
              <w:right w:val="nil"/>
            </w:tcBorders>
            <w:vAlign w:val="center"/>
          </w:tcPr>
          <w:p w14:paraId="266724D0" w14:textId="77777777" w:rsidR="00443002" w:rsidRPr="00470F40" w:rsidRDefault="00443002" w:rsidP="00443002">
            <w:pPr>
              <w:rPr>
                <w:b/>
              </w:rPr>
            </w:pPr>
            <w:r>
              <w:rPr>
                <w:b/>
              </w:rPr>
              <w:t>Reason for use</w:t>
            </w:r>
          </w:p>
        </w:tc>
        <w:tc>
          <w:tcPr>
            <w:tcW w:w="2410" w:type="dxa"/>
            <w:tcBorders>
              <w:top w:val="single" w:sz="4" w:space="0" w:color="auto"/>
              <w:left w:val="nil"/>
              <w:bottom w:val="nil"/>
              <w:right w:val="nil"/>
            </w:tcBorders>
            <w:vAlign w:val="center"/>
          </w:tcPr>
          <w:p w14:paraId="5DFC0F82" w14:textId="77777777" w:rsidR="00443002" w:rsidRPr="00470F40" w:rsidRDefault="00443002" w:rsidP="00443002">
            <w:pPr>
              <w:rPr>
                <w:b/>
              </w:rPr>
            </w:pPr>
            <w:r>
              <w:rPr>
                <w:b/>
              </w:rPr>
              <w:t xml:space="preserve">Number of studies </w:t>
            </w:r>
          </w:p>
        </w:tc>
      </w:tr>
      <w:tr w:rsidR="00443002" w:rsidRPr="00470F40" w14:paraId="18AE9DB6" w14:textId="77777777" w:rsidTr="00443002">
        <w:trPr>
          <w:trHeight w:val="366"/>
        </w:trPr>
        <w:tc>
          <w:tcPr>
            <w:tcW w:w="2518" w:type="dxa"/>
            <w:tcBorders>
              <w:top w:val="nil"/>
              <w:left w:val="nil"/>
              <w:bottom w:val="single" w:sz="4" w:space="0" w:color="auto"/>
              <w:right w:val="nil"/>
            </w:tcBorders>
            <w:vAlign w:val="center"/>
          </w:tcPr>
          <w:p w14:paraId="5A0FF02D" w14:textId="77777777" w:rsidR="00443002" w:rsidRPr="00470F40" w:rsidRDefault="00443002" w:rsidP="00443002">
            <w:pPr>
              <w:rPr>
                <w:b/>
              </w:rPr>
            </w:pPr>
          </w:p>
        </w:tc>
        <w:tc>
          <w:tcPr>
            <w:tcW w:w="4111" w:type="dxa"/>
            <w:gridSpan w:val="2"/>
            <w:tcBorders>
              <w:top w:val="nil"/>
              <w:left w:val="nil"/>
              <w:bottom w:val="single" w:sz="4" w:space="0" w:color="auto"/>
              <w:right w:val="nil"/>
            </w:tcBorders>
            <w:vAlign w:val="center"/>
          </w:tcPr>
          <w:p w14:paraId="307DD7D9" w14:textId="77777777" w:rsidR="00443002" w:rsidRPr="00470F40" w:rsidRDefault="00443002" w:rsidP="00443002">
            <w:pPr>
              <w:rPr>
                <w:b/>
              </w:rPr>
            </w:pPr>
          </w:p>
        </w:tc>
        <w:tc>
          <w:tcPr>
            <w:tcW w:w="2410" w:type="dxa"/>
            <w:tcBorders>
              <w:top w:val="nil"/>
              <w:left w:val="nil"/>
              <w:bottom w:val="single" w:sz="4" w:space="0" w:color="auto"/>
              <w:right w:val="nil"/>
            </w:tcBorders>
            <w:vAlign w:val="center"/>
          </w:tcPr>
          <w:p w14:paraId="66CE7014" w14:textId="77777777" w:rsidR="00443002" w:rsidRPr="00DF687E" w:rsidRDefault="00443002" w:rsidP="00443002">
            <w:r>
              <w:rPr>
                <w:sz w:val="22"/>
              </w:rPr>
              <w:t xml:space="preserve">% reporting reason </w:t>
            </w:r>
          </w:p>
        </w:tc>
      </w:tr>
      <w:tr w:rsidR="00443002" w:rsidRPr="00A5260C" w14:paraId="57A37537" w14:textId="77777777" w:rsidTr="00443002">
        <w:tc>
          <w:tcPr>
            <w:tcW w:w="4219" w:type="dxa"/>
            <w:gridSpan w:val="2"/>
            <w:tcBorders>
              <w:top w:val="nil"/>
              <w:left w:val="nil"/>
              <w:bottom w:val="nil"/>
              <w:right w:val="nil"/>
            </w:tcBorders>
            <w:vAlign w:val="bottom"/>
          </w:tcPr>
          <w:p w14:paraId="7DE51EEA" w14:textId="77777777" w:rsidR="00443002" w:rsidRPr="00A5260C" w:rsidRDefault="00443002" w:rsidP="00443002">
            <w:pPr>
              <w:spacing w:line="360" w:lineRule="auto"/>
              <w:rPr>
                <w:b/>
                <w:sz w:val="6"/>
              </w:rPr>
            </w:pPr>
            <w:r>
              <w:rPr>
                <w:b/>
                <w:sz w:val="22"/>
              </w:rPr>
              <w:t xml:space="preserve">Open-ended questioning </w:t>
            </w:r>
          </w:p>
        </w:tc>
        <w:tc>
          <w:tcPr>
            <w:tcW w:w="2410" w:type="dxa"/>
            <w:tcBorders>
              <w:top w:val="nil"/>
              <w:left w:val="nil"/>
              <w:bottom w:val="nil"/>
              <w:right w:val="nil"/>
            </w:tcBorders>
            <w:vAlign w:val="bottom"/>
          </w:tcPr>
          <w:p w14:paraId="59DFE201"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7CEE28E3"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16</w:t>
            </w:r>
            <w:r w:rsidRPr="004D5A7C">
              <w:rPr>
                <w:b/>
                <w:color w:val="FFFFFF" w:themeColor="background1"/>
                <w:szCs w:val="24"/>
              </w:rPr>
              <w:t xml:space="preserve"> </w:t>
            </w:r>
            <w:r w:rsidRPr="004D5A7C">
              <w:rPr>
                <w:b/>
                <w:szCs w:val="24"/>
              </w:rPr>
              <w:t>Studies</w:t>
            </w:r>
          </w:p>
        </w:tc>
      </w:tr>
      <w:tr w:rsidR="00443002" w:rsidRPr="005E3E31" w14:paraId="59444136" w14:textId="77777777" w:rsidTr="00443002">
        <w:trPr>
          <w:trHeight w:val="282"/>
        </w:trPr>
        <w:tc>
          <w:tcPr>
            <w:tcW w:w="2518" w:type="dxa"/>
            <w:tcBorders>
              <w:top w:val="nil"/>
              <w:left w:val="nil"/>
              <w:bottom w:val="nil"/>
              <w:right w:val="nil"/>
            </w:tcBorders>
          </w:tcPr>
          <w:p w14:paraId="34D4966C"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5A9B8619"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1B745742" w14:textId="77777777" w:rsidR="00443002" w:rsidRPr="003D2159" w:rsidRDefault="00443002" w:rsidP="00443002">
            <w:pPr>
              <w:spacing w:line="360" w:lineRule="auto"/>
              <w:rPr>
                <w:sz w:val="20"/>
              </w:rPr>
            </w:pPr>
            <w:r>
              <w:rPr>
                <w:sz w:val="20"/>
              </w:rPr>
              <w:t xml:space="preserve">75 </w:t>
            </w:r>
            <w:r w:rsidRPr="003D2159">
              <w:rPr>
                <w:sz w:val="20"/>
              </w:rPr>
              <w:t>%</w:t>
            </w:r>
          </w:p>
        </w:tc>
      </w:tr>
      <w:tr w:rsidR="00443002" w:rsidRPr="005E3E31" w14:paraId="7393E717" w14:textId="77777777" w:rsidTr="00443002">
        <w:trPr>
          <w:trHeight w:val="282"/>
        </w:trPr>
        <w:tc>
          <w:tcPr>
            <w:tcW w:w="2518" w:type="dxa"/>
            <w:tcBorders>
              <w:top w:val="nil"/>
              <w:left w:val="nil"/>
              <w:bottom w:val="nil"/>
              <w:right w:val="nil"/>
            </w:tcBorders>
          </w:tcPr>
          <w:p w14:paraId="2A86A456"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A5B4A6B"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6B428FCF" w14:textId="77777777" w:rsidR="00443002" w:rsidRPr="003D2159" w:rsidRDefault="00443002" w:rsidP="00443002">
            <w:pPr>
              <w:spacing w:line="360" w:lineRule="auto"/>
              <w:rPr>
                <w:sz w:val="20"/>
              </w:rPr>
            </w:pPr>
            <w:r>
              <w:rPr>
                <w:sz w:val="20"/>
              </w:rPr>
              <w:t xml:space="preserve">56 </w:t>
            </w:r>
            <w:r w:rsidRPr="003D2159">
              <w:rPr>
                <w:sz w:val="20"/>
              </w:rPr>
              <w:t>%</w:t>
            </w:r>
          </w:p>
        </w:tc>
      </w:tr>
      <w:tr w:rsidR="00443002" w:rsidRPr="005E3E31" w14:paraId="60979F70" w14:textId="77777777" w:rsidTr="00443002">
        <w:trPr>
          <w:trHeight w:val="282"/>
        </w:trPr>
        <w:tc>
          <w:tcPr>
            <w:tcW w:w="2518" w:type="dxa"/>
            <w:tcBorders>
              <w:top w:val="nil"/>
              <w:left w:val="nil"/>
              <w:bottom w:val="nil"/>
              <w:right w:val="nil"/>
            </w:tcBorders>
          </w:tcPr>
          <w:p w14:paraId="0C1556F8"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9B61414"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492D0EA5" w14:textId="77777777" w:rsidR="00443002" w:rsidRPr="003D2159" w:rsidRDefault="00443002" w:rsidP="00443002">
            <w:pPr>
              <w:spacing w:line="360" w:lineRule="auto"/>
              <w:rPr>
                <w:sz w:val="20"/>
              </w:rPr>
            </w:pPr>
            <w:r>
              <w:rPr>
                <w:sz w:val="20"/>
              </w:rPr>
              <w:t xml:space="preserve">50 </w:t>
            </w:r>
            <w:r w:rsidRPr="003D2159">
              <w:rPr>
                <w:sz w:val="20"/>
              </w:rPr>
              <w:t>%</w:t>
            </w:r>
          </w:p>
        </w:tc>
      </w:tr>
      <w:tr w:rsidR="00443002" w:rsidRPr="005E3E31" w14:paraId="4BC14A0F" w14:textId="77777777" w:rsidTr="00443002">
        <w:trPr>
          <w:trHeight w:val="282"/>
        </w:trPr>
        <w:tc>
          <w:tcPr>
            <w:tcW w:w="2518" w:type="dxa"/>
            <w:tcBorders>
              <w:top w:val="nil"/>
              <w:left w:val="nil"/>
              <w:bottom w:val="nil"/>
              <w:right w:val="nil"/>
            </w:tcBorders>
          </w:tcPr>
          <w:p w14:paraId="33CC812D"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7846DFE"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3E7C9086" w14:textId="77777777" w:rsidR="00443002" w:rsidRPr="003D2159" w:rsidRDefault="00443002" w:rsidP="00443002">
            <w:pPr>
              <w:spacing w:line="360" w:lineRule="auto"/>
              <w:rPr>
                <w:sz w:val="20"/>
              </w:rPr>
            </w:pPr>
            <w:r w:rsidRPr="003D2159">
              <w:rPr>
                <w:sz w:val="20"/>
              </w:rPr>
              <w:t>5</w:t>
            </w:r>
            <w:r>
              <w:rPr>
                <w:sz w:val="20"/>
              </w:rPr>
              <w:t xml:space="preserve">0 </w:t>
            </w:r>
            <w:r w:rsidRPr="003D2159">
              <w:rPr>
                <w:sz w:val="20"/>
              </w:rPr>
              <w:t>%</w:t>
            </w:r>
          </w:p>
        </w:tc>
      </w:tr>
      <w:tr w:rsidR="00443002" w:rsidRPr="005E3E31" w14:paraId="41216B1B" w14:textId="77777777" w:rsidTr="00443002">
        <w:trPr>
          <w:trHeight w:val="282"/>
        </w:trPr>
        <w:tc>
          <w:tcPr>
            <w:tcW w:w="2518" w:type="dxa"/>
            <w:tcBorders>
              <w:top w:val="nil"/>
              <w:left w:val="nil"/>
              <w:bottom w:val="single" w:sz="4" w:space="0" w:color="auto"/>
              <w:right w:val="nil"/>
            </w:tcBorders>
          </w:tcPr>
          <w:p w14:paraId="5142F212"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104D8777" w14:textId="77777777" w:rsidR="00443002" w:rsidRPr="005E3E31" w:rsidRDefault="00443002" w:rsidP="00443002">
            <w:pPr>
              <w:spacing w:line="360" w:lineRule="auto"/>
              <w:rPr>
                <w:sz w:val="22"/>
              </w:rPr>
            </w:pPr>
            <w:r>
              <w:rPr>
                <w:sz w:val="22"/>
              </w:rPr>
              <w:t xml:space="preserve">Legal reasons </w:t>
            </w:r>
            <w:r>
              <w:rPr>
                <w:sz w:val="22"/>
              </w:rPr>
              <w:br/>
            </w:r>
            <w:r w:rsidRPr="00EE6571">
              <w:rPr>
                <w:color w:val="FFFFFF" w:themeColor="background1"/>
                <w:sz w:val="6"/>
              </w:rPr>
              <w:t>n</w:t>
            </w:r>
          </w:p>
        </w:tc>
        <w:tc>
          <w:tcPr>
            <w:tcW w:w="2410" w:type="dxa"/>
            <w:tcBorders>
              <w:top w:val="nil"/>
              <w:left w:val="nil"/>
              <w:bottom w:val="single" w:sz="4" w:space="0" w:color="auto"/>
              <w:right w:val="nil"/>
            </w:tcBorders>
          </w:tcPr>
          <w:p w14:paraId="09529B6D" w14:textId="77777777" w:rsidR="00443002" w:rsidRPr="003D2159" w:rsidRDefault="00443002" w:rsidP="00443002">
            <w:pPr>
              <w:spacing w:line="360" w:lineRule="auto"/>
              <w:rPr>
                <w:sz w:val="20"/>
              </w:rPr>
            </w:pPr>
            <w:r>
              <w:rPr>
                <w:sz w:val="20"/>
              </w:rPr>
              <w:t xml:space="preserve">44 </w:t>
            </w:r>
            <w:r w:rsidRPr="003D2159">
              <w:rPr>
                <w:sz w:val="20"/>
              </w:rPr>
              <w:t>%</w:t>
            </w:r>
          </w:p>
        </w:tc>
      </w:tr>
      <w:tr w:rsidR="00443002" w:rsidRPr="00A5260C" w14:paraId="1E728AF0" w14:textId="77777777" w:rsidTr="00443002">
        <w:tc>
          <w:tcPr>
            <w:tcW w:w="4219" w:type="dxa"/>
            <w:gridSpan w:val="2"/>
            <w:tcBorders>
              <w:top w:val="nil"/>
              <w:left w:val="nil"/>
              <w:bottom w:val="nil"/>
              <w:right w:val="nil"/>
            </w:tcBorders>
            <w:vAlign w:val="bottom"/>
          </w:tcPr>
          <w:p w14:paraId="3A16C1BA" w14:textId="77777777" w:rsidR="00443002" w:rsidRPr="00A5260C" w:rsidRDefault="00443002" w:rsidP="00443002">
            <w:pPr>
              <w:spacing w:line="360" w:lineRule="auto"/>
              <w:rPr>
                <w:b/>
                <w:sz w:val="6"/>
              </w:rPr>
            </w:pPr>
            <w:r>
              <w:rPr>
                <w:b/>
                <w:sz w:val="22"/>
              </w:rPr>
              <w:t xml:space="preserve">Closed questioning  </w:t>
            </w:r>
          </w:p>
        </w:tc>
        <w:tc>
          <w:tcPr>
            <w:tcW w:w="2410" w:type="dxa"/>
            <w:tcBorders>
              <w:top w:val="nil"/>
              <w:left w:val="nil"/>
              <w:bottom w:val="nil"/>
              <w:right w:val="nil"/>
            </w:tcBorders>
            <w:vAlign w:val="bottom"/>
          </w:tcPr>
          <w:p w14:paraId="1612CB06"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6A035F79"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sidRPr="004D5A7C">
              <w:rPr>
                <w:b/>
                <w:szCs w:val="24"/>
              </w:rPr>
              <w:t>1</w:t>
            </w:r>
            <w:r>
              <w:rPr>
                <w:b/>
                <w:szCs w:val="24"/>
              </w:rPr>
              <w:t>5</w:t>
            </w:r>
            <w:r w:rsidRPr="004D5A7C">
              <w:rPr>
                <w:b/>
                <w:color w:val="FFFFFF" w:themeColor="background1"/>
                <w:szCs w:val="24"/>
              </w:rPr>
              <w:t xml:space="preserve"> </w:t>
            </w:r>
            <w:r w:rsidRPr="004D5A7C">
              <w:rPr>
                <w:b/>
                <w:szCs w:val="24"/>
              </w:rPr>
              <w:t>Studies</w:t>
            </w:r>
          </w:p>
        </w:tc>
      </w:tr>
      <w:tr w:rsidR="00443002" w:rsidRPr="005E3E31" w14:paraId="1E1A3106" w14:textId="77777777" w:rsidTr="00443002">
        <w:trPr>
          <w:trHeight w:val="282"/>
        </w:trPr>
        <w:tc>
          <w:tcPr>
            <w:tcW w:w="2518" w:type="dxa"/>
            <w:tcBorders>
              <w:top w:val="nil"/>
              <w:left w:val="nil"/>
              <w:bottom w:val="nil"/>
              <w:right w:val="nil"/>
            </w:tcBorders>
          </w:tcPr>
          <w:p w14:paraId="2B48D4D5"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419B956" w14:textId="77777777" w:rsidR="00443002" w:rsidRPr="005E3E31" w:rsidRDefault="00443002" w:rsidP="00443002">
            <w:pPr>
              <w:spacing w:line="360" w:lineRule="auto"/>
              <w:rPr>
                <w:sz w:val="22"/>
              </w:rPr>
            </w:pPr>
            <w:r>
              <w:rPr>
                <w:sz w:val="22"/>
              </w:rPr>
              <w:t>Curiosity</w:t>
            </w:r>
          </w:p>
        </w:tc>
        <w:tc>
          <w:tcPr>
            <w:tcW w:w="2410" w:type="dxa"/>
            <w:tcBorders>
              <w:top w:val="nil"/>
              <w:left w:val="nil"/>
              <w:bottom w:val="nil"/>
              <w:right w:val="nil"/>
            </w:tcBorders>
          </w:tcPr>
          <w:p w14:paraId="09E7D670" w14:textId="77777777" w:rsidR="00443002" w:rsidRPr="003D2159" w:rsidRDefault="00443002" w:rsidP="00443002">
            <w:pPr>
              <w:spacing w:line="360" w:lineRule="auto"/>
              <w:rPr>
                <w:sz w:val="20"/>
              </w:rPr>
            </w:pPr>
            <w:r>
              <w:rPr>
                <w:sz w:val="20"/>
              </w:rPr>
              <w:t xml:space="preserve">67 </w:t>
            </w:r>
            <w:r w:rsidRPr="003D2159">
              <w:rPr>
                <w:sz w:val="20"/>
              </w:rPr>
              <w:t>%</w:t>
            </w:r>
          </w:p>
        </w:tc>
      </w:tr>
      <w:tr w:rsidR="00443002" w:rsidRPr="005E3E31" w14:paraId="62C0EDEA" w14:textId="77777777" w:rsidTr="00443002">
        <w:trPr>
          <w:trHeight w:val="282"/>
        </w:trPr>
        <w:tc>
          <w:tcPr>
            <w:tcW w:w="2518" w:type="dxa"/>
            <w:tcBorders>
              <w:top w:val="nil"/>
              <w:left w:val="nil"/>
              <w:bottom w:val="nil"/>
              <w:right w:val="nil"/>
            </w:tcBorders>
          </w:tcPr>
          <w:p w14:paraId="6DD77EB4"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7F24C330"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4060F5C2" w14:textId="77777777" w:rsidR="00443002" w:rsidRPr="003D2159" w:rsidRDefault="00443002" w:rsidP="00443002">
            <w:pPr>
              <w:spacing w:line="360" w:lineRule="auto"/>
              <w:rPr>
                <w:sz w:val="20"/>
              </w:rPr>
            </w:pPr>
            <w:r>
              <w:rPr>
                <w:sz w:val="20"/>
              </w:rPr>
              <w:t xml:space="preserve">60 </w:t>
            </w:r>
            <w:r w:rsidRPr="003D2159">
              <w:rPr>
                <w:sz w:val="20"/>
              </w:rPr>
              <w:t>%</w:t>
            </w:r>
          </w:p>
        </w:tc>
      </w:tr>
      <w:tr w:rsidR="00443002" w:rsidRPr="005E3E31" w14:paraId="7EF85FC6" w14:textId="77777777" w:rsidTr="00443002">
        <w:trPr>
          <w:trHeight w:val="282"/>
        </w:trPr>
        <w:tc>
          <w:tcPr>
            <w:tcW w:w="2518" w:type="dxa"/>
            <w:tcBorders>
              <w:top w:val="nil"/>
              <w:left w:val="nil"/>
              <w:bottom w:val="nil"/>
              <w:right w:val="nil"/>
            </w:tcBorders>
          </w:tcPr>
          <w:p w14:paraId="1E740D11"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6525FD98"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7D7EA7CD" w14:textId="77777777" w:rsidR="00443002" w:rsidRPr="003D2159" w:rsidRDefault="00443002" w:rsidP="00443002">
            <w:pPr>
              <w:spacing w:line="360" w:lineRule="auto"/>
              <w:rPr>
                <w:sz w:val="20"/>
              </w:rPr>
            </w:pPr>
            <w:r>
              <w:rPr>
                <w:sz w:val="20"/>
              </w:rPr>
              <w:t xml:space="preserve">60 </w:t>
            </w:r>
            <w:r w:rsidRPr="003D2159">
              <w:rPr>
                <w:sz w:val="20"/>
              </w:rPr>
              <w:t>%</w:t>
            </w:r>
          </w:p>
        </w:tc>
      </w:tr>
      <w:tr w:rsidR="00443002" w:rsidRPr="005E3E31" w14:paraId="563F44D7" w14:textId="77777777" w:rsidTr="00443002">
        <w:trPr>
          <w:trHeight w:val="282"/>
        </w:trPr>
        <w:tc>
          <w:tcPr>
            <w:tcW w:w="2518" w:type="dxa"/>
            <w:tcBorders>
              <w:top w:val="nil"/>
              <w:left w:val="nil"/>
              <w:bottom w:val="nil"/>
              <w:right w:val="nil"/>
            </w:tcBorders>
          </w:tcPr>
          <w:p w14:paraId="197F3C52"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139E656"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65465532" w14:textId="77777777" w:rsidR="00443002" w:rsidRPr="003D2159" w:rsidRDefault="00443002" w:rsidP="00443002">
            <w:pPr>
              <w:spacing w:line="360" w:lineRule="auto"/>
              <w:rPr>
                <w:sz w:val="20"/>
              </w:rPr>
            </w:pPr>
            <w:r>
              <w:rPr>
                <w:sz w:val="20"/>
              </w:rPr>
              <w:t xml:space="preserve">53 </w:t>
            </w:r>
            <w:r w:rsidRPr="003D2159">
              <w:rPr>
                <w:sz w:val="20"/>
              </w:rPr>
              <w:t>%</w:t>
            </w:r>
          </w:p>
        </w:tc>
      </w:tr>
      <w:tr w:rsidR="00443002" w:rsidRPr="005E3E31" w14:paraId="49C62BD1" w14:textId="77777777" w:rsidTr="00443002">
        <w:trPr>
          <w:trHeight w:val="282"/>
        </w:trPr>
        <w:tc>
          <w:tcPr>
            <w:tcW w:w="2518" w:type="dxa"/>
            <w:tcBorders>
              <w:top w:val="nil"/>
              <w:left w:val="nil"/>
              <w:bottom w:val="single" w:sz="4" w:space="0" w:color="auto"/>
              <w:right w:val="nil"/>
            </w:tcBorders>
          </w:tcPr>
          <w:p w14:paraId="5440D89A"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56C26662" w14:textId="77777777" w:rsidR="00443002" w:rsidRPr="005E3E31" w:rsidRDefault="00443002" w:rsidP="00443002">
            <w:pPr>
              <w:spacing w:line="360" w:lineRule="auto"/>
              <w:rPr>
                <w:sz w:val="22"/>
              </w:rPr>
            </w:pPr>
            <w:r>
              <w:rPr>
                <w:sz w:val="22"/>
              </w:rPr>
              <w:t>Quality</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7ADEA0A7" w14:textId="77777777" w:rsidR="00443002" w:rsidRPr="003D2159" w:rsidRDefault="00443002" w:rsidP="00443002">
            <w:pPr>
              <w:spacing w:line="360" w:lineRule="auto"/>
              <w:rPr>
                <w:sz w:val="20"/>
              </w:rPr>
            </w:pPr>
            <w:r>
              <w:rPr>
                <w:sz w:val="20"/>
              </w:rPr>
              <w:t xml:space="preserve">40 </w:t>
            </w:r>
            <w:r w:rsidRPr="003D2159">
              <w:rPr>
                <w:sz w:val="20"/>
              </w:rPr>
              <w:t>%</w:t>
            </w:r>
          </w:p>
        </w:tc>
      </w:tr>
    </w:tbl>
    <w:p w14:paraId="528BC239" w14:textId="77777777" w:rsidR="00443002" w:rsidRDefault="00443002" w:rsidP="00443002">
      <w:pPr>
        <w:spacing w:line="240" w:lineRule="auto"/>
        <w:rPr>
          <w:b/>
        </w:rPr>
      </w:pPr>
    </w:p>
    <w:p w14:paraId="56A6E19E" w14:textId="77777777" w:rsidR="00443002" w:rsidRDefault="00443002" w:rsidP="00443002">
      <w:pPr>
        <w:spacing w:line="240" w:lineRule="auto"/>
        <w:rPr>
          <w:b/>
        </w:rPr>
      </w:pPr>
    </w:p>
    <w:p w14:paraId="501AC735" w14:textId="77777777" w:rsidR="00BC139F" w:rsidRDefault="00BC139F">
      <w:pPr>
        <w:rPr>
          <w:b/>
        </w:rPr>
      </w:pPr>
      <w:r>
        <w:rPr>
          <w:b/>
        </w:rPr>
        <w:br w:type="page"/>
      </w:r>
    </w:p>
    <w:p w14:paraId="5B2A4D3A" w14:textId="1B315F1E" w:rsidR="00443002" w:rsidRPr="005E0305" w:rsidRDefault="00443002" w:rsidP="00C42A80">
      <w:pPr>
        <w:pStyle w:val="TableHeader"/>
        <w:rPr>
          <w:b/>
        </w:rPr>
      </w:pPr>
      <w:bookmarkStart w:id="317" w:name="_Toc9509063"/>
      <w:r w:rsidRPr="005E0305">
        <w:rPr>
          <w:b/>
        </w:rPr>
        <w:t xml:space="preserve">Table </w:t>
      </w:r>
      <w:r w:rsidR="005E0305">
        <w:rPr>
          <w:b/>
        </w:rPr>
        <w:t>4-</w:t>
      </w:r>
      <w:r w:rsidRPr="005E0305">
        <w:rPr>
          <w:b/>
        </w:rPr>
        <w:t>10. Most commonly cited reasons for use by sample size</w:t>
      </w:r>
      <w:bookmarkEnd w:id="317"/>
    </w:p>
    <w:tbl>
      <w:tblPr>
        <w:tblStyle w:val="TableGrid"/>
        <w:tblW w:w="9039" w:type="dxa"/>
        <w:tblLayout w:type="fixed"/>
        <w:tblLook w:val="04A0" w:firstRow="1" w:lastRow="0" w:firstColumn="1" w:lastColumn="0" w:noHBand="0" w:noVBand="1"/>
      </w:tblPr>
      <w:tblGrid>
        <w:gridCol w:w="2518"/>
        <w:gridCol w:w="1701"/>
        <w:gridCol w:w="2410"/>
        <w:gridCol w:w="2410"/>
      </w:tblGrid>
      <w:tr w:rsidR="00443002" w:rsidRPr="00470F40" w14:paraId="08CF8F3F" w14:textId="77777777" w:rsidTr="00443002">
        <w:trPr>
          <w:trHeight w:val="366"/>
        </w:trPr>
        <w:tc>
          <w:tcPr>
            <w:tcW w:w="2518" w:type="dxa"/>
            <w:tcBorders>
              <w:top w:val="single" w:sz="4" w:space="0" w:color="auto"/>
              <w:left w:val="nil"/>
              <w:bottom w:val="nil"/>
              <w:right w:val="nil"/>
            </w:tcBorders>
            <w:vAlign w:val="center"/>
          </w:tcPr>
          <w:p w14:paraId="00E19A51" w14:textId="77777777" w:rsidR="00443002" w:rsidRPr="00470F40" w:rsidRDefault="00443002" w:rsidP="00443002">
            <w:pPr>
              <w:rPr>
                <w:b/>
              </w:rPr>
            </w:pPr>
            <w:r>
              <w:rPr>
                <w:b/>
              </w:rPr>
              <w:t xml:space="preserve">Sample size </w:t>
            </w:r>
          </w:p>
        </w:tc>
        <w:tc>
          <w:tcPr>
            <w:tcW w:w="4111" w:type="dxa"/>
            <w:gridSpan w:val="2"/>
            <w:tcBorders>
              <w:top w:val="single" w:sz="4" w:space="0" w:color="auto"/>
              <w:left w:val="nil"/>
              <w:bottom w:val="nil"/>
              <w:right w:val="nil"/>
            </w:tcBorders>
            <w:vAlign w:val="center"/>
          </w:tcPr>
          <w:p w14:paraId="69E9CCA5" w14:textId="77777777" w:rsidR="00443002" w:rsidRPr="00470F40" w:rsidRDefault="00443002" w:rsidP="00443002">
            <w:pPr>
              <w:rPr>
                <w:b/>
              </w:rPr>
            </w:pPr>
            <w:r>
              <w:rPr>
                <w:b/>
              </w:rPr>
              <w:t>Reason for use</w:t>
            </w:r>
          </w:p>
        </w:tc>
        <w:tc>
          <w:tcPr>
            <w:tcW w:w="2410" w:type="dxa"/>
            <w:tcBorders>
              <w:top w:val="single" w:sz="4" w:space="0" w:color="auto"/>
              <w:left w:val="nil"/>
              <w:bottom w:val="nil"/>
              <w:right w:val="nil"/>
            </w:tcBorders>
            <w:vAlign w:val="center"/>
          </w:tcPr>
          <w:p w14:paraId="495CD120" w14:textId="77777777" w:rsidR="00443002" w:rsidRPr="00470F40" w:rsidRDefault="00443002" w:rsidP="00443002">
            <w:pPr>
              <w:rPr>
                <w:b/>
              </w:rPr>
            </w:pPr>
            <w:r>
              <w:rPr>
                <w:b/>
              </w:rPr>
              <w:t xml:space="preserve">Number of studies </w:t>
            </w:r>
          </w:p>
        </w:tc>
      </w:tr>
      <w:tr w:rsidR="00443002" w:rsidRPr="00470F40" w14:paraId="6B1495FB" w14:textId="77777777" w:rsidTr="00443002">
        <w:trPr>
          <w:trHeight w:val="366"/>
        </w:trPr>
        <w:tc>
          <w:tcPr>
            <w:tcW w:w="2518" w:type="dxa"/>
            <w:tcBorders>
              <w:top w:val="nil"/>
              <w:left w:val="nil"/>
              <w:bottom w:val="single" w:sz="4" w:space="0" w:color="auto"/>
              <w:right w:val="nil"/>
            </w:tcBorders>
            <w:vAlign w:val="center"/>
          </w:tcPr>
          <w:p w14:paraId="1DB71677" w14:textId="77777777" w:rsidR="00443002" w:rsidRPr="00470F40" w:rsidRDefault="00443002" w:rsidP="00443002">
            <w:pPr>
              <w:rPr>
                <w:b/>
              </w:rPr>
            </w:pPr>
          </w:p>
        </w:tc>
        <w:tc>
          <w:tcPr>
            <w:tcW w:w="4111" w:type="dxa"/>
            <w:gridSpan w:val="2"/>
            <w:tcBorders>
              <w:top w:val="nil"/>
              <w:left w:val="nil"/>
              <w:bottom w:val="single" w:sz="4" w:space="0" w:color="auto"/>
              <w:right w:val="nil"/>
            </w:tcBorders>
            <w:vAlign w:val="center"/>
          </w:tcPr>
          <w:p w14:paraId="13E59E03" w14:textId="77777777" w:rsidR="00443002" w:rsidRPr="00470F40" w:rsidRDefault="00443002" w:rsidP="00443002">
            <w:pPr>
              <w:rPr>
                <w:b/>
              </w:rPr>
            </w:pPr>
          </w:p>
        </w:tc>
        <w:tc>
          <w:tcPr>
            <w:tcW w:w="2410" w:type="dxa"/>
            <w:tcBorders>
              <w:top w:val="nil"/>
              <w:left w:val="nil"/>
              <w:bottom w:val="single" w:sz="4" w:space="0" w:color="auto"/>
              <w:right w:val="nil"/>
            </w:tcBorders>
            <w:vAlign w:val="center"/>
          </w:tcPr>
          <w:p w14:paraId="6AEB9734" w14:textId="77777777" w:rsidR="00443002" w:rsidRPr="00DF687E" w:rsidRDefault="00443002" w:rsidP="00443002">
            <w:r>
              <w:rPr>
                <w:sz w:val="22"/>
              </w:rPr>
              <w:t xml:space="preserve">% reporting reason </w:t>
            </w:r>
          </w:p>
        </w:tc>
      </w:tr>
      <w:tr w:rsidR="00443002" w:rsidRPr="00A5260C" w14:paraId="473519FF" w14:textId="77777777" w:rsidTr="00443002">
        <w:tc>
          <w:tcPr>
            <w:tcW w:w="4219" w:type="dxa"/>
            <w:gridSpan w:val="2"/>
            <w:tcBorders>
              <w:top w:val="nil"/>
              <w:left w:val="nil"/>
              <w:bottom w:val="nil"/>
              <w:right w:val="nil"/>
            </w:tcBorders>
            <w:vAlign w:val="bottom"/>
          </w:tcPr>
          <w:p w14:paraId="0FCAB433" w14:textId="77777777" w:rsidR="00443002" w:rsidRPr="00A5260C" w:rsidRDefault="00443002" w:rsidP="00443002">
            <w:pPr>
              <w:spacing w:line="360" w:lineRule="auto"/>
              <w:rPr>
                <w:b/>
                <w:sz w:val="6"/>
              </w:rPr>
            </w:pPr>
            <w:r>
              <w:rPr>
                <w:b/>
                <w:sz w:val="22"/>
              </w:rPr>
              <w:t xml:space="preserve">Large sample  </w:t>
            </w:r>
          </w:p>
        </w:tc>
        <w:tc>
          <w:tcPr>
            <w:tcW w:w="2410" w:type="dxa"/>
            <w:tcBorders>
              <w:top w:val="nil"/>
              <w:left w:val="nil"/>
              <w:bottom w:val="nil"/>
              <w:right w:val="nil"/>
            </w:tcBorders>
            <w:vAlign w:val="bottom"/>
          </w:tcPr>
          <w:p w14:paraId="6E6FBF4C"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500ABE58"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sidRPr="004D5A7C">
              <w:rPr>
                <w:b/>
                <w:szCs w:val="24"/>
              </w:rPr>
              <w:t>1</w:t>
            </w:r>
            <w:r>
              <w:rPr>
                <w:b/>
                <w:szCs w:val="24"/>
              </w:rPr>
              <w:t>5</w:t>
            </w:r>
            <w:r w:rsidRPr="004D5A7C">
              <w:rPr>
                <w:b/>
                <w:color w:val="FFFFFF" w:themeColor="background1"/>
                <w:szCs w:val="24"/>
              </w:rPr>
              <w:t xml:space="preserve"> </w:t>
            </w:r>
            <w:r w:rsidRPr="004D5A7C">
              <w:rPr>
                <w:b/>
                <w:szCs w:val="24"/>
              </w:rPr>
              <w:t>Studies</w:t>
            </w:r>
          </w:p>
        </w:tc>
      </w:tr>
      <w:tr w:rsidR="00443002" w:rsidRPr="005E3E31" w14:paraId="6AD4E9E0" w14:textId="77777777" w:rsidTr="00443002">
        <w:trPr>
          <w:trHeight w:val="282"/>
        </w:trPr>
        <w:tc>
          <w:tcPr>
            <w:tcW w:w="2518" w:type="dxa"/>
            <w:tcBorders>
              <w:top w:val="nil"/>
              <w:left w:val="nil"/>
              <w:bottom w:val="nil"/>
              <w:right w:val="nil"/>
            </w:tcBorders>
          </w:tcPr>
          <w:p w14:paraId="5B333848"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57030A88" w14:textId="77777777" w:rsidR="00443002" w:rsidRPr="005E3E31" w:rsidRDefault="00443002" w:rsidP="00443002">
            <w:pPr>
              <w:spacing w:line="360" w:lineRule="auto"/>
              <w:rPr>
                <w:sz w:val="22"/>
              </w:rPr>
            </w:pPr>
            <w:r>
              <w:rPr>
                <w:sz w:val="22"/>
              </w:rPr>
              <w:t xml:space="preserve">Curiosity </w:t>
            </w:r>
          </w:p>
        </w:tc>
        <w:tc>
          <w:tcPr>
            <w:tcW w:w="2410" w:type="dxa"/>
            <w:tcBorders>
              <w:top w:val="nil"/>
              <w:left w:val="nil"/>
              <w:bottom w:val="nil"/>
              <w:right w:val="nil"/>
            </w:tcBorders>
          </w:tcPr>
          <w:p w14:paraId="2AB7DE39" w14:textId="77777777" w:rsidR="00443002" w:rsidRPr="00217856" w:rsidRDefault="00443002" w:rsidP="00443002">
            <w:pPr>
              <w:spacing w:line="360" w:lineRule="auto"/>
              <w:rPr>
                <w:sz w:val="20"/>
              </w:rPr>
            </w:pPr>
            <w:r>
              <w:rPr>
                <w:sz w:val="20"/>
              </w:rPr>
              <w:t xml:space="preserve">80 </w:t>
            </w:r>
            <w:r w:rsidRPr="00217856">
              <w:rPr>
                <w:sz w:val="20"/>
              </w:rPr>
              <w:t>%</w:t>
            </w:r>
          </w:p>
        </w:tc>
      </w:tr>
      <w:tr w:rsidR="00443002" w:rsidRPr="005E3E31" w14:paraId="599E45E5" w14:textId="77777777" w:rsidTr="00443002">
        <w:trPr>
          <w:trHeight w:val="282"/>
        </w:trPr>
        <w:tc>
          <w:tcPr>
            <w:tcW w:w="2518" w:type="dxa"/>
            <w:tcBorders>
              <w:top w:val="nil"/>
              <w:left w:val="nil"/>
              <w:bottom w:val="nil"/>
              <w:right w:val="nil"/>
            </w:tcBorders>
          </w:tcPr>
          <w:p w14:paraId="051D26EC"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A6AD89E" w14:textId="77777777" w:rsidR="00443002" w:rsidRPr="005E3E31" w:rsidRDefault="00443002" w:rsidP="00443002">
            <w:pPr>
              <w:spacing w:line="360" w:lineRule="auto"/>
              <w:rPr>
                <w:sz w:val="22"/>
              </w:rPr>
            </w:pPr>
            <w:r>
              <w:rPr>
                <w:sz w:val="22"/>
              </w:rPr>
              <w:t>Accessibility</w:t>
            </w:r>
          </w:p>
        </w:tc>
        <w:tc>
          <w:tcPr>
            <w:tcW w:w="2410" w:type="dxa"/>
            <w:tcBorders>
              <w:top w:val="nil"/>
              <w:left w:val="nil"/>
              <w:bottom w:val="nil"/>
              <w:right w:val="nil"/>
            </w:tcBorders>
          </w:tcPr>
          <w:p w14:paraId="0004F7AD" w14:textId="77777777" w:rsidR="00443002" w:rsidRPr="00217856" w:rsidRDefault="00443002" w:rsidP="00443002">
            <w:pPr>
              <w:spacing w:line="360" w:lineRule="auto"/>
              <w:rPr>
                <w:sz w:val="20"/>
              </w:rPr>
            </w:pPr>
            <w:r>
              <w:rPr>
                <w:sz w:val="20"/>
              </w:rPr>
              <w:t xml:space="preserve">73 </w:t>
            </w:r>
            <w:r w:rsidRPr="00217856">
              <w:rPr>
                <w:sz w:val="20"/>
              </w:rPr>
              <w:t>%</w:t>
            </w:r>
          </w:p>
        </w:tc>
      </w:tr>
      <w:tr w:rsidR="00443002" w:rsidRPr="005E3E31" w14:paraId="266D2CB4" w14:textId="77777777" w:rsidTr="00443002">
        <w:trPr>
          <w:trHeight w:val="282"/>
        </w:trPr>
        <w:tc>
          <w:tcPr>
            <w:tcW w:w="2518" w:type="dxa"/>
            <w:tcBorders>
              <w:top w:val="nil"/>
              <w:left w:val="nil"/>
              <w:bottom w:val="nil"/>
              <w:right w:val="nil"/>
            </w:tcBorders>
          </w:tcPr>
          <w:p w14:paraId="27EC35D1"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BD9492D"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49D90A4E" w14:textId="77777777" w:rsidR="00443002" w:rsidRPr="00217856" w:rsidRDefault="00443002" w:rsidP="00443002">
            <w:pPr>
              <w:spacing w:line="360" w:lineRule="auto"/>
              <w:rPr>
                <w:sz w:val="20"/>
              </w:rPr>
            </w:pPr>
            <w:r>
              <w:rPr>
                <w:sz w:val="20"/>
              </w:rPr>
              <w:t xml:space="preserve">67 </w:t>
            </w:r>
            <w:r w:rsidRPr="00217856">
              <w:rPr>
                <w:sz w:val="20"/>
              </w:rPr>
              <w:t>%</w:t>
            </w:r>
          </w:p>
        </w:tc>
      </w:tr>
      <w:tr w:rsidR="00443002" w:rsidRPr="005E3E31" w14:paraId="6EC15E17" w14:textId="77777777" w:rsidTr="00443002">
        <w:trPr>
          <w:trHeight w:val="282"/>
        </w:trPr>
        <w:tc>
          <w:tcPr>
            <w:tcW w:w="2518" w:type="dxa"/>
            <w:tcBorders>
              <w:top w:val="nil"/>
              <w:left w:val="nil"/>
              <w:bottom w:val="nil"/>
              <w:right w:val="nil"/>
            </w:tcBorders>
          </w:tcPr>
          <w:p w14:paraId="4558AB1D"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75A95A70"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7CFF71E5" w14:textId="77777777" w:rsidR="00443002" w:rsidRPr="00217856" w:rsidRDefault="00443002" w:rsidP="00443002">
            <w:pPr>
              <w:spacing w:line="360" w:lineRule="auto"/>
              <w:rPr>
                <w:sz w:val="20"/>
              </w:rPr>
            </w:pPr>
            <w:r>
              <w:rPr>
                <w:sz w:val="20"/>
              </w:rPr>
              <w:t xml:space="preserve">53 </w:t>
            </w:r>
            <w:r w:rsidRPr="00217856">
              <w:rPr>
                <w:sz w:val="20"/>
              </w:rPr>
              <w:t>%</w:t>
            </w:r>
          </w:p>
        </w:tc>
      </w:tr>
      <w:tr w:rsidR="00443002" w:rsidRPr="005E3E31" w14:paraId="275C5EC6" w14:textId="77777777" w:rsidTr="00443002">
        <w:trPr>
          <w:trHeight w:val="282"/>
        </w:trPr>
        <w:tc>
          <w:tcPr>
            <w:tcW w:w="2518" w:type="dxa"/>
            <w:tcBorders>
              <w:top w:val="nil"/>
              <w:left w:val="nil"/>
              <w:bottom w:val="single" w:sz="4" w:space="0" w:color="auto"/>
              <w:right w:val="nil"/>
            </w:tcBorders>
          </w:tcPr>
          <w:p w14:paraId="0B439AF6"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3B9C738F" w14:textId="77777777" w:rsidR="00443002" w:rsidRPr="005E3E31" w:rsidRDefault="00443002" w:rsidP="00443002">
            <w:pPr>
              <w:spacing w:line="360" w:lineRule="auto"/>
              <w:rPr>
                <w:sz w:val="22"/>
              </w:rPr>
            </w:pPr>
            <w:r>
              <w:rPr>
                <w:sz w:val="22"/>
              </w:rPr>
              <w:t>Quality</w:t>
            </w:r>
            <w:r>
              <w:rPr>
                <w:sz w:val="22"/>
              </w:rPr>
              <w:br/>
            </w:r>
            <w:r w:rsidRPr="00EE6571">
              <w:rPr>
                <w:color w:val="FFFFFF" w:themeColor="background1"/>
                <w:sz w:val="6"/>
              </w:rPr>
              <w:t>n</w:t>
            </w:r>
          </w:p>
        </w:tc>
        <w:tc>
          <w:tcPr>
            <w:tcW w:w="2410" w:type="dxa"/>
            <w:tcBorders>
              <w:top w:val="nil"/>
              <w:left w:val="nil"/>
              <w:bottom w:val="single" w:sz="4" w:space="0" w:color="auto"/>
              <w:right w:val="nil"/>
            </w:tcBorders>
          </w:tcPr>
          <w:p w14:paraId="7C0A0485" w14:textId="77777777" w:rsidR="00443002" w:rsidRPr="00217856" w:rsidRDefault="00443002" w:rsidP="00443002">
            <w:pPr>
              <w:spacing w:line="360" w:lineRule="auto"/>
              <w:rPr>
                <w:sz w:val="20"/>
              </w:rPr>
            </w:pPr>
            <w:r>
              <w:rPr>
                <w:sz w:val="20"/>
              </w:rPr>
              <w:t xml:space="preserve">40 </w:t>
            </w:r>
            <w:r w:rsidRPr="00217856">
              <w:rPr>
                <w:sz w:val="20"/>
              </w:rPr>
              <w:t>%</w:t>
            </w:r>
          </w:p>
        </w:tc>
      </w:tr>
      <w:tr w:rsidR="00443002" w:rsidRPr="00A5260C" w14:paraId="31668009" w14:textId="77777777" w:rsidTr="00443002">
        <w:tc>
          <w:tcPr>
            <w:tcW w:w="4219" w:type="dxa"/>
            <w:gridSpan w:val="2"/>
            <w:tcBorders>
              <w:top w:val="nil"/>
              <w:left w:val="nil"/>
              <w:bottom w:val="nil"/>
              <w:right w:val="nil"/>
            </w:tcBorders>
            <w:vAlign w:val="bottom"/>
          </w:tcPr>
          <w:p w14:paraId="1DACA088" w14:textId="77777777" w:rsidR="00443002" w:rsidRPr="00A5260C" w:rsidRDefault="00443002" w:rsidP="00443002">
            <w:pPr>
              <w:spacing w:line="360" w:lineRule="auto"/>
              <w:rPr>
                <w:b/>
                <w:sz w:val="6"/>
              </w:rPr>
            </w:pPr>
            <w:r>
              <w:rPr>
                <w:b/>
                <w:sz w:val="22"/>
              </w:rPr>
              <w:t>Small samples</w:t>
            </w:r>
          </w:p>
        </w:tc>
        <w:tc>
          <w:tcPr>
            <w:tcW w:w="2410" w:type="dxa"/>
            <w:tcBorders>
              <w:top w:val="nil"/>
              <w:left w:val="nil"/>
              <w:bottom w:val="nil"/>
              <w:right w:val="nil"/>
            </w:tcBorders>
            <w:vAlign w:val="bottom"/>
          </w:tcPr>
          <w:p w14:paraId="029749A4" w14:textId="77777777" w:rsidR="00443002" w:rsidRPr="00A5260C" w:rsidRDefault="00443002" w:rsidP="00443002">
            <w:pPr>
              <w:spacing w:line="360" w:lineRule="auto"/>
              <w:rPr>
                <w:b/>
                <w:sz w:val="20"/>
              </w:rPr>
            </w:pPr>
          </w:p>
        </w:tc>
        <w:tc>
          <w:tcPr>
            <w:tcW w:w="2410" w:type="dxa"/>
            <w:tcBorders>
              <w:top w:val="nil"/>
              <w:left w:val="nil"/>
              <w:bottom w:val="nil"/>
              <w:right w:val="nil"/>
            </w:tcBorders>
            <w:vAlign w:val="bottom"/>
          </w:tcPr>
          <w:p w14:paraId="00F0CFF4" w14:textId="77777777" w:rsidR="00443002" w:rsidRPr="00A5260C" w:rsidRDefault="00443002" w:rsidP="00443002">
            <w:pPr>
              <w:spacing w:line="360" w:lineRule="auto"/>
              <w:rPr>
                <w:b/>
                <w:sz w:val="20"/>
              </w:rPr>
            </w:pPr>
            <w:r w:rsidRPr="005E3E31">
              <w:rPr>
                <w:b/>
                <w:color w:val="FFFFFF" w:themeColor="background1"/>
                <w:sz w:val="4"/>
              </w:rPr>
              <w:t>n</w:t>
            </w:r>
            <w:r w:rsidRPr="005E3E31">
              <w:rPr>
                <w:b/>
                <w:color w:val="FFFFFF" w:themeColor="background1"/>
                <w:sz w:val="20"/>
              </w:rPr>
              <w:br/>
            </w:r>
            <w:r>
              <w:rPr>
                <w:b/>
                <w:szCs w:val="24"/>
              </w:rPr>
              <w:t>16</w:t>
            </w:r>
            <w:r w:rsidRPr="004D5A7C">
              <w:rPr>
                <w:b/>
                <w:color w:val="FFFFFF" w:themeColor="background1"/>
                <w:szCs w:val="24"/>
              </w:rPr>
              <w:t xml:space="preserve"> </w:t>
            </w:r>
            <w:r w:rsidRPr="004D5A7C">
              <w:rPr>
                <w:b/>
                <w:szCs w:val="24"/>
              </w:rPr>
              <w:t>Studies</w:t>
            </w:r>
          </w:p>
        </w:tc>
      </w:tr>
      <w:tr w:rsidR="00443002" w:rsidRPr="005E3E31" w14:paraId="5ED50455" w14:textId="77777777" w:rsidTr="00443002">
        <w:trPr>
          <w:trHeight w:val="282"/>
        </w:trPr>
        <w:tc>
          <w:tcPr>
            <w:tcW w:w="2518" w:type="dxa"/>
            <w:tcBorders>
              <w:top w:val="nil"/>
              <w:left w:val="nil"/>
              <w:bottom w:val="nil"/>
              <w:right w:val="nil"/>
            </w:tcBorders>
          </w:tcPr>
          <w:p w14:paraId="444AB32D"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00C8B136" w14:textId="77777777" w:rsidR="00443002" w:rsidRPr="005E3E31" w:rsidRDefault="00443002" w:rsidP="00443002">
            <w:pPr>
              <w:spacing w:line="360" w:lineRule="auto"/>
              <w:rPr>
                <w:sz w:val="22"/>
              </w:rPr>
            </w:pPr>
            <w:r>
              <w:rPr>
                <w:sz w:val="22"/>
              </w:rPr>
              <w:t xml:space="preserve">Accessibility </w:t>
            </w:r>
          </w:p>
        </w:tc>
        <w:tc>
          <w:tcPr>
            <w:tcW w:w="2410" w:type="dxa"/>
            <w:tcBorders>
              <w:top w:val="nil"/>
              <w:left w:val="nil"/>
              <w:bottom w:val="nil"/>
              <w:right w:val="nil"/>
            </w:tcBorders>
          </w:tcPr>
          <w:p w14:paraId="2E4316F8" w14:textId="77777777" w:rsidR="00443002" w:rsidRPr="003D2159" w:rsidRDefault="00443002" w:rsidP="00443002">
            <w:pPr>
              <w:spacing w:line="360" w:lineRule="auto"/>
              <w:rPr>
                <w:sz w:val="20"/>
              </w:rPr>
            </w:pPr>
            <w:r w:rsidRPr="003D2159">
              <w:rPr>
                <w:sz w:val="20"/>
              </w:rPr>
              <w:t>6</w:t>
            </w:r>
            <w:r>
              <w:rPr>
                <w:sz w:val="20"/>
              </w:rPr>
              <w:t>3</w:t>
            </w:r>
            <w:r w:rsidRPr="003D2159">
              <w:rPr>
                <w:sz w:val="20"/>
              </w:rPr>
              <w:t xml:space="preserve"> %</w:t>
            </w:r>
          </w:p>
        </w:tc>
      </w:tr>
      <w:tr w:rsidR="00443002" w:rsidRPr="005E3E31" w14:paraId="349BD9E2" w14:textId="77777777" w:rsidTr="00443002">
        <w:trPr>
          <w:trHeight w:val="282"/>
        </w:trPr>
        <w:tc>
          <w:tcPr>
            <w:tcW w:w="2518" w:type="dxa"/>
            <w:tcBorders>
              <w:top w:val="nil"/>
              <w:left w:val="nil"/>
              <w:bottom w:val="nil"/>
              <w:right w:val="nil"/>
            </w:tcBorders>
          </w:tcPr>
          <w:p w14:paraId="2D1406DC"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7457FD23" w14:textId="77777777" w:rsidR="00443002" w:rsidRPr="005E3E31" w:rsidRDefault="00443002" w:rsidP="00443002">
            <w:pPr>
              <w:spacing w:line="360" w:lineRule="auto"/>
              <w:rPr>
                <w:sz w:val="22"/>
              </w:rPr>
            </w:pPr>
            <w:r>
              <w:rPr>
                <w:sz w:val="22"/>
              </w:rPr>
              <w:t>Substitution</w:t>
            </w:r>
          </w:p>
        </w:tc>
        <w:tc>
          <w:tcPr>
            <w:tcW w:w="2410" w:type="dxa"/>
            <w:tcBorders>
              <w:top w:val="nil"/>
              <w:left w:val="nil"/>
              <w:bottom w:val="nil"/>
              <w:right w:val="nil"/>
            </w:tcBorders>
          </w:tcPr>
          <w:p w14:paraId="6E971209" w14:textId="77777777" w:rsidR="00443002" w:rsidRPr="003D2159" w:rsidRDefault="00443002" w:rsidP="00443002">
            <w:pPr>
              <w:spacing w:line="360" w:lineRule="auto"/>
              <w:rPr>
                <w:sz w:val="20"/>
              </w:rPr>
            </w:pPr>
            <w:r>
              <w:rPr>
                <w:sz w:val="20"/>
              </w:rPr>
              <w:t>56</w:t>
            </w:r>
            <w:r w:rsidRPr="003D2159">
              <w:rPr>
                <w:sz w:val="20"/>
              </w:rPr>
              <w:t xml:space="preserve"> %</w:t>
            </w:r>
          </w:p>
        </w:tc>
      </w:tr>
      <w:tr w:rsidR="00443002" w:rsidRPr="005E3E31" w14:paraId="029F5475" w14:textId="77777777" w:rsidTr="00443002">
        <w:trPr>
          <w:trHeight w:val="282"/>
        </w:trPr>
        <w:tc>
          <w:tcPr>
            <w:tcW w:w="2518" w:type="dxa"/>
            <w:tcBorders>
              <w:top w:val="nil"/>
              <w:left w:val="nil"/>
              <w:bottom w:val="nil"/>
              <w:right w:val="nil"/>
            </w:tcBorders>
          </w:tcPr>
          <w:p w14:paraId="5A027B42"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2C3F69BF" w14:textId="77777777" w:rsidR="00443002" w:rsidRPr="005E3E31" w:rsidRDefault="00443002" w:rsidP="00443002">
            <w:pPr>
              <w:spacing w:line="360" w:lineRule="auto"/>
              <w:rPr>
                <w:sz w:val="22"/>
              </w:rPr>
            </w:pPr>
            <w:r>
              <w:rPr>
                <w:sz w:val="22"/>
              </w:rPr>
              <w:t>Quality</w:t>
            </w:r>
          </w:p>
        </w:tc>
        <w:tc>
          <w:tcPr>
            <w:tcW w:w="2410" w:type="dxa"/>
            <w:tcBorders>
              <w:top w:val="nil"/>
              <w:left w:val="nil"/>
              <w:bottom w:val="nil"/>
              <w:right w:val="nil"/>
            </w:tcBorders>
          </w:tcPr>
          <w:p w14:paraId="17C884E7" w14:textId="77777777" w:rsidR="00443002" w:rsidRPr="003D2159" w:rsidRDefault="00443002" w:rsidP="00443002">
            <w:pPr>
              <w:spacing w:line="360" w:lineRule="auto"/>
              <w:rPr>
                <w:sz w:val="20"/>
              </w:rPr>
            </w:pPr>
            <w:r>
              <w:rPr>
                <w:sz w:val="20"/>
              </w:rPr>
              <w:t>50</w:t>
            </w:r>
            <w:r w:rsidRPr="003D2159">
              <w:rPr>
                <w:sz w:val="20"/>
              </w:rPr>
              <w:t xml:space="preserve"> %</w:t>
            </w:r>
          </w:p>
        </w:tc>
      </w:tr>
      <w:tr w:rsidR="00443002" w:rsidRPr="005E3E31" w14:paraId="68232A9E" w14:textId="77777777" w:rsidTr="00443002">
        <w:trPr>
          <w:trHeight w:val="282"/>
        </w:trPr>
        <w:tc>
          <w:tcPr>
            <w:tcW w:w="2518" w:type="dxa"/>
            <w:tcBorders>
              <w:top w:val="nil"/>
              <w:left w:val="nil"/>
              <w:bottom w:val="nil"/>
              <w:right w:val="nil"/>
            </w:tcBorders>
          </w:tcPr>
          <w:p w14:paraId="3577CB5F" w14:textId="77777777" w:rsidR="00443002" w:rsidRPr="005E3E31" w:rsidRDefault="00443002" w:rsidP="00443002">
            <w:pPr>
              <w:spacing w:line="360" w:lineRule="auto"/>
              <w:rPr>
                <w:sz w:val="22"/>
              </w:rPr>
            </w:pPr>
          </w:p>
        </w:tc>
        <w:tc>
          <w:tcPr>
            <w:tcW w:w="4111" w:type="dxa"/>
            <w:gridSpan w:val="2"/>
            <w:tcBorders>
              <w:top w:val="nil"/>
              <w:left w:val="nil"/>
              <w:bottom w:val="nil"/>
              <w:right w:val="nil"/>
            </w:tcBorders>
          </w:tcPr>
          <w:p w14:paraId="4FC1BE33" w14:textId="77777777" w:rsidR="00443002" w:rsidRPr="005E3E31" w:rsidRDefault="00443002" w:rsidP="00443002">
            <w:pPr>
              <w:spacing w:line="360" w:lineRule="auto"/>
              <w:rPr>
                <w:sz w:val="22"/>
              </w:rPr>
            </w:pPr>
            <w:r>
              <w:rPr>
                <w:sz w:val="22"/>
              </w:rPr>
              <w:t>Pleasure</w:t>
            </w:r>
          </w:p>
        </w:tc>
        <w:tc>
          <w:tcPr>
            <w:tcW w:w="2410" w:type="dxa"/>
            <w:tcBorders>
              <w:top w:val="nil"/>
              <w:left w:val="nil"/>
              <w:bottom w:val="nil"/>
              <w:right w:val="nil"/>
            </w:tcBorders>
          </w:tcPr>
          <w:p w14:paraId="56AA8E55" w14:textId="77777777" w:rsidR="00443002" w:rsidRPr="003D2159" w:rsidRDefault="00443002" w:rsidP="00443002">
            <w:pPr>
              <w:spacing w:line="360" w:lineRule="auto"/>
              <w:rPr>
                <w:sz w:val="20"/>
              </w:rPr>
            </w:pPr>
            <w:r>
              <w:rPr>
                <w:sz w:val="20"/>
              </w:rPr>
              <w:t>44</w:t>
            </w:r>
            <w:r w:rsidRPr="003D2159">
              <w:rPr>
                <w:sz w:val="20"/>
              </w:rPr>
              <w:t xml:space="preserve"> %</w:t>
            </w:r>
          </w:p>
        </w:tc>
      </w:tr>
      <w:tr w:rsidR="00443002" w:rsidRPr="005E3E31" w14:paraId="45724A96" w14:textId="77777777" w:rsidTr="00443002">
        <w:trPr>
          <w:trHeight w:val="282"/>
        </w:trPr>
        <w:tc>
          <w:tcPr>
            <w:tcW w:w="2518" w:type="dxa"/>
            <w:tcBorders>
              <w:top w:val="nil"/>
              <w:left w:val="nil"/>
              <w:bottom w:val="single" w:sz="4" w:space="0" w:color="auto"/>
              <w:right w:val="nil"/>
            </w:tcBorders>
          </w:tcPr>
          <w:p w14:paraId="2826E423" w14:textId="77777777" w:rsidR="00443002" w:rsidRPr="005E3E31" w:rsidRDefault="00443002" w:rsidP="00443002">
            <w:pPr>
              <w:spacing w:line="360" w:lineRule="auto"/>
              <w:rPr>
                <w:sz w:val="22"/>
              </w:rPr>
            </w:pPr>
          </w:p>
        </w:tc>
        <w:tc>
          <w:tcPr>
            <w:tcW w:w="4111" w:type="dxa"/>
            <w:gridSpan w:val="2"/>
            <w:tcBorders>
              <w:top w:val="nil"/>
              <w:left w:val="nil"/>
              <w:bottom w:val="single" w:sz="4" w:space="0" w:color="auto"/>
              <w:right w:val="nil"/>
            </w:tcBorders>
          </w:tcPr>
          <w:p w14:paraId="770AEC67" w14:textId="77777777" w:rsidR="00443002" w:rsidRPr="005E3E31" w:rsidRDefault="00443002" w:rsidP="00443002">
            <w:pPr>
              <w:spacing w:line="360" w:lineRule="auto"/>
              <w:rPr>
                <w:sz w:val="22"/>
              </w:rPr>
            </w:pPr>
            <w:r>
              <w:rPr>
                <w:sz w:val="22"/>
              </w:rPr>
              <w:t>Legal reasons</w:t>
            </w:r>
            <w:r w:rsidRPr="005E3E31">
              <w:rPr>
                <w:sz w:val="22"/>
              </w:rPr>
              <w:br/>
            </w:r>
            <w:r w:rsidRPr="005E3E31">
              <w:rPr>
                <w:color w:val="FFFFFF" w:themeColor="background1"/>
                <w:sz w:val="6"/>
              </w:rPr>
              <w:t>n</w:t>
            </w:r>
          </w:p>
        </w:tc>
        <w:tc>
          <w:tcPr>
            <w:tcW w:w="2410" w:type="dxa"/>
            <w:tcBorders>
              <w:top w:val="nil"/>
              <w:left w:val="nil"/>
              <w:bottom w:val="single" w:sz="4" w:space="0" w:color="auto"/>
              <w:right w:val="nil"/>
            </w:tcBorders>
          </w:tcPr>
          <w:p w14:paraId="791C1583" w14:textId="77777777" w:rsidR="00443002" w:rsidRPr="003D2159" w:rsidRDefault="00443002" w:rsidP="00443002">
            <w:pPr>
              <w:spacing w:line="360" w:lineRule="auto"/>
              <w:rPr>
                <w:sz w:val="20"/>
              </w:rPr>
            </w:pPr>
            <w:r>
              <w:rPr>
                <w:sz w:val="20"/>
              </w:rPr>
              <w:t>31</w:t>
            </w:r>
            <w:r w:rsidRPr="003D2159">
              <w:rPr>
                <w:sz w:val="20"/>
              </w:rPr>
              <w:t xml:space="preserve"> %</w:t>
            </w:r>
          </w:p>
        </w:tc>
      </w:tr>
    </w:tbl>
    <w:p w14:paraId="4CA42A0B" w14:textId="77777777" w:rsidR="00443002" w:rsidRDefault="00443002" w:rsidP="00443002">
      <w:pPr>
        <w:spacing w:line="240" w:lineRule="auto"/>
        <w:rPr>
          <w:b/>
        </w:rPr>
      </w:pPr>
    </w:p>
    <w:p w14:paraId="50EDC1C2" w14:textId="77777777" w:rsidR="00443002" w:rsidRPr="005F1E3E" w:rsidRDefault="00443002" w:rsidP="00443002">
      <w:pPr>
        <w:spacing w:line="480" w:lineRule="auto"/>
      </w:pPr>
      <w:r w:rsidRPr="001B4154">
        <w:t>Although this might indicate legality is a uniquely important reason for NPS use compared to the use of traditional drugs, it seems likely that the emphasis on legal status found through open-ended questioning is an artefact of the use of open-ended questions in the small-scale studies sampling problem-drug users for whom legal status was particularly important. In other words, legal reasons may be uniquely important to users of NPS, but their significance may be limited to specific contexts</w:t>
      </w:r>
      <w:r>
        <w:t xml:space="preserve"> or a minority of users.</w:t>
      </w:r>
    </w:p>
    <w:p w14:paraId="4C2F208B" w14:textId="5222BEC3" w:rsidR="00443002" w:rsidRPr="00FE6B00" w:rsidRDefault="00443002" w:rsidP="00C42A80">
      <w:pPr>
        <w:pStyle w:val="Heading3"/>
      </w:pPr>
      <w:bookmarkStart w:id="318" w:name="_Toc35892616"/>
      <w:r w:rsidRPr="00FE6B00">
        <w:t xml:space="preserve">Findings: Prevalence of reasons for </w:t>
      </w:r>
      <w:r>
        <w:t>not using NPS</w:t>
      </w:r>
      <w:bookmarkEnd w:id="318"/>
      <w:r w:rsidRPr="00FE6B00">
        <w:t xml:space="preserve"> </w:t>
      </w:r>
    </w:p>
    <w:p w14:paraId="47005202" w14:textId="039F1D39" w:rsidR="00443002" w:rsidRDefault="00443002" w:rsidP="00443002">
      <w:pPr>
        <w:spacing w:line="480" w:lineRule="auto"/>
      </w:pPr>
      <w:r>
        <w:t>Of the 31 studies identified in this review, 10 studies reported reasons why people did not, or might not, use NPS.</w:t>
      </w:r>
      <w:r w:rsidRPr="00A428C2">
        <w:t xml:space="preserve"> From this set of studies </w:t>
      </w:r>
      <w:r>
        <w:t>24</w:t>
      </w:r>
      <w:r w:rsidRPr="00A428C2">
        <w:t xml:space="preserve"> individual reasons were extracted which were collated into </w:t>
      </w:r>
      <w:r>
        <w:t>1</w:t>
      </w:r>
      <w:r w:rsidRPr="00A428C2">
        <w:t xml:space="preserve">4 unique reasons for </w:t>
      </w:r>
      <w:r>
        <w:t xml:space="preserve">avoiding NPS </w:t>
      </w:r>
      <w:r w:rsidRPr="00A428C2">
        <w:t>use</w:t>
      </w:r>
      <w:r>
        <w:t>,</w:t>
      </w:r>
      <w:r w:rsidRPr="00A428C2">
        <w:t xml:space="preserve"> which were then grouped into </w:t>
      </w:r>
      <w:r>
        <w:t>6</w:t>
      </w:r>
      <w:r w:rsidRPr="00A428C2">
        <w:t xml:space="preserve"> themes (see </w:t>
      </w:r>
      <w:r>
        <w:t>T</w:t>
      </w:r>
      <w:r w:rsidRPr="00A428C2">
        <w:t xml:space="preserve">able </w:t>
      </w:r>
      <w:r w:rsidR="00C50864">
        <w:t>4-</w:t>
      </w:r>
      <w:r>
        <w:t>11</w:t>
      </w:r>
      <w:r w:rsidRPr="00A428C2">
        <w:t xml:space="preserve">). </w:t>
      </w:r>
    </w:p>
    <w:p w14:paraId="7256E493" w14:textId="74B9C865" w:rsidR="00443002" w:rsidRPr="00A428C2" w:rsidRDefault="00443002" w:rsidP="00443002">
      <w:pPr>
        <w:spacing w:line="480" w:lineRule="auto"/>
      </w:pPr>
      <w:r>
        <w:t xml:space="preserve">Compared with reasons reported for why people used NPS, relatively few reasons were reported for why people might not use NPS. With most studies using samples for which the inclusion criteria were recent or active use of NPS, there was </w:t>
      </w:r>
      <w:r w:rsidR="00A868BB">
        <w:t xml:space="preserve">a </w:t>
      </w:r>
      <w:r>
        <w:t>natural emphasis on why participants chose to use NPS, rather than abstain from use. In addition, where the disadvantages of NPS use were explored, they tended to remain limited to the listing of negative symptoms associated with use</w:t>
      </w:r>
      <w:r w:rsidR="00A868BB">
        <w:t>;</w:t>
      </w:r>
      <w:r>
        <w:t xml:space="preserve"> such as anxiety, heart palpitations and headaches. Given that there was generally no record of whether negative symptoms resulted in users reducing their use or stopping, descriptions of physical symptoms were not included as reasons against use. Reasons for non-use of NPS were included when they were presented as </w:t>
      </w:r>
      <w:r w:rsidRPr="00A428C2">
        <w:t xml:space="preserve">a belief or attitude thought to reduce the likelihood of NPS use. </w:t>
      </w:r>
    </w:p>
    <w:p w14:paraId="0A8BD10B" w14:textId="77777777" w:rsidR="00443002" w:rsidRPr="00397405" w:rsidRDefault="00443002" w:rsidP="00443002">
      <w:pPr>
        <w:spacing w:line="480" w:lineRule="auto"/>
        <w:sectPr w:rsidR="00443002" w:rsidRPr="00397405" w:rsidSect="00443002">
          <w:headerReference w:type="default" r:id="rId61"/>
          <w:pgSz w:w="11900" w:h="16840"/>
          <w:pgMar w:top="1418" w:right="1418" w:bottom="1418" w:left="1418" w:header="709" w:footer="709" w:gutter="0"/>
          <w:cols w:space="708"/>
          <w:docGrid w:linePitch="360"/>
        </w:sectPr>
      </w:pPr>
    </w:p>
    <w:p w14:paraId="30DF4D5E" w14:textId="556883D6" w:rsidR="00443002" w:rsidRPr="005E0305" w:rsidRDefault="00443002" w:rsidP="00C42A80">
      <w:pPr>
        <w:pStyle w:val="TableHeader"/>
        <w:rPr>
          <w:b/>
        </w:rPr>
      </w:pPr>
      <w:bookmarkStart w:id="319" w:name="_Toc9509064"/>
      <w:r w:rsidRPr="005E0305">
        <w:rPr>
          <w:b/>
        </w:rPr>
        <w:t xml:space="preserve">Table </w:t>
      </w:r>
      <w:r w:rsidR="005E0305">
        <w:rPr>
          <w:b/>
        </w:rPr>
        <w:t>4-</w:t>
      </w:r>
      <w:r w:rsidRPr="005E0305">
        <w:rPr>
          <w:b/>
        </w:rPr>
        <w:t>11. Reasons for not using NPS organised by theme</w:t>
      </w:r>
      <w:bookmarkEnd w:id="319"/>
      <w:r w:rsidRPr="005E0305">
        <w:rPr>
          <w:b/>
        </w:rPr>
        <w:t xml:space="preserve"> </w:t>
      </w:r>
    </w:p>
    <w:tbl>
      <w:tblPr>
        <w:tblStyle w:val="TableGrid"/>
        <w:tblW w:w="13858" w:type="dxa"/>
        <w:tblLayout w:type="fixed"/>
        <w:tblLook w:val="04A0" w:firstRow="1" w:lastRow="0" w:firstColumn="1" w:lastColumn="0" w:noHBand="0" w:noVBand="1"/>
      </w:tblPr>
      <w:tblGrid>
        <w:gridCol w:w="3510"/>
        <w:gridCol w:w="3686"/>
        <w:gridCol w:w="992"/>
        <w:gridCol w:w="425"/>
        <w:gridCol w:w="5245"/>
      </w:tblGrid>
      <w:tr w:rsidR="00443002" w:rsidRPr="00470F40" w14:paraId="1464886C" w14:textId="77777777" w:rsidTr="00443002">
        <w:trPr>
          <w:trHeight w:val="663"/>
        </w:trPr>
        <w:tc>
          <w:tcPr>
            <w:tcW w:w="3510" w:type="dxa"/>
            <w:tcBorders>
              <w:top w:val="single" w:sz="4" w:space="0" w:color="auto"/>
              <w:left w:val="nil"/>
              <w:bottom w:val="single" w:sz="4" w:space="0" w:color="auto"/>
              <w:right w:val="nil"/>
            </w:tcBorders>
          </w:tcPr>
          <w:p w14:paraId="01A7D5BC" w14:textId="77777777" w:rsidR="00443002" w:rsidRDefault="00443002" w:rsidP="00443002">
            <w:pPr>
              <w:rPr>
                <w:b/>
              </w:rPr>
            </w:pPr>
            <w:r w:rsidRPr="00470F40">
              <w:rPr>
                <w:b/>
              </w:rPr>
              <w:t>Theme</w:t>
            </w:r>
            <w:r>
              <w:rPr>
                <w:b/>
              </w:rPr>
              <w:t xml:space="preserve"> </w:t>
            </w:r>
          </w:p>
          <w:p w14:paraId="1EBF44D2" w14:textId="77777777" w:rsidR="00443002" w:rsidRPr="00365437" w:rsidRDefault="00443002" w:rsidP="00443002">
            <w:r w:rsidRPr="00365437">
              <w:t>(% of studies with theme)</w:t>
            </w:r>
            <w:r w:rsidRPr="00365437">
              <w:rPr>
                <w:rStyle w:val="FootnoteReference"/>
              </w:rPr>
              <w:footnoteReference w:id="7"/>
            </w:r>
          </w:p>
        </w:tc>
        <w:tc>
          <w:tcPr>
            <w:tcW w:w="5103" w:type="dxa"/>
            <w:gridSpan w:val="3"/>
            <w:tcBorders>
              <w:top w:val="single" w:sz="4" w:space="0" w:color="auto"/>
              <w:left w:val="nil"/>
              <w:bottom w:val="single" w:sz="4" w:space="0" w:color="auto"/>
              <w:right w:val="nil"/>
            </w:tcBorders>
          </w:tcPr>
          <w:p w14:paraId="2ABFF69F" w14:textId="77777777" w:rsidR="00443002" w:rsidRDefault="00443002" w:rsidP="00443002">
            <w:pPr>
              <w:rPr>
                <w:b/>
              </w:rPr>
            </w:pPr>
            <w:r>
              <w:rPr>
                <w:b/>
              </w:rPr>
              <w:t xml:space="preserve">Reason for non-use </w:t>
            </w:r>
          </w:p>
          <w:p w14:paraId="2164F7EF" w14:textId="77777777" w:rsidR="00443002" w:rsidRPr="00365437" w:rsidRDefault="00443002" w:rsidP="00443002">
            <w:r w:rsidRPr="00365437">
              <w:t>(% of studies with reason)</w:t>
            </w:r>
            <w:r w:rsidRPr="00365437">
              <w:rPr>
                <w:rStyle w:val="FootnoteReference"/>
              </w:rPr>
              <w:footnoteReference w:id="8"/>
            </w:r>
          </w:p>
        </w:tc>
        <w:tc>
          <w:tcPr>
            <w:tcW w:w="5245" w:type="dxa"/>
            <w:tcBorders>
              <w:top w:val="single" w:sz="4" w:space="0" w:color="auto"/>
              <w:left w:val="nil"/>
              <w:bottom w:val="single" w:sz="4" w:space="0" w:color="auto"/>
              <w:right w:val="nil"/>
            </w:tcBorders>
          </w:tcPr>
          <w:p w14:paraId="39885691" w14:textId="77777777" w:rsidR="00443002" w:rsidRDefault="00443002" w:rsidP="00443002">
            <w:pPr>
              <w:rPr>
                <w:b/>
              </w:rPr>
            </w:pPr>
            <w:r>
              <w:rPr>
                <w:b/>
              </w:rPr>
              <w:t xml:space="preserve">Study of origin reference </w:t>
            </w:r>
          </w:p>
          <w:p w14:paraId="3E6DC67D" w14:textId="77777777" w:rsidR="00443002" w:rsidRPr="00470F40" w:rsidRDefault="00443002" w:rsidP="00443002">
            <w:pPr>
              <w:rPr>
                <w:b/>
              </w:rPr>
            </w:pPr>
            <w:r w:rsidRPr="00213DDA">
              <w:t>(see Table 3)</w:t>
            </w:r>
          </w:p>
        </w:tc>
      </w:tr>
      <w:tr w:rsidR="00443002" w:rsidRPr="00A5260C" w14:paraId="0892023A" w14:textId="77777777" w:rsidTr="00443002">
        <w:trPr>
          <w:trHeight w:val="136"/>
        </w:trPr>
        <w:tc>
          <w:tcPr>
            <w:tcW w:w="3510" w:type="dxa"/>
            <w:tcBorders>
              <w:top w:val="single" w:sz="4" w:space="0" w:color="auto"/>
              <w:left w:val="nil"/>
              <w:bottom w:val="nil"/>
              <w:right w:val="nil"/>
            </w:tcBorders>
          </w:tcPr>
          <w:p w14:paraId="6FD256FF" w14:textId="77777777" w:rsidR="00443002" w:rsidRPr="00A5260C" w:rsidRDefault="00443002" w:rsidP="00443002">
            <w:pPr>
              <w:rPr>
                <w:b/>
                <w:sz w:val="6"/>
              </w:rPr>
            </w:pPr>
          </w:p>
        </w:tc>
        <w:tc>
          <w:tcPr>
            <w:tcW w:w="5103" w:type="dxa"/>
            <w:gridSpan w:val="3"/>
            <w:tcBorders>
              <w:top w:val="single" w:sz="4" w:space="0" w:color="auto"/>
              <w:left w:val="nil"/>
              <w:bottom w:val="nil"/>
              <w:right w:val="nil"/>
            </w:tcBorders>
          </w:tcPr>
          <w:p w14:paraId="73606494" w14:textId="77777777" w:rsidR="00443002" w:rsidRPr="00A5260C" w:rsidRDefault="00443002" w:rsidP="00443002">
            <w:pPr>
              <w:rPr>
                <w:b/>
                <w:sz w:val="6"/>
              </w:rPr>
            </w:pPr>
          </w:p>
        </w:tc>
        <w:tc>
          <w:tcPr>
            <w:tcW w:w="5245" w:type="dxa"/>
            <w:tcBorders>
              <w:top w:val="single" w:sz="4" w:space="0" w:color="auto"/>
              <w:left w:val="nil"/>
              <w:bottom w:val="nil"/>
              <w:right w:val="nil"/>
            </w:tcBorders>
          </w:tcPr>
          <w:p w14:paraId="53FF69FD" w14:textId="77777777" w:rsidR="00443002" w:rsidRPr="00A5260C" w:rsidRDefault="00443002" w:rsidP="00443002">
            <w:pPr>
              <w:rPr>
                <w:b/>
                <w:sz w:val="6"/>
              </w:rPr>
            </w:pPr>
          </w:p>
        </w:tc>
      </w:tr>
      <w:tr w:rsidR="00443002" w:rsidRPr="006B2C7A" w14:paraId="727DF782" w14:textId="77777777" w:rsidTr="00443002">
        <w:trPr>
          <w:trHeight w:val="282"/>
        </w:trPr>
        <w:tc>
          <w:tcPr>
            <w:tcW w:w="3510" w:type="dxa"/>
            <w:tcBorders>
              <w:top w:val="nil"/>
              <w:left w:val="nil"/>
              <w:bottom w:val="nil"/>
              <w:right w:val="nil"/>
            </w:tcBorders>
          </w:tcPr>
          <w:p w14:paraId="646C3373" w14:textId="77777777" w:rsidR="00443002" w:rsidRPr="007009D3" w:rsidRDefault="00443002" w:rsidP="00443002">
            <w:pPr>
              <w:spacing w:line="360" w:lineRule="auto"/>
              <w:rPr>
                <w:b/>
                <w:szCs w:val="24"/>
              </w:rPr>
            </w:pPr>
            <w:r>
              <w:rPr>
                <w:b/>
                <w:szCs w:val="24"/>
              </w:rPr>
              <w:t>Risk perceptions</w:t>
            </w:r>
            <w:r w:rsidRPr="007009D3">
              <w:rPr>
                <w:b/>
                <w:szCs w:val="24"/>
              </w:rPr>
              <w:t xml:space="preserve"> </w:t>
            </w:r>
            <w:r>
              <w:rPr>
                <w:b/>
                <w:szCs w:val="24"/>
              </w:rPr>
              <w:t>80</w:t>
            </w:r>
            <w:r w:rsidRPr="007009D3">
              <w:rPr>
                <w:b/>
                <w:szCs w:val="24"/>
              </w:rPr>
              <w:t>%</w:t>
            </w:r>
          </w:p>
        </w:tc>
        <w:tc>
          <w:tcPr>
            <w:tcW w:w="3686" w:type="dxa"/>
            <w:tcBorders>
              <w:top w:val="nil"/>
              <w:left w:val="nil"/>
              <w:bottom w:val="nil"/>
              <w:right w:val="nil"/>
            </w:tcBorders>
          </w:tcPr>
          <w:p w14:paraId="25FEAE74" w14:textId="77777777" w:rsidR="00443002" w:rsidRPr="00C87F2D" w:rsidRDefault="00443002" w:rsidP="00443002">
            <w:pPr>
              <w:spacing w:line="360" w:lineRule="auto"/>
            </w:pPr>
            <w:r w:rsidRPr="00C87F2D">
              <w:t xml:space="preserve">Risk perceptions / dangerous </w:t>
            </w:r>
          </w:p>
        </w:tc>
        <w:tc>
          <w:tcPr>
            <w:tcW w:w="992" w:type="dxa"/>
            <w:tcBorders>
              <w:top w:val="nil"/>
              <w:left w:val="nil"/>
              <w:bottom w:val="nil"/>
              <w:right w:val="nil"/>
            </w:tcBorders>
          </w:tcPr>
          <w:p w14:paraId="36774C4B" w14:textId="77777777" w:rsidR="00443002" w:rsidRPr="000E181C" w:rsidRDefault="00443002" w:rsidP="00443002">
            <w:pPr>
              <w:spacing w:line="360" w:lineRule="auto"/>
              <w:jc w:val="right"/>
              <w:rPr>
                <w:sz w:val="20"/>
              </w:rPr>
            </w:pPr>
            <w:r>
              <w:rPr>
                <w:sz w:val="20"/>
              </w:rPr>
              <w:t xml:space="preserve"> 40 </w:t>
            </w:r>
            <w:r w:rsidRPr="000E181C">
              <w:rPr>
                <w:sz w:val="20"/>
              </w:rPr>
              <w:t>%</w:t>
            </w:r>
          </w:p>
        </w:tc>
        <w:tc>
          <w:tcPr>
            <w:tcW w:w="425" w:type="dxa"/>
            <w:tcBorders>
              <w:top w:val="nil"/>
              <w:left w:val="nil"/>
              <w:bottom w:val="nil"/>
              <w:right w:val="nil"/>
            </w:tcBorders>
          </w:tcPr>
          <w:p w14:paraId="19B69CE9" w14:textId="77777777" w:rsidR="00443002" w:rsidRPr="002A357F" w:rsidRDefault="00443002" w:rsidP="00443002">
            <w:pPr>
              <w:spacing w:line="360" w:lineRule="auto"/>
              <w:rPr>
                <w:sz w:val="22"/>
              </w:rPr>
            </w:pPr>
          </w:p>
        </w:tc>
        <w:tc>
          <w:tcPr>
            <w:tcW w:w="5245" w:type="dxa"/>
            <w:tcBorders>
              <w:top w:val="nil"/>
              <w:left w:val="nil"/>
              <w:bottom w:val="nil"/>
              <w:right w:val="nil"/>
            </w:tcBorders>
          </w:tcPr>
          <w:p w14:paraId="0DAE4AF3" w14:textId="77777777" w:rsidR="00443002" w:rsidRPr="007B2DA1" w:rsidRDefault="00443002" w:rsidP="00443002">
            <w:pPr>
              <w:spacing w:line="360" w:lineRule="auto"/>
              <w:rPr>
                <w:sz w:val="18"/>
                <w:szCs w:val="18"/>
              </w:rPr>
            </w:pPr>
            <w:r>
              <w:rPr>
                <w:sz w:val="18"/>
                <w:szCs w:val="18"/>
              </w:rPr>
              <w:t>[6][18][19][29]</w:t>
            </w:r>
          </w:p>
        </w:tc>
      </w:tr>
      <w:tr w:rsidR="00443002" w:rsidRPr="006B2C7A" w14:paraId="5ED7F4C1" w14:textId="77777777" w:rsidTr="00443002">
        <w:trPr>
          <w:trHeight w:val="282"/>
        </w:trPr>
        <w:tc>
          <w:tcPr>
            <w:tcW w:w="3510" w:type="dxa"/>
            <w:tcBorders>
              <w:top w:val="nil"/>
              <w:left w:val="nil"/>
              <w:bottom w:val="nil"/>
              <w:right w:val="nil"/>
            </w:tcBorders>
          </w:tcPr>
          <w:p w14:paraId="658D2F02" w14:textId="77777777" w:rsidR="00443002" w:rsidRPr="00EC6C51" w:rsidRDefault="00443002" w:rsidP="00443002">
            <w:pPr>
              <w:spacing w:line="360" w:lineRule="auto"/>
              <w:rPr>
                <w:sz w:val="18"/>
              </w:rPr>
            </w:pPr>
          </w:p>
        </w:tc>
        <w:tc>
          <w:tcPr>
            <w:tcW w:w="3686" w:type="dxa"/>
            <w:tcBorders>
              <w:top w:val="nil"/>
              <w:left w:val="nil"/>
              <w:bottom w:val="nil"/>
              <w:right w:val="nil"/>
            </w:tcBorders>
          </w:tcPr>
          <w:p w14:paraId="7451586F" w14:textId="77777777" w:rsidR="00443002" w:rsidRPr="00C87F2D" w:rsidRDefault="00443002" w:rsidP="00443002">
            <w:pPr>
              <w:spacing w:line="360" w:lineRule="auto"/>
            </w:pPr>
            <w:r w:rsidRPr="00C87F2D">
              <w:t>Unknown ingredients</w:t>
            </w:r>
          </w:p>
        </w:tc>
        <w:tc>
          <w:tcPr>
            <w:tcW w:w="992" w:type="dxa"/>
            <w:tcBorders>
              <w:top w:val="nil"/>
              <w:left w:val="nil"/>
              <w:bottom w:val="nil"/>
              <w:right w:val="nil"/>
            </w:tcBorders>
          </w:tcPr>
          <w:p w14:paraId="6FBA8C10" w14:textId="77777777" w:rsidR="00443002" w:rsidRPr="000E181C" w:rsidRDefault="00443002" w:rsidP="00443002">
            <w:pPr>
              <w:spacing w:line="360" w:lineRule="auto"/>
              <w:jc w:val="right"/>
              <w:rPr>
                <w:sz w:val="20"/>
              </w:rPr>
            </w:pPr>
            <w:r>
              <w:rPr>
                <w:sz w:val="20"/>
              </w:rPr>
              <w:t xml:space="preserve"> 30 </w:t>
            </w:r>
            <w:r w:rsidRPr="000E181C">
              <w:rPr>
                <w:sz w:val="20"/>
              </w:rPr>
              <w:t>%</w:t>
            </w:r>
          </w:p>
        </w:tc>
        <w:tc>
          <w:tcPr>
            <w:tcW w:w="425" w:type="dxa"/>
            <w:tcBorders>
              <w:top w:val="nil"/>
              <w:left w:val="nil"/>
              <w:bottom w:val="nil"/>
              <w:right w:val="nil"/>
            </w:tcBorders>
          </w:tcPr>
          <w:p w14:paraId="629C37D3" w14:textId="77777777" w:rsidR="00443002" w:rsidRPr="002A357F" w:rsidRDefault="00443002" w:rsidP="00443002">
            <w:pPr>
              <w:spacing w:line="360" w:lineRule="auto"/>
              <w:rPr>
                <w:sz w:val="22"/>
              </w:rPr>
            </w:pPr>
          </w:p>
        </w:tc>
        <w:tc>
          <w:tcPr>
            <w:tcW w:w="5245" w:type="dxa"/>
            <w:tcBorders>
              <w:top w:val="nil"/>
              <w:left w:val="nil"/>
              <w:bottom w:val="nil"/>
              <w:right w:val="nil"/>
            </w:tcBorders>
          </w:tcPr>
          <w:p w14:paraId="1E1676CA" w14:textId="77777777" w:rsidR="00443002" w:rsidRPr="007B2DA1" w:rsidRDefault="00443002" w:rsidP="00443002">
            <w:pPr>
              <w:spacing w:line="360" w:lineRule="auto"/>
              <w:rPr>
                <w:sz w:val="18"/>
                <w:szCs w:val="18"/>
              </w:rPr>
            </w:pPr>
            <w:r>
              <w:rPr>
                <w:sz w:val="18"/>
                <w:szCs w:val="18"/>
              </w:rPr>
              <w:t>[20][14][28]</w:t>
            </w:r>
          </w:p>
        </w:tc>
      </w:tr>
      <w:tr w:rsidR="00443002" w:rsidRPr="006B2C7A" w14:paraId="131D415D" w14:textId="77777777" w:rsidTr="00443002">
        <w:trPr>
          <w:trHeight w:val="282"/>
        </w:trPr>
        <w:tc>
          <w:tcPr>
            <w:tcW w:w="3510" w:type="dxa"/>
            <w:tcBorders>
              <w:top w:val="nil"/>
              <w:left w:val="nil"/>
              <w:bottom w:val="nil"/>
              <w:right w:val="nil"/>
            </w:tcBorders>
          </w:tcPr>
          <w:p w14:paraId="1DD573FF" w14:textId="77777777" w:rsidR="00443002" w:rsidRPr="00EC6C51" w:rsidRDefault="00443002" w:rsidP="00443002">
            <w:pPr>
              <w:spacing w:line="360" w:lineRule="auto"/>
              <w:rPr>
                <w:sz w:val="18"/>
              </w:rPr>
            </w:pPr>
          </w:p>
        </w:tc>
        <w:tc>
          <w:tcPr>
            <w:tcW w:w="3686" w:type="dxa"/>
            <w:tcBorders>
              <w:top w:val="nil"/>
              <w:left w:val="nil"/>
              <w:bottom w:val="nil"/>
              <w:right w:val="nil"/>
            </w:tcBorders>
          </w:tcPr>
          <w:p w14:paraId="20CFB5FC" w14:textId="77777777" w:rsidR="00443002" w:rsidRPr="00C87F2D" w:rsidRDefault="00443002" w:rsidP="00443002">
            <w:pPr>
              <w:spacing w:line="360" w:lineRule="auto"/>
            </w:pPr>
            <w:r w:rsidRPr="00C87F2D">
              <w:t xml:space="preserve">More dangerous than illicit drugs </w:t>
            </w:r>
          </w:p>
        </w:tc>
        <w:tc>
          <w:tcPr>
            <w:tcW w:w="992" w:type="dxa"/>
            <w:tcBorders>
              <w:top w:val="nil"/>
              <w:left w:val="nil"/>
              <w:bottom w:val="nil"/>
              <w:right w:val="nil"/>
            </w:tcBorders>
          </w:tcPr>
          <w:p w14:paraId="5B854ECD" w14:textId="77777777" w:rsidR="00443002" w:rsidRPr="000E181C" w:rsidRDefault="00443002" w:rsidP="00443002">
            <w:pPr>
              <w:spacing w:line="360" w:lineRule="auto"/>
              <w:jc w:val="right"/>
              <w:rPr>
                <w:sz w:val="20"/>
              </w:rPr>
            </w:pPr>
            <w:r>
              <w:rPr>
                <w:sz w:val="20"/>
              </w:rPr>
              <w:t xml:space="preserve"> 10 </w:t>
            </w:r>
            <w:r w:rsidRPr="000E181C">
              <w:rPr>
                <w:sz w:val="20"/>
              </w:rPr>
              <w:t>%</w:t>
            </w:r>
          </w:p>
        </w:tc>
        <w:tc>
          <w:tcPr>
            <w:tcW w:w="425" w:type="dxa"/>
            <w:tcBorders>
              <w:top w:val="nil"/>
              <w:left w:val="nil"/>
              <w:bottom w:val="nil"/>
              <w:right w:val="nil"/>
            </w:tcBorders>
          </w:tcPr>
          <w:p w14:paraId="242CE88A" w14:textId="77777777" w:rsidR="00443002" w:rsidRPr="002A357F" w:rsidRDefault="00443002" w:rsidP="00443002">
            <w:pPr>
              <w:spacing w:line="360" w:lineRule="auto"/>
              <w:rPr>
                <w:sz w:val="22"/>
              </w:rPr>
            </w:pPr>
          </w:p>
        </w:tc>
        <w:tc>
          <w:tcPr>
            <w:tcW w:w="5245" w:type="dxa"/>
            <w:tcBorders>
              <w:top w:val="nil"/>
              <w:left w:val="nil"/>
              <w:bottom w:val="nil"/>
              <w:right w:val="nil"/>
            </w:tcBorders>
          </w:tcPr>
          <w:p w14:paraId="69E1B658" w14:textId="77777777" w:rsidR="00443002" w:rsidRPr="007B2DA1" w:rsidRDefault="00443002" w:rsidP="00443002">
            <w:pPr>
              <w:spacing w:line="360" w:lineRule="auto"/>
              <w:rPr>
                <w:sz w:val="18"/>
                <w:szCs w:val="18"/>
              </w:rPr>
            </w:pPr>
            <w:r>
              <w:rPr>
                <w:sz w:val="18"/>
                <w:szCs w:val="18"/>
              </w:rPr>
              <w:t>[7]</w:t>
            </w:r>
          </w:p>
        </w:tc>
      </w:tr>
      <w:tr w:rsidR="00443002" w:rsidRPr="006B2C7A" w14:paraId="515AF74D" w14:textId="77777777" w:rsidTr="00443002">
        <w:trPr>
          <w:trHeight w:val="418"/>
        </w:trPr>
        <w:tc>
          <w:tcPr>
            <w:tcW w:w="3510" w:type="dxa"/>
            <w:tcBorders>
              <w:top w:val="nil"/>
              <w:left w:val="nil"/>
              <w:bottom w:val="single" w:sz="4" w:space="0" w:color="auto"/>
              <w:right w:val="nil"/>
            </w:tcBorders>
          </w:tcPr>
          <w:p w14:paraId="646135C5" w14:textId="77777777" w:rsidR="00443002" w:rsidRPr="00EC6C51" w:rsidRDefault="00443002" w:rsidP="00443002">
            <w:pPr>
              <w:spacing w:line="360" w:lineRule="auto"/>
              <w:rPr>
                <w:sz w:val="18"/>
              </w:rPr>
            </w:pPr>
          </w:p>
        </w:tc>
        <w:tc>
          <w:tcPr>
            <w:tcW w:w="3686" w:type="dxa"/>
            <w:tcBorders>
              <w:top w:val="nil"/>
              <w:left w:val="nil"/>
              <w:bottom w:val="single" w:sz="4" w:space="0" w:color="auto"/>
              <w:right w:val="nil"/>
            </w:tcBorders>
          </w:tcPr>
          <w:p w14:paraId="0058AE1F" w14:textId="77777777" w:rsidR="00443002" w:rsidRPr="00C87F2D" w:rsidRDefault="00443002" w:rsidP="00443002">
            <w:pPr>
              <w:spacing w:line="360" w:lineRule="auto"/>
            </w:pPr>
            <w:r w:rsidRPr="00C87F2D">
              <w:t>Seeing others</w:t>
            </w:r>
            <w:r>
              <w:t>’</w:t>
            </w:r>
            <w:r w:rsidRPr="00C87F2D">
              <w:t xml:space="preserve"> bad experiences </w:t>
            </w:r>
          </w:p>
        </w:tc>
        <w:tc>
          <w:tcPr>
            <w:tcW w:w="992" w:type="dxa"/>
            <w:tcBorders>
              <w:top w:val="nil"/>
              <w:left w:val="nil"/>
              <w:bottom w:val="single" w:sz="4" w:space="0" w:color="auto"/>
              <w:right w:val="nil"/>
            </w:tcBorders>
          </w:tcPr>
          <w:p w14:paraId="651C8FC9" w14:textId="77777777" w:rsidR="00443002" w:rsidRPr="000E181C" w:rsidRDefault="00443002" w:rsidP="00443002">
            <w:pPr>
              <w:spacing w:line="360" w:lineRule="auto"/>
              <w:jc w:val="right"/>
              <w:rPr>
                <w:sz w:val="20"/>
              </w:rPr>
            </w:pPr>
            <w:r>
              <w:rPr>
                <w:sz w:val="20"/>
              </w:rPr>
              <w:t xml:space="preserve"> 10 </w:t>
            </w:r>
            <w:r w:rsidRPr="000E181C">
              <w:rPr>
                <w:sz w:val="20"/>
              </w:rPr>
              <w:t>%</w:t>
            </w:r>
          </w:p>
        </w:tc>
        <w:tc>
          <w:tcPr>
            <w:tcW w:w="425" w:type="dxa"/>
            <w:tcBorders>
              <w:top w:val="nil"/>
              <w:left w:val="nil"/>
              <w:bottom w:val="single" w:sz="4" w:space="0" w:color="auto"/>
              <w:right w:val="nil"/>
            </w:tcBorders>
          </w:tcPr>
          <w:p w14:paraId="13C4F887" w14:textId="77777777" w:rsidR="00443002" w:rsidRPr="002A357F" w:rsidRDefault="00443002" w:rsidP="00443002">
            <w:pPr>
              <w:spacing w:line="360" w:lineRule="auto"/>
            </w:pPr>
          </w:p>
        </w:tc>
        <w:tc>
          <w:tcPr>
            <w:tcW w:w="5245" w:type="dxa"/>
            <w:tcBorders>
              <w:top w:val="nil"/>
              <w:left w:val="nil"/>
              <w:bottom w:val="single" w:sz="4" w:space="0" w:color="auto"/>
              <w:right w:val="nil"/>
            </w:tcBorders>
          </w:tcPr>
          <w:p w14:paraId="067F0121" w14:textId="77777777" w:rsidR="00443002" w:rsidRPr="007B2DA1" w:rsidRDefault="00443002" w:rsidP="00443002">
            <w:pPr>
              <w:spacing w:line="360" w:lineRule="auto"/>
              <w:rPr>
                <w:sz w:val="18"/>
                <w:szCs w:val="18"/>
              </w:rPr>
            </w:pPr>
            <w:r>
              <w:rPr>
                <w:sz w:val="18"/>
                <w:szCs w:val="18"/>
              </w:rPr>
              <w:t>[20]</w:t>
            </w:r>
          </w:p>
        </w:tc>
      </w:tr>
      <w:tr w:rsidR="00443002" w:rsidRPr="00A5260C" w14:paraId="0061D8E0" w14:textId="77777777" w:rsidTr="00443002">
        <w:trPr>
          <w:trHeight w:val="136"/>
        </w:trPr>
        <w:tc>
          <w:tcPr>
            <w:tcW w:w="3510" w:type="dxa"/>
            <w:tcBorders>
              <w:top w:val="single" w:sz="4" w:space="0" w:color="auto"/>
              <w:left w:val="nil"/>
              <w:bottom w:val="nil"/>
              <w:right w:val="nil"/>
            </w:tcBorders>
          </w:tcPr>
          <w:p w14:paraId="29CE142C" w14:textId="77777777" w:rsidR="00443002" w:rsidRPr="00A5260C" w:rsidRDefault="00443002" w:rsidP="00443002">
            <w:pPr>
              <w:spacing w:line="360" w:lineRule="auto"/>
              <w:rPr>
                <w:b/>
                <w:sz w:val="6"/>
              </w:rPr>
            </w:pPr>
          </w:p>
        </w:tc>
        <w:tc>
          <w:tcPr>
            <w:tcW w:w="5103" w:type="dxa"/>
            <w:gridSpan w:val="3"/>
            <w:tcBorders>
              <w:top w:val="single" w:sz="4" w:space="0" w:color="auto"/>
              <w:left w:val="nil"/>
              <w:bottom w:val="nil"/>
              <w:right w:val="nil"/>
            </w:tcBorders>
          </w:tcPr>
          <w:p w14:paraId="61E8B599" w14:textId="77777777" w:rsidR="00443002" w:rsidRPr="00A5260C" w:rsidRDefault="00443002" w:rsidP="00443002">
            <w:pPr>
              <w:spacing w:line="360" w:lineRule="auto"/>
              <w:rPr>
                <w:b/>
                <w:sz w:val="6"/>
              </w:rPr>
            </w:pPr>
          </w:p>
        </w:tc>
        <w:tc>
          <w:tcPr>
            <w:tcW w:w="5245" w:type="dxa"/>
            <w:tcBorders>
              <w:top w:val="single" w:sz="4" w:space="0" w:color="auto"/>
              <w:left w:val="nil"/>
              <w:bottom w:val="nil"/>
              <w:right w:val="nil"/>
            </w:tcBorders>
          </w:tcPr>
          <w:p w14:paraId="378B91B7" w14:textId="77777777" w:rsidR="00443002" w:rsidRPr="00A5260C" w:rsidRDefault="00443002" w:rsidP="00443002">
            <w:pPr>
              <w:spacing w:line="360" w:lineRule="auto"/>
              <w:rPr>
                <w:b/>
                <w:sz w:val="6"/>
              </w:rPr>
            </w:pPr>
          </w:p>
        </w:tc>
      </w:tr>
      <w:tr w:rsidR="00443002" w:rsidRPr="006B2C7A" w14:paraId="4E4F9BBC" w14:textId="77777777" w:rsidTr="00443002">
        <w:trPr>
          <w:trHeight w:val="282"/>
        </w:trPr>
        <w:tc>
          <w:tcPr>
            <w:tcW w:w="3510" w:type="dxa"/>
            <w:tcBorders>
              <w:top w:val="nil"/>
              <w:left w:val="nil"/>
              <w:bottom w:val="nil"/>
              <w:right w:val="nil"/>
            </w:tcBorders>
          </w:tcPr>
          <w:p w14:paraId="44C9B01D" w14:textId="77777777" w:rsidR="00443002" w:rsidRDefault="00443002" w:rsidP="00443002">
            <w:pPr>
              <w:spacing w:line="360" w:lineRule="auto"/>
              <w:rPr>
                <w:sz w:val="18"/>
              </w:rPr>
            </w:pPr>
            <w:r w:rsidRPr="007009D3">
              <w:rPr>
                <w:b/>
                <w:szCs w:val="24"/>
              </w:rPr>
              <w:t xml:space="preserve">Unpleasant effects </w:t>
            </w:r>
            <w:r>
              <w:rPr>
                <w:b/>
                <w:szCs w:val="24"/>
              </w:rPr>
              <w:t>60</w:t>
            </w:r>
            <w:r w:rsidRPr="007009D3">
              <w:rPr>
                <w:b/>
                <w:szCs w:val="24"/>
              </w:rPr>
              <w:t xml:space="preserve"> %</w:t>
            </w:r>
          </w:p>
        </w:tc>
        <w:tc>
          <w:tcPr>
            <w:tcW w:w="3686" w:type="dxa"/>
            <w:tcBorders>
              <w:top w:val="nil"/>
              <w:left w:val="nil"/>
              <w:bottom w:val="nil"/>
              <w:right w:val="nil"/>
            </w:tcBorders>
          </w:tcPr>
          <w:p w14:paraId="08761EDC" w14:textId="77777777" w:rsidR="00443002" w:rsidRPr="00C87F2D" w:rsidRDefault="00443002" w:rsidP="00443002">
            <w:pPr>
              <w:spacing w:line="360" w:lineRule="auto"/>
              <w:rPr>
                <w:szCs w:val="24"/>
              </w:rPr>
            </w:pPr>
            <w:r w:rsidRPr="00C87F2D">
              <w:rPr>
                <w:szCs w:val="24"/>
              </w:rPr>
              <w:t>Unpleasant experience</w:t>
            </w:r>
          </w:p>
        </w:tc>
        <w:tc>
          <w:tcPr>
            <w:tcW w:w="992" w:type="dxa"/>
            <w:tcBorders>
              <w:top w:val="nil"/>
              <w:left w:val="nil"/>
              <w:bottom w:val="nil"/>
              <w:right w:val="nil"/>
            </w:tcBorders>
          </w:tcPr>
          <w:p w14:paraId="368A8303" w14:textId="77777777" w:rsidR="00443002" w:rsidRPr="006B2C7A" w:rsidRDefault="00443002" w:rsidP="00443002">
            <w:pPr>
              <w:spacing w:line="360" w:lineRule="auto"/>
              <w:jc w:val="right"/>
              <w:rPr>
                <w:sz w:val="20"/>
              </w:rPr>
            </w:pPr>
            <w:r>
              <w:rPr>
                <w:sz w:val="20"/>
              </w:rPr>
              <w:t xml:space="preserve"> 40 %</w:t>
            </w:r>
          </w:p>
        </w:tc>
        <w:tc>
          <w:tcPr>
            <w:tcW w:w="425" w:type="dxa"/>
            <w:tcBorders>
              <w:top w:val="nil"/>
              <w:left w:val="nil"/>
              <w:bottom w:val="nil"/>
              <w:right w:val="nil"/>
            </w:tcBorders>
          </w:tcPr>
          <w:p w14:paraId="7AD0E08E"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3A4398F4" w14:textId="77777777" w:rsidR="00443002" w:rsidRPr="00E40314" w:rsidRDefault="00443002" w:rsidP="00443002">
            <w:pPr>
              <w:spacing w:line="360" w:lineRule="auto"/>
              <w:rPr>
                <w:sz w:val="18"/>
              </w:rPr>
            </w:pPr>
            <w:r>
              <w:rPr>
                <w:sz w:val="18"/>
              </w:rPr>
              <w:t>[6][18][19][29]</w:t>
            </w:r>
          </w:p>
        </w:tc>
      </w:tr>
      <w:tr w:rsidR="00443002" w:rsidRPr="006B2C7A" w14:paraId="0AC61C24" w14:textId="77777777" w:rsidTr="00443002">
        <w:trPr>
          <w:trHeight w:val="414"/>
        </w:trPr>
        <w:tc>
          <w:tcPr>
            <w:tcW w:w="3510" w:type="dxa"/>
            <w:tcBorders>
              <w:top w:val="nil"/>
              <w:left w:val="nil"/>
              <w:bottom w:val="single" w:sz="4" w:space="0" w:color="auto"/>
              <w:right w:val="nil"/>
            </w:tcBorders>
          </w:tcPr>
          <w:p w14:paraId="5F1665FE" w14:textId="77777777" w:rsidR="00443002" w:rsidRPr="00EC6C51" w:rsidRDefault="00443002" w:rsidP="00443002">
            <w:pPr>
              <w:spacing w:line="360" w:lineRule="auto"/>
              <w:rPr>
                <w:sz w:val="18"/>
              </w:rPr>
            </w:pPr>
          </w:p>
        </w:tc>
        <w:tc>
          <w:tcPr>
            <w:tcW w:w="3686" w:type="dxa"/>
            <w:tcBorders>
              <w:top w:val="nil"/>
              <w:left w:val="nil"/>
              <w:bottom w:val="single" w:sz="4" w:space="0" w:color="auto"/>
              <w:right w:val="nil"/>
            </w:tcBorders>
          </w:tcPr>
          <w:p w14:paraId="7953B449" w14:textId="77777777" w:rsidR="00443002" w:rsidRPr="00C87F2D" w:rsidRDefault="00443002" w:rsidP="00443002">
            <w:pPr>
              <w:spacing w:line="360" w:lineRule="auto"/>
              <w:rPr>
                <w:szCs w:val="24"/>
              </w:rPr>
            </w:pPr>
            <w:r w:rsidRPr="00C87F2D">
              <w:rPr>
                <w:szCs w:val="24"/>
              </w:rPr>
              <w:t xml:space="preserve">More unpleasant than illicit drugs </w:t>
            </w:r>
          </w:p>
        </w:tc>
        <w:tc>
          <w:tcPr>
            <w:tcW w:w="992" w:type="dxa"/>
            <w:tcBorders>
              <w:top w:val="nil"/>
              <w:left w:val="nil"/>
              <w:bottom w:val="single" w:sz="4" w:space="0" w:color="auto"/>
              <w:right w:val="nil"/>
            </w:tcBorders>
          </w:tcPr>
          <w:p w14:paraId="1B384DC2" w14:textId="77777777" w:rsidR="00443002" w:rsidRPr="006B2C7A" w:rsidRDefault="00443002" w:rsidP="00443002">
            <w:pPr>
              <w:spacing w:line="360" w:lineRule="auto"/>
              <w:jc w:val="right"/>
              <w:rPr>
                <w:sz w:val="20"/>
              </w:rPr>
            </w:pPr>
            <w:r>
              <w:rPr>
                <w:sz w:val="20"/>
              </w:rPr>
              <w:t xml:space="preserve"> 20 %</w:t>
            </w:r>
          </w:p>
        </w:tc>
        <w:tc>
          <w:tcPr>
            <w:tcW w:w="425" w:type="dxa"/>
            <w:tcBorders>
              <w:top w:val="nil"/>
              <w:left w:val="nil"/>
              <w:bottom w:val="single" w:sz="4" w:space="0" w:color="auto"/>
              <w:right w:val="nil"/>
            </w:tcBorders>
          </w:tcPr>
          <w:p w14:paraId="5A0BBB0E" w14:textId="77777777" w:rsidR="00443002" w:rsidRPr="006B2C7A" w:rsidRDefault="00443002" w:rsidP="00443002">
            <w:pPr>
              <w:spacing w:line="360" w:lineRule="auto"/>
              <w:rPr>
                <w:sz w:val="20"/>
              </w:rPr>
            </w:pPr>
          </w:p>
        </w:tc>
        <w:tc>
          <w:tcPr>
            <w:tcW w:w="5245" w:type="dxa"/>
            <w:tcBorders>
              <w:top w:val="nil"/>
              <w:left w:val="nil"/>
              <w:bottom w:val="single" w:sz="4" w:space="0" w:color="auto"/>
              <w:right w:val="nil"/>
            </w:tcBorders>
          </w:tcPr>
          <w:p w14:paraId="0F13EF0A" w14:textId="77777777" w:rsidR="00443002" w:rsidRPr="00E40314" w:rsidRDefault="00443002" w:rsidP="00443002">
            <w:pPr>
              <w:spacing w:line="360" w:lineRule="auto"/>
              <w:rPr>
                <w:sz w:val="18"/>
              </w:rPr>
            </w:pPr>
            <w:r>
              <w:rPr>
                <w:sz w:val="18"/>
              </w:rPr>
              <w:t>[1][11]</w:t>
            </w:r>
          </w:p>
        </w:tc>
      </w:tr>
      <w:tr w:rsidR="00443002" w:rsidRPr="00A5260C" w14:paraId="26AEC5EA" w14:textId="77777777" w:rsidTr="00443002">
        <w:trPr>
          <w:trHeight w:val="136"/>
        </w:trPr>
        <w:tc>
          <w:tcPr>
            <w:tcW w:w="3510" w:type="dxa"/>
            <w:tcBorders>
              <w:top w:val="single" w:sz="4" w:space="0" w:color="auto"/>
              <w:left w:val="nil"/>
              <w:bottom w:val="nil"/>
              <w:right w:val="nil"/>
            </w:tcBorders>
          </w:tcPr>
          <w:p w14:paraId="6D324BD2" w14:textId="77777777" w:rsidR="00443002" w:rsidRPr="00A5260C" w:rsidRDefault="00443002" w:rsidP="00443002">
            <w:pPr>
              <w:spacing w:line="360" w:lineRule="auto"/>
              <w:rPr>
                <w:b/>
                <w:sz w:val="6"/>
              </w:rPr>
            </w:pPr>
          </w:p>
        </w:tc>
        <w:tc>
          <w:tcPr>
            <w:tcW w:w="5103" w:type="dxa"/>
            <w:gridSpan w:val="3"/>
            <w:tcBorders>
              <w:top w:val="single" w:sz="4" w:space="0" w:color="auto"/>
              <w:left w:val="nil"/>
              <w:bottom w:val="nil"/>
              <w:right w:val="nil"/>
            </w:tcBorders>
          </w:tcPr>
          <w:p w14:paraId="3D93A0B7" w14:textId="77777777" w:rsidR="00443002" w:rsidRPr="00A5260C" w:rsidRDefault="00443002" w:rsidP="00443002">
            <w:pPr>
              <w:spacing w:line="360" w:lineRule="auto"/>
              <w:rPr>
                <w:b/>
                <w:sz w:val="6"/>
              </w:rPr>
            </w:pPr>
          </w:p>
        </w:tc>
        <w:tc>
          <w:tcPr>
            <w:tcW w:w="5245" w:type="dxa"/>
            <w:tcBorders>
              <w:top w:val="single" w:sz="4" w:space="0" w:color="auto"/>
              <w:left w:val="nil"/>
              <w:bottom w:val="nil"/>
              <w:right w:val="nil"/>
            </w:tcBorders>
          </w:tcPr>
          <w:p w14:paraId="638955D5" w14:textId="77777777" w:rsidR="00443002" w:rsidRPr="00A5260C" w:rsidRDefault="00443002" w:rsidP="00443002">
            <w:pPr>
              <w:spacing w:line="360" w:lineRule="auto"/>
              <w:rPr>
                <w:b/>
                <w:sz w:val="6"/>
              </w:rPr>
            </w:pPr>
          </w:p>
        </w:tc>
      </w:tr>
      <w:tr w:rsidR="00443002" w:rsidRPr="006B2C7A" w14:paraId="2296AEF1" w14:textId="77777777" w:rsidTr="00443002">
        <w:trPr>
          <w:trHeight w:val="282"/>
        </w:trPr>
        <w:tc>
          <w:tcPr>
            <w:tcW w:w="3510" w:type="dxa"/>
            <w:tcBorders>
              <w:top w:val="nil"/>
              <w:left w:val="nil"/>
              <w:bottom w:val="nil"/>
              <w:right w:val="nil"/>
            </w:tcBorders>
          </w:tcPr>
          <w:p w14:paraId="19EB6D50" w14:textId="77777777" w:rsidR="00443002" w:rsidRPr="00DC4CC3" w:rsidRDefault="00443002" w:rsidP="00443002">
            <w:pPr>
              <w:spacing w:line="360" w:lineRule="auto"/>
              <w:rPr>
                <w:b/>
                <w:szCs w:val="24"/>
              </w:rPr>
            </w:pPr>
            <w:r w:rsidRPr="00DC4CC3">
              <w:rPr>
                <w:b/>
                <w:szCs w:val="24"/>
              </w:rPr>
              <w:t xml:space="preserve">Social </w:t>
            </w:r>
            <w:r>
              <w:rPr>
                <w:b/>
                <w:szCs w:val="24"/>
              </w:rPr>
              <w:t>influences</w:t>
            </w:r>
            <w:r w:rsidRPr="00DC4CC3">
              <w:rPr>
                <w:b/>
                <w:szCs w:val="24"/>
              </w:rPr>
              <w:t xml:space="preserve"> </w:t>
            </w:r>
            <w:r>
              <w:rPr>
                <w:b/>
                <w:szCs w:val="24"/>
              </w:rPr>
              <w:t>30</w:t>
            </w:r>
            <w:r w:rsidRPr="00DC4CC3">
              <w:rPr>
                <w:b/>
                <w:szCs w:val="24"/>
              </w:rPr>
              <w:t xml:space="preserve"> %</w:t>
            </w:r>
          </w:p>
        </w:tc>
        <w:tc>
          <w:tcPr>
            <w:tcW w:w="3686" w:type="dxa"/>
            <w:tcBorders>
              <w:top w:val="nil"/>
              <w:left w:val="nil"/>
              <w:bottom w:val="nil"/>
              <w:right w:val="nil"/>
            </w:tcBorders>
          </w:tcPr>
          <w:p w14:paraId="77CD5E97" w14:textId="77777777" w:rsidR="00443002" w:rsidRPr="009F4653" w:rsidRDefault="00443002" w:rsidP="00443002">
            <w:pPr>
              <w:spacing w:line="360" w:lineRule="auto"/>
              <w:rPr>
                <w:szCs w:val="24"/>
              </w:rPr>
            </w:pPr>
            <w:r>
              <w:rPr>
                <w:szCs w:val="24"/>
              </w:rPr>
              <w:t>Family responsibilities</w:t>
            </w:r>
          </w:p>
        </w:tc>
        <w:tc>
          <w:tcPr>
            <w:tcW w:w="992" w:type="dxa"/>
            <w:tcBorders>
              <w:top w:val="nil"/>
              <w:left w:val="nil"/>
              <w:bottom w:val="nil"/>
              <w:right w:val="nil"/>
            </w:tcBorders>
          </w:tcPr>
          <w:p w14:paraId="1CB2C077" w14:textId="77777777" w:rsidR="00443002" w:rsidRPr="006B2C7A" w:rsidRDefault="00443002" w:rsidP="00443002">
            <w:pPr>
              <w:spacing w:line="360" w:lineRule="auto"/>
              <w:jc w:val="right"/>
              <w:rPr>
                <w:sz w:val="20"/>
              </w:rPr>
            </w:pPr>
            <w:r>
              <w:rPr>
                <w:sz w:val="20"/>
              </w:rPr>
              <w:t xml:space="preserve"> 10 %</w:t>
            </w:r>
          </w:p>
        </w:tc>
        <w:tc>
          <w:tcPr>
            <w:tcW w:w="425" w:type="dxa"/>
            <w:tcBorders>
              <w:top w:val="nil"/>
              <w:left w:val="nil"/>
              <w:bottom w:val="nil"/>
              <w:right w:val="nil"/>
            </w:tcBorders>
          </w:tcPr>
          <w:p w14:paraId="108E6794"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42286425" w14:textId="77777777" w:rsidR="00443002" w:rsidRPr="00E40314" w:rsidRDefault="00443002" w:rsidP="00443002">
            <w:pPr>
              <w:spacing w:line="360" w:lineRule="auto"/>
              <w:rPr>
                <w:sz w:val="18"/>
              </w:rPr>
            </w:pPr>
            <w:r>
              <w:rPr>
                <w:sz w:val="18"/>
              </w:rPr>
              <w:t>[19]</w:t>
            </w:r>
          </w:p>
        </w:tc>
      </w:tr>
      <w:tr w:rsidR="00443002" w:rsidRPr="006B2C7A" w14:paraId="28DADEE5" w14:textId="77777777" w:rsidTr="00443002">
        <w:trPr>
          <w:trHeight w:val="282"/>
        </w:trPr>
        <w:tc>
          <w:tcPr>
            <w:tcW w:w="3510" w:type="dxa"/>
            <w:tcBorders>
              <w:top w:val="nil"/>
              <w:left w:val="nil"/>
              <w:bottom w:val="nil"/>
              <w:right w:val="nil"/>
            </w:tcBorders>
          </w:tcPr>
          <w:p w14:paraId="09C222AE" w14:textId="77777777" w:rsidR="00443002" w:rsidRPr="00DC4CC3" w:rsidRDefault="00443002" w:rsidP="00443002">
            <w:pPr>
              <w:spacing w:line="360" w:lineRule="auto"/>
              <w:rPr>
                <w:b/>
                <w:szCs w:val="24"/>
              </w:rPr>
            </w:pPr>
          </w:p>
        </w:tc>
        <w:tc>
          <w:tcPr>
            <w:tcW w:w="3686" w:type="dxa"/>
            <w:tcBorders>
              <w:top w:val="nil"/>
              <w:left w:val="nil"/>
              <w:bottom w:val="nil"/>
              <w:right w:val="nil"/>
            </w:tcBorders>
          </w:tcPr>
          <w:p w14:paraId="77B9197E" w14:textId="77777777" w:rsidR="00443002" w:rsidRDefault="00443002" w:rsidP="00443002">
            <w:pPr>
              <w:spacing w:line="360" w:lineRule="auto"/>
              <w:rPr>
                <w:szCs w:val="24"/>
              </w:rPr>
            </w:pPr>
            <w:r>
              <w:rPr>
                <w:szCs w:val="24"/>
              </w:rPr>
              <w:t>Negative social interactions</w:t>
            </w:r>
          </w:p>
        </w:tc>
        <w:tc>
          <w:tcPr>
            <w:tcW w:w="992" w:type="dxa"/>
            <w:tcBorders>
              <w:top w:val="nil"/>
              <w:left w:val="nil"/>
              <w:bottom w:val="nil"/>
              <w:right w:val="nil"/>
            </w:tcBorders>
          </w:tcPr>
          <w:p w14:paraId="1313DE07" w14:textId="77777777" w:rsidR="00443002" w:rsidRDefault="00443002" w:rsidP="00443002">
            <w:pPr>
              <w:spacing w:line="360" w:lineRule="auto"/>
              <w:jc w:val="right"/>
              <w:rPr>
                <w:sz w:val="20"/>
              </w:rPr>
            </w:pPr>
            <w:r>
              <w:rPr>
                <w:sz w:val="20"/>
              </w:rPr>
              <w:t xml:space="preserve"> 10 %</w:t>
            </w:r>
          </w:p>
        </w:tc>
        <w:tc>
          <w:tcPr>
            <w:tcW w:w="425" w:type="dxa"/>
            <w:tcBorders>
              <w:top w:val="nil"/>
              <w:left w:val="nil"/>
              <w:bottom w:val="nil"/>
              <w:right w:val="nil"/>
            </w:tcBorders>
          </w:tcPr>
          <w:p w14:paraId="7C3971B4"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42CC0B50" w14:textId="77777777" w:rsidR="00443002" w:rsidRDefault="00443002" w:rsidP="00443002">
            <w:pPr>
              <w:spacing w:line="360" w:lineRule="auto"/>
              <w:rPr>
                <w:sz w:val="18"/>
              </w:rPr>
            </w:pPr>
            <w:r>
              <w:rPr>
                <w:sz w:val="18"/>
              </w:rPr>
              <w:t>[29]</w:t>
            </w:r>
          </w:p>
        </w:tc>
      </w:tr>
      <w:tr w:rsidR="00443002" w:rsidRPr="006B2C7A" w14:paraId="6106FE9D" w14:textId="77777777" w:rsidTr="00443002">
        <w:trPr>
          <w:trHeight w:val="414"/>
        </w:trPr>
        <w:tc>
          <w:tcPr>
            <w:tcW w:w="3510" w:type="dxa"/>
            <w:tcBorders>
              <w:top w:val="nil"/>
              <w:left w:val="nil"/>
              <w:bottom w:val="single" w:sz="4" w:space="0" w:color="auto"/>
              <w:right w:val="nil"/>
            </w:tcBorders>
          </w:tcPr>
          <w:p w14:paraId="6FA5C111" w14:textId="77777777" w:rsidR="00443002" w:rsidRPr="00EC6C51" w:rsidRDefault="00443002" w:rsidP="00443002">
            <w:pPr>
              <w:spacing w:line="360" w:lineRule="auto"/>
              <w:rPr>
                <w:sz w:val="18"/>
              </w:rPr>
            </w:pPr>
          </w:p>
        </w:tc>
        <w:tc>
          <w:tcPr>
            <w:tcW w:w="3686" w:type="dxa"/>
            <w:tcBorders>
              <w:top w:val="nil"/>
              <w:left w:val="nil"/>
              <w:bottom w:val="single" w:sz="4" w:space="0" w:color="auto"/>
              <w:right w:val="nil"/>
            </w:tcBorders>
          </w:tcPr>
          <w:p w14:paraId="44ECAD20" w14:textId="77777777" w:rsidR="00443002" w:rsidRPr="009F4653" w:rsidRDefault="00443002" w:rsidP="00443002">
            <w:pPr>
              <w:spacing w:line="360" w:lineRule="auto"/>
              <w:rPr>
                <w:szCs w:val="24"/>
              </w:rPr>
            </w:pPr>
            <w:r>
              <w:rPr>
                <w:szCs w:val="24"/>
              </w:rPr>
              <w:t>Taking NPS is uncool</w:t>
            </w:r>
          </w:p>
        </w:tc>
        <w:tc>
          <w:tcPr>
            <w:tcW w:w="992" w:type="dxa"/>
            <w:tcBorders>
              <w:top w:val="nil"/>
              <w:left w:val="nil"/>
              <w:bottom w:val="single" w:sz="4" w:space="0" w:color="auto"/>
              <w:right w:val="nil"/>
            </w:tcBorders>
          </w:tcPr>
          <w:p w14:paraId="46BA7985" w14:textId="77777777" w:rsidR="00443002" w:rsidRPr="006B2C7A" w:rsidRDefault="00443002" w:rsidP="00443002">
            <w:pPr>
              <w:spacing w:line="360" w:lineRule="auto"/>
              <w:jc w:val="right"/>
              <w:rPr>
                <w:sz w:val="20"/>
              </w:rPr>
            </w:pPr>
            <w:r>
              <w:rPr>
                <w:sz w:val="20"/>
              </w:rPr>
              <w:t xml:space="preserve"> 10 %</w:t>
            </w:r>
          </w:p>
        </w:tc>
        <w:tc>
          <w:tcPr>
            <w:tcW w:w="425" w:type="dxa"/>
            <w:tcBorders>
              <w:top w:val="nil"/>
              <w:left w:val="nil"/>
              <w:bottom w:val="single" w:sz="4" w:space="0" w:color="auto"/>
              <w:right w:val="nil"/>
            </w:tcBorders>
          </w:tcPr>
          <w:p w14:paraId="7AD4B56F" w14:textId="77777777" w:rsidR="00443002" w:rsidRPr="006B2C7A" w:rsidRDefault="00443002" w:rsidP="00443002">
            <w:pPr>
              <w:spacing w:line="360" w:lineRule="auto"/>
              <w:rPr>
                <w:sz w:val="20"/>
              </w:rPr>
            </w:pPr>
          </w:p>
        </w:tc>
        <w:tc>
          <w:tcPr>
            <w:tcW w:w="5245" w:type="dxa"/>
            <w:tcBorders>
              <w:top w:val="nil"/>
              <w:left w:val="nil"/>
              <w:bottom w:val="single" w:sz="4" w:space="0" w:color="auto"/>
              <w:right w:val="nil"/>
            </w:tcBorders>
          </w:tcPr>
          <w:p w14:paraId="4D416686" w14:textId="77777777" w:rsidR="00443002" w:rsidRPr="00E40314" w:rsidRDefault="00443002" w:rsidP="00443002">
            <w:pPr>
              <w:spacing w:line="360" w:lineRule="auto"/>
              <w:rPr>
                <w:sz w:val="18"/>
              </w:rPr>
            </w:pPr>
            <w:r>
              <w:rPr>
                <w:sz w:val="18"/>
              </w:rPr>
              <w:t>[6]</w:t>
            </w:r>
          </w:p>
        </w:tc>
      </w:tr>
      <w:tr w:rsidR="00443002" w:rsidRPr="00A5260C" w14:paraId="2B59889D" w14:textId="77777777" w:rsidTr="00443002">
        <w:trPr>
          <w:trHeight w:val="136"/>
        </w:trPr>
        <w:tc>
          <w:tcPr>
            <w:tcW w:w="3510" w:type="dxa"/>
            <w:tcBorders>
              <w:top w:val="single" w:sz="4" w:space="0" w:color="auto"/>
              <w:left w:val="nil"/>
              <w:bottom w:val="nil"/>
              <w:right w:val="nil"/>
            </w:tcBorders>
          </w:tcPr>
          <w:p w14:paraId="6462C85D" w14:textId="77777777" w:rsidR="00443002" w:rsidRPr="00A5260C" w:rsidRDefault="00443002" w:rsidP="00443002">
            <w:pPr>
              <w:spacing w:line="360" w:lineRule="auto"/>
              <w:rPr>
                <w:b/>
                <w:sz w:val="6"/>
              </w:rPr>
            </w:pPr>
          </w:p>
        </w:tc>
        <w:tc>
          <w:tcPr>
            <w:tcW w:w="5103" w:type="dxa"/>
            <w:gridSpan w:val="3"/>
            <w:tcBorders>
              <w:top w:val="single" w:sz="4" w:space="0" w:color="auto"/>
              <w:left w:val="nil"/>
              <w:bottom w:val="nil"/>
              <w:right w:val="nil"/>
            </w:tcBorders>
          </w:tcPr>
          <w:p w14:paraId="3CAD973D" w14:textId="77777777" w:rsidR="00443002" w:rsidRPr="00A5260C" w:rsidRDefault="00443002" w:rsidP="00443002">
            <w:pPr>
              <w:spacing w:line="360" w:lineRule="auto"/>
              <w:rPr>
                <w:b/>
                <w:sz w:val="6"/>
              </w:rPr>
            </w:pPr>
          </w:p>
        </w:tc>
        <w:tc>
          <w:tcPr>
            <w:tcW w:w="5245" w:type="dxa"/>
            <w:tcBorders>
              <w:top w:val="single" w:sz="4" w:space="0" w:color="auto"/>
              <w:left w:val="nil"/>
              <w:bottom w:val="nil"/>
              <w:right w:val="nil"/>
            </w:tcBorders>
          </w:tcPr>
          <w:p w14:paraId="6A8FD7DF" w14:textId="77777777" w:rsidR="00443002" w:rsidRPr="00A5260C" w:rsidRDefault="00443002" w:rsidP="00443002">
            <w:pPr>
              <w:spacing w:line="360" w:lineRule="auto"/>
              <w:rPr>
                <w:b/>
                <w:sz w:val="6"/>
              </w:rPr>
            </w:pPr>
          </w:p>
        </w:tc>
      </w:tr>
      <w:tr w:rsidR="00443002" w:rsidRPr="006B2C7A" w14:paraId="15C8D890" w14:textId="77777777" w:rsidTr="00443002">
        <w:trPr>
          <w:trHeight w:val="282"/>
        </w:trPr>
        <w:tc>
          <w:tcPr>
            <w:tcW w:w="3510" w:type="dxa"/>
            <w:tcBorders>
              <w:top w:val="nil"/>
              <w:left w:val="nil"/>
              <w:bottom w:val="nil"/>
              <w:right w:val="nil"/>
            </w:tcBorders>
          </w:tcPr>
          <w:p w14:paraId="24DAB984" w14:textId="77777777" w:rsidR="00443002" w:rsidRPr="00DC4CC3" w:rsidRDefault="00443002" w:rsidP="00443002">
            <w:pPr>
              <w:spacing w:line="360" w:lineRule="auto"/>
              <w:rPr>
                <w:b/>
                <w:szCs w:val="24"/>
              </w:rPr>
            </w:pPr>
            <w:r>
              <w:rPr>
                <w:b/>
                <w:szCs w:val="24"/>
              </w:rPr>
              <w:t>Substitution</w:t>
            </w:r>
            <w:r w:rsidRPr="00DC4CC3">
              <w:rPr>
                <w:b/>
                <w:szCs w:val="24"/>
              </w:rPr>
              <w:t xml:space="preserve"> </w:t>
            </w:r>
            <w:r>
              <w:rPr>
                <w:b/>
                <w:szCs w:val="24"/>
              </w:rPr>
              <w:t>30</w:t>
            </w:r>
            <w:r w:rsidRPr="00DC4CC3">
              <w:rPr>
                <w:b/>
                <w:szCs w:val="24"/>
              </w:rPr>
              <w:t xml:space="preserve"> %</w:t>
            </w:r>
          </w:p>
        </w:tc>
        <w:tc>
          <w:tcPr>
            <w:tcW w:w="3686" w:type="dxa"/>
            <w:tcBorders>
              <w:top w:val="nil"/>
              <w:left w:val="nil"/>
              <w:bottom w:val="nil"/>
              <w:right w:val="nil"/>
            </w:tcBorders>
          </w:tcPr>
          <w:p w14:paraId="760BC58E" w14:textId="77777777" w:rsidR="00443002" w:rsidRPr="009F4653" w:rsidRDefault="00443002" w:rsidP="00443002">
            <w:pPr>
              <w:spacing w:line="360" w:lineRule="auto"/>
              <w:rPr>
                <w:szCs w:val="24"/>
              </w:rPr>
            </w:pPr>
            <w:r w:rsidRPr="00C87F2D">
              <w:t xml:space="preserve">More dangerous than illicit drugs </w:t>
            </w:r>
          </w:p>
        </w:tc>
        <w:tc>
          <w:tcPr>
            <w:tcW w:w="992" w:type="dxa"/>
            <w:tcBorders>
              <w:top w:val="nil"/>
              <w:left w:val="nil"/>
              <w:bottom w:val="nil"/>
              <w:right w:val="nil"/>
            </w:tcBorders>
          </w:tcPr>
          <w:p w14:paraId="3CA6D92A" w14:textId="77777777" w:rsidR="00443002" w:rsidRPr="006B2C7A" w:rsidRDefault="00443002" w:rsidP="00443002">
            <w:pPr>
              <w:spacing w:line="360" w:lineRule="auto"/>
              <w:jc w:val="right"/>
              <w:rPr>
                <w:sz w:val="20"/>
              </w:rPr>
            </w:pPr>
            <w:r>
              <w:rPr>
                <w:sz w:val="20"/>
              </w:rPr>
              <w:t xml:space="preserve"> 9 </w:t>
            </w:r>
            <w:r w:rsidRPr="000E181C">
              <w:rPr>
                <w:sz w:val="20"/>
              </w:rPr>
              <w:t>%</w:t>
            </w:r>
          </w:p>
        </w:tc>
        <w:tc>
          <w:tcPr>
            <w:tcW w:w="425" w:type="dxa"/>
            <w:tcBorders>
              <w:top w:val="nil"/>
              <w:left w:val="nil"/>
              <w:bottom w:val="nil"/>
              <w:right w:val="nil"/>
            </w:tcBorders>
          </w:tcPr>
          <w:p w14:paraId="67E5EE68"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7AF7F6ED" w14:textId="77777777" w:rsidR="00443002" w:rsidRPr="00E40314" w:rsidRDefault="00443002" w:rsidP="00443002">
            <w:pPr>
              <w:spacing w:line="360" w:lineRule="auto"/>
              <w:rPr>
                <w:sz w:val="18"/>
              </w:rPr>
            </w:pPr>
            <w:r>
              <w:rPr>
                <w:sz w:val="18"/>
                <w:szCs w:val="18"/>
              </w:rPr>
              <w:t>[7]</w:t>
            </w:r>
          </w:p>
        </w:tc>
      </w:tr>
      <w:tr w:rsidR="00443002" w:rsidRPr="006B2C7A" w14:paraId="3A2D6098" w14:textId="77777777" w:rsidTr="00443002">
        <w:trPr>
          <w:trHeight w:val="414"/>
        </w:trPr>
        <w:tc>
          <w:tcPr>
            <w:tcW w:w="3510" w:type="dxa"/>
            <w:tcBorders>
              <w:top w:val="nil"/>
              <w:left w:val="nil"/>
              <w:bottom w:val="single" w:sz="4" w:space="0" w:color="auto"/>
              <w:right w:val="nil"/>
            </w:tcBorders>
          </w:tcPr>
          <w:p w14:paraId="5528C688" w14:textId="77777777" w:rsidR="00443002" w:rsidRPr="00EC6C51" w:rsidRDefault="00443002" w:rsidP="00443002">
            <w:pPr>
              <w:spacing w:line="360" w:lineRule="auto"/>
              <w:rPr>
                <w:sz w:val="18"/>
              </w:rPr>
            </w:pPr>
          </w:p>
        </w:tc>
        <w:tc>
          <w:tcPr>
            <w:tcW w:w="3686" w:type="dxa"/>
            <w:tcBorders>
              <w:top w:val="nil"/>
              <w:left w:val="nil"/>
              <w:bottom w:val="single" w:sz="4" w:space="0" w:color="auto"/>
              <w:right w:val="nil"/>
            </w:tcBorders>
          </w:tcPr>
          <w:p w14:paraId="18552E6B" w14:textId="77777777" w:rsidR="00443002" w:rsidRPr="009F4653" w:rsidRDefault="00443002" w:rsidP="00443002">
            <w:pPr>
              <w:spacing w:line="360" w:lineRule="auto"/>
              <w:rPr>
                <w:szCs w:val="24"/>
              </w:rPr>
            </w:pPr>
            <w:r w:rsidRPr="00C87F2D">
              <w:rPr>
                <w:szCs w:val="24"/>
              </w:rPr>
              <w:t xml:space="preserve">More unpleasant than illicit drugs </w:t>
            </w:r>
          </w:p>
        </w:tc>
        <w:tc>
          <w:tcPr>
            <w:tcW w:w="992" w:type="dxa"/>
            <w:tcBorders>
              <w:top w:val="nil"/>
              <w:left w:val="nil"/>
              <w:bottom w:val="single" w:sz="4" w:space="0" w:color="auto"/>
              <w:right w:val="nil"/>
            </w:tcBorders>
          </w:tcPr>
          <w:p w14:paraId="16E27EA3" w14:textId="77777777" w:rsidR="00443002" w:rsidRPr="006B2C7A" w:rsidRDefault="00443002" w:rsidP="00443002">
            <w:pPr>
              <w:spacing w:line="360" w:lineRule="auto"/>
              <w:jc w:val="right"/>
              <w:rPr>
                <w:sz w:val="20"/>
              </w:rPr>
            </w:pPr>
            <w:r>
              <w:rPr>
                <w:sz w:val="20"/>
              </w:rPr>
              <w:t xml:space="preserve"> 18 %</w:t>
            </w:r>
          </w:p>
        </w:tc>
        <w:tc>
          <w:tcPr>
            <w:tcW w:w="425" w:type="dxa"/>
            <w:tcBorders>
              <w:top w:val="nil"/>
              <w:left w:val="nil"/>
              <w:bottom w:val="single" w:sz="4" w:space="0" w:color="auto"/>
              <w:right w:val="nil"/>
            </w:tcBorders>
          </w:tcPr>
          <w:p w14:paraId="0A20FCCC" w14:textId="77777777" w:rsidR="00443002" w:rsidRPr="006B2C7A" w:rsidRDefault="00443002" w:rsidP="00443002">
            <w:pPr>
              <w:spacing w:line="360" w:lineRule="auto"/>
              <w:rPr>
                <w:sz w:val="20"/>
              </w:rPr>
            </w:pPr>
          </w:p>
        </w:tc>
        <w:tc>
          <w:tcPr>
            <w:tcW w:w="5245" w:type="dxa"/>
            <w:tcBorders>
              <w:top w:val="nil"/>
              <w:left w:val="nil"/>
              <w:bottom w:val="single" w:sz="4" w:space="0" w:color="auto"/>
              <w:right w:val="nil"/>
            </w:tcBorders>
          </w:tcPr>
          <w:p w14:paraId="2E8EDFD3" w14:textId="77777777" w:rsidR="00443002" w:rsidRPr="00E40314" w:rsidRDefault="00443002" w:rsidP="00443002">
            <w:pPr>
              <w:spacing w:line="360" w:lineRule="auto"/>
              <w:rPr>
                <w:sz w:val="18"/>
              </w:rPr>
            </w:pPr>
            <w:r>
              <w:rPr>
                <w:sz w:val="18"/>
              </w:rPr>
              <w:t>[1][11]</w:t>
            </w:r>
          </w:p>
        </w:tc>
      </w:tr>
      <w:tr w:rsidR="00443002" w:rsidRPr="00A5260C" w14:paraId="1F5D8CD7" w14:textId="77777777" w:rsidTr="00443002">
        <w:trPr>
          <w:trHeight w:val="136"/>
        </w:trPr>
        <w:tc>
          <w:tcPr>
            <w:tcW w:w="3510" w:type="dxa"/>
            <w:tcBorders>
              <w:top w:val="single" w:sz="4" w:space="0" w:color="auto"/>
              <w:left w:val="nil"/>
              <w:bottom w:val="nil"/>
              <w:right w:val="nil"/>
            </w:tcBorders>
          </w:tcPr>
          <w:p w14:paraId="79DF70DF" w14:textId="77777777" w:rsidR="00443002" w:rsidRPr="00A5260C" w:rsidRDefault="00443002" w:rsidP="00443002">
            <w:pPr>
              <w:spacing w:line="360" w:lineRule="auto"/>
              <w:rPr>
                <w:b/>
                <w:sz w:val="6"/>
              </w:rPr>
            </w:pPr>
          </w:p>
        </w:tc>
        <w:tc>
          <w:tcPr>
            <w:tcW w:w="5103" w:type="dxa"/>
            <w:gridSpan w:val="3"/>
            <w:tcBorders>
              <w:top w:val="single" w:sz="4" w:space="0" w:color="auto"/>
              <w:left w:val="nil"/>
              <w:bottom w:val="nil"/>
              <w:right w:val="nil"/>
            </w:tcBorders>
          </w:tcPr>
          <w:p w14:paraId="0BFA0A0F" w14:textId="77777777" w:rsidR="00443002" w:rsidRPr="00A5260C" w:rsidRDefault="00443002" w:rsidP="00443002">
            <w:pPr>
              <w:spacing w:line="360" w:lineRule="auto"/>
              <w:rPr>
                <w:b/>
                <w:sz w:val="6"/>
              </w:rPr>
            </w:pPr>
          </w:p>
        </w:tc>
        <w:tc>
          <w:tcPr>
            <w:tcW w:w="5245" w:type="dxa"/>
            <w:tcBorders>
              <w:top w:val="single" w:sz="4" w:space="0" w:color="auto"/>
              <w:left w:val="nil"/>
              <w:bottom w:val="nil"/>
              <w:right w:val="nil"/>
            </w:tcBorders>
          </w:tcPr>
          <w:p w14:paraId="12609C6C" w14:textId="77777777" w:rsidR="00443002" w:rsidRPr="00A5260C" w:rsidRDefault="00443002" w:rsidP="00443002">
            <w:pPr>
              <w:spacing w:line="360" w:lineRule="auto"/>
              <w:rPr>
                <w:b/>
                <w:sz w:val="6"/>
              </w:rPr>
            </w:pPr>
          </w:p>
        </w:tc>
      </w:tr>
      <w:tr w:rsidR="00443002" w:rsidRPr="006B2C7A" w14:paraId="6771143B" w14:textId="77777777" w:rsidTr="00443002">
        <w:trPr>
          <w:trHeight w:val="282"/>
        </w:trPr>
        <w:tc>
          <w:tcPr>
            <w:tcW w:w="3510" w:type="dxa"/>
            <w:tcBorders>
              <w:top w:val="nil"/>
              <w:left w:val="nil"/>
              <w:bottom w:val="nil"/>
              <w:right w:val="nil"/>
            </w:tcBorders>
          </w:tcPr>
          <w:p w14:paraId="62F0D105" w14:textId="77777777" w:rsidR="00443002" w:rsidRPr="00DC4CC3" w:rsidRDefault="00443002" w:rsidP="00443002">
            <w:pPr>
              <w:spacing w:line="360" w:lineRule="auto"/>
              <w:rPr>
                <w:b/>
                <w:szCs w:val="24"/>
              </w:rPr>
            </w:pPr>
            <w:r w:rsidRPr="00DC4CC3">
              <w:rPr>
                <w:b/>
                <w:szCs w:val="24"/>
              </w:rPr>
              <w:t xml:space="preserve">Accessibility </w:t>
            </w:r>
            <w:r>
              <w:rPr>
                <w:b/>
                <w:szCs w:val="24"/>
              </w:rPr>
              <w:t>20</w:t>
            </w:r>
            <w:r w:rsidRPr="00DC4CC3">
              <w:rPr>
                <w:b/>
                <w:szCs w:val="24"/>
              </w:rPr>
              <w:t xml:space="preserve"> %</w:t>
            </w:r>
          </w:p>
        </w:tc>
        <w:tc>
          <w:tcPr>
            <w:tcW w:w="3686" w:type="dxa"/>
            <w:tcBorders>
              <w:top w:val="nil"/>
              <w:left w:val="nil"/>
              <w:bottom w:val="nil"/>
              <w:right w:val="nil"/>
            </w:tcBorders>
          </w:tcPr>
          <w:p w14:paraId="4B8FA081" w14:textId="1649C86D" w:rsidR="00443002" w:rsidRPr="009F4653" w:rsidRDefault="00443002" w:rsidP="00443002">
            <w:pPr>
              <w:spacing w:line="360" w:lineRule="auto"/>
              <w:rPr>
                <w:szCs w:val="24"/>
              </w:rPr>
            </w:pPr>
            <w:r>
              <w:rPr>
                <w:szCs w:val="24"/>
              </w:rPr>
              <w:t xml:space="preserve">Not wanting to use </w:t>
            </w:r>
            <w:r w:rsidR="00A868BB">
              <w:rPr>
                <w:szCs w:val="24"/>
              </w:rPr>
              <w:t xml:space="preserve">a </w:t>
            </w:r>
            <w:r>
              <w:rPr>
                <w:szCs w:val="24"/>
              </w:rPr>
              <w:t>dealer</w:t>
            </w:r>
          </w:p>
        </w:tc>
        <w:tc>
          <w:tcPr>
            <w:tcW w:w="992" w:type="dxa"/>
            <w:tcBorders>
              <w:top w:val="nil"/>
              <w:left w:val="nil"/>
              <w:bottom w:val="nil"/>
              <w:right w:val="nil"/>
            </w:tcBorders>
          </w:tcPr>
          <w:p w14:paraId="600D6016" w14:textId="77777777" w:rsidR="00443002" w:rsidRPr="006B2C7A" w:rsidRDefault="00443002" w:rsidP="00443002">
            <w:pPr>
              <w:spacing w:line="360" w:lineRule="auto"/>
              <w:jc w:val="right"/>
              <w:rPr>
                <w:sz w:val="20"/>
              </w:rPr>
            </w:pPr>
            <w:r>
              <w:rPr>
                <w:sz w:val="20"/>
              </w:rPr>
              <w:t xml:space="preserve"> 9 %</w:t>
            </w:r>
          </w:p>
        </w:tc>
        <w:tc>
          <w:tcPr>
            <w:tcW w:w="425" w:type="dxa"/>
            <w:tcBorders>
              <w:top w:val="nil"/>
              <w:left w:val="nil"/>
              <w:bottom w:val="nil"/>
              <w:right w:val="nil"/>
            </w:tcBorders>
          </w:tcPr>
          <w:p w14:paraId="7C2C030E"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3F7E32D6" w14:textId="77777777" w:rsidR="00443002" w:rsidRPr="00E40314" w:rsidRDefault="00443002" w:rsidP="00443002">
            <w:pPr>
              <w:spacing w:line="360" w:lineRule="auto"/>
              <w:rPr>
                <w:sz w:val="18"/>
              </w:rPr>
            </w:pPr>
            <w:r>
              <w:rPr>
                <w:sz w:val="18"/>
              </w:rPr>
              <w:t>[14]</w:t>
            </w:r>
          </w:p>
        </w:tc>
      </w:tr>
      <w:tr w:rsidR="00443002" w:rsidRPr="006B2C7A" w14:paraId="75A70137" w14:textId="77777777" w:rsidTr="00443002">
        <w:trPr>
          <w:trHeight w:val="282"/>
        </w:trPr>
        <w:tc>
          <w:tcPr>
            <w:tcW w:w="3510" w:type="dxa"/>
            <w:tcBorders>
              <w:top w:val="nil"/>
              <w:left w:val="nil"/>
              <w:bottom w:val="nil"/>
              <w:right w:val="nil"/>
            </w:tcBorders>
          </w:tcPr>
          <w:p w14:paraId="78220920" w14:textId="77777777" w:rsidR="00443002" w:rsidRPr="00DC4CC3" w:rsidRDefault="00443002" w:rsidP="00443002">
            <w:pPr>
              <w:spacing w:line="360" w:lineRule="auto"/>
              <w:rPr>
                <w:b/>
                <w:szCs w:val="24"/>
              </w:rPr>
            </w:pPr>
          </w:p>
        </w:tc>
        <w:tc>
          <w:tcPr>
            <w:tcW w:w="3686" w:type="dxa"/>
            <w:tcBorders>
              <w:top w:val="nil"/>
              <w:left w:val="nil"/>
              <w:bottom w:val="nil"/>
              <w:right w:val="nil"/>
            </w:tcBorders>
          </w:tcPr>
          <w:p w14:paraId="4CC50DD4" w14:textId="77777777" w:rsidR="00443002" w:rsidRDefault="00443002" w:rsidP="00443002">
            <w:pPr>
              <w:spacing w:line="360" w:lineRule="auto"/>
              <w:rPr>
                <w:szCs w:val="24"/>
              </w:rPr>
            </w:pPr>
            <w:r>
              <w:rPr>
                <w:szCs w:val="24"/>
              </w:rPr>
              <w:t xml:space="preserve">Unavailable </w:t>
            </w:r>
          </w:p>
        </w:tc>
        <w:tc>
          <w:tcPr>
            <w:tcW w:w="992" w:type="dxa"/>
            <w:tcBorders>
              <w:top w:val="nil"/>
              <w:left w:val="nil"/>
              <w:bottom w:val="nil"/>
              <w:right w:val="nil"/>
            </w:tcBorders>
          </w:tcPr>
          <w:p w14:paraId="3EB06BF0" w14:textId="77777777" w:rsidR="00443002" w:rsidRDefault="00443002" w:rsidP="00443002">
            <w:pPr>
              <w:spacing w:line="360" w:lineRule="auto"/>
              <w:jc w:val="right"/>
              <w:rPr>
                <w:sz w:val="20"/>
              </w:rPr>
            </w:pPr>
            <w:r>
              <w:rPr>
                <w:sz w:val="20"/>
              </w:rPr>
              <w:t xml:space="preserve"> 9 %</w:t>
            </w:r>
          </w:p>
        </w:tc>
        <w:tc>
          <w:tcPr>
            <w:tcW w:w="425" w:type="dxa"/>
            <w:tcBorders>
              <w:top w:val="nil"/>
              <w:left w:val="nil"/>
              <w:bottom w:val="nil"/>
              <w:right w:val="nil"/>
            </w:tcBorders>
          </w:tcPr>
          <w:p w14:paraId="11299B93" w14:textId="77777777" w:rsidR="00443002" w:rsidRPr="006B2C7A" w:rsidRDefault="00443002" w:rsidP="00443002">
            <w:pPr>
              <w:spacing w:line="360" w:lineRule="auto"/>
              <w:rPr>
                <w:sz w:val="20"/>
              </w:rPr>
            </w:pPr>
          </w:p>
        </w:tc>
        <w:tc>
          <w:tcPr>
            <w:tcW w:w="5245" w:type="dxa"/>
            <w:tcBorders>
              <w:top w:val="nil"/>
              <w:left w:val="nil"/>
              <w:bottom w:val="nil"/>
              <w:right w:val="nil"/>
            </w:tcBorders>
          </w:tcPr>
          <w:p w14:paraId="04421186" w14:textId="77777777" w:rsidR="00443002" w:rsidRDefault="00443002" w:rsidP="00443002">
            <w:pPr>
              <w:spacing w:line="360" w:lineRule="auto"/>
              <w:rPr>
                <w:sz w:val="18"/>
              </w:rPr>
            </w:pPr>
            <w:r>
              <w:rPr>
                <w:sz w:val="18"/>
              </w:rPr>
              <w:t>[19]</w:t>
            </w:r>
          </w:p>
        </w:tc>
      </w:tr>
      <w:tr w:rsidR="00443002" w:rsidRPr="00A5260C" w14:paraId="6CB368A7" w14:textId="77777777" w:rsidTr="00443002">
        <w:trPr>
          <w:trHeight w:val="136"/>
        </w:trPr>
        <w:tc>
          <w:tcPr>
            <w:tcW w:w="3510" w:type="dxa"/>
            <w:tcBorders>
              <w:top w:val="single" w:sz="4" w:space="0" w:color="auto"/>
              <w:left w:val="nil"/>
              <w:bottom w:val="nil"/>
              <w:right w:val="nil"/>
            </w:tcBorders>
          </w:tcPr>
          <w:p w14:paraId="22E69C62" w14:textId="77777777" w:rsidR="00443002" w:rsidRPr="00A5260C" w:rsidRDefault="00443002" w:rsidP="00443002">
            <w:pPr>
              <w:spacing w:line="360" w:lineRule="auto"/>
              <w:rPr>
                <w:b/>
                <w:sz w:val="6"/>
              </w:rPr>
            </w:pPr>
          </w:p>
        </w:tc>
        <w:tc>
          <w:tcPr>
            <w:tcW w:w="5103" w:type="dxa"/>
            <w:gridSpan w:val="3"/>
            <w:tcBorders>
              <w:top w:val="single" w:sz="4" w:space="0" w:color="auto"/>
              <w:left w:val="nil"/>
              <w:bottom w:val="nil"/>
              <w:right w:val="nil"/>
            </w:tcBorders>
          </w:tcPr>
          <w:p w14:paraId="040A29C1" w14:textId="77777777" w:rsidR="00443002" w:rsidRPr="00A5260C" w:rsidRDefault="00443002" w:rsidP="00443002">
            <w:pPr>
              <w:spacing w:line="360" w:lineRule="auto"/>
              <w:rPr>
                <w:b/>
                <w:sz w:val="6"/>
              </w:rPr>
            </w:pPr>
          </w:p>
        </w:tc>
        <w:tc>
          <w:tcPr>
            <w:tcW w:w="5245" w:type="dxa"/>
            <w:tcBorders>
              <w:top w:val="single" w:sz="4" w:space="0" w:color="auto"/>
              <w:left w:val="nil"/>
              <w:bottom w:val="nil"/>
              <w:right w:val="nil"/>
            </w:tcBorders>
          </w:tcPr>
          <w:p w14:paraId="14F095E7" w14:textId="77777777" w:rsidR="00443002" w:rsidRPr="00A5260C" w:rsidRDefault="00443002" w:rsidP="00443002">
            <w:pPr>
              <w:spacing w:line="360" w:lineRule="auto"/>
              <w:rPr>
                <w:b/>
                <w:sz w:val="6"/>
              </w:rPr>
            </w:pPr>
          </w:p>
        </w:tc>
      </w:tr>
      <w:tr w:rsidR="00443002" w:rsidRPr="006B2C7A" w14:paraId="5CCA63AE" w14:textId="77777777" w:rsidTr="00443002">
        <w:trPr>
          <w:trHeight w:val="410"/>
        </w:trPr>
        <w:tc>
          <w:tcPr>
            <w:tcW w:w="3510" w:type="dxa"/>
            <w:tcBorders>
              <w:top w:val="nil"/>
              <w:left w:val="nil"/>
              <w:bottom w:val="single" w:sz="4" w:space="0" w:color="auto"/>
              <w:right w:val="nil"/>
            </w:tcBorders>
          </w:tcPr>
          <w:p w14:paraId="39C2AF2D" w14:textId="77777777" w:rsidR="00443002" w:rsidRPr="00DC4CC3" w:rsidRDefault="00443002" w:rsidP="00443002">
            <w:pPr>
              <w:spacing w:line="360" w:lineRule="auto"/>
              <w:rPr>
                <w:b/>
                <w:szCs w:val="24"/>
              </w:rPr>
            </w:pPr>
            <w:r w:rsidRPr="00DC4CC3">
              <w:rPr>
                <w:b/>
                <w:szCs w:val="24"/>
              </w:rPr>
              <w:t xml:space="preserve">Legal </w:t>
            </w:r>
            <w:r>
              <w:rPr>
                <w:b/>
                <w:szCs w:val="24"/>
              </w:rPr>
              <w:t>status</w:t>
            </w:r>
            <w:r w:rsidRPr="00DC4CC3">
              <w:rPr>
                <w:b/>
                <w:szCs w:val="24"/>
              </w:rPr>
              <w:t xml:space="preserve"> </w:t>
            </w:r>
            <w:r>
              <w:rPr>
                <w:b/>
                <w:szCs w:val="24"/>
              </w:rPr>
              <w:t>10</w:t>
            </w:r>
            <w:r w:rsidRPr="00DC4CC3">
              <w:rPr>
                <w:b/>
                <w:szCs w:val="24"/>
              </w:rPr>
              <w:t xml:space="preserve"> %</w:t>
            </w:r>
          </w:p>
        </w:tc>
        <w:tc>
          <w:tcPr>
            <w:tcW w:w="3686" w:type="dxa"/>
            <w:tcBorders>
              <w:top w:val="nil"/>
              <w:left w:val="nil"/>
              <w:bottom w:val="single" w:sz="4" w:space="0" w:color="auto"/>
              <w:right w:val="nil"/>
            </w:tcBorders>
          </w:tcPr>
          <w:p w14:paraId="7CC72963" w14:textId="77777777" w:rsidR="00443002" w:rsidRPr="009F4653" w:rsidRDefault="00443002" w:rsidP="00443002">
            <w:pPr>
              <w:spacing w:line="360" w:lineRule="auto"/>
            </w:pPr>
            <w:r>
              <w:t>Substance now illegal</w:t>
            </w:r>
          </w:p>
        </w:tc>
        <w:tc>
          <w:tcPr>
            <w:tcW w:w="992" w:type="dxa"/>
            <w:tcBorders>
              <w:top w:val="nil"/>
              <w:left w:val="nil"/>
              <w:bottom w:val="single" w:sz="4" w:space="0" w:color="auto"/>
              <w:right w:val="nil"/>
            </w:tcBorders>
          </w:tcPr>
          <w:p w14:paraId="7F8BA536" w14:textId="77777777" w:rsidR="00443002" w:rsidRPr="000E181C" w:rsidRDefault="00443002" w:rsidP="00443002">
            <w:pPr>
              <w:spacing w:line="360" w:lineRule="auto"/>
              <w:jc w:val="right"/>
              <w:rPr>
                <w:sz w:val="20"/>
              </w:rPr>
            </w:pPr>
            <w:r>
              <w:rPr>
                <w:sz w:val="20"/>
              </w:rPr>
              <w:t xml:space="preserve"> 20 %</w:t>
            </w:r>
          </w:p>
        </w:tc>
        <w:tc>
          <w:tcPr>
            <w:tcW w:w="425" w:type="dxa"/>
            <w:tcBorders>
              <w:top w:val="nil"/>
              <w:left w:val="nil"/>
              <w:bottom w:val="single" w:sz="4" w:space="0" w:color="auto"/>
              <w:right w:val="nil"/>
            </w:tcBorders>
          </w:tcPr>
          <w:p w14:paraId="2B4DF856" w14:textId="77777777" w:rsidR="00443002" w:rsidRPr="009F4653" w:rsidRDefault="00443002" w:rsidP="00443002">
            <w:pPr>
              <w:spacing w:line="360" w:lineRule="auto"/>
            </w:pPr>
          </w:p>
        </w:tc>
        <w:tc>
          <w:tcPr>
            <w:tcW w:w="5245" w:type="dxa"/>
            <w:tcBorders>
              <w:top w:val="nil"/>
              <w:left w:val="nil"/>
              <w:bottom w:val="single" w:sz="4" w:space="0" w:color="auto"/>
              <w:right w:val="nil"/>
            </w:tcBorders>
          </w:tcPr>
          <w:p w14:paraId="693CCE7C" w14:textId="77777777" w:rsidR="00443002" w:rsidRPr="00E40314" w:rsidRDefault="00443002" w:rsidP="00443002">
            <w:pPr>
              <w:spacing w:line="360" w:lineRule="auto"/>
              <w:rPr>
                <w:sz w:val="18"/>
              </w:rPr>
            </w:pPr>
            <w:r>
              <w:rPr>
                <w:sz w:val="18"/>
              </w:rPr>
              <w:t>[19]</w:t>
            </w:r>
          </w:p>
        </w:tc>
      </w:tr>
      <w:tr w:rsidR="00443002" w:rsidRPr="00A5260C" w14:paraId="3D47A5AE" w14:textId="77777777" w:rsidTr="00443002">
        <w:trPr>
          <w:trHeight w:val="136"/>
        </w:trPr>
        <w:tc>
          <w:tcPr>
            <w:tcW w:w="3510" w:type="dxa"/>
            <w:tcBorders>
              <w:top w:val="single" w:sz="4" w:space="0" w:color="auto"/>
              <w:left w:val="nil"/>
              <w:bottom w:val="nil"/>
              <w:right w:val="nil"/>
            </w:tcBorders>
          </w:tcPr>
          <w:p w14:paraId="5B5EF4FB" w14:textId="77777777" w:rsidR="00443002" w:rsidRPr="00A5260C" w:rsidRDefault="00443002" w:rsidP="00443002">
            <w:pPr>
              <w:rPr>
                <w:b/>
                <w:sz w:val="6"/>
              </w:rPr>
            </w:pPr>
          </w:p>
        </w:tc>
        <w:tc>
          <w:tcPr>
            <w:tcW w:w="5103" w:type="dxa"/>
            <w:gridSpan w:val="3"/>
            <w:tcBorders>
              <w:top w:val="single" w:sz="4" w:space="0" w:color="auto"/>
              <w:left w:val="nil"/>
              <w:bottom w:val="nil"/>
              <w:right w:val="nil"/>
            </w:tcBorders>
          </w:tcPr>
          <w:p w14:paraId="64E93B2A" w14:textId="77777777" w:rsidR="00443002" w:rsidRPr="00A5260C" w:rsidRDefault="00443002" w:rsidP="00443002">
            <w:pPr>
              <w:rPr>
                <w:b/>
                <w:sz w:val="6"/>
              </w:rPr>
            </w:pPr>
          </w:p>
        </w:tc>
        <w:tc>
          <w:tcPr>
            <w:tcW w:w="5245" w:type="dxa"/>
            <w:tcBorders>
              <w:top w:val="single" w:sz="4" w:space="0" w:color="auto"/>
              <w:left w:val="nil"/>
              <w:bottom w:val="nil"/>
              <w:right w:val="nil"/>
            </w:tcBorders>
          </w:tcPr>
          <w:p w14:paraId="628FAF5E" w14:textId="77777777" w:rsidR="00443002" w:rsidRPr="00A5260C" w:rsidRDefault="00443002" w:rsidP="00443002">
            <w:pPr>
              <w:rPr>
                <w:b/>
                <w:sz w:val="6"/>
              </w:rPr>
            </w:pPr>
          </w:p>
        </w:tc>
      </w:tr>
    </w:tbl>
    <w:p w14:paraId="00ABD9B5" w14:textId="77777777" w:rsidR="00443002" w:rsidRDefault="00443002" w:rsidP="00443002">
      <w:pPr>
        <w:rPr>
          <w:sz w:val="18"/>
        </w:rPr>
      </w:pPr>
    </w:p>
    <w:p w14:paraId="5BCBB1E5" w14:textId="77777777" w:rsidR="00443002" w:rsidRPr="009872B9" w:rsidRDefault="00443002" w:rsidP="00443002">
      <w:pPr>
        <w:rPr>
          <w:sz w:val="18"/>
        </w:rPr>
        <w:sectPr w:rsidR="00443002" w:rsidRPr="009872B9" w:rsidSect="00BC139F">
          <w:pgSz w:w="16840" w:h="11900" w:orient="landscape"/>
          <w:pgMar w:top="1440" w:right="1440" w:bottom="993" w:left="1440" w:header="709" w:footer="709" w:gutter="0"/>
          <w:cols w:space="708"/>
          <w:docGrid w:linePitch="360"/>
        </w:sectPr>
      </w:pPr>
    </w:p>
    <w:p w14:paraId="3074806D" w14:textId="77777777" w:rsidR="00443002" w:rsidRDefault="00443002" w:rsidP="00C42A80">
      <w:pPr>
        <w:pStyle w:val="Heading3"/>
      </w:pPr>
      <w:bookmarkStart w:id="320" w:name="_Toc35892617"/>
      <w:bookmarkStart w:id="321" w:name="_Hlk6388057"/>
      <w:r>
        <w:t>Risk perceptions</w:t>
      </w:r>
      <w:bookmarkEnd w:id="320"/>
    </w:p>
    <w:p w14:paraId="006F9990" w14:textId="279AA948" w:rsidR="00443002" w:rsidRDefault="00443002" w:rsidP="00443002">
      <w:pPr>
        <w:spacing w:line="480" w:lineRule="auto"/>
      </w:pPr>
      <w:r>
        <w:t>The most common reasons related to perceptions of health risk were the beliefs that NPS are dangerous (</w:t>
      </w:r>
      <w:r w:rsidRPr="00E7136A">
        <w:t>Sheridan &amp; Butler, 2010</w:t>
      </w:r>
      <w:r>
        <w:t xml:space="preserve">; </w:t>
      </w:r>
      <w:r w:rsidRPr="00E7136A">
        <w:t>Perrone et. al., 2013</w:t>
      </w:r>
      <w:r>
        <w:t xml:space="preserve">; </w:t>
      </w:r>
      <w:r w:rsidRPr="00E7136A">
        <w:t>Wilkins &amp; Sweetur</w:t>
      </w:r>
      <w:r>
        <w:t>, 2013;</w:t>
      </w:r>
      <w:r w:rsidRPr="00E7136A">
        <w:t xml:space="preserve"> van Amsterdam et. al., 2015)</w:t>
      </w:r>
      <w:r>
        <w:t xml:space="preserve"> or are more dangerous than traditional street drugs </w:t>
      </w:r>
      <w:r w:rsidRPr="00965492">
        <w:t>(</w:t>
      </w:r>
      <w:r>
        <w:t>Winstock et. al., 2010</w:t>
      </w:r>
      <w:r w:rsidRPr="00965492">
        <w:t>)</w:t>
      </w:r>
      <w:r>
        <w:t>. Danger was linked to the unknown nature of the ingredients products may contain</w:t>
      </w:r>
      <w:r w:rsidRPr="00965492">
        <w:t xml:space="preserve"> </w:t>
      </w:r>
      <w:r>
        <w:t>(</w:t>
      </w:r>
      <w:r w:rsidR="00460CFC" w:rsidRPr="00965492">
        <w:t>Barnard et al., 201</w:t>
      </w:r>
      <w:r w:rsidR="00460CFC">
        <w:t>4;</w:t>
      </w:r>
      <w:r w:rsidR="00460CFC" w:rsidRPr="00965492">
        <w:t xml:space="preserve"> </w:t>
      </w:r>
      <w:r w:rsidRPr="00965492">
        <w:t>Freeman et al</w:t>
      </w:r>
      <w:r w:rsidR="004C4795">
        <w:t>.</w:t>
      </w:r>
      <w:r>
        <w:t xml:space="preserve">, 2012; </w:t>
      </w:r>
      <w:r w:rsidRPr="00965492">
        <w:t>Rees et al., 2015</w:t>
      </w:r>
      <w:r>
        <w:t>) their strength and purity and the increased risk of overdose (</w:t>
      </w:r>
      <w:r w:rsidRPr="00E7136A">
        <w:t>Sheridan &amp; Butler</w:t>
      </w:r>
      <w:r>
        <w:t xml:space="preserve">, 2010). </w:t>
      </w:r>
    </w:p>
    <w:p w14:paraId="5462D31F" w14:textId="77777777" w:rsidR="00443002" w:rsidRDefault="00443002" w:rsidP="00C42A80">
      <w:pPr>
        <w:pStyle w:val="Heading3"/>
      </w:pPr>
      <w:bookmarkStart w:id="322" w:name="_Toc35892618"/>
      <w:r>
        <w:t>Unpleasant effects</w:t>
      </w:r>
      <w:bookmarkEnd w:id="322"/>
    </w:p>
    <w:p w14:paraId="6E4A33BD" w14:textId="77777777" w:rsidR="00443002" w:rsidRDefault="00443002" w:rsidP="00443002">
      <w:pPr>
        <w:spacing w:line="480" w:lineRule="auto"/>
      </w:pPr>
      <w:r>
        <w:t>Half of the studies which cited reasons for non-use reported the relevance of unpleasant effects associated with use (</w:t>
      </w:r>
      <w:r w:rsidRPr="00E7136A">
        <w:t>Butler</w:t>
      </w:r>
      <w:r>
        <w:t xml:space="preserve"> &amp;</w:t>
      </w:r>
      <w:r w:rsidRPr="00965492">
        <w:t xml:space="preserve"> </w:t>
      </w:r>
      <w:r w:rsidRPr="00E7136A">
        <w:t>Sheridan, 20</w:t>
      </w:r>
      <w:r>
        <w:t xml:space="preserve">07; </w:t>
      </w:r>
      <w:r w:rsidRPr="00E7136A">
        <w:t>Perrone et. al., 2013</w:t>
      </w:r>
      <w:r>
        <w:t xml:space="preserve">; </w:t>
      </w:r>
      <w:r w:rsidRPr="00E7136A">
        <w:t>Wilkins &amp; Sweetur</w:t>
      </w:r>
      <w:r>
        <w:t>, 2013;</w:t>
      </w:r>
      <w:r w:rsidRPr="00E7136A">
        <w:t xml:space="preserve"> van Amsterdam et. al., 2015)</w:t>
      </w:r>
      <w:r>
        <w:t xml:space="preserve">, one of which noted the relative nature of unpleasantness compared to traditional illicit drugs (Butler &amp; Sheridan, 2007; </w:t>
      </w:r>
      <w:r w:rsidRPr="00965492">
        <w:t>Kelleher et al., 2011</w:t>
      </w:r>
      <w:r>
        <w:t xml:space="preserve">). </w:t>
      </w:r>
    </w:p>
    <w:p w14:paraId="2FAFB90C" w14:textId="77777777" w:rsidR="00443002" w:rsidRDefault="00443002" w:rsidP="00C42A80">
      <w:pPr>
        <w:pStyle w:val="Heading3"/>
      </w:pPr>
      <w:bookmarkStart w:id="323" w:name="_Toc35892619"/>
      <w:r>
        <w:t>Social influences</w:t>
      </w:r>
      <w:bookmarkEnd w:id="323"/>
      <w:r>
        <w:t xml:space="preserve"> </w:t>
      </w:r>
    </w:p>
    <w:p w14:paraId="035ABDAE" w14:textId="52969729" w:rsidR="00443002" w:rsidRDefault="00443002" w:rsidP="00443002">
      <w:pPr>
        <w:spacing w:line="480" w:lineRule="auto"/>
      </w:pPr>
      <w:r>
        <w:t>Social reasons for non-use included negative social interactions such as withdrawing inside oneself or ‘ego</w:t>
      </w:r>
      <w:r w:rsidR="00A868BB">
        <w:t>-</w:t>
      </w:r>
      <w:r>
        <w:t>tripping’ (</w:t>
      </w:r>
      <w:r w:rsidRPr="00E7136A">
        <w:t>van Amsterdam et. al., 2015)</w:t>
      </w:r>
      <w:r>
        <w:t>, having family responsibilities such as childcare (</w:t>
      </w:r>
      <w:r w:rsidRPr="00E7136A">
        <w:t>Wilkins &amp; Sweetur</w:t>
      </w:r>
      <w:r>
        <w:t>, 2013), and the belief that use of mainstream legal drugs is uncool (</w:t>
      </w:r>
      <w:r w:rsidRPr="00E7136A">
        <w:t>Sheridan &amp; Butler</w:t>
      </w:r>
      <w:r>
        <w:t xml:space="preserve">, 2010). </w:t>
      </w:r>
    </w:p>
    <w:p w14:paraId="4B2B7827" w14:textId="77777777" w:rsidR="00443002" w:rsidRDefault="00443002" w:rsidP="00C42A80">
      <w:pPr>
        <w:pStyle w:val="Heading3"/>
      </w:pPr>
      <w:bookmarkStart w:id="324" w:name="_Toc35892620"/>
      <w:r>
        <w:t>Substitution</w:t>
      </w:r>
      <w:bookmarkEnd w:id="324"/>
    </w:p>
    <w:p w14:paraId="5DAD55FE" w14:textId="7631F3F5" w:rsidR="00443002" w:rsidRDefault="00443002" w:rsidP="00443002">
      <w:pPr>
        <w:spacing w:line="480" w:lineRule="auto"/>
      </w:pPr>
      <w:r>
        <w:t>In two of the ten studies</w:t>
      </w:r>
      <w:r w:rsidR="00A868BB">
        <w:t>,</w:t>
      </w:r>
      <w:r>
        <w:t xml:space="preserve"> participants reported use of traditional illicit drugs instead of NPS as they believed the traditional alternative to be safer or more pleasant to use than the legally available alternative (Butler &amp; Sheridan, 2007; </w:t>
      </w:r>
      <w:r w:rsidRPr="00965492">
        <w:t>Kelleher et al., 2011</w:t>
      </w:r>
      <w:r>
        <w:t>; Winstock et. al., 2010).</w:t>
      </w:r>
    </w:p>
    <w:p w14:paraId="5DC8EBB4" w14:textId="77777777" w:rsidR="00443002" w:rsidRDefault="00443002" w:rsidP="00C42A80">
      <w:pPr>
        <w:pStyle w:val="Heading3"/>
      </w:pPr>
      <w:bookmarkStart w:id="325" w:name="_Toc35892621"/>
      <w:r>
        <w:t>Accessibility</w:t>
      </w:r>
      <w:bookmarkEnd w:id="325"/>
    </w:p>
    <w:p w14:paraId="000750F4" w14:textId="432906AB" w:rsidR="00443002" w:rsidRDefault="00443002" w:rsidP="00443002">
      <w:pPr>
        <w:spacing w:line="480" w:lineRule="auto"/>
      </w:pPr>
      <w:r>
        <w:t>Accessibility reasons included not being able to get hold of NPS following the imposition of controls (</w:t>
      </w:r>
      <w:r w:rsidRPr="00E7136A">
        <w:t>Wilkins &amp; Sweetur</w:t>
      </w:r>
      <w:r>
        <w:t>, 2013), or not wanting to engage with the black market</w:t>
      </w:r>
      <w:r w:rsidRPr="00260B49">
        <w:t xml:space="preserve"> </w:t>
      </w:r>
      <w:r>
        <w:t>(</w:t>
      </w:r>
      <w:r w:rsidRPr="00965492">
        <w:t>Freeman et al</w:t>
      </w:r>
      <w:r w:rsidR="004C4795">
        <w:t>.</w:t>
      </w:r>
      <w:r>
        <w:t xml:space="preserve">, 2012). </w:t>
      </w:r>
    </w:p>
    <w:p w14:paraId="33B95E15" w14:textId="77777777" w:rsidR="00443002" w:rsidRDefault="00443002" w:rsidP="00C42A80">
      <w:pPr>
        <w:pStyle w:val="Heading3"/>
      </w:pPr>
      <w:bookmarkStart w:id="326" w:name="_Toc35892622"/>
      <w:r>
        <w:t>Legal reasons</w:t>
      </w:r>
      <w:bookmarkEnd w:id="326"/>
    </w:p>
    <w:p w14:paraId="695B235E" w14:textId="7568E5B4" w:rsidR="00443002" w:rsidRDefault="00443002" w:rsidP="00443002">
      <w:pPr>
        <w:spacing w:line="480" w:lineRule="auto"/>
      </w:pPr>
      <w:r>
        <w:t>For some users</w:t>
      </w:r>
      <w:r w:rsidR="00A868BB">
        <w:t>,</w:t>
      </w:r>
      <w:r>
        <w:t xml:space="preserve"> a change from legal to illegal status was a deterrent to use, as was found in a New Zealand based household survey which included questions about peoples’ use of the stimulant drug BZP (</w:t>
      </w:r>
      <w:r w:rsidRPr="00E7136A">
        <w:t>Wilkins &amp; Sweetur</w:t>
      </w:r>
      <w:r>
        <w:t>, 2013).</w:t>
      </w:r>
    </w:p>
    <w:p w14:paraId="6868CF86" w14:textId="78704DB5" w:rsidR="00443002" w:rsidRDefault="00443002" w:rsidP="00C42A80">
      <w:pPr>
        <w:pStyle w:val="Heading3"/>
      </w:pPr>
      <w:bookmarkStart w:id="327" w:name="_Toc35892623"/>
      <w:bookmarkEnd w:id="321"/>
      <w:r w:rsidRPr="0033479F">
        <w:t>Discussion</w:t>
      </w:r>
      <w:bookmarkEnd w:id="327"/>
    </w:p>
    <w:p w14:paraId="17EE239F" w14:textId="54411337" w:rsidR="00443002" w:rsidRDefault="00443002" w:rsidP="00443002">
      <w:pPr>
        <w:spacing w:line="480" w:lineRule="auto"/>
      </w:pPr>
      <w:r>
        <w:t xml:space="preserve">This chapter set out to assess what insights could be drawn about people’s reasons for using (and not using) NPS from a review of the evidence available from peer-reviewed research. To this end, the aims of the review were to provide an overview and summary of the studies able to contribute insight; to map the range of reasons illuminated by the studies and to assess whether differences between studies could shed light on factors liable to influence or affect people’s reasons for use. In this section, the key findings of the review in relation to these aims are summarised before going on to reflect on what the implications of these findings are for intervention development as well as the extent to which the review is likely to provide an accurate reflection of the literature. The chapter concludes with a summary of the key points contributed by this review towards the overarching aims of the thesis.     </w:t>
      </w:r>
    </w:p>
    <w:p w14:paraId="2C34DB48" w14:textId="77777777" w:rsidR="00590C20" w:rsidRDefault="00590C20">
      <w:pPr>
        <w:rPr>
          <w:b/>
          <w:bCs/>
          <w:color w:val="000000"/>
          <w:sz w:val="22"/>
        </w:rPr>
      </w:pPr>
      <w:r>
        <w:br w:type="page"/>
      </w:r>
    </w:p>
    <w:p w14:paraId="25D9395E" w14:textId="49ADD0EC" w:rsidR="00443002" w:rsidRDefault="00443002" w:rsidP="00C42A80">
      <w:pPr>
        <w:pStyle w:val="Heading3"/>
      </w:pPr>
      <w:bookmarkStart w:id="328" w:name="_Toc35892624"/>
      <w:r w:rsidRPr="0033479F">
        <w:t>Principal findings</w:t>
      </w:r>
      <w:bookmarkEnd w:id="328"/>
      <w:r w:rsidRPr="0033479F">
        <w:t xml:space="preserve"> </w:t>
      </w:r>
    </w:p>
    <w:p w14:paraId="197AA43E" w14:textId="6FF111F1" w:rsidR="00443002" w:rsidRDefault="00443002" w:rsidP="00443002">
      <w:pPr>
        <w:spacing w:line="480" w:lineRule="auto"/>
      </w:pPr>
      <w:bookmarkStart w:id="329" w:name="_Hlk6493872"/>
      <w:r>
        <w:t xml:space="preserve">Although the field of NPS research appears to be growing rapidly, the psycho-social aspects of NPS use appear underrepresented in the literature base. </w:t>
      </w:r>
      <w:bookmarkEnd w:id="329"/>
      <w:r>
        <w:t>The literature which does focus on psycho-social factors of NPS use shows good international coverage, and there is strong representation by the UK, USA and Australasia. Of the 31 studies exploring people’s reasons for using (and not using) NPS identified in this review, 10 explicitly focused on the use of legal highs and NPS more broadly, while the remaining 21 focused more narrowly on specific types of NPS. Although all but one study included young people within their samples, relatively few studies focused exclusively on young people. Of those, only one study focused on the use of legal highs/NPS more broadly; an enquiry into legal highs conducted by Rees et al</w:t>
      </w:r>
      <w:r w:rsidR="004C4795">
        <w:t>.,</w:t>
      </w:r>
      <w:r>
        <w:t xml:space="preserve"> (2015) for the National Assembly for Wales. However, as the sample appeared to be mainly problem-drug users, the findings may not be generalisable to the wider population of young people in the UK. While a subset of studies investigated the reasons </w:t>
      </w:r>
      <w:r w:rsidR="00A868BB">
        <w:t>for</w:t>
      </w:r>
      <w:r>
        <w:t xml:space="preserve"> problem-drug users who used NPS, the majority focused on the reasons of people engaging in recreational use. Most studies were survey or interview</w:t>
      </w:r>
      <w:r w:rsidR="00A868BB">
        <w:t>-</w:t>
      </w:r>
      <w:r>
        <w:t xml:space="preserve">based and examined the motives of experienced drug users. Few studies appeared to include naïve drug users in their samples. </w:t>
      </w:r>
    </w:p>
    <w:p w14:paraId="10FB90E1" w14:textId="06B3E43A" w:rsidR="00443002" w:rsidRDefault="00443002" w:rsidP="00443002">
      <w:pPr>
        <w:spacing w:line="480" w:lineRule="auto"/>
      </w:pPr>
      <w:r>
        <w:t>In terms</w:t>
      </w:r>
      <w:r w:rsidR="00A868BB">
        <w:t xml:space="preserve"> of</w:t>
      </w:r>
      <w:r>
        <w:t xml:space="preserve"> the findings of the studies, all but one of the 31 studies included reported on the reasons why their sample used NPS, while 10 reported on reasons why they did not use NPS. The most commonly reported reasons for use of NPS were: easy accessibility; as a substitute for traditional illicit drugs; pleasurable effects; curiosity; and perceived quality.  The main reported reasons for why people did not use NPS were: people were mainly put off by their dangerous reputation; the unknown nature of the ingredients used in NPS products; and unpleasant effects associated with their use.</w:t>
      </w:r>
    </w:p>
    <w:p w14:paraId="570330EB" w14:textId="77777777" w:rsidR="003D4E79" w:rsidRDefault="00443002" w:rsidP="00443002">
      <w:pPr>
        <w:spacing w:line="480" w:lineRule="auto"/>
      </w:pPr>
      <w:r>
        <w:t xml:space="preserve">While the easy accessibility of NPS was the most prominent reason for use across all of the studies reviewed, the use of NPS as a substitute for traditional illicit drugs was also a very </w:t>
      </w:r>
    </w:p>
    <w:p w14:paraId="1DF1BD9D" w14:textId="7B5A6C8C" w:rsidR="00443002" w:rsidRDefault="00443002" w:rsidP="00443002">
      <w:pPr>
        <w:spacing w:line="480" w:lineRule="auto"/>
      </w:pPr>
      <w:r>
        <w:t>prominent theme within the studies and was not only connected with easy availability but also with favourable comparisons in relation to effects, quality and price in addition to legal status. Although less salient than accessibility and substitution-based reasons, the desire to use NPS for their pleasurable effects was the reason which demonstrated the most consistency across all study contexts. While not as consistently prominent across the studies, curiosity was also reported as an important reason and appeared to be related to drug initiation. The perceived quality of NPS also appeared to be an important factor in many studies, with recreational users particularly appreciating the reliable consistency of NPS products.</w:t>
      </w:r>
    </w:p>
    <w:p w14:paraId="5E03FA83" w14:textId="77777777" w:rsidR="00443002" w:rsidRDefault="00443002" w:rsidP="00443002">
      <w:pPr>
        <w:spacing w:line="480" w:lineRule="auto"/>
      </w:pPr>
      <w:r>
        <w:t>For studies focusing exclusively on young people, the salience of safety as an important reason for use also emerged, and perceptions of safety were also seen to be a more prominent reason for use in studies that examined the use of the broader grouping of legal highs/NPS in comparison to those examining specific named substances such as mephedrone and synthetic cannabis. However, the impact of substance type on perceptions of safety did not appear to be as important as the influence of users age and/or level of experience with drugs.</w:t>
      </w:r>
    </w:p>
    <w:p w14:paraId="59AE628F" w14:textId="03DF8900" w:rsidR="00443002" w:rsidRPr="00C25439" w:rsidRDefault="00443002" w:rsidP="00443002">
      <w:pPr>
        <w:spacing w:line="480" w:lineRule="auto"/>
      </w:pPr>
      <w:r>
        <w:t>The importance of legality and the desire to avoid a positive drug test w</w:t>
      </w:r>
      <w:r w:rsidR="00125D65">
        <w:t>as</w:t>
      </w:r>
      <w:r>
        <w:t xml:space="preserve"> most strongly associated with problem-drug users of synthetic cannabinoids in studies conducted outside of the EU.</w:t>
      </w:r>
    </w:p>
    <w:p w14:paraId="1207E22A" w14:textId="1AB6EE17" w:rsidR="00443002" w:rsidRPr="009B5D55" w:rsidRDefault="00443002" w:rsidP="009B5D55">
      <w:pPr>
        <w:pStyle w:val="Heading3"/>
      </w:pPr>
      <w:bookmarkStart w:id="330" w:name="_Toc35892625"/>
      <w:r w:rsidRPr="009B5D55">
        <w:t>Implications for intervention development</w:t>
      </w:r>
      <w:bookmarkEnd w:id="330"/>
    </w:p>
    <w:p w14:paraId="3DD4E67E" w14:textId="4307EDCA" w:rsidR="00BB0A48" w:rsidRPr="00BB0A48" w:rsidRDefault="00BB0A48" w:rsidP="00443002">
      <w:pPr>
        <w:spacing w:line="480" w:lineRule="auto"/>
        <w:rPr>
          <w:i/>
        </w:rPr>
      </w:pPr>
      <w:r w:rsidRPr="00BB0A48">
        <w:rPr>
          <w:i/>
        </w:rPr>
        <w:t>Ethical considerations</w:t>
      </w:r>
    </w:p>
    <w:p w14:paraId="5ECD07ED" w14:textId="31976718" w:rsidR="00443002" w:rsidRPr="00CC590B" w:rsidRDefault="00443002" w:rsidP="00443002">
      <w:pPr>
        <w:spacing w:line="480" w:lineRule="auto"/>
        <w:rPr>
          <w:i/>
        </w:rPr>
      </w:pPr>
      <w:r>
        <w:t>In consideration of ethical principles of intervention development, the findings of this review have implications regarding health inequalities and safety concerns. From a health inequalities perspective, the findings offer little insight into the relationship between people’s reasons for using NPS and wider social factors and the drivers of health inequalities. There was insufficient information reported within the studies to be able to distinguish differences in people’s reasons for using NPS as a function of variables pertinent to social inequalities such as socioeconomic or employment status, education levels, gender or ethnicity. However, the clear differences between the motives of problem-drug users and recreational drug users offer an indication that material and/or social deprivation may be an important modifier of people’s reasons for using NPS, as</w:t>
      </w:r>
      <w:r w:rsidRPr="002C5CD1">
        <w:t xml:space="preserve"> </w:t>
      </w:r>
      <w:r>
        <w:t>deprivation is a significant risk factor for problem-drug use (ACMD, 1998).</w:t>
      </w:r>
    </w:p>
    <w:p w14:paraId="7AB6058E" w14:textId="77777777" w:rsidR="00443002" w:rsidRDefault="00443002" w:rsidP="00443002">
      <w:pPr>
        <w:spacing w:line="480" w:lineRule="auto"/>
      </w:pPr>
      <w:r>
        <w:t xml:space="preserve">From a safety perspective, there are signs that certain at-risk populations might be neglected within the NPS evidence base; specifically, drug naïve populations, who may be disproportionality represented within populations of young people and children. The findings of this review showed that young/naïve users appear to be particularly at risk of underestimating the health risks associated with NPS use due to the association of legal status with low potency and perceptions of safety. </w:t>
      </w:r>
    </w:p>
    <w:p w14:paraId="34001F75" w14:textId="2BA736F1" w:rsidR="00443002" w:rsidRDefault="00443002" w:rsidP="00443002">
      <w:pPr>
        <w:spacing w:line="480" w:lineRule="auto"/>
      </w:pPr>
      <w:r>
        <w:t xml:space="preserve">The relative lack of attention given to young/drug naïve people in NPS focused research is perhaps surprising given the strong emphasis on the need to protect young people which is evident in drug policy and the media (e.g. HM Government, 2010, 2017; BBC, 2012, 2014). The reason for </w:t>
      </w:r>
      <w:r w:rsidR="00125D65">
        <w:t xml:space="preserve">the </w:t>
      </w:r>
      <w:r>
        <w:t>underrepresentation of young/drug naïve people is likely to be a result of the strong correlations observed between NPS use and use of traditional illicit drugs (e.g. CSEW, 2014/15). The commonly expressed assumption that users of NPS are the same populations as those who use traditional illicit drugs</w:t>
      </w:r>
      <w:r w:rsidR="00125D65">
        <w:t>,</w:t>
      </w:r>
      <w:r>
        <w:t xml:space="preserve"> may have resulted in disproportionate inclusion of experienced drug users in studies of NPS (e.g. ACMD, 2011; HM Government, 2014). Although users of traditional illicit drugs may well be more likely to take up use of NPS, this does not exclude the possibility that other, less drug-experienced groups such as young people are also experimenting with NPS, potentially in more risky ways. Understanding how the profile, motives and attitudes of such users differ from more experienced drug users is potentially an important line of research.</w:t>
      </w:r>
    </w:p>
    <w:p w14:paraId="03C3A38C" w14:textId="48F392B1" w:rsidR="00443002" w:rsidRDefault="00443002" w:rsidP="00443002">
      <w:pPr>
        <w:spacing w:line="480" w:lineRule="auto"/>
      </w:pPr>
      <w:r>
        <w:t xml:space="preserve">Another safety concern highlighted by the findings of this review is the high potential for negative unintended consequences implied by the pervasive influence of substitution-based reasons. The use of NPS as a substitute for traditional illicit drugs, and vice versa, is a clear indication of market displacement between substances. This indicates the need for interventions to be especially sensitive to factors which may encourage displacement between substances. Given that a variety of factors (availability, price, drug effects, safety perceptions, quality and legal status) were associated with substitution, the potential for displacement is worthy of careful consideration.  </w:t>
      </w:r>
    </w:p>
    <w:p w14:paraId="0365F5C0" w14:textId="77777777" w:rsidR="00443002" w:rsidRPr="00CC590B" w:rsidRDefault="00443002" w:rsidP="00443002">
      <w:pPr>
        <w:spacing w:line="480" w:lineRule="auto"/>
        <w:rPr>
          <w:i/>
        </w:rPr>
      </w:pPr>
      <w:r w:rsidRPr="008D5138">
        <w:rPr>
          <w:i/>
        </w:rPr>
        <w:t xml:space="preserve">Intervention effectiveness </w:t>
      </w:r>
      <w:r>
        <w:rPr>
          <w:i/>
        </w:rPr>
        <w:br/>
      </w:r>
      <w:r>
        <w:t xml:space="preserve">Turning attention to intervention effectiveness, the findings of this review point towards considerations which may help improve the relevance of NPS-focused interventions. Firstly, the findings go some way towards informing our understanding of the influence of legal status, the key feature of NPS that differentiates them from traditional illicit drugs. Secondly, the findings also highlight factors which may be important modifiers of people’s NPS use, such as age/drug experience, type of drug use, type of substance and setting. </w:t>
      </w:r>
    </w:p>
    <w:p w14:paraId="79916997" w14:textId="434F73A8" w:rsidR="00443002" w:rsidRPr="00CC590B" w:rsidRDefault="00443002" w:rsidP="00443002">
      <w:pPr>
        <w:spacing w:line="480" w:lineRule="auto"/>
        <w:rPr>
          <w:i/>
        </w:rPr>
      </w:pPr>
      <w:r w:rsidRPr="00FA700E">
        <w:rPr>
          <w:i/>
        </w:rPr>
        <w:t xml:space="preserve">Legal status </w:t>
      </w:r>
      <w:r>
        <w:rPr>
          <w:i/>
        </w:rPr>
        <w:br/>
      </w:r>
      <w:r>
        <w:t xml:space="preserve">Although much of the commentary around NPS has placed </w:t>
      </w:r>
      <w:r w:rsidR="00125D65">
        <w:t xml:space="preserve">a </w:t>
      </w:r>
      <w:r>
        <w:t xml:space="preserve">strong emphasis on the significance of legality as a reason for </w:t>
      </w:r>
      <w:r w:rsidRPr="000B52ED">
        <w:t>use (</w:t>
      </w:r>
      <w:r w:rsidRPr="000B52ED">
        <w:rPr>
          <w:rStyle w:val="NotesstructureChar"/>
          <w:color w:val="auto"/>
        </w:rPr>
        <w:t xml:space="preserve">e.g. HM </w:t>
      </w:r>
      <w:r w:rsidRPr="00283CC8">
        <w:rPr>
          <w:rStyle w:val="NotesstructureChar"/>
          <w:color w:val="auto"/>
        </w:rPr>
        <w:t>Government, 2010; 2016</w:t>
      </w:r>
      <w:r w:rsidRPr="00283CC8">
        <w:t xml:space="preserve">) the </w:t>
      </w:r>
      <w:r>
        <w:t>findings of this review suggest that, in general, for users of NPS, legality</w:t>
      </w:r>
      <w:r w:rsidRPr="0014281F">
        <w:t xml:space="preserve"> </w:t>
      </w:r>
      <w:r>
        <w:t>does</w:t>
      </w:r>
      <w:r w:rsidRPr="0014281F">
        <w:t xml:space="preserve"> not seem to be of primary importance</w:t>
      </w:r>
      <w:r>
        <w:t xml:space="preserve">. However, further analysis of study characteristics revealed that legal reasons were prominent within studies examining problem-drug use, use of synthetic cannabinoids and studies conducted outside of Europe and the UK. </w:t>
      </w:r>
    </w:p>
    <w:p w14:paraId="19668D46" w14:textId="77777777" w:rsidR="003D4E79" w:rsidRDefault="00443002" w:rsidP="00443002">
      <w:pPr>
        <w:spacing w:line="480" w:lineRule="auto"/>
      </w:pPr>
      <w:r>
        <w:t>T</w:t>
      </w:r>
      <w:r w:rsidRPr="0014281F">
        <w:t xml:space="preserve">he prioritisation of legal status in </w:t>
      </w:r>
      <w:r>
        <w:t xml:space="preserve">studies of problem-drug use and use of synthetic cannabinoids </w:t>
      </w:r>
      <w:r w:rsidRPr="0014281F">
        <w:t xml:space="preserve">was largely driven by the same population, that is, problem-drug users of </w:t>
      </w:r>
    </w:p>
    <w:p w14:paraId="5A8CB174" w14:textId="5A14C853" w:rsidR="00443002" w:rsidRDefault="00443002" w:rsidP="00443002">
      <w:pPr>
        <w:spacing w:line="480" w:lineRule="auto"/>
      </w:pPr>
      <w:r w:rsidRPr="0014281F">
        <w:t>synthetic cannabinoids. This population was also the same population who were most commonly reported as using NPS for reasons relating to drug testing. Although NPS users motivated to avoid positive tests appeared unconcerned about the legal status of the drugs they consumed (</w:t>
      </w:r>
      <w:r w:rsidR="00460CFC" w:rsidRPr="0014281F">
        <w:t xml:space="preserve">Bonar et al., 2014; </w:t>
      </w:r>
      <w:r w:rsidRPr="0014281F">
        <w:t xml:space="preserve">Castellanos et al., 2011; </w:t>
      </w:r>
      <w:r w:rsidR="00460CFC" w:rsidRPr="0014281F">
        <w:t>Johnson &amp; Johnson, 2014</w:t>
      </w:r>
      <w:r w:rsidR="00460CFC">
        <w:t xml:space="preserve">; </w:t>
      </w:r>
      <w:r w:rsidRPr="0014281F">
        <w:t>Vandrey et al</w:t>
      </w:r>
      <w:r w:rsidR="004C4795">
        <w:t>.</w:t>
      </w:r>
      <w:r w:rsidRPr="0014281F">
        <w:t xml:space="preserve">, 2012), legality and test-based reasons are closely interlinked as a positive test result may have legal implications. This suggests the significance of legal reasons is a consequence of context, as not only were problem-drug user samples drawn from treatment settings where mandatory drug testing was typical, but a significant proportion of the studies examining </w:t>
      </w:r>
      <w:r w:rsidR="00125D65">
        <w:t xml:space="preserve">the </w:t>
      </w:r>
      <w:r w:rsidRPr="0014281F">
        <w:t>use of synthetic cannabis were conducted in the USA, a cultural context in which drug testing as a legal or organisational requirement is more commonplace than in Europe and the UK (</w:t>
      </w:r>
      <w:r w:rsidR="00460CFC" w:rsidRPr="0014281F">
        <w:t xml:space="preserve">Bonar et al., 2014; </w:t>
      </w:r>
      <w:r w:rsidRPr="0014281F">
        <w:t xml:space="preserve">Castellanos et al., 2011; </w:t>
      </w:r>
      <w:r w:rsidR="00460CFC" w:rsidRPr="0014281F">
        <w:t>Lauritsen &amp; Rosenberg, 2016</w:t>
      </w:r>
      <w:r w:rsidR="00460CFC">
        <w:t xml:space="preserve">; </w:t>
      </w:r>
      <w:r w:rsidRPr="0014281F">
        <w:t xml:space="preserve">Perrone et al., 2013). </w:t>
      </w:r>
    </w:p>
    <w:p w14:paraId="628082AF" w14:textId="77777777" w:rsidR="00443002" w:rsidRDefault="00443002" w:rsidP="00443002">
      <w:pPr>
        <w:spacing w:line="480" w:lineRule="auto"/>
      </w:pPr>
      <w:r>
        <w:t xml:space="preserve">While authors such as Hammersley (2010) argue that legality is a primary part of the appeal of synthetic cannabinoids, </w:t>
      </w:r>
      <w:r w:rsidRPr="0014281F">
        <w:t>with many users preferring cannabis but choosing to use a non-prohibited alternative for legal reasons</w:t>
      </w:r>
      <w:r>
        <w:t xml:space="preserve">, the findings of this review suggest that the relationship between synthetic cannabis and the preference for a legal substance may largely be driven by context. </w:t>
      </w:r>
      <w:r w:rsidRPr="0014281F">
        <w:t>Although admissions to drug services in the UK are predominantly linked to use of synthetic cannabis (NDTMS, 2018) it seems likely that for recreational users of synthetic cannabinoids in the UK who are not in treatment, the importance of drug testing and legal reasons may diminish, as recreational drug users appear not to place as much value on legal status.</w:t>
      </w:r>
    </w:p>
    <w:p w14:paraId="772261B7" w14:textId="72344D05" w:rsidR="00443002" w:rsidRDefault="00590C20" w:rsidP="00443002">
      <w:pPr>
        <w:spacing w:line="480" w:lineRule="auto"/>
      </w:pPr>
      <w:r>
        <w:t>Despite the lack of value placed on legal status by recreational</w:t>
      </w:r>
      <w:r w:rsidR="00443002">
        <w:t xml:space="preserve"> users, there are indications that the legal status of NPS may interact indirectly with users’ motives in important ways via the easy availability of NPS, in addition to associations between NPS and perceptions of safety, drug quality and/or stigmatised drug identities. </w:t>
      </w:r>
    </w:p>
    <w:p w14:paraId="7D0BAA21" w14:textId="3B34D77E" w:rsidR="00443002" w:rsidRDefault="00443002" w:rsidP="00443002">
      <w:pPr>
        <w:spacing w:line="480" w:lineRule="auto"/>
      </w:pPr>
      <w:r>
        <w:t xml:space="preserve">In their study of recreational users, </w:t>
      </w:r>
      <w:r w:rsidRPr="0014281F">
        <w:t xml:space="preserve">Measham </w:t>
      </w:r>
      <w:r>
        <w:t>et al.</w:t>
      </w:r>
      <w:r w:rsidR="004C4795">
        <w:t>,</w:t>
      </w:r>
      <w:r w:rsidRPr="0014281F">
        <w:t xml:space="preserve"> (2010) </w:t>
      </w:r>
      <w:r>
        <w:t>concluded that while availability was the primary driver of NPS use, legal status is nevertheless an important reason for users due to the</w:t>
      </w:r>
      <w:r w:rsidRPr="0014281F">
        <w:t xml:space="preserve"> easy availability</w:t>
      </w:r>
      <w:r>
        <w:t xml:space="preserve"> conferred by their</w:t>
      </w:r>
      <w:r w:rsidRPr="0014281F">
        <w:t xml:space="preserve"> legal status (McElrath &amp; O'Neill, 2010</w:t>
      </w:r>
      <w:r w:rsidR="00460CFC">
        <w:t xml:space="preserve">; </w:t>
      </w:r>
      <w:r w:rsidR="00460CFC" w:rsidRPr="00460CFC">
        <w:t xml:space="preserve"> </w:t>
      </w:r>
      <w:r w:rsidR="00460CFC" w:rsidRPr="0014281F">
        <w:t>Measham, 2010</w:t>
      </w:r>
      <w:r w:rsidRPr="0014281F">
        <w:t>).</w:t>
      </w:r>
      <w:r>
        <w:t xml:space="preserve"> The argument that legality is secondary to availability is largely supported by the findings of this review</w:t>
      </w:r>
      <w:r w:rsidRPr="0014281F">
        <w:t>, as the relevance of accessibility appears to exceed that of legality in the majority of studies. In addition, for those studies looking at recently controlled substances (</w:t>
      </w:r>
      <w:r w:rsidR="00460CFC" w:rsidRPr="0014281F">
        <w:t>Ashrafioun et. al., 2016</w:t>
      </w:r>
      <w:r w:rsidR="00460CFC">
        <w:t xml:space="preserve">; </w:t>
      </w:r>
      <w:r w:rsidR="00460CFC" w:rsidRPr="0014281F">
        <w:t xml:space="preserve">Carhart-Harris &amp; Nutt, 2011; Johnson &amp; Johnson, 2014; </w:t>
      </w:r>
      <w:r w:rsidRPr="0014281F">
        <w:t>McElrath &amp; O’Neill, 2010; Van Hout &amp; Brennan, 2012;) many users appeared undeterred by the change in legal status, while availability remained the most consistent reason for use.</w:t>
      </w:r>
    </w:p>
    <w:p w14:paraId="438AAF8C" w14:textId="6A55FF40" w:rsidR="00443002" w:rsidRDefault="00443002" w:rsidP="00443002">
      <w:pPr>
        <w:spacing w:line="480" w:lineRule="auto"/>
      </w:pPr>
      <w:r>
        <w:t xml:space="preserve">The assumed association between legal status and perceptions of safety has prompted much concern particularly in relation to young </w:t>
      </w:r>
      <w:r w:rsidRPr="00CC590B">
        <w:t>people (</w:t>
      </w:r>
      <w:r w:rsidRPr="00CC590B">
        <w:rPr>
          <w:rStyle w:val="NotesstructureChar"/>
          <w:color w:val="auto"/>
        </w:rPr>
        <w:t>e.g. ACMD, 2011; HM Government, 2010; 2016</w:t>
      </w:r>
      <w:r w:rsidRPr="00CC590B">
        <w:t>). The review findings suggest that these con</w:t>
      </w:r>
      <w:r>
        <w:t xml:space="preserve">cerns may be justified, as the studies which focused exclusively on young people were more likely to report use of NPS due to perceptions of safety, with some studies noting that for some users safety was associated with legal status, with young people appearing to associate legality with low potency and higher quality due to the misperception that legal products were regulated and tested.  </w:t>
      </w:r>
    </w:p>
    <w:p w14:paraId="3A7D5591" w14:textId="77777777" w:rsidR="00443002" w:rsidRDefault="00443002" w:rsidP="00443002">
      <w:pPr>
        <w:spacing w:line="480" w:lineRule="auto"/>
      </w:pPr>
      <w:r>
        <w:t xml:space="preserve">The association between legality and quality did not appear to be limited to young people however, with recreational users from broad age ranges appearing to associate legally available NPS products with greater consistency and purity. Given that recreational users of NPS were found to place a strong emphasis on quality-based reasons for use, the legal status of NPS once again appears to be a strong indirect driver of NPS use. </w:t>
      </w:r>
    </w:p>
    <w:p w14:paraId="7EF11F0C" w14:textId="77777777" w:rsidR="003D4E79" w:rsidRDefault="00443002" w:rsidP="00443002">
      <w:pPr>
        <w:spacing w:line="480" w:lineRule="auto"/>
      </w:pPr>
      <w:r>
        <w:t xml:space="preserve">There are also indications that legal status might influence people’s use of NPS via perceptions of stigma, as a few studies </w:t>
      </w:r>
      <w:r w:rsidRPr="0014281F">
        <w:t xml:space="preserve">noted that some recreational users appeared to value the </w:t>
      </w:r>
      <w:r>
        <w:t>legality</w:t>
      </w:r>
      <w:r w:rsidRPr="0014281F">
        <w:t xml:space="preserve"> of NPS, as legal status offered some measure of protection and distance from </w:t>
      </w:r>
    </w:p>
    <w:p w14:paraId="75486EFE" w14:textId="1A8517DC" w:rsidR="00443002" w:rsidRPr="005C4AA6" w:rsidRDefault="00443002" w:rsidP="00443002">
      <w:pPr>
        <w:spacing w:line="480" w:lineRule="auto"/>
      </w:pPr>
      <w:r w:rsidRPr="0014281F">
        <w:t xml:space="preserve">stigmatising drug user identities (McElrath &amp; O’Neill, 2011; Van Hout &amp; Brennan, 2011). </w:t>
      </w:r>
      <w:r>
        <w:t>The greater social acceptability conferred by legal status appeared to be more relevant to older users of NPS who were described as are more likely to be professionals motivated to protect their jobs (Measham, 2010).</w:t>
      </w:r>
    </w:p>
    <w:p w14:paraId="76D705E0" w14:textId="77777777" w:rsidR="00443002" w:rsidRDefault="00443002" w:rsidP="00443002">
      <w:pPr>
        <w:spacing w:line="480" w:lineRule="auto"/>
      </w:pPr>
      <w:r>
        <w:t>Taken together these findings show that when considered as a direct influence on NPS use, the importance of legal status ma</w:t>
      </w:r>
      <w:r w:rsidRPr="0014281F">
        <w:t>y</w:t>
      </w:r>
      <w:r>
        <w:t xml:space="preserve"> only</w:t>
      </w:r>
      <w:r w:rsidRPr="0014281F">
        <w:t xml:space="preserve"> be limited to specific contexts or a minority of users</w:t>
      </w:r>
      <w:r>
        <w:t>, but when the indirect influences of legality are also considered,</w:t>
      </w:r>
      <w:r w:rsidRPr="0014281F">
        <w:t xml:space="preserve"> </w:t>
      </w:r>
      <w:r>
        <w:t>legal status</w:t>
      </w:r>
      <w:r w:rsidRPr="0014281F">
        <w:t xml:space="preserve"> </w:t>
      </w:r>
      <w:r>
        <w:t xml:space="preserve">appears </w:t>
      </w:r>
      <w:r w:rsidRPr="0014281F">
        <w:t xml:space="preserve">important to </w:t>
      </w:r>
      <w:r>
        <w:t xml:space="preserve">many, if not most, </w:t>
      </w:r>
      <w:r w:rsidRPr="0014281F">
        <w:t>users.</w:t>
      </w:r>
      <w:r>
        <w:t xml:space="preserve"> Given the numerous indirect influences of legal status on people’s reasons for using NPS highlights a need for NPS interventions to carefully consider, and make explicit, their intended mechanism of change. This might help reduce the likelihood of interventions resulting in unintended negative consequences via alternative pathways or successful intervention outcomes being erroneously attributed to less effective causal pathways.    </w:t>
      </w:r>
    </w:p>
    <w:p w14:paraId="3209491A" w14:textId="77777777" w:rsidR="00443002" w:rsidRPr="00CC590B" w:rsidRDefault="00443002" w:rsidP="00443002">
      <w:pPr>
        <w:spacing w:line="480" w:lineRule="auto"/>
        <w:rPr>
          <w:i/>
        </w:rPr>
      </w:pPr>
      <w:r>
        <w:rPr>
          <w:i/>
        </w:rPr>
        <w:t xml:space="preserve">Age/drug experience </w:t>
      </w:r>
      <w:r>
        <w:rPr>
          <w:i/>
        </w:rPr>
        <w:br/>
      </w:r>
      <w:r>
        <w:t xml:space="preserve">Analyses of study outcomes by the age range of the samples used revealed that age may be an important modifier of people’s reasons for using NPS. Although it appears that to some extent, the relationship between age and NPS use is mediated by people’s level of drug experience. </w:t>
      </w:r>
    </w:p>
    <w:p w14:paraId="2946457C" w14:textId="0340FE2F" w:rsidR="00443002" w:rsidRDefault="00443002" w:rsidP="00443002">
      <w:pPr>
        <w:spacing w:line="480" w:lineRule="auto"/>
      </w:pPr>
      <w:r>
        <w:t>Within the studies reviewed, young people were typically characterised as drug-naïve, that is they appeared to have little or no experience of drug use. Young/naïve users appeared to be more strongly associated with use of legal highs and more likely to perceive legally available branded products as safe, less potent and of higher quality. Young/naïve users were also seen as more likely to use headshops or convenience stores due to lack of connections with established drug-taking subcultures (</w:t>
      </w:r>
      <w:r w:rsidR="00460CFC">
        <w:t>D</w:t>
      </w:r>
      <w:r>
        <w:t>aly, 2013; DrugScope 2013; 2014</w:t>
      </w:r>
      <w:r w:rsidR="00460CFC">
        <w:t>;</w:t>
      </w:r>
      <w:r w:rsidR="00460CFC" w:rsidRPr="00460CFC">
        <w:t xml:space="preserve"> </w:t>
      </w:r>
      <w:r w:rsidR="00460CFC">
        <w:t>Measham, 2016</w:t>
      </w:r>
      <w:r>
        <w:t xml:space="preserve">). </w:t>
      </w:r>
    </w:p>
    <w:p w14:paraId="6F63F70F" w14:textId="77777777" w:rsidR="003D4E79" w:rsidRDefault="003D4E79" w:rsidP="00443002">
      <w:pPr>
        <w:spacing w:line="480" w:lineRule="auto"/>
      </w:pPr>
    </w:p>
    <w:p w14:paraId="07E47420" w14:textId="002E380F" w:rsidR="00443002" w:rsidRDefault="00443002" w:rsidP="00443002">
      <w:pPr>
        <w:spacing w:line="480" w:lineRule="auto"/>
      </w:pPr>
      <w:r>
        <w:t>Older users, however, tended to be characterised as more experienced drug users, seasoned clubbers and psychonauts (</w:t>
      </w:r>
      <w:r w:rsidR="00460CFC">
        <w:t xml:space="preserve">Measham et al., 2010; Newcombe; 2009; </w:t>
      </w:r>
      <w:r>
        <w:t>Van Hout &amp; Brennan, 2011). Older/experienced users were thought to be less likely to connect legal status with safety, despite considering branded products to be of higher quality than traditional illicit drugs (Corazza et al., 2014; Norman et al., 2014</w:t>
      </w:r>
      <w:r w:rsidRPr="009D6E13">
        <w:t>)</w:t>
      </w:r>
      <w:r>
        <w:t>. To experienced drug users, safety was linked with drug quality and context of use rather than legal status, with users preferring to rely on their own judgement to assess safety (McElrath &amp; O’Neill, 2011;</w:t>
      </w:r>
      <w:r w:rsidRPr="00D0053E">
        <w:t xml:space="preserve"> </w:t>
      </w:r>
      <w:r>
        <w:t>Van Hout &amp; Brennan, 2011).</w:t>
      </w:r>
      <w:r w:rsidR="00590C20" w:rsidRPr="00590C20">
        <w:t xml:space="preserve"> </w:t>
      </w:r>
      <w:r w:rsidR="00590C20">
        <w:t>Older, more experienced users were described as more aware of the risks of NPS use, more careful in their dosing and more likely to engage in harm reduction practices.</w:t>
      </w:r>
      <w:r>
        <w:br/>
      </w:r>
      <w:r w:rsidR="00590C20">
        <w:t>In contrast</w:t>
      </w:r>
      <w:r w:rsidR="00125D65">
        <w:t>,</w:t>
      </w:r>
      <w:r>
        <w:t xml:space="preserve"> less experienced users were described as more reckless in their attitude toward consumption and use of harm-reduction strategies. </w:t>
      </w:r>
    </w:p>
    <w:p w14:paraId="6247AD70" w14:textId="77777777" w:rsidR="00443002" w:rsidRDefault="00443002" w:rsidP="00443002">
      <w:pPr>
        <w:spacing w:line="480" w:lineRule="auto"/>
      </w:pPr>
      <w:r>
        <w:t xml:space="preserve"> NPS-focused interventions need to be sensitive to age and level of drug-experience as the different attitudes and beliefs of young/naïve and older/experienced populations are likely to have differential effects on intervention outcomes. The strong bias in the NPS evidence-base toward experienced drug users needs to be redressed if interventions suitable for young/naïve groups are to be optimally effective. </w:t>
      </w:r>
    </w:p>
    <w:p w14:paraId="72D59C44" w14:textId="77777777" w:rsidR="00443002" w:rsidRPr="00CC590B" w:rsidRDefault="00443002" w:rsidP="00443002">
      <w:pPr>
        <w:spacing w:line="480" w:lineRule="auto"/>
        <w:rPr>
          <w:i/>
        </w:rPr>
      </w:pPr>
      <w:r>
        <w:rPr>
          <w:i/>
        </w:rPr>
        <w:t>Type of drug use</w:t>
      </w:r>
      <w:r>
        <w:rPr>
          <w:i/>
        </w:rPr>
        <w:br/>
      </w:r>
      <w:r w:rsidRPr="001A7C60">
        <w:t>The</w:t>
      </w:r>
      <w:r>
        <w:t xml:space="preserve"> type of drug use also shows evidence of being an important modifier of peoples’ reasons for using NPS. While the profile of recreational users’ reasons for using NPS was consistent with overall trends, problem-drug users were more strongly associated with use of NPS for legal reasons and the avoidance of positive drug tests.  </w:t>
      </w:r>
    </w:p>
    <w:p w14:paraId="07D8E334" w14:textId="3306D974" w:rsidR="00443002" w:rsidRDefault="00443002" w:rsidP="00443002">
      <w:pPr>
        <w:spacing w:line="480" w:lineRule="auto"/>
      </w:pPr>
      <w:r>
        <w:t xml:space="preserve">While quality-based reasons appeared to be less relevant to problem-drug users, the quality of NPS appeared to be reasonably important to recreational drug users. The link between recreational use and quality is consistent with the observation that the growth of the NPS </w:t>
      </w:r>
      <w:r w:rsidRPr="00055EC2">
        <w:t>market was partially fuelled by drops in the purity of the popular party drugs ecstasy and cocaine, and the widespread marketing of NPS as a high</w:t>
      </w:r>
      <w:r w:rsidR="00125D65">
        <w:t>-</w:t>
      </w:r>
      <w:r w:rsidRPr="00055EC2">
        <w:t>quality alternative (</w:t>
      </w:r>
      <w:r w:rsidR="00015283" w:rsidRPr="001D5280">
        <w:rPr>
          <w:szCs w:val="28"/>
          <w:lang w:val="en-US"/>
        </w:rPr>
        <w:t xml:space="preserve">Carhart Harris &amp; Nutt 2011; </w:t>
      </w:r>
      <w:r w:rsidRPr="00055EC2">
        <w:rPr>
          <w:szCs w:val="28"/>
        </w:rPr>
        <w:t>Measham</w:t>
      </w:r>
      <w:r w:rsidRPr="001D5280">
        <w:rPr>
          <w:szCs w:val="28"/>
        </w:rPr>
        <w:t xml:space="preserve"> et al</w:t>
      </w:r>
      <w:r>
        <w:rPr>
          <w:szCs w:val="28"/>
        </w:rPr>
        <w:t>.</w:t>
      </w:r>
      <w:r w:rsidRPr="001D5280">
        <w:rPr>
          <w:szCs w:val="28"/>
        </w:rPr>
        <w:t>, 2010;</w:t>
      </w:r>
      <w:r w:rsidRPr="001D5280">
        <w:rPr>
          <w:szCs w:val="28"/>
          <w:lang w:val="en-US"/>
        </w:rPr>
        <w:t xml:space="preserve"> </w:t>
      </w:r>
      <w:r w:rsidRPr="001D5280">
        <w:rPr>
          <w:szCs w:val="28"/>
        </w:rPr>
        <w:t>Winstock et al., 2010).</w:t>
      </w:r>
    </w:p>
    <w:p w14:paraId="2690F72B" w14:textId="77777777" w:rsidR="00443002" w:rsidRPr="005C4AA6" w:rsidRDefault="00443002" w:rsidP="00443002">
      <w:pPr>
        <w:spacing w:line="480" w:lineRule="auto"/>
      </w:pPr>
      <w:r>
        <w:t>While problem-drug users are only a minority, the disproportionate burden of harm associated with this group can lead to an over-emphasis on this group of users. It is important to be aware that the motivations of problem-drug users may differ significantly to other groups and for interventionists targeting recreational use to check that their assumptions about people’s motives are not informed by studies based on problem-drug use.</w:t>
      </w:r>
    </w:p>
    <w:p w14:paraId="2266E5B8" w14:textId="28D107C1" w:rsidR="00443002" w:rsidRPr="00CC590B" w:rsidRDefault="00443002" w:rsidP="00443002">
      <w:pPr>
        <w:spacing w:line="480" w:lineRule="auto"/>
        <w:rPr>
          <w:i/>
        </w:rPr>
      </w:pPr>
      <w:r>
        <w:rPr>
          <w:i/>
        </w:rPr>
        <w:t>Type of substance</w:t>
      </w:r>
      <w:r>
        <w:rPr>
          <w:i/>
        </w:rPr>
        <w:br/>
      </w:r>
      <w:r>
        <w:t xml:space="preserve">Compared to the overall sample, within the studies that examined the broad category of legal highs/NPS rather than specific substances, the salience of safety perceptions as a reason for use appeared greater. Users of branded legal high products were more likely to </w:t>
      </w:r>
      <w:r w:rsidRPr="003C78CD">
        <w:t>assume that</w:t>
      </w:r>
      <w:r>
        <w:t xml:space="preserve"> they were safe </w:t>
      </w:r>
      <w:r w:rsidRPr="003C78CD">
        <w:t xml:space="preserve">because </w:t>
      </w:r>
      <w:r>
        <w:t>they</w:t>
      </w:r>
      <w:r w:rsidRPr="003C78CD">
        <w:t xml:space="preserve"> were legal and readily available</w:t>
      </w:r>
      <w:r>
        <w:t xml:space="preserve">, and that this was particularly true for novice users. Although only one of the studies examining </w:t>
      </w:r>
      <w:r w:rsidR="00125D65">
        <w:t xml:space="preserve">the </w:t>
      </w:r>
      <w:r>
        <w:t>use of legal highs/NPS focused exclusively on young people, naïve drug users were a central focus of concern within the legal high/NPS based studies. This reinforces the premise that a person’s level of drug experience influences perceptions of safety as the greater emphasis on</w:t>
      </w:r>
      <w:r w:rsidRPr="009211E1">
        <w:t xml:space="preserve"> safety-based reasons for both users of legal highs/NPS and younger users may reflect the influence of novice drug users</w:t>
      </w:r>
      <w:r>
        <w:t xml:space="preserve">. The greater inclusion of novice users in the studies examining legal highs/NPS may also account for why curiosity was more relevant to legal highs/NPS than studies focused on specific drug types, as these samples may have been more strongly linked to drug initiation. </w:t>
      </w:r>
    </w:p>
    <w:p w14:paraId="6087870E" w14:textId="77777777" w:rsidR="00443002" w:rsidRDefault="00443002" w:rsidP="00443002">
      <w:pPr>
        <w:spacing w:line="480" w:lineRule="auto"/>
      </w:pPr>
      <w:r>
        <w:t>In contrast, studies exploring people’s reasons for using specific types of NPS, such as synthetic cannabinoids and cathinones, did not highlight safety reasons as especially important</w:t>
      </w:r>
      <w:r w:rsidRPr="00B73734">
        <w:t xml:space="preserve">. </w:t>
      </w:r>
      <w:r>
        <w:t>Studies focusing on specific named substances tended to draw on samples of experienced drug users in drug treatment settings or through surveys targeted at clubbers and psychonauts. For the</w:t>
      </w:r>
      <w:r w:rsidRPr="00B73734">
        <w:t xml:space="preserve"> communities of experienced recreational drug users</w:t>
      </w:r>
      <w:r>
        <w:t xml:space="preserve">, participants generally appeared quite well informed about NPS and less likely to associate legal status with </w:t>
      </w:r>
      <w:r w:rsidRPr="00EF64B1">
        <w:t>safety.</w:t>
      </w:r>
      <w:r>
        <w:t xml:space="preserve"> These users also appeared more</w:t>
      </w:r>
      <w:r w:rsidRPr="00EF64B1">
        <w:t xml:space="preserve"> </w:t>
      </w:r>
      <w:r>
        <w:t xml:space="preserve">strongly associated with substitution of NPS as an alternative to illicit drugs, with NPS forming part of an interchangeable repertoire of party drugs. </w:t>
      </w:r>
    </w:p>
    <w:p w14:paraId="4A54FB4D" w14:textId="760A6D23" w:rsidR="00443002" w:rsidRPr="00CC590B" w:rsidRDefault="00443002" w:rsidP="00443002">
      <w:pPr>
        <w:spacing w:line="480" w:lineRule="auto"/>
        <w:rPr>
          <w:i/>
        </w:rPr>
      </w:pPr>
      <w:r>
        <w:rPr>
          <w:i/>
        </w:rPr>
        <w:t>Setting</w:t>
      </w:r>
      <w:r>
        <w:rPr>
          <w:i/>
        </w:rPr>
        <w:br/>
      </w:r>
      <w:r>
        <w:t>The link between problem-drug use and legal reasons drew attention to the importance of the context of drug use, as the prioritisation of legal reasons appears to be related to contexts in which drug testing is often mandatory. As legal status is a defining feature of NPS, differences in the legal context of use</w:t>
      </w:r>
      <w:r w:rsidR="00125D65">
        <w:t>,</w:t>
      </w:r>
      <w:r>
        <w:t xml:space="preserve"> such as the differing legal controls between countries</w:t>
      </w:r>
      <w:r w:rsidR="00125D65">
        <w:t>,</w:t>
      </w:r>
      <w:r>
        <w:t xml:space="preserve"> may have a significant impact on people’s NPS use. Interventionists should therefore be careful when drawing evidence from other countries during intervention development. Similarly, evidence</w:t>
      </w:r>
      <w:r w:rsidR="00125D65">
        <w:t>-</w:t>
      </w:r>
      <w:r>
        <w:t xml:space="preserve">based on samples in treatment settings may not be appropriate for interventions targeting recreational use. </w:t>
      </w:r>
    </w:p>
    <w:p w14:paraId="3939A34C" w14:textId="5814F67B" w:rsidR="00443002" w:rsidRPr="00CC590B" w:rsidRDefault="00443002" w:rsidP="00443002">
      <w:pPr>
        <w:spacing w:line="480" w:lineRule="auto"/>
        <w:rPr>
          <w:i/>
        </w:rPr>
      </w:pPr>
      <w:r>
        <w:rPr>
          <w:i/>
        </w:rPr>
        <w:t>Framing of the target behaviour</w:t>
      </w:r>
      <w:r>
        <w:rPr>
          <w:i/>
        </w:rPr>
        <w:br/>
      </w:r>
      <w:r>
        <w:t>A further consideration which may be important to interventionists are the differences between reasons for using NPS and reasons for avoiding NPS use. Currently</w:t>
      </w:r>
      <w:r w:rsidR="00125D65">
        <w:t>,</w:t>
      </w:r>
      <w:r>
        <w:t xml:space="preserve"> the majority of the evidence base is focused on reasons for use, but the primary influences encouraging use may not be the primacy influences which discourage use. Although the findings of this review suggest that reasons for non-use appear to be largely the inverse of some reasons for use, the influence of the type of reason (e.g. health/ pleasure /social) may vary considerably for the behavioural outcomes of taking and not-taking. Interventionists may need to consider the differential influence of reasons on performance and non-performance of the target behaviour, as the most prominent influences on </w:t>
      </w:r>
      <w:r w:rsidR="00125D65">
        <w:t xml:space="preserve">the </w:t>
      </w:r>
      <w:r>
        <w:t xml:space="preserve">use of NPS may not be the most effective targets for discouraging use. For example, in the studies examined here, risk perceptions were found to be a prominent reason for non-use, but the inverse, perceptions of safety, was noticeably less prominent as a reason for use. It is possible that for users, this reflects a lower concern for health rather than a lack of risk awareness.  </w:t>
      </w:r>
    </w:p>
    <w:p w14:paraId="733A6AC8" w14:textId="1F81A9B9" w:rsidR="00443002" w:rsidRDefault="00443002" w:rsidP="00C42A80">
      <w:pPr>
        <w:pStyle w:val="Heading3"/>
      </w:pPr>
      <w:bookmarkStart w:id="331" w:name="_Toc35892626"/>
      <w:r>
        <w:t>Strengths and limitations of the review</w:t>
      </w:r>
      <w:bookmarkEnd w:id="331"/>
    </w:p>
    <w:p w14:paraId="231F6222" w14:textId="77777777" w:rsidR="00443002" w:rsidRDefault="00443002" w:rsidP="00443002">
      <w:pPr>
        <w:spacing w:line="480" w:lineRule="auto"/>
      </w:pPr>
      <w:r w:rsidRPr="00117BBF">
        <w:t>T</w:t>
      </w:r>
      <w:r>
        <w:t xml:space="preserve">his review employed a systematic approach to locate appropriate studies for consideration. As a result, the studies included are likely to represent a greater proportion of the NPS evidence base than if a non-systematic approach had been used. Furthermore, by conducting sub-analyses of study characteristics, important modifiers of people’s NPS use/reasons for use were identified. </w:t>
      </w:r>
    </w:p>
    <w:p w14:paraId="0604865A" w14:textId="12433DC3" w:rsidR="00443002" w:rsidRDefault="00443002" w:rsidP="00443002">
      <w:pPr>
        <w:spacing w:line="480" w:lineRule="auto"/>
      </w:pPr>
      <w:r>
        <w:t xml:space="preserve">However, the review is subject to </w:t>
      </w:r>
      <w:r w:rsidR="00125D65">
        <w:t>several</w:t>
      </w:r>
      <w:r>
        <w:t xml:space="preserve"> limitations. Firstly, the problematic terminology around NPS is likely to have restricted the scope of the literature search as the full range of potential search terms was beyond the scope of this work. To some extent</w:t>
      </w:r>
      <w:r w:rsidR="00125D65">
        <w:t>,</w:t>
      </w:r>
      <w:r>
        <w:t xml:space="preserve"> this was addressed by complementing the database search with bibliographic searches of reference lists in order to identi</w:t>
      </w:r>
      <w:r w:rsidR="00125D65">
        <w:t>f</w:t>
      </w:r>
      <w:r>
        <w:t>y key papers in the field, but nevertheless</w:t>
      </w:r>
      <w:r w:rsidR="00125D65">
        <w:t>,</w:t>
      </w:r>
      <w:r>
        <w:t xml:space="preserve"> it is possible that some relevant papers will have been omitted.</w:t>
      </w:r>
    </w:p>
    <w:p w14:paraId="34B36E06" w14:textId="38A50CDA" w:rsidR="003D4E79" w:rsidRDefault="00443002" w:rsidP="00443002">
      <w:pPr>
        <w:spacing w:line="480" w:lineRule="auto"/>
      </w:pPr>
      <w:r>
        <w:t>While the field of NPS research is growing rapidly, it is not yet sufficiently mature to enable a narrow focus on the population of interest. Consequently, the range and types of studies included are quite broad which limits the extent to which comparisons can be made between studies. As the current research presented in this thesis is exploratory in nature</w:t>
      </w:r>
      <w:r w:rsidR="00125D65">
        <w:t>,</w:t>
      </w:r>
      <w:r>
        <w:t xml:space="preserve"> the inclusion of a broad range of studies is not necessarily a disadvantage as the wide scope has facilitated a broader overview than would have been possible with a more targeted review. However, as a result of the large variation in study types included, the method of analysis used was necessarily quite broad-stroke and some of the more subtle findings of the studies may not have received due attention. Although the review used a systematic approach to inclusion and coding, the level of detail within the studies varied greatly. Consequently, those studies which </w:t>
      </w:r>
    </w:p>
    <w:p w14:paraId="76A2CF8F" w14:textId="1AEE23EC" w:rsidR="00443002" w:rsidRDefault="00443002" w:rsidP="00443002">
      <w:pPr>
        <w:spacing w:line="480" w:lineRule="auto"/>
      </w:pPr>
      <w:r>
        <w:t>allowed a finer</w:t>
      </w:r>
      <w:r w:rsidR="00125D65">
        <w:t>-</w:t>
      </w:r>
      <w:r>
        <w:t xml:space="preserve">grained analysis are somewhat overrepresented in the review findings compared to those which were less detailed. </w:t>
      </w:r>
      <w:r w:rsidR="00125D65">
        <w:t>T</w:t>
      </w:r>
      <w:r>
        <w:t>o account for this difference in study complexity, the overview analysis of the themes was restricted to a single count per study, per theme, regardless of the study’s level of representation within the subcategories of a theme. Although this approach accommodated variations in study depth, some richness will inevitably have been lost. Similarly, the power of the studies was not taken into account, and consequently</w:t>
      </w:r>
      <w:r w:rsidR="00D63BBE">
        <w:t>,</w:t>
      </w:r>
      <w:r>
        <w:t xml:space="preserve"> the findings of surveys with hundreds of respondents were given equal weight to the findings of small-scale interview studies. </w:t>
      </w:r>
    </w:p>
    <w:p w14:paraId="5F0188E0" w14:textId="77777777" w:rsidR="00443002" w:rsidRDefault="00443002" w:rsidP="00443002">
      <w:pPr>
        <w:spacing w:line="480" w:lineRule="auto"/>
      </w:pPr>
      <w:r>
        <w:t xml:space="preserve">A further limitation of the review was that analysis was undertaken by a single reviewer who decided both the relevance of the studies and undertook the coding of the extracted data. The validity of the review method would have been strengthened by working with a second reviewer to develop and verify the coding categories.  In addition, the review did not attempt to assess the studies for quality and some of the studies included may be of low scientific robustness. In particular, several studies included were not sourced from peer-reviewed journals but instead from local councils and third sector sources. While some of these reports did not follow a formal scientific method, it should be noted that the quality of the third sector materials was generally good.     </w:t>
      </w:r>
    </w:p>
    <w:p w14:paraId="650B2AD5" w14:textId="78770BDC" w:rsidR="003D4E79" w:rsidRPr="00117BBF" w:rsidRDefault="00443002" w:rsidP="00443002">
      <w:pPr>
        <w:spacing w:line="480" w:lineRule="auto"/>
      </w:pPr>
      <w:r>
        <w:t xml:space="preserve">The wide variation of the contexts and samples of the studies limits the extent to which the findings are generalisable to young people in the UK. Due to limitations of reporting and study coverage it was not possible to conduct moderator analyses for several factors known to influence drug use such as gender, education, socio-economic status, employment and history of mental illness. </w:t>
      </w:r>
    </w:p>
    <w:p w14:paraId="1013BACB" w14:textId="7A1E37CF" w:rsidR="00443002" w:rsidRDefault="00443002" w:rsidP="00C42A80">
      <w:pPr>
        <w:pStyle w:val="Heading3"/>
      </w:pPr>
      <w:bookmarkStart w:id="332" w:name="_Toc35892627"/>
      <w:r>
        <w:t>Conclusions</w:t>
      </w:r>
      <w:bookmarkEnd w:id="332"/>
    </w:p>
    <w:p w14:paraId="7B73350F" w14:textId="77777777" w:rsidR="003D4E79" w:rsidRDefault="00443002" w:rsidP="00443002">
      <w:pPr>
        <w:spacing w:line="480" w:lineRule="auto"/>
      </w:pPr>
      <w:r w:rsidRPr="00C66171">
        <w:t>The findings</w:t>
      </w:r>
      <w:r>
        <w:t xml:space="preserve"> of this review</w:t>
      </w:r>
      <w:r w:rsidRPr="00C66171">
        <w:t xml:space="preserve"> indicate that important influences on people’s reasons for using </w:t>
      </w:r>
    </w:p>
    <w:p w14:paraId="5FF1C18E" w14:textId="3CE4D7A5" w:rsidR="00443002" w:rsidRPr="00C66171" w:rsidRDefault="00443002" w:rsidP="00443002">
      <w:pPr>
        <w:spacing w:line="480" w:lineRule="auto"/>
      </w:pPr>
      <w:r w:rsidRPr="00C66171">
        <w:t xml:space="preserve">NPS which may need to be considered by interventionists are; the type and quality of the </w:t>
      </w:r>
      <w:r>
        <w:t>NPS</w:t>
      </w:r>
      <w:r w:rsidRPr="00C66171">
        <w:t xml:space="preserve">; </w:t>
      </w:r>
      <w:r>
        <w:t>the type of use</w:t>
      </w:r>
      <w:r w:rsidRPr="00C66171">
        <w:t>; the setting of use</w:t>
      </w:r>
      <w:r>
        <w:t>; legal status; market factors such as price and availability; and</w:t>
      </w:r>
      <w:r w:rsidRPr="00C66171">
        <w:t xml:space="preserve"> </w:t>
      </w:r>
      <w:r>
        <w:t xml:space="preserve">the framing of the target behaviour. </w:t>
      </w:r>
      <w:r w:rsidRPr="00C66171">
        <w:t xml:space="preserve">Also, important modifiers of </w:t>
      </w:r>
      <w:r>
        <w:t xml:space="preserve">peoples’ </w:t>
      </w:r>
      <w:r w:rsidRPr="00C66171">
        <w:t xml:space="preserve">reasons for use maybe age and/or amount of previous drug experience. </w:t>
      </w:r>
      <w:r>
        <w:t>The review also highlighted a strong potential for displacement between substances.</w:t>
      </w:r>
    </w:p>
    <w:p w14:paraId="589B4D2F" w14:textId="77777777" w:rsidR="00443002" w:rsidRPr="00C66171" w:rsidRDefault="00443002" w:rsidP="00443002">
      <w:pPr>
        <w:spacing w:line="480" w:lineRule="auto"/>
      </w:pPr>
      <w:r w:rsidRPr="00C66171">
        <w:t>Although legal reasons for</w:t>
      </w:r>
      <w:r>
        <w:t xml:space="preserve"> using</w:t>
      </w:r>
      <w:r w:rsidRPr="00C66171">
        <w:t xml:space="preserve"> NPS use </w:t>
      </w:r>
      <w:r>
        <w:t>appear</w:t>
      </w:r>
      <w:r w:rsidRPr="00C66171">
        <w:t xml:space="preserve"> less </w:t>
      </w:r>
      <w:r>
        <w:t>prominent</w:t>
      </w:r>
      <w:r w:rsidRPr="00C66171">
        <w:t xml:space="preserve"> in UK-based studies than those outside of Europe and the UK, there were indications that legal status had a strong indirect influence on reasons for NPS use via accessib</w:t>
      </w:r>
      <w:r>
        <w:t>i</w:t>
      </w:r>
      <w:r w:rsidRPr="00C66171">
        <w:t>l</w:t>
      </w:r>
      <w:r>
        <w:t>i</w:t>
      </w:r>
      <w:r w:rsidRPr="00C66171">
        <w:t xml:space="preserve">ty, perceptions of safety and drug quality, all of which appear to be primary drivers for NPS use in young populations. Given that perceptions of safety were especially relevant to young people, inventions targeting the NPS use of young people in the UK will need to account specifically for the influence of legal status and cannot therefore assume that interventions designed to address illicit drugs will be appropriate for use with NPS. </w:t>
      </w:r>
    </w:p>
    <w:p w14:paraId="2BF40C19" w14:textId="6CBBDBF1" w:rsidR="00F457D8" w:rsidRDefault="00443002" w:rsidP="00443002">
      <w:pPr>
        <w:spacing w:line="480" w:lineRule="auto"/>
      </w:pPr>
      <w:r w:rsidRPr="00C66171">
        <w:t>Th</w:t>
      </w:r>
      <w:r>
        <w:t>e</w:t>
      </w:r>
      <w:r w:rsidRPr="00C66171">
        <w:t xml:space="preserve"> review found that the majority of studies </w:t>
      </w:r>
      <w:r>
        <w:t>in the evidence base</w:t>
      </w:r>
      <w:r w:rsidRPr="00C66171">
        <w:t xml:space="preserve"> focus</w:t>
      </w:r>
      <w:r>
        <w:t>ed</w:t>
      </w:r>
      <w:r w:rsidRPr="00C66171">
        <w:t xml:space="preserve"> on experienced drug users’</w:t>
      </w:r>
      <w:r>
        <w:t xml:space="preserve"> reasons for taking NPS</w:t>
      </w:r>
      <w:r w:rsidRPr="00C66171">
        <w:t>. Few studies focus</w:t>
      </w:r>
      <w:r>
        <w:t>ed</w:t>
      </w:r>
      <w:r w:rsidRPr="00C66171">
        <w:t xml:space="preserve"> on the motives of drug naïve populations, and few exclusively on young people. </w:t>
      </w:r>
      <w:r>
        <w:t xml:space="preserve">In addition, relatively few studies examined why people avoid using NPS. </w:t>
      </w:r>
      <w:r w:rsidRPr="00C66171">
        <w:t xml:space="preserve">There are currently no studies which </w:t>
      </w:r>
      <w:r>
        <w:t xml:space="preserve">have </w:t>
      </w:r>
      <w:r w:rsidRPr="00C66171">
        <w:t>investigate</w:t>
      </w:r>
      <w:r>
        <w:t>d</w:t>
      </w:r>
      <w:r w:rsidRPr="00C66171">
        <w:t xml:space="preserve"> why young people in the UK use </w:t>
      </w:r>
      <w:r>
        <w:t xml:space="preserve">or do not use </w:t>
      </w:r>
      <w:r w:rsidRPr="00C66171">
        <w:t xml:space="preserve">‘legal highs’ although several UK based studies include young people in their samples. There is a clear need for more research examining </w:t>
      </w:r>
      <w:r>
        <w:t xml:space="preserve">young people specifically, and in particular, young people who are not experienced drug users. Furthermore, by the emphasising the link between young/naïve drug users and perceptions of safety around NPS, the findings of this review suggest that young, novice users of NPS may be at particular risk of harm and therefore the need to address this gap in the knowledge-base is pressing. </w:t>
      </w:r>
    </w:p>
    <w:p w14:paraId="7DF1A9E7" w14:textId="77777777" w:rsidR="00F457D8" w:rsidRDefault="00F457D8">
      <w:r>
        <w:br w:type="page"/>
      </w:r>
    </w:p>
    <w:p w14:paraId="6FADD582" w14:textId="77777777" w:rsidR="002A0CCA" w:rsidRDefault="002A0CCA" w:rsidP="00443002">
      <w:pPr>
        <w:spacing w:line="480" w:lineRule="auto"/>
        <w:sectPr w:rsidR="002A0CCA" w:rsidSect="009266A2">
          <w:headerReference w:type="default" r:id="rId62"/>
          <w:headerReference w:type="first" r:id="rId63"/>
          <w:footerReference w:type="first" r:id="rId64"/>
          <w:pgSz w:w="11900" w:h="16840"/>
          <w:pgMar w:top="1418" w:right="1418" w:bottom="851" w:left="1418" w:header="709" w:footer="709" w:gutter="0"/>
          <w:cols w:space="708"/>
          <w:docGrid w:linePitch="360"/>
        </w:sectPr>
      </w:pPr>
    </w:p>
    <w:p w14:paraId="3C7E621D" w14:textId="51C748D7" w:rsidR="00E808F1" w:rsidRDefault="00E808F1" w:rsidP="00E808F1">
      <w:pPr>
        <w:pStyle w:val="Heading1"/>
        <w:ind w:left="432"/>
      </w:pPr>
      <w:bookmarkStart w:id="333" w:name="_Toc35892628"/>
      <w:r>
        <w:t>Overview of research design</w:t>
      </w:r>
      <w:bookmarkEnd w:id="333"/>
    </w:p>
    <w:p w14:paraId="5786C4A8" w14:textId="77777777" w:rsidR="00E808F1" w:rsidRPr="008264CD" w:rsidRDefault="00E808F1" w:rsidP="00E808F1"/>
    <w:p w14:paraId="68333DDE" w14:textId="0F666B96" w:rsidR="00E808F1" w:rsidRDefault="00E808F1" w:rsidP="00E808F1">
      <w:pPr>
        <w:pStyle w:val="Heading2"/>
        <w:spacing w:line="480" w:lineRule="auto"/>
        <w:ind w:left="567"/>
      </w:pPr>
      <w:bookmarkStart w:id="334" w:name="_Toc365537979"/>
      <w:bookmarkStart w:id="335" w:name="_Toc35892629"/>
      <w:r w:rsidRPr="008264CD">
        <w:t>Introductio</w:t>
      </w:r>
      <w:bookmarkEnd w:id="334"/>
      <w:r w:rsidRPr="008264CD">
        <w:t>n</w:t>
      </w:r>
      <w:bookmarkEnd w:id="335"/>
    </w:p>
    <w:p w14:paraId="67EC7BB1" w14:textId="21A95DB2" w:rsidR="004B7856" w:rsidRDefault="00E808F1" w:rsidP="00E808F1">
      <w:pPr>
        <w:spacing w:line="480" w:lineRule="auto"/>
      </w:pPr>
      <w:r>
        <w:t xml:space="preserve">This chapter sets out a programme of empirical research designed to support the overarching aim of the project, i.e., to inform the development of behaviour change interventions </w:t>
      </w:r>
      <w:r w:rsidR="004B7856">
        <w:t>that</w:t>
      </w:r>
      <w:r>
        <w:t xml:space="preserve"> address young people’s use of NPS. </w:t>
      </w:r>
      <w:r w:rsidR="004B7856">
        <w:t xml:space="preserve">The chapter provides an overview of the research design and theoretical background supporting a series of the studies and a description of the analytical approaches employed in each study. A report of the implementation and findings of each study is presented in the three chapters that follow: Study 1 (Chapter 5), Study 2 (Chapter 6) and Study 3 (Chapter 7). </w:t>
      </w:r>
    </w:p>
    <w:p w14:paraId="7AE5F496" w14:textId="77777777" w:rsidR="00E808F1" w:rsidRDefault="00E808F1" w:rsidP="00E808F1">
      <w:pPr>
        <w:spacing w:line="480" w:lineRule="auto"/>
      </w:pPr>
      <w:r>
        <w:t xml:space="preserve">To develop effective behaviour change interventions, it is important to understand the motivations which drive the behaviour. </w:t>
      </w:r>
      <w:bookmarkStart w:id="336" w:name="_Hlk7611125"/>
      <w:r>
        <w:t xml:space="preserve">However, a search of the literature found no studies reporting on young people’s motives for using NPS in the UK that were not predominantly focused on experienced drug users. It was also noted that, within the literature, people’s reasons for using NPS generally received much greater attention than their reasons for not using NPS. Addressing these gaps in the literature were important objectives of the present research project. </w:t>
      </w:r>
    </w:p>
    <w:bookmarkEnd w:id="336"/>
    <w:p w14:paraId="62E52211" w14:textId="0DC78C45" w:rsidR="00E808F1" w:rsidRDefault="00E808F1" w:rsidP="00E808F1">
      <w:pPr>
        <w:spacing w:line="480" w:lineRule="auto"/>
      </w:pPr>
      <w:r>
        <w:t xml:space="preserve">In addition to addressing the gaps in the literature, the present research was also guided by the aim of integrating the use of theory with intervention design as theory-based interventions have been found to be effective and have received strong support in drug prevention guidelines (see Chapter 3). As there are several existing social cognitive models that have shown to be useful in other contexts, the present research aims to assess the suitability of these models for explaining young people’s NPS behaviour. </w:t>
      </w:r>
    </w:p>
    <w:p w14:paraId="3B5CE472" w14:textId="77777777" w:rsidR="003D4E79" w:rsidRDefault="003D4E79" w:rsidP="00E808F1">
      <w:pPr>
        <w:spacing w:line="480" w:lineRule="auto"/>
      </w:pPr>
    </w:p>
    <w:p w14:paraId="6691ADB6" w14:textId="7657AA7D" w:rsidR="00E808F1" w:rsidRDefault="00E808F1" w:rsidP="00E808F1">
      <w:pPr>
        <w:spacing w:line="480" w:lineRule="auto"/>
      </w:pPr>
      <w:r>
        <w:t xml:space="preserve">Another important function of the present research was to support the aim of developing intervention approaches that are relevant and acceptable to the target population (see Chapter 1). Interventions that are more acceptable to the target population are likely to be more ethical and are also more likely to have better uptake and be more sustainable (ACMD, 2015; NICE, 2017; UNODC &amp; WHO, 2018). While the overriding aim of the present research was to inform intervention design, the research took place across the time period when the PS Act was implemented, which presented a significant change to the context of NPS use and a unique opportunity to observe the impact of a real-world intervention on young people’s beliefs and attitudes around NPS. Therefore, another important objective of the present research was to investigate the extent to which implementation of the PS Act affected young people’s perceptions about NPS. </w:t>
      </w:r>
    </w:p>
    <w:p w14:paraId="7DC1FE33" w14:textId="6FD86749" w:rsidR="00E808F1" w:rsidRPr="00E808F1" w:rsidRDefault="00E808F1" w:rsidP="00835A06">
      <w:pPr>
        <w:pStyle w:val="Heading2"/>
      </w:pPr>
      <w:bookmarkStart w:id="337" w:name="_Toc35892630"/>
      <w:r w:rsidRPr="00E808F1">
        <w:t>Research questions</w:t>
      </w:r>
      <w:bookmarkEnd w:id="337"/>
      <w:r w:rsidRPr="00E808F1">
        <w:br/>
      </w:r>
    </w:p>
    <w:p w14:paraId="1641D7A0" w14:textId="77777777" w:rsidR="00E808F1" w:rsidRDefault="00E808F1" w:rsidP="00C92BD2">
      <w:pPr>
        <w:pStyle w:val="ListParagraph"/>
        <w:numPr>
          <w:ilvl w:val="0"/>
          <w:numId w:val="40"/>
        </w:numPr>
        <w:spacing w:line="480" w:lineRule="auto"/>
      </w:pPr>
      <w:r w:rsidRPr="0033479F">
        <w:t>Why do young people use NPS?</w:t>
      </w:r>
    </w:p>
    <w:p w14:paraId="76F9DA95" w14:textId="77777777" w:rsidR="00E808F1" w:rsidRDefault="00E808F1" w:rsidP="00C92BD2">
      <w:pPr>
        <w:pStyle w:val="ListParagraph"/>
        <w:numPr>
          <w:ilvl w:val="1"/>
          <w:numId w:val="40"/>
        </w:numPr>
        <w:spacing w:line="480" w:lineRule="auto"/>
      </w:pPr>
      <w:r w:rsidRPr="0033479F">
        <w:t xml:space="preserve">What </w:t>
      </w:r>
      <w:r>
        <w:t xml:space="preserve">salient </w:t>
      </w:r>
      <w:r w:rsidRPr="0033479F">
        <w:t xml:space="preserve">beliefs </w:t>
      </w:r>
      <w:r>
        <w:t>do young people</w:t>
      </w:r>
      <w:r w:rsidRPr="0033479F">
        <w:t xml:space="preserve"> hold about NPS?</w:t>
      </w:r>
    </w:p>
    <w:p w14:paraId="6A436E94" w14:textId="77777777" w:rsidR="00E808F1" w:rsidRPr="0033479F" w:rsidRDefault="00E808F1" w:rsidP="00C92BD2">
      <w:pPr>
        <w:pStyle w:val="ListParagraph"/>
        <w:numPr>
          <w:ilvl w:val="1"/>
          <w:numId w:val="40"/>
        </w:numPr>
        <w:spacing w:line="360" w:lineRule="auto"/>
      </w:pPr>
      <w:r w:rsidRPr="00DA0795">
        <w:t xml:space="preserve">What </w:t>
      </w:r>
      <w:r>
        <w:t>are young people’s</w:t>
      </w:r>
      <w:r w:rsidRPr="00DA0795">
        <w:t xml:space="preserve"> mot</w:t>
      </w:r>
      <w:r>
        <w:t>ives and reasons</w:t>
      </w:r>
      <w:r w:rsidRPr="00DA0795">
        <w:t xml:space="preserve"> </w:t>
      </w:r>
      <w:r>
        <w:t>for</w:t>
      </w:r>
      <w:r w:rsidRPr="00DA0795">
        <w:t xml:space="preserve"> us</w:t>
      </w:r>
      <w:r>
        <w:t xml:space="preserve">ing </w:t>
      </w:r>
      <w:r w:rsidRPr="00DA0795">
        <w:t xml:space="preserve">or </w:t>
      </w:r>
      <w:r>
        <w:rPr>
          <w:rStyle w:val="NotesstructureChar"/>
          <w:color w:val="auto"/>
        </w:rPr>
        <w:t>not</w:t>
      </w:r>
      <w:r w:rsidRPr="00EB45CC">
        <w:rPr>
          <w:rStyle w:val="NotesstructureChar"/>
          <w:color w:val="auto"/>
        </w:rPr>
        <w:t xml:space="preserve"> using</w:t>
      </w:r>
      <w:r w:rsidRPr="00DA0795">
        <w:t xml:space="preserve"> NPS?</w:t>
      </w:r>
      <w:r>
        <w:br/>
      </w:r>
    </w:p>
    <w:p w14:paraId="37F605B3" w14:textId="77777777" w:rsidR="00E808F1" w:rsidRDefault="00E808F1" w:rsidP="00C92BD2">
      <w:pPr>
        <w:pStyle w:val="ListParagraph"/>
        <w:numPr>
          <w:ilvl w:val="0"/>
          <w:numId w:val="40"/>
        </w:numPr>
        <w:spacing w:line="480" w:lineRule="auto"/>
      </w:pPr>
      <w:r w:rsidRPr="0033479F">
        <w:t xml:space="preserve">To what extent has </w:t>
      </w:r>
      <w:r>
        <w:t>implementation of the PS Act</w:t>
      </w:r>
      <w:r w:rsidRPr="0033479F">
        <w:t xml:space="preserve"> </w:t>
      </w:r>
      <w:r>
        <w:t>affected:</w:t>
      </w:r>
    </w:p>
    <w:p w14:paraId="74456703" w14:textId="77777777" w:rsidR="00E808F1" w:rsidRDefault="00E808F1" w:rsidP="00C92BD2">
      <w:pPr>
        <w:pStyle w:val="ListParagraph"/>
        <w:numPr>
          <w:ilvl w:val="1"/>
          <w:numId w:val="40"/>
        </w:numPr>
        <w:spacing w:line="480" w:lineRule="auto"/>
      </w:pPr>
      <w:r>
        <w:t>Young people’s</w:t>
      </w:r>
      <w:r w:rsidRPr="0033479F">
        <w:t xml:space="preserve"> beliefs </w:t>
      </w:r>
      <w:r>
        <w:t xml:space="preserve">about NPS? </w:t>
      </w:r>
    </w:p>
    <w:p w14:paraId="258DC6C4" w14:textId="77777777" w:rsidR="00E808F1" w:rsidRDefault="00E808F1" w:rsidP="00C92BD2">
      <w:pPr>
        <w:pStyle w:val="ListParagraph"/>
        <w:numPr>
          <w:ilvl w:val="1"/>
          <w:numId w:val="40"/>
        </w:numPr>
        <w:spacing w:line="360" w:lineRule="auto"/>
      </w:pPr>
      <w:r>
        <w:t xml:space="preserve">Young people’s </w:t>
      </w:r>
      <w:r w:rsidRPr="0033479F">
        <w:t>motivations</w:t>
      </w:r>
      <w:r>
        <w:t xml:space="preserve"> and reasons for using or not using NPS</w:t>
      </w:r>
      <w:r w:rsidRPr="0033479F">
        <w:t>?</w:t>
      </w:r>
      <w:r>
        <w:br/>
      </w:r>
    </w:p>
    <w:p w14:paraId="4B0F1D9A" w14:textId="77777777" w:rsidR="00E808F1" w:rsidRDefault="00E808F1" w:rsidP="00C92BD2">
      <w:pPr>
        <w:pStyle w:val="ListParagraph"/>
        <w:numPr>
          <w:ilvl w:val="0"/>
          <w:numId w:val="40"/>
        </w:numPr>
        <w:spacing w:line="480" w:lineRule="auto"/>
      </w:pPr>
      <w:r>
        <w:t>What approach to NPS intervention do young people think is suitable and acceptable?</w:t>
      </w:r>
    </w:p>
    <w:p w14:paraId="1DEF72F7" w14:textId="77777777" w:rsidR="00E808F1" w:rsidRDefault="00E808F1" w:rsidP="00E808F1">
      <w:pPr>
        <w:pStyle w:val="ListParagraph"/>
        <w:spacing w:line="480" w:lineRule="auto"/>
      </w:pPr>
    </w:p>
    <w:p w14:paraId="061A354A" w14:textId="5E478847" w:rsidR="00E808F1" w:rsidRDefault="00E808F1" w:rsidP="00C92BD2">
      <w:pPr>
        <w:pStyle w:val="ListParagraph"/>
        <w:numPr>
          <w:ilvl w:val="0"/>
          <w:numId w:val="40"/>
        </w:numPr>
        <w:spacing w:line="480" w:lineRule="auto"/>
      </w:pPr>
      <w:r>
        <w:t>Which theoretical framework/s are appropriate for use in NPS-related behaviour change interventions?</w:t>
      </w:r>
    </w:p>
    <w:p w14:paraId="367B1D44" w14:textId="77777777" w:rsidR="00E808F1" w:rsidRDefault="00E808F1" w:rsidP="00C92BD2">
      <w:pPr>
        <w:pStyle w:val="ListParagraph"/>
        <w:numPr>
          <w:ilvl w:val="1"/>
          <w:numId w:val="40"/>
        </w:numPr>
        <w:spacing w:line="480" w:lineRule="auto"/>
      </w:pPr>
      <w:r>
        <w:t>Which frameworks are compatible?</w:t>
      </w:r>
    </w:p>
    <w:p w14:paraId="2C1E9B30" w14:textId="77777777" w:rsidR="00E808F1" w:rsidRDefault="00E808F1" w:rsidP="00C92BD2">
      <w:pPr>
        <w:pStyle w:val="ListParagraph"/>
        <w:numPr>
          <w:ilvl w:val="1"/>
          <w:numId w:val="40"/>
        </w:numPr>
        <w:spacing w:line="480" w:lineRule="auto"/>
      </w:pPr>
      <w:r>
        <w:t>Is there a need for extensions or modifications?</w:t>
      </w:r>
    </w:p>
    <w:p w14:paraId="2D343FFA" w14:textId="127A8DA3" w:rsidR="00E808F1" w:rsidRDefault="00E808F1" w:rsidP="00E808F1">
      <w:pPr>
        <w:pStyle w:val="Heading2"/>
      </w:pPr>
      <w:bookmarkStart w:id="338" w:name="_Toc35892631"/>
      <w:r>
        <w:t>Definitions</w:t>
      </w:r>
      <w:bookmarkEnd w:id="338"/>
      <w:r>
        <w:t xml:space="preserve"> </w:t>
      </w:r>
    </w:p>
    <w:p w14:paraId="488734DC" w14:textId="77777777" w:rsidR="00E808F1" w:rsidRDefault="00E808F1" w:rsidP="00E808F1">
      <w:pPr>
        <w:spacing w:line="480" w:lineRule="auto"/>
      </w:pPr>
      <w:r>
        <w:t>For the sake of clarity, the following working definitions of key terms have been adopted in the present research project:</w:t>
      </w:r>
    </w:p>
    <w:p w14:paraId="0603AA00" w14:textId="6F0C8468" w:rsidR="00E808F1" w:rsidRPr="00015F1D" w:rsidRDefault="00E808F1" w:rsidP="00E808F1">
      <w:pPr>
        <w:pStyle w:val="Heading3"/>
        <w:rPr>
          <w:rStyle w:val="Heading2Char"/>
          <w:b/>
          <w:bCs/>
          <w:sz w:val="22"/>
          <w:szCs w:val="22"/>
        </w:rPr>
      </w:pPr>
      <w:bookmarkStart w:id="339" w:name="_Toc35892632"/>
      <w:r w:rsidRPr="00015F1D">
        <w:rPr>
          <w:rStyle w:val="Heading2Char"/>
          <w:b/>
          <w:bCs/>
          <w:sz w:val="22"/>
          <w:szCs w:val="22"/>
        </w:rPr>
        <w:t>Reason</w:t>
      </w:r>
      <w:bookmarkEnd w:id="339"/>
    </w:p>
    <w:p w14:paraId="559D7FD1" w14:textId="77777777" w:rsidR="00E808F1" w:rsidRDefault="00E808F1" w:rsidP="00E808F1">
      <w:pPr>
        <w:spacing w:line="480" w:lineRule="auto"/>
      </w:pPr>
      <w:r>
        <w:t xml:space="preserve">Reasons are causes, explanations, or justifications for an action, event or behaviour. They may reflect behavioural beliefs, motivations or environmental influences. Reasons can be distinguished from behavioural beliefs and motives, as they focus on the context-specific cognitions that people use to explain their behaviour (Westaby, 2005). </w:t>
      </w:r>
    </w:p>
    <w:p w14:paraId="163D4926" w14:textId="76F436F9" w:rsidR="00E808F1" w:rsidRDefault="00E808F1" w:rsidP="00E808F1">
      <w:pPr>
        <w:pStyle w:val="Heading3"/>
      </w:pPr>
      <w:bookmarkStart w:id="340" w:name="_Toc35892633"/>
      <w:r w:rsidRPr="007217B5">
        <w:t>Outcome expectancy</w:t>
      </w:r>
      <w:r>
        <w:t xml:space="preserve"> / behavioural belief</w:t>
      </w:r>
      <w:bookmarkEnd w:id="340"/>
    </w:p>
    <w:p w14:paraId="482BF093" w14:textId="3231B6A6" w:rsidR="00E808F1" w:rsidRDefault="00E808F1" w:rsidP="00E808F1">
      <w:pPr>
        <w:spacing w:line="480" w:lineRule="auto"/>
      </w:pPr>
      <w:r>
        <w:t xml:space="preserve">Outcome </w:t>
      </w:r>
      <w:r w:rsidRPr="001F2E8D">
        <w:t xml:space="preserve">expectancies are </w:t>
      </w:r>
      <w:r w:rsidR="00D63BBE">
        <w:t xml:space="preserve">the </w:t>
      </w:r>
      <w:r w:rsidRPr="001F2E8D">
        <w:t>anticipated consequences of a person’s behaviour (</w:t>
      </w:r>
      <w:r>
        <w:t>Conner &amp; Norman, 2015</w:t>
      </w:r>
      <w:r w:rsidRPr="001F2E8D">
        <w:t>).</w:t>
      </w:r>
      <w:r>
        <w:t xml:space="preserve"> A behavioural belief is a belief </w:t>
      </w:r>
      <w:r w:rsidR="00590C20">
        <w:t>about the likely outcome of a behaviour.</w:t>
      </w:r>
    </w:p>
    <w:p w14:paraId="58B912F7" w14:textId="299370E5" w:rsidR="00E808F1" w:rsidRDefault="00E808F1" w:rsidP="00E808F1">
      <w:pPr>
        <w:pStyle w:val="Heading3"/>
      </w:pPr>
      <w:bookmarkStart w:id="341" w:name="_Toc35892634"/>
      <w:r w:rsidRPr="007217B5">
        <w:t>Motivation</w:t>
      </w:r>
      <w:bookmarkEnd w:id="341"/>
      <w:r w:rsidRPr="007217B5">
        <w:t xml:space="preserve"> </w:t>
      </w:r>
    </w:p>
    <w:p w14:paraId="4F196638" w14:textId="77777777" w:rsidR="00E808F1" w:rsidRDefault="00E808F1" w:rsidP="00E808F1">
      <w:pPr>
        <w:spacing w:line="480" w:lineRule="auto"/>
      </w:pPr>
      <w:r>
        <w:t xml:space="preserve">Motivations are the </w:t>
      </w:r>
      <w:r w:rsidRPr="00980A4E">
        <w:t>processes whereby goal-directed activities are energised, directed and sustained</w:t>
      </w:r>
      <w:r w:rsidRPr="002466FE">
        <w:t xml:space="preserve"> </w:t>
      </w:r>
      <w:r>
        <w:t>(</w:t>
      </w:r>
      <w:r w:rsidRPr="007A45C3">
        <w:t xml:space="preserve">Schunk, Pintrich, </w:t>
      </w:r>
      <w:r>
        <w:t>&amp;</w:t>
      </w:r>
      <w:r w:rsidRPr="007A45C3">
        <w:t xml:space="preserve"> Meece</w:t>
      </w:r>
      <w:r>
        <w:t xml:space="preserve">, </w:t>
      </w:r>
      <w:r w:rsidRPr="007A45C3">
        <w:t>2008)</w:t>
      </w:r>
      <w:r>
        <w:t xml:space="preserve">. Motivations can be distinguished from reasons as they are more </w:t>
      </w:r>
      <w:r w:rsidRPr="00A914B0">
        <w:t xml:space="preserve">general drivers of people’s behaviour </w:t>
      </w:r>
      <w:r>
        <w:t xml:space="preserve">whereas reasons are context-specific (Norman, Conner, &amp; Stride, 2012). </w:t>
      </w:r>
    </w:p>
    <w:p w14:paraId="1C73600B" w14:textId="60D9CEAD" w:rsidR="00E808F1" w:rsidRDefault="00E808F1" w:rsidP="00E808F1">
      <w:pPr>
        <w:pStyle w:val="Heading3"/>
      </w:pPr>
      <w:bookmarkStart w:id="342" w:name="_Toc35892635"/>
      <w:r w:rsidRPr="007217B5">
        <w:t>Behavioural intention</w:t>
      </w:r>
      <w:bookmarkEnd w:id="342"/>
      <w:r w:rsidRPr="007217B5">
        <w:t xml:space="preserve"> </w:t>
      </w:r>
    </w:p>
    <w:p w14:paraId="1138367A" w14:textId="1C347586" w:rsidR="00E808F1" w:rsidRDefault="00E808F1" w:rsidP="00E808F1">
      <w:pPr>
        <w:spacing w:line="480" w:lineRule="auto"/>
      </w:pPr>
      <w:r>
        <w:t xml:space="preserve">Behavioural intention represents a person’s motivation in the sense of his or her conscious plan, decision or self-instruction to exert effort of perform the target behaviour (Conner &amp; Norman, 2015). </w:t>
      </w:r>
    </w:p>
    <w:p w14:paraId="238D4FC0" w14:textId="77777777" w:rsidR="003D4E79" w:rsidRPr="00A47B53" w:rsidRDefault="003D4E79" w:rsidP="00E808F1">
      <w:pPr>
        <w:spacing w:line="480" w:lineRule="auto"/>
      </w:pPr>
    </w:p>
    <w:p w14:paraId="348EADCE" w14:textId="4B3DA0A7" w:rsidR="00E808F1" w:rsidRDefault="00E808F1" w:rsidP="00E808F1">
      <w:pPr>
        <w:pStyle w:val="Heading2"/>
      </w:pPr>
      <w:bookmarkStart w:id="343" w:name="_Toc35892636"/>
      <w:r>
        <w:t>Study design</w:t>
      </w:r>
      <w:bookmarkEnd w:id="343"/>
      <w:r>
        <w:t xml:space="preserve"> </w:t>
      </w:r>
    </w:p>
    <w:p w14:paraId="60AE7640" w14:textId="771CAA88" w:rsidR="00E808F1" w:rsidRDefault="00E808F1" w:rsidP="00E808F1">
      <w:pPr>
        <w:spacing w:line="480" w:lineRule="auto"/>
      </w:pPr>
      <w:r w:rsidRPr="00CF3D93">
        <w:t xml:space="preserve">The research </w:t>
      </w:r>
      <w:r>
        <w:t xml:space="preserve">questions </w:t>
      </w:r>
      <w:r w:rsidRPr="00CF3D93">
        <w:t>were addressed in three studies</w:t>
      </w:r>
      <w:r>
        <w:t xml:space="preserve">. </w:t>
      </w:r>
      <w:r w:rsidRPr="00CF3D93">
        <w:t>Study 1 was an exploratory study investigating young people’s beliefs,</w:t>
      </w:r>
      <w:r>
        <w:t xml:space="preserve"> reasons and motivations.</w:t>
      </w:r>
      <w:r w:rsidRPr="00CF3D93">
        <w:t xml:space="preserve"> Study 2</w:t>
      </w:r>
      <w:r>
        <w:t xml:space="preserve"> </w:t>
      </w:r>
      <w:r w:rsidRPr="00CF3D93">
        <w:t>people’s beliefs,</w:t>
      </w:r>
      <w:r>
        <w:t xml:space="preserve"> reasons and motivations after the ban on legal highs which also allowed a comparison with pre-ba</w:t>
      </w:r>
      <w:r w:rsidR="00015283">
        <w:t>n</w:t>
      </w:r>
      <w:r>
        <w:t xml:space="preserve"> </w:t>
      </w:r>
      <w:r w:rsidR="00015283">
        <w:t>beliefs.</w:t>
      </w:r>
      <w:r>
        <w:t xml:space="preserve"> </w:t>
      </w:r>
      <w:r w:rsidRPr="00CF3D93">
        <w:t>Study 3</w:t>
      </w:r>
      <w:r>
        <w:t xml:space="preserve"> was</w:t>
      </w:r>
      <w:r w:rsidRPr="00CF3D93">
        <w:t xml:space="preserve"> an acceptability and suitability study. The assessment of the suitability of theoretical </w:t>
      </w:r>
      <w:r>
        <w:t>models</w:t>
      </w:r>
      <w:r w:rsidRPr="00CF3D93">
        <w:t xml:space="preserve"> was ongoing across all three studies. All studies </w:t>
      </w:r>
      <w:r>
        <w:t>used</w:t>
      </w:r>
      <w:r w:rsidRPr="00CF3D93">
        <w:t xml:space="preserve"> a focus group methodology </w:t>
      </w:r>
      <w:r>
        <w:t>and</w:t>
      </w:r>
      <w:r w:rsidRPr="00CF3D93">
        <w:t xml:space="preserve"> qualitative analysis </w:t>
      </w:r>
      <w:r>
        <w:t>with</w:t>
      </w:r>
      <w:r w:rsidRPr="00CF3D93">
        <w:t xml:space="preserve"> a quantitative element</w:t>
      </w:r>
      <w:r>
        <w:t xml:space="preserve">. </w:t>
      </w:r>
      <w:r w:rsidRPr="00DC73F7">
        <w:t xml:space="preserve">Figure </w:t>
      </w:r>
      <w:r w:rsidR="00117C81">
        <w:t>5-</w:t>
      </w:r>
      <w:r>
        <w:t>1</w:t>
      </w:r>
      <w:r w:rsidRPr="00DC73F7">
        <w:t xml:space="preserve"> illustrates the flow of the work through the three studies.</w:t>
      </w:r>
    </w:p>
    <w:bookmarkStart w:id="344" w:name="_Toc9509131"/>
    <w:p w14:paraId="1FFB5ADB" w14:textId="6651BF20" w:rsidR="00E808F1" w:rsidRPr="00014BFC" w:rsidRDefault="00E808F1" w:rsidP="00835A06">
      <w:pPr>
        <w:pStyle w:val="FigureHeading"/>
      </w:pPr>
      <w:r w:rsidRPr="00AD5335">
        <mc:AlternateContent>
          <mc:Choice Requires="wps">
            <w:drawing>
              <wp:anchor distT="45720" distB="45720" distL="114300" distR="114300" simplePos="0" relativeHeight="253714432" behindDoc="0" locked="0" layoutInCell="1" allowOverlap="1" wp14:anchorId="7868A572" wp14:editId="61A00A49">
                <wp:simplePos x="0" y="0"/>
                <wp:positionH relativeFrom="column">
                  <wp:posOffset>71120</wp:posOffset>
                </wp:positionH>
                <wp:positionV relativeFrom="paragraph">
                  <wp:posOffset>5797388</wp:posOffset>
                </wp:positionV>
                <wp:extent cx="4071620" cy="428625"/>
                <wp:effectExtent l="0" t="0" r="5080" b="952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428625"/>
                        </a:xfrm>
                        <a:prstGeom prst="rect">
                          <a:avLst/>
                        </a:prstGeom>
                        <a:solidFill>
                          <a:srgbClr val="FFFFFF"/>
                        </a:solidFill>
                        <a:ln w="9525">
                          <a:noFill/>
                          <a:miter lim="800000"/>
                          <a:headEnd/>
                          <a:tailEnd/>
                        </a:ln>
                      </wps:spPr>
                      <wps:txbx>
                        <w:txbxContent>
                          <w:p w14:paraId="43999EC2" w14:textId="77777777" w:rsidR="00777EE0" w:rsidRDefault="00777EE0" w:rsidP="00E808F1">
                            <w:r>
                              <w:t>Key: SCM = Social cognition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8A572" id="_x0000_s1114" type="#_x0000_t202" style="position:absolute;margin-left:5.6pt;margin-top:456.5pt;width:320.6pt;height:33.75pt;z-index:25371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UAJAIAACUEAAAOAAAAZHJzL2Uyb0RvYy54bWysU81u2zAMvg/YOwi6L3Y8J02NOEWXLsOA&#10;7gdo9wCyLMfCJFGTlNjd05eS0yzbbsN0ECiR/Eh+JNc3o1bkKJyXYGo6n+WUCMOhlWZf02+Puzcr&#10;SnxgpmUKjKjpk/D0ZvP61XqwlSigB9UKRxDE+GqwNe1DsFWWed4LzfwMrDCo7MBpFvDp9lnr2IDo&#10;WmVFni+zAVxrHXDhPf7eTUq6SfhdJ3j40nVeBKJqirmFdLt0N/HONmtW7R2zveSnNNg/ZKGZNBj0&#10;DHXHAiMHJ/+C0pI78NCFGQedQddJLlINWM08/6Oah55ZkWpBcrw90+T/Hyz/fPzqiGxr+jYvKTFM&#10;Y5MexRjIOxhJEfkZrK/Q7MGiYRjxG/ucavX2Hvh3Twxse2b24tY5GHrBWsxvHj2zC9cJx0eQZvgE&#10;LYZhhwAJaOycjuQhHQTRsU9P597EVDh+lvnVfFmgiqOuLFbLYpFCsOrF2zofPgjQJAo1ddj7hM6O&#10;9z7EbFj1YhKDeVCy3Uml0sPtm61y5MhwTnbpnNB/M1OGDDW9XmDs6GUg+qcR0jLgHCupa7rK44nu&#10;rIpsvDdtkgOTapIxE2VO9ERGJm7C2IypE4sz7Q20T0iYg2lucc9Q6MH9pGTAma2p/3FgTlCiPhok&#10;/XpelnHI06NcXEW63KWmudQwwxGqpoGSSdyGtBiJD3uLzdnJxFvs4pTJKWecxUTnaW/isF++k9Wv&#10;7d48AwAA//8DAFBLAwQUAAYACAAAACEA7G04fN4AAAAKAQAADwAAAGRycy9kb3ducmV2LnhtbEyP&#10;zU7DMBCE70i8g7VI3KiTQKoS4lQVFRcOSBQkOLrxJo7wn2w3DW/PcoLjzH6anWm3izVsxpgm7wSU&#10;qwIYut6ryY0C3t+ebjbAUpZOSeMdCvjGBNvu8qKVjfJn94rzIY+MQlxqpACdc2g4T71GK9PKB3R0&#10;G3y0MpOMI1dRnincGl4VxZpbOTn6oGXAR4391+FkBXxYPal9fPkclJn3z8OuDksMQlxfLbsHYBmX&#10;/AfDb32qDh11OvqTU4kZ0mVFpID78pY2EbCuqztgR3I2RQ28a/n/Cd0PAAAA//8DAFBLAQItABQA&#10;BgAIAAAAIQC2gziS/gAAAOEBAAATAAAAAAAAAAAAAAAAAAAAAABbQ29udGVudF9UeXBlc10ueG1s&#10;UEsBAi0AFAAGAAgAAAAhADj9If/WAAAAlAEAAAsAAAAAAAAAAAAAAAAALwEAAF9yZWxzLy5yZWxz&#10;UEsBAi0AFAAGAAgAAAAhADZ6xQAkAgAAJQQAAA4AAAAAAAAAAAAAAAAALgIAAGRycy9lMm9Eb2Mu&#10;eG1sUEsBAi0AFAAGAAgAAAAhAOxtOHzeAAAACgEAAA8AAAAAAAAAAAAAAAAAfgQAAGRycy9kb3du&#10;cmV2LnhtbFBLBQYAAAAABAAEAPMAAACJBQAAAAA=&#10;" stroked="f">
                <v:textbox style="mso-fit-shape-to-text:t">
                  <w:txbxContent>
                    <w:p w14:paraId="43999EC2" w14:textId="77777777" w:rsidR="00777EE0" w:rsidRDefault="00777EE0" w:rsidP="00E808F1">
                      <w:r>
                        <w:t>Key: SCM = Social cognition model</w:t>
                      </w:r>
                    </w:p>
                  </w:txbxContent>
                </v:textbox>
              </v:shape>
            </w:pict>
          </mc:Fallback>
        </mc:AlternateContent>
      </w:r>
      <w:r w:rsidRPr="004E69FD">
        <w:t xml:space="preserve">Figure </w:t>
      </w:r>
      <w:r w:rsidR="00835A06">
        <w:t>5-</w:t>
      </w:r>
      <w:r w:rsidRPr="004E69FD">
        <w:t>1 Research flow process diagram</w:t>
      </w:r>
      <w:r w:rsidRPr="00F47CBB">
        <mc:AlternateContent>
          <mc:Choice Requires="wpg">
            <w:drawing>
              <wp:anchor distT="0" distB="0" distL="114300" distR="114300" simplePos="0" relativeHeight="253711360" behindDoc="0" locked="0" layoutInCell="1" allowOverlap="1" wp14:anchorId="53B786BC" wp14:editId="42B8A992">
                <wp:simplePos x="0" y="0"/>
                <wp:positionH relativeFrom="column">
                  <wp:posOffset>0</wp:posOffset>
                </wp:positionH>
                <wp:positionV relativeFrom="paragraph">
                  <wp:posOffset>478155</wp:posOffset>
                </wp:positionV>
                <wp:extent cx="5883910" cy="5582285"/>
                <wp:effectExtent l="0" t="0" r="0" b="0"/>
                <wp:wrapTopAndBottom/>
                <wp:docPr id="305" name="Group 91"/>
                <wp:cNvGraphicFramePr/>
                <a:graphic xmlns:a="http://schemas.openxmlformats.org/drawingml/2006/main">
                  <a:graphicData uri="http://schemas.microsoft.com/office/word/2010/wordprocessingGroup">
                    <wpg:wgp>
                      <wpg:cNvGrpSpPr/>
                      <wpg:grpSpPr>
                        <a:xfrm>
                          <a:off x="0" y="0"/>
                          <a:ext cx="5883910" cy="5582285"/>
                          <a:chOff x="0" y="0"/>
                          <a:chExt cx="5884049" cy="5582584"/>
                        </a:xfrm>
                      </wpg:grpSpPr>
                      <wpg:grpSp>
                        <wpg:cNvPr id="306" name="Group 306"/>
                        <wpg:cNvGrpSpPr/>
                        <wpg:grpSpPr>
                          <a:xfrm>
                            <a:off x="2649414" y="2863338"/>
                            <a:ext cx="989965" cy="592088"/>
                            <a:chOff x="2649414" y="2863338"/>
                            <a:chExt cx="989974" cy="592098"/>
                          </a:xfrm>
                        </wpg:grpSpPr>
                        <wps:wsp>
                          <wps:cNvPr id="307" name="Rectangle 307"/>
                          <wps:cNvSpPr/>
                          <wps:spPr>
                            <a:xfrm>
                              <a:off x="2715145" y="2863338"/>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08" name="TextBox 218"/>
                          <wps:cNvSpPr txBox="1"/>
                          <wps:spPr>
                            <a:xfrm>
                              <a:off x="2649414" y="2867416"/>
                              <a:ext cx="989974" cy="588020"/>
                            </a:xfrm>
                            <a:prstGeom prst="rect">
                              <a:avLst/>
                            </a:prstGeom>
                            <a:noFill/>
                          </wps:spPr>
                          <wps:txbx>
                            <w:txbxContent>
                              <w:p w14:paraId="126DB5CA" w14:textId="77777777" w:rsidR="00777EE0" w:rsidRDefault="00777EE0" w:rsidP="00E808F1">
                                <w:pPr>
                                  <w:tabs>
                                    <w:tab w:val="left" w:pos="720"/>
                                  </w:tabs>
                                  <w:jc w:val="center"/>
                                  <w:rPr>
                                    <w:szCs w:val="24"/>
                                  </w:rPr>
                                </w:pPr>
                                <w:r>
                                  <w:rPr>
                                    <w:rFonts w:cstheme="minorBidi"/>
                                    <w:color w:val="000000"/>
                                    <w:kern w:val="24"/>
                                    <w:sz w:val="22"/>
                                  </w:rPr>
                                  <w:t>Post-ban</w:t>
                                </w:r>
                                <w:r>
                                  <w:rPr>
                                    <w:rFonts w:cstheme="minorBidi"/>
                                    <w:color w:val="000000" w:themeColor="text1"/>
                                    <w:kern w:val="24"/>
                                  </w:rPr>
                                  <w:br/>
                                </w:r>
                                <w:r>
                                  <w:rPr>
                                    <w:rFonts w:cstheme="minorBidi"/>
                                    <w:color w:val="000000"/>
                                    <w:kern w:val="24"/>
                                    <w:sz w:val="22"/>
                                  </w:rPr>
                                  <w:t>data</w:t>
                                </w:r>
                              </w:p>
                            </w:txbxContent>
                          </wps:txbx>
                          <wps:bodyPr wrap="square" rtlCol="0">
                            <a:spAutoFit/>
                          </wps:bodyPr>
                        </wps:wsp>
                      </wpg:grpSp>
                      <wps:wsp>
                        <wps:cNvPr id="309" name="TextBox 80"/>
                        <wps:cNvSpPr txBox="1"/>
                        <wps:spPr>
                          <a:xfrm>
                            <a:off x="0" y="1387"/>
                            <a:ext cx="1605280" cy="403225"/>
                          </a:xfrm>
                          <a:prstGeom prst="rect">
                            <a:avLst/>
                          </a:prstGeom>
                          <a:noFill/>
                        </wps:spPr>
                        <wps:txbx>
                          <w:txbxContent>
                            <w:p w14:paraId="5DD96D85" w14:textId="77777777" w:rsidR="00777EE0" w:rsidRDefault="00777EE0" w:rsidP="00E808F1">
                              <w:pPr>
                                <w:tabs>
                                  <w:tab w:val="left" w:pos="720"/>
                                </w:tabs>
                                <w:jc w:val="center"/>
                                <w:rPr>
                                  <w:szCs w:val="24"/>
                                </w:rPr>
                              </w:pPr>
                              <w:r>
                                <w:rPr>
                                  <w:rFonts w:cstheme="minorBidi"/>
                                  <w:b/>
                                  <w:bCs/>
                                  <w:color w:val="000000"/>
                                  <w:kern w:val="24"/>
                                  <w:sz w:val="22"/>
                                </w:rPr>
                                <w:t>DATA COLLECTION</w:t>
                              </w:r>
                            </w:p>
                          </w:txbxContent>
                        </wps:txbx>
                        <wps:bodyPr wrap="square" rtlCol="0">
                          <a:spAutoFit/>
                        </wps:bodyPr>
                      </wps:wsp>
                      <wps:wsp>
                        <wps:cNvPr id="310" name="TextBox 81"/>
                        <wps:cNvSpPr txBox="1"/>
                        <wps:spPr>
                          <a:xfrm>
                            <a:off x="2016904" y="0"/>
                            <a:ext cx="1632570" cy="403218"/>
                          </a:xfrm>
                          <a:prstGeom prst="rect">
                            <a:avLst/>
                          </a:prstGeom>
                          <a:noFill/>
                        </wps:spPr>
                        <wps:txbx>
                          <w:txbxContent>
                            <w:p w14:paraId="608117A9" w14:textId="77777777" w:rsidR="00777EE0" w:rsidRDefault="00777EE0" w:rsidP="00E808F1">
                              <w:pPr>
                                <w:tabs>
                                  <w:tab w:val="left" w:pos="720"/>
                                </w:tabs>
                                <w:jc w:val="center"/>
                                <w:rPr>
                                  <w:szCs w:val="24"/>
                                </w:rPr>
                              </w:pPr>
                              <w:r>
                                <w:rPr>
                                  <w:rFonts w:cstheme="minorBidi"/>
                                  <w:b/>
                                  <w:bCs/>
                                  <w:color w:val="000000"/>
                                  <w:kern w:val="24"/>
                                  <w:sz w:val="22"/>
                                </w:rPr>
                                <w:t>DATA ANALYSIS</w:t>
                              </w:r>
                            </w:p>
                          </w:txbxContent>
                        </wps:txbx>
                        <wps:bodyPr wrap="square" rtlCol="0">
                          <a:spAutoFit/>
                        </wps:bodyPr>
                      </wps:wsp>
                      <wps:wsp>
                        <wps:cNvPr id="311" name="TextBox 82"/>
                        <wps:cNvSpPr txBox="1"/>
                        <wps:spPr>
                          <a:xfrm>
                            <a:off x="4082554" y="2614"/>
                            <a:ext cx="1801495" cy="403225"/>
                          </a:xfrm>
                          <a:prstGeom prst="rect">
                            <a:avLst/>
                          </a:prstGeom>
                          <a:noFill/>
                        </wps:spPr>
                        <wps:txbx>
                          <w:txbxContent>
                            <w:p w14:paraId="61EF1553" w14:textId="77777777" w:rsidR="00777EE0" w:rsidRDefault="00777EE0" w:rsidP="00E808F1">
                              <w:pPr>
                                <w:tabs>
                                  <w:tab w:val="left" w:pos="720"/>
                                </w:tabs>
                                <w:jc w:val="center"/>
                                <w:rPr>
                                  <w:szCs w:val="24"/>
                                </w:rPr>
                              </w:pPr>
                              <w:r>
                                <w:rPr>
                                  <w:rFonts w:cstheme="minorBidi"/>
                                  <w:b/>
                                  <w:bCs/>
                                  <w:color w:val="000000"/>
                                  <w:kern w:val="24"/>
                                  <w:sz w:val="22"/>
                                </w:rPr>
                                <w:t xml:space="preserve"> BEHAVIOUR MODEL</w:t>
                              </w:r>
                            </w:p>
                          </w:txbxContent>
                        </wps:txbx>
                        <wps:bodyPr wrap="square" rtlCol="0">
                          <a:spAutoFit/>
                        </wps:bodyPr>
                      </wps:wsp>
                      <wpg:grpSp>
                        <wpg:cNvPr id="312" name="Group 312"/>
                        <wpg:cNvGrpSpPr/>
                        <wpg:grpSpPr>
                          <a:xfrm>
                            <a:off x="105660" y="1142502"/>
                            <a:ext cx="846226" cy="974090"/>
                            <a:chOff x="105660" y="1142502"/>
                            <a:chExt cx="846234" cy="974106"/>
                          </a:xfrm>
                        </wpg:grpSpPr>
                        <wps:wsp>
                          <wps:cNvPr id="313" name="Rectangle 313"/>
                          <wps:cNvSpPr/>
                          <wps:spPr>
                            <a:xfrm>
                              <a:off x="105660" y="1180011"/>
                              <a:ext cx="846234" cy="79143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4" name="TextBox 110"/>
                          <wps:cNvSpPr txBox="1"/>
                          <wps:spPr>
                            <a:xfrm>
                              <a:off x="153366" y="1142502"/>
                              <a:ext cx="735972" cy="974106"/>
                            </a:xfrm>
                            <a:prstGeom prst="rect">
                              <a:avLst/>
                            </a:prstGeom>
                            <a:noFill/>
                          </wps:spPr>
                          <wps:txbx>
                            <w:txbxContent>
                              <w:p w14:paraId="4A0E7A4D" w14:textId="77777777" w:rsidR="00777EE0" w:rsidRDefault="00777EE0" w:rsidP="00E808F1">
                                <w:pPr>
                                  <w:tabs>
                                    <w:tab w:val="left" w:pos="720"/>
                                  </w:tabs>
                                  <w:jc w:val="center"/>
                                  <w:rPr>
                                    <w:szCs w:val="24"/>
                                  </w:rPr>
                                </w:pPr>
                                <w:r>
                                  <w:rPr>
                                    <w:rFonts w:cstheme="minorBidi"/>
                                    <w:b/>
                                    <w:bCs/>
                                    <w:color w:val="000000"/>
                                    <w:kern w:val="24"/>
                                    <w:sz w:val="22"/>
                                  </w:rPr>
                                  <w:t>Study 1</w:t>
                                </w:r>
                                <w:r>
                                  <w:rPr>
                                    <w:rFonts w:cstheme="minorBidi"/>
                                    <w:color w:val="000000"/>
                                    <w:kern w:val="24"/>
                                    <w:sz w:val="22"/>
                                  </w:rPr>
                                  <w:t xml:space="preserve"> pre-ban</w:t>
                                </w:r>
                                <w:r>
                                  <w:rPr>
                                    <w:rFonts w:cstheme="minorBidi"/>
                                    <w:color w:val="000000" w:themeColor="text1"/>
                                    <w:kern w:val="24"/>
                                  </w:rPr>
                                  <w:t xml:space="preserve"> f</w:t>
                                </w:r>
                                <w:r>
                                  <w:rPr>
                                    <w:rFonts w:cstheme="minorBidi"/>
                                    <w:color w:val="000000"/>
                                    <w:kern w:val="24"/>
                                    <w:sz w:val="22"/>
                                  </w:rPr>
                                  <w:t>ocus groups</w:t>
                                </w:r>
                              </w:p>
                            </w:txbxContent>
                          </wps:txbx>
                          <wps:bodyPr wrap="square" rtlCol="0">
                            <a:spAutoFit/>
                          </wps:bodyPr>
                        </wps:wsp>
                      </wpg:grpSp>
                      <wps:wsp>
                        <wps:cNvPr id="315" name="Straight Arrow Connector 315"/>
                        <wps:cNvCnPr>
                          <a:cxnSpLocks/>
                        </wps:cNvCnPr>
                        <wps:spPr>
                          <a:xfrm>
                            <a:off x="521348" y="1967073"/>
                            <a:ext cx="2385" cy="7246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a:cxnSpLocks/>
                        </wps:cNvCnPr>
                        <wps:spPr>
                          <a:xfrm>
                            <a:off x="5070415" y="4715664"/>
                            <a:ext cx="6238" cy="3694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17" name="Group 317"/>
                        <wpg:cNvGrpSpPr/>
                        <wpg:grpSpPr>
                          <a:xfrm>
                            <a:off x="2633368" y="4276332"/>
                            <a:ext cx="989956" cy="592053"/>
                            <a:chOff x="2633368" y="4276332"/>
                            <a:chExt cx="989965" cy="592063"/>
                          </a:xfrm>
                        </wpg:grpSpPr>
                        <wps:wsp>
                          <wps:cNvPr id="318" name="Rectangle 318"/>
                          <wps:cNvSpPr/>
                          <wps:spPr>
                            <a:xfrm>
                              <a:off x="2699214" y="4276332"/>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9" name="TextBox 137"/>
                          <wps:cNvSpPr txBox="1"/>
                          <wps:spPr>
                            <a:xfrm>
                              <a:off x="2633368" y="4280385"/>
                              <a:ext cx="989965" cy="588010"/>
                            </a:xfrm>
                            <a:prstGeom prst="rect">
                              <a:avLst/>
                            </a:prstGeom>
                            <a:noFill/>
                          </wps:spPr>
                          <wps:txbx>
                            <w:txbxContent>
                              <w:p w14:paraId="6F7423D9" w14:textId="77777777" w:rsidR="00777EE0" w:rsidRDefault="00777EE0" w:rsidP="00E808F1">
                                <w:pPr>
                                  <w:tabs>
                                    <w:tab w:val="left" w:pos="720"/>
                                  </w:tabs>
                                  <w:jc w:val="center"/>
                                  <w:rPr>
                                    <w:szCs w:val="24"/>
                                  </w:rPr>
                                </w:pPr>
                                <w:r>
                                  <w:rPr>
                                    <w:rFonts w:cstheme="minorBidi"/>
                                    <w:color w:val="000000"/>
                                    <w:kern w:val="24"/>
                                    <w:sz w:val="22"/>
                                  </w:rPr>
                                  <w:t>Acceptability data</w:t>
                                </w:r>
                              </w:p>
                            </w:txbxContent>
                          </wps:txbx>
                          <wps:bodyPr wrap="square" rtlCol="0">
                            <a:spAutoFit/>
                          </wps:bodyPr>
                        </wps:wsp>
                      </wpg:grpSp>
                      <wpg:grpSp>
                        <wpg:cNvPr id="320" name="Group 320"/>
                        <wpg:cNvGrpSpPr/>
                        <wpg:grpSpPr>
                          <a:xfrm>
                            <a:off x="4553253" y="4275428"/>
                            <a:ext cx="1030612" cy="597286"/>
                            <a:chOff x="4553253" y="4275428"/>
                            <a:chExt cx="1030621" cy="597296"/>
                          </a:xfrm>
                        </wpg:grpSpPr>
                        <wps:wsp>
                          <wps:cNvPr id="321" name="Rectangle 321"/>
                          <wps:cNvSpPr/>
                          <wps:spPr>
                            <a:xfrm>
                              <a:off x="4553253" y="4275428"/>
                              <a:ext cx="1030621" cy="4308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2" name="TextBox 142"/>
                          <wps:cNvSpPr txBox="1"/>
                          <wps:spPr>
                            <a:xfrm>
                              <a:off x="4557055" y="4284714"/>
                              <a:ext cx="1026160" cy="588010"/>
                            </a:xfrm>
                            <a:prstGeom prst="rect">
                              <a:avLst/>
                            </a:prstGeom>
                            <a:noFill/>
                          </wps:spPr>
                          <wps:txbx>
                            <w:txbxContent>
                              <w:p w14:paraId="19C9321B" w14:textId="77777777" w:rsidR="00777EE0" w:rsidRDefault="00777EE0" w:rsidP="00E808F1">
                                <w:pPr>
                                  <w:tabs>
                                    <w:tab w:val="left" w:pos="720"/>
                                  </w:tabs>
                                  <w:jc w:val="center"/>
                                  <w:rPr>
                                    <w:szCs w:val="24"/>
                                  </w:rPr>
                                </w:pPr>
                                <w:r>
                                  <w:rPr>
                                    <w:rFonts w:cstheme="minorBidi"/>
                                    <w:color w:val="000000"/>
                                    <w:kern w:val="24"/>
                                    <w:sz w:val="22"/>
                                  </w:rPr>
                                  <w:t>Re-evaluate fit of SCM’s</w:t>
                                </w:r>
                              </w:p>
                            </w:txbxContent>
                          </wps:txbx>
                          <wps:bodyPr wrap="square" rtlCol="0">
                            <a:spAutoFit/>
                          </wps:bodyPr>
                        </wps:wsp>
                      </wpg:grpSp>
                      <wps:wsp>
                        <wps:cNvPr id="323" name="Straight Arrow Connector 323"/>
                        <wps:cNvCnPr>
                          <a:cxnSpLocks/>
                        </wps:cNvCnPr>
                        <wps:spPr>
                          <a:xfrm>
                            <a:off x="951886" y="1575722"/>
                            <a:ext cx="653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4" name="Straight Arrow Connector 324"/>
                        <wps:cNvCnPr>
                          <a:cxnSpLocks/>
                        </wps:cNvCnPr>
                        <wps:spPr>
                          <a:xfrm>
                            <a:off x="3541361" y="4487989"/>
                            <a:ext cx="1011892" cy="28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Straight Arrow Connector 325"/>
                        <wps:cNvCnPr>
                          <a:cxnSpLocks/>
                        </wps:cNvCnPr>
                        <wps:spPr>
                          <a:xfrm>
                            <a:off x="5068049" y="1785845"/>
                            <a:ext cx="510" cy="24895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TextBox 48"/>
                        <wps:cNvSpPr txBox="1"/>
                        <wps:spPr>
                          <a:xfrm rot="16200000">
                            <a:off x="1400368" y="3580944"/>
                            <a:ext cx="1126471" cy="403221"/>
                          </a:xfrm>
                          <a:prstGeom prst="rect">
                            <a:avLst/>
                          </a:prstGeom>
                          <a:noFill/>
                        </wps:spPr>
                        <wps:txbx>
                          <w:txbxContent>
                            <w:p w14:paraId="03EAC160" w14:textId="77777777" w:rsidR="00777EE0" w:rsidRDefault="00777EE0" w:rsidP="00E808F1">
                              <w:pPr>
                                <w:tabs>
                                  <w:tab w:val="left" w:pos="720"/>
                                </w:tabs>
                                <w:jc w:val="center"/>
                                <w:rPr>
                                  <w:szCs w:val="24"/>
                                </w:rPr>
                              </w:pPr>
                              <w:r>
                                <w:rPr>
                                  <w:rFonts w:cstheme="minorBidi"/>
                                  <w:i/>
                                  <w:iCs/>
                                  <w:color w:val="000000"/>
                                  <w:kern w:val="24"/>
                                  <w:sz w:val="22"/>
                                </w:rPr>
                                <w:t>Cross-check</w:t>
                              </w:r>
                            </w:p>
                          </w:txbxContent>
                        </wps:txbx>
                        <wps:bodyPr wrap="square" rtlCol="0">
                          <a:spAutoFit/>
                        </wps:bodyPr>
                      </wps:wsp>
                      <wps:wsp>
                        <wps:cNvPr id="327" name="Connector: Elbow 327"/>
                        <wps:cNvCnPr>
                          <a:cxnSpLocks/>
                        </wps:cNvCnPr>
                        <wps:spPr>
                          <a:xfrm rot="10800000" flipV="1">
                            <a:off x="521350" y="797032"/>
                            <a:ext cx="4035017" cy="34546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a:cxnSpLocks/>
                        </wps:cNvCnPr>
                        <wps:spPr>
                          <a:xfrm>
                            <a:off x="946846" y="3087450"/>
                            <a:ext cx="658860" cy="2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a:cxnSpLocks/>
                        </wps:cNvCnPr>
                        <wps:spPr>
                          <a:xfrm>
                            <a:off x="949824" y="4490795"/>
                            <a:ext cx="648251" cy="9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 name="TextBox 60"/>
                        <wps:cNvSpPr txBox="1"/>
                        <wps:spPr>
                          <a:xfrm>
                            <a:off x="740685" y="1322870"/>
                            <a:ext cx="1038851" cy="403218"/>
                          </a:xfrm>
                          <a:prstGeom prst="rect">
                            <a:avLst/>
                          </a:prstGeom>
                          <a:noFill/>
                        </wps:spPr>
                        <wps:txbx>
                          <w:txbxContent>
                            <w:p w14:paraId="5CE6EB26" w14:textId="77777777" w:rsidR="00777EE0" w:rsidRDefault="00777EE0" w:rsidP="00E808F1">
                              <w:pPr>
                                <w:tabs>
                                  <w:tab w:val="left" w:pos="720"/>
                                </w:tabs>
                                <w:jc w:val="center"/>
                                <w:rPr>
                                  <w:szCs w:val="24"/>
                                </w:rPr>
                              </w:pPr>
                              <w:r>
                                <w:rPr>
                                  <w:rFonts w:cstheme="minorBidi"/>
                                  <w:i/>
                                  <w:iCs/>
                                  <w:color w:val="000000"/>
                                  <w:kern w:val="24"/>
                                  <w:sz w:val="22"/>
                                </w:rPr>
                                <w:t xml:space="preserve">Devise </w:t>
                              </w:r>
                            </w:p>
                          </w:txbxContent>
                        </wps:txbx>
                        <wps:bodyPr wrap="square" rtlCol="0">
                          <a:spAutoFit/>
                        </wps:bodyPr>
                      </wps:wsp>
                      <wps:wsp>
                        <wps:cNvPr id="331" name="TextBox 262"/>
                        <wps:cNvSpPr txBox="1"/>
                        <wps:spPr>
                          <a:xfrm>
                            <a:off x="1120080" y="507173"/>
                            <a:ext cx="2655546" cy="403218"/>
                          </a:xfrm>
                          <a:prstGeom prst="rect">
                            <a:avLst/>
                          </a:prstGeom>
                          <a:noFill/>
                        </wps:spPr>
                        <wps:txbx>
                          <w:txbxContent>
                            <w:p w14:paraId="76344C60" w14:textId="77777777" w:rsidR="00777EE0" w:rsidRDefault="00777EE0" w:rsidP="00E808F1">
                              <w:pPr>
                                <w:tabs>
                                  <w:tab w:val="left" w:pos="720"/>
                                </w:tabs>
                                <w:jc w:val="center"/>
                                <w:rPr>
                                  <w:szCs w:val="24"/>
                                </w:rPr>
                              </w:pPr>
                              <w:r>
                                <w:rPr>
                                  <w:rFonts w:cstheme="minorBidi"/>
                                  <w:i/>
                                  <w:iCs/>
                                  <w:color w:val="000000"/>
                                  <w:kern w:val="24"/>
                                  <w:sz w:val="22"/>
                                </w:rPr>
                                <w:t>Inform study design (focus group questions)</w:t>
                              </w:r>
                            </w:p>
                          </w:txbxContent>
                        </wps:txbx>
                        <wps:bodyPr wrap="square" rtlCol="0">
                          <a:spAutoFit/>
                        </wps:bodyPr>
                      </wps:wsp>
                      <wps:wsp>
                        <wps:cNvPr id="332" name="Straight Arrow Connector 332"/>
                        <wps:cNvCnPr>
                          <a:cxnSpLocks/>
                        </wps:cNvCnPr>
                        <wps:spPr>
                          <a:xfrm flipH="1">
                            <a:off x="5068049" y="933930"/>
                            <a:ext cx="1677" cy="4303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Straight Arrow Connector 333"/>
                        <wps:cNvCnPr>
                          <a:cxnSpLocks/>
                        </wps:cNvCnPr>
                        <wps:spPr>
                          <a:xfrm>
                            <a:off x="2032025" y="1812636"/>
                            <a:ext cx="0" cy="10621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a:cxnSpLocks/>
                        </wps:cNvCnPr>
                        <wps:spPr>
                          <a:xfrm>
                            <a:off x="2028204" y="3294025"/>
                            <a:ext cx="0" cy="9821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a:cxnSpLocks/>
                        </wps:cNvCnPr>
                        <wps:spPr>
                          <a:xfrm>
                            <a:off x="2454771" y="4495894"/>
                            <a:ext cx="254023"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36" name="Group 336"/>
                        <wpg:cNvGrpSpPr/>
                        <wpg:grpSpPr>
                          <a:xfrm>
                            <a:off x="100620" y="2654034"/>
                            <a:ext cx="846226" cy="974074"/>
                            <a:chOff x="100620" y="2654034"/>
                            <a:chExt cx="846234" cy="974090"/>
                          </a:xfrm>
                        </wpg:grpSpPr>
                        <wps:wsp>
                          <wps:cNvPr id="337" name="Rectangle 337"/>
                          <wps:cNvSpPr/>
                          <wps:spPr>
                            <a:xfrm>
                              <a:off x="100620" y="2691738"/>
                              <a:ext cx="846234" cy="79143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38" name="TextBox 185"/>
                          <wps:cNvSpPr txBox="1"/>
                          <wps:spPr>
                            <a:xfrm>
                              <a:off x="148322" y="2654034"/>
                              <a:ext cx="735965" cy="974090"/>
                            </a:xfrm>
                            <a:prstGeom prst="rect">
                              <a:avLst/>
                            </a:prstGeom>
                            <a:noFill/>
                          </wps:spPr>
                          <wps:txbx>
                            <w:txbxContent>
                              <w:p w14:paraId="20513D16" w14:textId="77777777" w:rsidR="00777EE0" w:rsidRDefault="00777EE0" w:rsidP="00E808F1">
                                <w:pPr>
                                  <w:tabs>
                                    <w:tab w:val="left" w:pos="720"/>
                                  </w:tabs>
                                  <w:jc w:val="center"/>
                                  <w:rPr>
                                    <w:szCs w:val="24"/>
                                  </w:rPr>
                                </w:pPr>
                                <w:r>
                                  <w:rPr>
                                    <w:rFonts w:cstheme="minorBidi"/>
                                    <w:b/>
                                    <w:bCs/>
                                    <w:color w:val="000000"/>
                                    <w:kern w:val="24"/>
                                    <w:sz w:val="22"/>
                                  </w:rPr>
                                  <w:t>Study 2</w:t>
                                </w:r>
                                <w:r>
                                  <w:rPr>
                                    <w:rFonts w:cstheme="minorBidi"/>
                                    <w:color w:val="000000"/>
                                    <w:kern w:val="24"/>
                                    <w:sz w:val="22"/>
                                  </w:rPr>
                                  <w:t xml:space="preserve"> post-ban</w:t>
                                </w:r>
                                <w:r>
                                  <w:rPr>
                                    <w:rFonts w:cstheme="minorBidi"/>
                                    <w:color w:val="000000" w:themeColor="text1"/>
                                    <w:kern w:val="24"/>
                                  </w:rPr>
                                  <w:t xml:space="preserve"> f</w:t>
                                </w:r>
                                <w:r>
                                  <w:rPr>
                                    <w:rFonts w:cstheme="minorBidi"/>
                                    <w:color w:val="000000"/>
                                    <w:kern w:val="24"/>
                                    <w:sz w:val="22"/>
                                  </w:rPr>
                                  <w:t>ocus groups</w:t>
                                </w:r>
                              </w:p>
                            </w:txbxContent>
                          </wps:txbx>
                          <wps:bodyPr wrap="square" rtlCol="0">
                            <a:spAutoFit/>
                          </wps:bodyPr>
                        </wps:wsp>
                      </wpg:grpSp>
                      <wpg:grpSp>
                        <wpg:cNvPr id="339" name="Group 339"/>
                        <wpg:cNvGrpSpPr/>
                        <wpg:grpSpPr>
                          <a:xfrm>
                            <a:off x="103598" y="4095083"/>
                            <a:ext cx="846226" cy="801776"/>
                            <a:chOff x="103598" y="4095083"/>
                            <a:chExt cx="846234" cy="801790"/>
                          </a:xfrm>
                        </wpg:grpSpPr>
                        <wps:wsp>
                          <wps:cNvPr id="340" name="Rectangle 340"/>
                          <wps:cNvSpPr/>
                          <wps:spPr>
                            <a:xfrm>
                              <a:off x="103598" y="4095083"/>
                              <a:ext cx="846234" cy="79143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1" name="TextBox 189"/>
                          <wps:cNvSpPr txBox="1"/>
                          <wps:spPr>
                            <a:xfrm>
                              <a:off x="160828" y="4124065"/>
                              <a:ext cx="736607" cy="772808"/>
                            </a:xfrm>
                            <a:prstGeom prst="rect">
                              <a:avLst/>
                            </a:prstGeom>
                            <a:noFill/>
                          </wps:spPr>
                          <wps:txbx>
                            <w:txbxContent>
                              <w:p w14:paraId="2EED5A7F" w14:textId="77777777" w:rsidR="00777EE0" w:rsidRDefault="00777EE0" w:rsidP="00E808F1">
                                <w:pPr>
                                  <w:tabs>
                                    <w:tab w:val="left" w:pos="720"/>
                                  </w:tabs>
                                  <w:jc w:val="center"/>
                                  <w:rPr>
                                    <w:szCs w:val="24"/>
                                  </w:rPr>
                                </w:pPr>
                                <w:r>
                                  <w:rPr>
                                    <w:rFonts w:cstheme="minorBidi"/>
                                    <w:b/>
                                    <w:bCs/>
                                    <w:color w:val="000000"/>
                                    <w:kern w:val="24"/>
                                    <w:sz w:val="22"/>
                                  </w:rPr>
                                  <w:t>Study 3</w:t>
                                </w:r>
                                <w:r>
                                  <w:rPr>
                                    <w:rFonts w:cstheme="minorBidi"/>
                                    <w:color w:val="000000"/>
                                    <w:kern w:val="24"/>
                                    <w:sz w:val="22"/>
                                  </w:rPr>
                                  <w:t xml:space="preserve"> </w:t>
                                </w:r>
                                <w:r>
                                  <w:rPr>
                                    <w:rFonts w:cstheme="minorBidi"/>
                                    <w:color w:val="000000"/>
                                    <w:kern w:val="24"/>
                                    <w:sz w:val="22"/>
                                  </w:rPr>
                                  <w:br/>
                                  <w:t>focus groups</w:t>
                                </w:r>
                              </w:p>
                            </w:txbxContent>
                          </wps:txbx>
                          <wps:bodyPr wrap="square" rtlCol="0">
                            <a:spAutoFit/>
                          </wps:bodyPr>
                        </wps:wsp>
                      </wpg:grpSp>
                      <wpg:grpSp>
                        <wpg:cNvPr id="342" name="Group 342"/>
                        <wpg:cNvGrpSpPr/>
                        <wpg:grpSpPr>
                          <a:xfrm>
                            <a:off x="3839770" y="2877720"/>
                            <a:ext cx="864862" cy="866825"/>
                            <a:chOff x="3839770" y="2877720"/>
                            <a:chExt cx="864870" cy="866840"/>
                          </a:xfrm>
                        </wpg:grpSpPr>
                        <wps:wsp>
                          <wps:cNvPr id="343" name="Rectangle 343"/>
                          <wps:cNvSpPr/>
                          <wps:spPr>
                            <a:xfrm>
                              <a:off x="3839974" y="2877720"/>
                              <a:ext cx="846234" cy="79143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4" name="TextBox 200"/>
                          <wps:cNvSpPr txBox="1"/>
                          <wps:spPr>
                            <a:xfrm>
                              <a:off x="3839770" y="2971765"/>
                              <a:ext cx="864870" cy="772795"/>
                            </a:xfrm>
                            <a:prstGeom prst="rect">
                              <a:avLst/>
                            </a:prstGeom>
                            <a:noFill/>
                          </wps:spPr>
                          <wps:txbx>
                            <w:txbxContent>
                              <w:p w14:paraId="698D9FEA" w14:textId="77777777" w:rsidR="00777EE0" w:rsidRDefault="00777EE0" w:rsidP="00E808F1">
                                <w:pPr>
                                  <w:tabs>
                                    <w:tab w:val="left" w:pos="720"/>
                                  </w:tabs>
                                  <w:jc w:val="center"/>
                                  <w:rPr>
                                    <w:szCs w:val="24"/>
                                  </w:rPr>
                                </w:pPr>
                                <w:r>
                                  <w:rPr>
                                    <w:rFonts w:cstheme="minorBidi"/>
                                    <w:color w:val="000000"/>
                                    <w:kern w:val="24"/>
                                    <w:sz w:val="22"/>
                                  </w:rPr>
                                  <w:t>Pre- and post-ban comparison</w:t>
                                </w:r>
                              </w:p>
                            </w:txbxContent>
                          </wps:txbx>
                          <wps:bodyPr wrap="square" rtlCol="0">
                            <a:spAutoFit/>
                          </wps:bodyPr>
                        </wps:wsp>
                      </wpg:grpSp>
                      <wpg:grpSp>
                        <wpg:cNvPr id="345" name="Group 345"/>
                        <wpg:cNvGrpSpPr/>
                        <wpg:grpSpPr>
                          <a:xfrm>
                            <a:off x="1597991" y="4264795"/>
                            <a:ext cx="860425" cy="599437"/>
                            <a:chOff x="1597991" y="4264795"/>
                            <a:chExt cx="860433" cy="599447"/>
                          </a:xfrm>
                        </wpg:grpSpPr>
                        <wps:wsp>
                          <wps:cNvPr id="346" name="Rectangle 346"/>
                          <wps:cNvSpPr/>
                          <wps:spPr>
                            <a:xfrm>
                              <a:off x="1613974" y="4264795"/>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47" name="TextBox 205"/>
                          <wps:cNvSpPr txBox="1"/>
                          <wps:spPr>
                            <a:xfrm>
                              <a:off x="1597991" y="4276222"/>
                              <a:ext cx="860433" cy="588020"/>
                            </a:xfrm>
                            <a:prstGeom prst="rect">
                              <a:avLst/>
                            </a:prstGeom>
                            <a:noFill/>
                          </wps:spPr>
                          <wps:txbx>
                            <w:txbxContent>
                              <w:p w14:paraId="2B86A5BC" w14:textId="77777777" w:rsidR="00777EE0" w:rsidRDefault="00777EE0" w:rsidP="00E808F1">
                                <w:pPr>
                                  <w:tabs>
                                    <w:tab w:val="left" w:pos="720"/>
                                  </w:tabs>
                                  <w:jc w:val="center"/>
                                  <w:rPr>
                                    <w:szCs w:val="24"/>
                                  </w:rPr>
                                </w:pPr>
                                <w:r>
                                  <w:rPr>
                                    <w:rFonts w:cstheme="minorBidi"/>
                                    <w:color w:val="000000"/>
                                    <w:kern w:val="24"/>
                                    <w:sz w:val="22"/>
                                  </w:rPr>
                                  <w:t>Coding framework</w:t>
                                </w:r>
                              </w:p>
                            </w:txbxContent>
                          </wps:txbx>
                          <wps:bodyPr wrap="square" rtlCol="0">
                            <a:spAutoFit/>
                          </wps:bodyPr>
                        </wps:wsp>
                      </wpg:grpSp>
                      <wpg:grpSp>
                        <wpg:cNvPr id="348" name="Group 348"/>
                        <wpg:cNvGrpSpPr/>
                        <wpg:grpSpPr>
                          <a:xfrm>
                            <a:off x="2652143" y="1368051"/>
                            <a:ext cx="989330" cy="592110"/>
                            <a:chOff x="2652143" y="1368051"/>
                            <a:chExt cx="989339" cy="592120"/>
                          </a:xfrm>
                        </wpg:grpSpPr>
                        <wps:wsp>
                          <wps:cNvPr id="349" name="Rectangle 349"/>
                          <wps:cNvSpPr/>
                          <wps:spPr>
                            <a:xfrm>
                              <a:off x="2717990" y="1368051"/>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0" name="TextBox 212"/>
                          <wps:cNvSpPr txBox="1"/>
                          <wps:spPr>
                            <a:xfrm>
                              <a:off x="2652143" y="1372151"/>
                              <a:ext cx="989339" cy="588020"/>
                            </a:xfrm>
                            <a:prstGeom prst="rect">
                              <a:avLst/>
                            </a:prstGeom>
                            <a:noFill/>
                          </wps:spPr>
                          <wps:txbx>
                            <w:txbxContent>
                              <w:p w14:paraId="3B553A34" w14:textId="77777777" w:rsidR="00777EE0" w:rsidRDefault="00777EE0" w:rsidP="00E808F1">
                                <w:pPr>
                                  <w:tabs>
                                    <w:tab w:val="left" w:pos="720"/>
                                  </w:tabs>
                                  <w:jc w:val="center"/>
                                  <w:rPr>
                                    <w:szCs w:val="24"/>
                                  </w:rPr>
                                </w:pPr>
                                <w:r>
                                  <w:rPr>
                                    <w:rFonts w:cstheme="minorBidi"/>
                                    <w:color w:val="000000"/>
                                    <w:kern w:val="24"/>
                                    <w:sz w:val="22"/>
                                  </w:rPr>
                                  <w:t xml:space="preserve">Pre-ban </w:t>
                                </w:r>
                                <w:r>
                                  <w:rPr>
                                    <w:rFonts w:cstheme="minorBidi"/>
                                    <w:color w:val="000000" w:themeColor="text1"/>
                                    <w:kern w:val="24"/>
                                  </w:rPr>
                                  <w:br/>
                                </w:r>
                                <w:r>
                                  <w:rPr>
                                    <w:rFonts w:cstheme="minorBidi"/>
                                    <w:color w:val="000000"/>
                                    <w:kern w:val="24"/>
                                    <w:sz w:val="22"/>
                                  </w:rPr>
                                  <w:t>data</w:t>
                                </w:r>
                              </w:p>
                            </w:txbxContent>
                          </wps:txbx>
                          <wps:bodyPr wrap="square" rtlCol="0">
                            <a:spAutoFit/>
                          </wps:bodyPr>
                        </wps:wsp>
                      </wpg:grpSp>
                      <wpg:grpSp>
                        <wpg:cNvPr id="351" name="Group 351"/>
                        <wpg:cNvGrpSpPr/>
                        <wpg:grpSpPr>
                          <a:xfrm>
                            <a:off x="1539919" y="1368203"/>
                            <a:ext cx="989965" cy="592110"/>
                            <a:chOff x="1539919" y="1368203"/>
                            <a:chExt cx="989974" cy="592120"/>
                          </a:xfrm>
                        </wpg:grpSpPr>
                        <wps:wsp>
                          <wps:cNvPr id="352" name="Rectangle 352"/>
                          <wps:cNvSpPr/>
                          <wps:spPr>
                            <a:xfrm>
                              <a:off x="1605707" y="1368203"/>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3" name="TextBox 215"/>
                          <wps:cNvSpPr txBox="1"/>
                          <wps:spPr>
                            <a:xfrm>
                              <a:off x="1539919" y="1372303"/>
                              <a:ext cx="989974" cy="588020"/>
                            </a:xfrm>
                            <a:prstGeom prst="rect">
                              <a:avLst/>
                            </a:prstGeom>
                            <a:noFill/>
                          </wps:spPr>
                          <wps:txbx>
                            <w:txbxContent>
                              <w:p w14:paraId="4904FDE2" w14:textId="77777777" w:rsidR="00777EE0" w:rsidRDefault="00777EE0" w:rsidP="00E808F1">
                                <w:pPr>
                                  <w:tabs>
                                    <w:tab w:val="left" w:pos="720"/>
                                  </w:tabs>
                                  <w:jc w:val="center"/>
                                  <w:rPr>
                                    <w:szCs w:val="24"/>
                                  </w:rPr>
                                </w:pPr>
                                <w:r>
                                  <w:rPr>
                                    <w:rFonts w:cstheme="minorBidi"/>
                                    <w:color w:val="000000"/>
                                    <w:kern w:val="24"/>
                                    <w:sz w:val="22"/>
                                  </w:rPr>
                                  <w:t>Coding themes</w:t>
                                </w:r>
                              </w:p>
                            </w:txbxContent>
                          </wps:txbx>
                          <wps:bodyPr wrap="square" rtlCol="0">
                            <a:spAutoFit/>
                          </wps:bodyPr>
                        </wps:wsp>
                      </wpg:grpSp>
                      <wpg:grpSp>
                        <wpg:cNvPr id="354" name="Group 354"/>
                        <wpg:cNvGrpSpPr/>
                        <wpg:grpSpPr>
                          <a:xfrm>
                            <a:off x="1605622" y="2870710"/>
                            <a:ext cx="852805" cy="592088"/>
                            <a:chOff x="1605622" y="2870710"/>
                            <a:chExt cx="852813" cy="592098"/>
                          </a:xfrm>
                        </wpg:grpSpPr>
                        <wps:wsp>
                          <wps:cNvPr id="355" name="Rectangle 355"/>
                          <wps:cNvSpPr/>
                          <wps:spPr>
                            <a:xfrm>
                              <a:off x="1606600" y="2870710"/>
                              <a:ext cx="842155" cy="423322"/>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6" name="TextBox 221"/>
                          <wps:cNvSpPr txBox="1"/>
                          <wps:spPr>
                            <a:xfrm>
                              <a:off x="1605622" y="2874788"/>
                              <a:ext cx="852813" cy="588020"/>
                            </a:xfrm>
                            <a:prstGeom prst="rect">
                              <a:avLst/>
                            </a:prstGeom>
                            <a:noFill/>
                          </wps:spPr>
                          <wps:txbx>
                            <w:txbxContent>
                              <w:p w14:paraId="303DD847" w14:textId="77777777" w:rsidR="00777EE0" w:rsidRDefault="00777EE0" w:rsidP="00E808F1">
                                <w:pPr>
                                  <w:tabs>
                                    <w:tab w:val="left" w:pos="720"/>
                                  </w:tabs>
                                  <w:jc w:val="center"/>
                                  <w:rPr>
                                    <w:szCs w:val="24"/>
                                  </w:rPr>
                                </w:pPr>
                                <w:r>
                                  <w:rPr>
                                    <w:rFonts w:cstheme="minorBidi"/>
                                    <w:color w:val="000000"/>
                                    <w:kern w:val="24"/>
                                    <w:sz w:val="22"/>
                                  </w:rPr>
                                  <w:t>Coding themes</w:t>
                                </w:r>
                              </w:p>
                            </w:txbxContent>
                          </wps:txbx>
                          <wps:bodyPr wrap="square" rtlCol="0">
                            <a:spAutoFit/>
                          </wps:bodyPr>
                        </wps:wsp>
                      </wpg:grpSp>
                      <wpg:grpSp>
                        <wpg:cNvPr id="357" name="Group 357"/>
                        <wpg:cNvGrpSpPr/>
                        <wpg:grpSpPr>
                          <a:xfrm>
                            <a:off x="4561347" y="5085131"/>
                            <a:ext cx="1030612" cy="497453"/>
                            <a:chOff x="4561347" y="5085131"/>
                            <a:chExt cx="1030621" cy="497461"/>
                          </a:xfrm>
                        </wpg:grpSpPr>
                        <wps:wsp>
                          <wps:cNvPr id="358" name="Rectangle 358"/>
                          <wps:cNvSpPr/>
                          <wps:spPr>
                            <a:xfrm>
                              <a:off x="4561347" y="5085131"/>
                              <a:ext cx="1030621" cy="4308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9" name="TextBox 291"/>
                          <wps:cNvSpPr txBox="1"/>
                          <wps:spPr>
                            <a:xfrm>
                              <a:off x="4565148" y="5179367"/>
                              <a:ext cx="1026160" cy="403225"/>
                            </a:xfrm>
                            <a:prstGeom prst="rect">
                              <a:avLst/>
                            </a:prstGeom>
                            <a:noFill/>
                          </wps:spPr>
                          <wps:txbx>
                            <w:txbxContent>
                              <w:p w14:paraId="1D6DBA1E" w14:textId="77777777" w:rsidR="00777EE0" w:rsidRDefault="00777EE0" w:rsidP="00E808F1">
                                <w:pPr>
                                  <w:tabs>
                                    <w:tab w:val="left" w:pos="720"/>
                                  </w:tabs>
                                  <w:jc w:val="center"/>
                                  <w:rPr>
                                    <w:szCs w:val="24"/>
                                  </w:rPr>
                                </w:pPr>
                                <w:r>
                                  <w:rPr>
                                    <w:rFonts w:cstheme="minorBidi"/>
                                    <w:color w:val="000000"/>
                                    <w:kern w:val="24"/>
                                    <w:sz w:val="22"/>
                                  </w:rPr>
                                  <w:t>Select model/s</w:t>
                                </w:r>
                              </w:p>
                            </w:txbxContent>
                          </wps:txbx>
                          <wps:bodyPr wrap="square" rtlCol="0">
                            <a:spAutoFit/>
                          </wps:bodyPr>
                        </wps:wsp>
                      </wpg:grpSp>
                      <wpg:grpSp>
                        <wpg:cNvPr id="360" name="Group 360"/>
                        <wpg:cNvGrpSpPr/>
                        <wpg:grpSpPr>
                          <a:xfrm>
                            <a:off x="4552322" y="1354965"/>
                            <a:ext cx="1031544" cy="597308"/>
                            <a:chOff x="4552322" y="1354965"/>
                            <a:chExt cx="1031553" cy="597318"/>
                          </a:xfrm>
                        </wpg:grpSpPr>
                        <wps:wsp>
                          <wps:cNvPr id="361" name="Rectangle 361"/>
                          <wps:cNvSpPr/>
                          <wps:spPr>
                            <a:xfrm>
                              <a:off x="4553254" y="1354965"/>
                              <a:ext cx="1030621" cy="4308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2" name="TextBox 300"/>
                          <wps:cNvSpPr txBox="1"/>
                          <wps:spPr>
                            <a:xfrm>
                              <a:off x="4552322" y="1364273"/>
                              <a:ext cx="1031240" cy="588010"/>
                            </a:xfrm>
                            <a:prstGeom prst="rect">
                              <a:avLst/>
                            </a:prstGeom>
                            <a:noFill/>
                          </wps:spPr>
                          <wps:txbx>
                            <w:txbxContent>
                              <w:p w14:paraId="6195A4AA" w14:textId="77777777" w:rsidR="00777EE0" w:rsidRDefault="00777EE0" w:rsidP="00E808F1">
                                <w:pPr>
                                  <w:tabs>
                                    <w:tab w:val="left" w:pos="720"/>
                                  </w:tabs>
                                  <w:jc w:val="center"/>
                                  <w:rPr>
                                    <w:szCs w:val="24"/>
                                  </w:rPr>
                                </w:pPr>
                                <w:r>
                                  <w:rPr>
                                    <w:rFonts w:cstheme="minorBidi"/>
                                    <w:color w:val="000000"/>
                                    <w:kern w:val="24"/>
                                    <w:sz w:val="22"/>
                                  </w:rPr>
                                  <w:t>Evaluate fit of SCM’s</w:t>
                                </w:r>
                              </w:p>
                            </w:txbxContent>
                          </wps:txbx>
                          <wps:bodyPr wrap="square" rtlCol="0">
                            <a:spAutoFit/>
                          </wps:bodyPr>
                        </wps:wsp>
                      </wpg:grpSp>
                      <wpg:grpSp>
                        <wpg:cNvPr id="363" name="Group 363"/>
                        <wpg:cNvGrpSpPr/>
                        <wpg:grpSpPr>
                          <a:xfrm>
                            <a:off x="4552564" y="493695"/>
                            <a:ext cx="1030612" cy="597338"/>
                            <a:chOff x="4552564" y="493695"/>
                            <a:chExt cx="1030621" cy="597348"/>
                          </a:xfrm>
                        </wpg:grpSpPr>
                        <wps:wsp>
                          <wps:cNvPr id="364" name="Rectangle 364"/>
                          <wps:cNvSpPr/>
                          <wps:spPr>
                            <a:xfrm>
                              <a:off x="4552564" y="493695"/>
                              <a:ext cx="1030621" cy="4308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5" name="TextBox 303"/>
                          <wps:cNvSpPr txBox="1"/>
                          <wps:spPr>
                            <a:xfrm>
                              <a:off x="4556366" y="503033"/>
                              <a:ext cx="1026160" cy="588010"/>
                            </a:xfrm>
                            <a:prstGeom prst="rect">
                              <a:avLst/>
                            </a:prstGeom>
                            <a:noFill/>
                          </wps:spPr>
                          <wps:txbx>
                            <w:txbxContent>
                              <w:p w14:paraId="215A778F" w14:textId="77777777" w:rsidR="00777EE0" w:rsidRDefault="00777EE0" w:rsidP="00E808F1">
                                <w:pPr>
                                  <w:tabs>
                                    <w:tab w:val="left" w:pos="720"/>
                                  </w:tabs>
                                  <w:jc w:val="center"/>
                                  <w:rPr>
                                    <w:szCs w:val="24"/>
                                  </w:rPr>
                                </w:pPr>
                                <w:r>
                                  <w:rPr>
                                    <w:rFonts w:cstheme="minorBidi"/>
                                    <w:color w:val="000000"/>
                                    <w:kern w:val="24"/>
                                    <w:sz w:val="22"/>
                                  </w:rPr>
                                  <w:t>Select existing models</w:t>
                                </w:r>
                              </w:p>
                            </w:txbxContent>
                          </wps:txbx>
                          <wps:bodyPr wrap="square" rtlCol="0">
                            <a:spAutoFit/>
                          </wps:bodyPr>
                        </wps:wsp>
                      </wpg:grpSp>
                      <wps:wsp>
                        <wps:cNvPr id="366" name="Connector: Elbow 366"/>
                        <wps:cNvCnPr>
                          <a:cxnSpLocks/>
                        </wps:cNvCnPr>
                        <wps:spPr>
                          <a:xfrm rot="16200000" flipH="1">
                            <a:off x="3167259" y="1781891"/>
                            <a:ext cx="1075377" cy="1116279"/>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Connector: Elbow 367"/>
                        <wps:cNvCnPr>
                          <a:cxnSpLocks/>
                        </wps:cNvCnPr>
                        <wps:spPr>
                          <a:xfrm rot="16200000" flipH="1">
                            <a:off x="4222026" y="3719000"/>
                            <a:ext cx="589755" cy="530668"/>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TextBox 320"/>
                        <wps:cNvSpPr txBox="1"/>
                        <wps:spPr>
                          <a:xfrm>
                            <a:off x="744514" y="2834330"/>
                            <a:ext cx="1038851" cy="403218"/>
                          </a:xfrm>
                          <a:prstGeom prst="rect">
                            <a:avLst/>
                          </a:prstGeom>
                          <a:noFill/>
                        </wps:spPr>
                        <wps:txbx>
                          <w:txbxContent>
                            <w:p w14:paraId="4F591912" w14:textId="77777777" w:rsidR="00777EE0" w:rsidRDefault="00777EE0" w:rsidP="00E808F1">
                              <w:pPr>
                                <w:tabs>
                                  <w:tab w:val="left" w:pos="720"/>
                                </w:tabs>
                                <w:jc w:val="center"/>
                                <w:rPr>
                                  <w:szCs w:val="24"/>
                                </w:rPr>
                              </w:pPr>
                              <w:r>
                                <w:rPr>
                                  <w:rFonts w:cstheme="minorBidi"/>
                                  <w:i/>
                                  <w:iCs/>
                                  <w:color w:val="000000"/>
                                  <w:kern w:val="24"/>
                                  <w:sz w:val="22"/>
                                </w:rPr>
                                <w:t xml:space="preserve">Revise </w:t>
                              </w:r>
                            </w:p>
                          </w:txbxContent>
                        </wps:txbx>
                        <wps:bodyPr wrap="square" rtlCol="0">
                          <a:spAutoFit/>
                        </wps:bodyPr>
                      </wps:wsp>
                      <wps:wsp>
                        <wps:cNvPr id="369" name="TextBox 321"/>
                        <wps:cNvSpPr txBox="1"/>
                        <wps:spPr>
                          <a:xfrm>
                            <a:off x="742635" y="4226237"/>
                            <a:ext cx="1038216" cy="403218"/>
                          </a:xfrm>
                          <a:prstGeom prst="rect">
                            <a:avLst/>
                          </a:prstGeom>
                          <a:noFill/>
                        </wps:spPr>
                        <wps:txbx>
                          <w:txbxContent>
                            <w:p w14:paraId="7DAD2CF8" w14:textId="77777777" w:rsidR="00777EE0" w:rsidRDefault="00777EE0" w:rsidP="00E808F1">
                              <w:pPr>
                                <w:tabs>
                                  <w:tab w:val="left" w:pos="720"/>
                                </w:tabs>
                                <w:jc w:val="center"/>
                                <w:rPr>
                                  <w:szCs w:val="24"/>
                                </w:rPr>
                              </w:pPr>
                              <w:r>
                                <w:rPr>
                                  <w:rFonts w:cstheme="minorBidi"/>
                                  <w:i/>
                                  <w:iCs/>
                                  <w:color w:val="000000"/>
                                  <w:kern w:val="24"/>
                                  <w:sz w:val="22"/>
                                </w:rPr>
                                <w:t xml:space="preserve">Devise </w:t>
                              </w:r>
                            </w:p>
                          </w:txbxContent>
                        </wps:txbx>
                        <wps:bodyPr wrap="square" rtlCol="0">
                          <a:spAutoFit/>
                        </wps:bodyPr>
                      </wps:wsp>
                      <wps:wsp>
                        <wps:cNvPr id="370" name="TextBox 322"/>
                        <wps:cNvSpPr txBox="1"/>
                        <wps:spPr>
                          <a:xfrm rot="16200000">
                            <a:off x="1405061" y="2124108"/>
                            <a:ext cx="1125836" cy="403221"/>
                          </a:xfrm>
                          <a:prstGeom prst="rect">
                            <a:avLst/>
                          </a:prstGeom>
                          <a:noFill/>
                        </wps:spPr>
                        <wps:txbx>
                          <w:txbxContent>
                            <w:p w14:paraId="4ADE2DE3" w14:textId="77777777" w:rsidR="00777EE0" w:rsidRDefault="00777EE0" w:rsidP="00E808F1">
                              <w:pPr>
                                <w:tabs>
                                  <w:tab w:val="left" w:pos="720"/>
                                </w:tabs>
                                <w:jc w:val="center"/>
                                <w:rPr>
                                  <w:szCs w:val="24"/>
                                </w:rPr>
                              </w:pPr>
                              <w:r>
                                <w:rPr>
                                  <w:rFonts w:cstheme="minorBidi"/>
                                  <w:i/>
                                  <w:iCs/>
                                  <w:color w:val="000000"/>
                                  <w:kern w:val="24"/>
                                  <w:sz w:val="22"/>
                                </w:rPr>
                                <w:t>Inform</w:t>
                              </w:r>
                            </w:p>
                          </w:txbxContent>
                        </wps:txbx>
                        <wps:bodyPr wrap="square" rtlCol="0">
                          <a:spAutoFit/>
                        </wps:bodyPr>
                      </wps:wsp>
                      <wps:wsp>
                        <wps:cNvPr id="371" name="Straight Arrow Connector 371"/>
                        <wps:cNvCnPr>
                          <a:cxnSpLocks/>
                        </wps:cNvCnPr>
                        <wps:spPr>
                          <a:xfrm>
                            <a:off x="2447854" y="3074996"/>
                            <a:ext cx="2656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2" name="Straight Arrow Connector 372"/>
                        <wps:cNvCnPr>
                          <a:cxnSpLocks/>
                        </wps:cNvCnPr>
                        <wps:spPr>
                          <a:xfrm>
                            <a:off x="2458520" y="1595767"/>
                            <a:ext cx="2656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3" name="Straight Arrow Connector 373"/>
                        <wps:cNvCnPr>
                          <a:cxnSpLocks/>
                        </wps:cNvCnPr>
                        <wps:spPr>
                          <a:xfrm>
                            <a:off x="3572317" y="3088862"/>
                            <a:ext cx="2656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4" name="Straight Arrow Connector 374"/>
                        <wps:cNvCnPr>
                          <a:cxnSpLocks/>
                        </wps:cNvCnPr>
                        <wps:spPr>
                          <a:xfrm>
                            <a:off x="3564181" y="1579088"/>
                            <a:ext cx="988383" cy="67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5" name="TextBox 322"/>
                        <wps:cNvSpPr txBox="1"/>
                        <wps:spPr>
                          <a:xfrm rot="16200000">
                            <a:off x="-134768" y="2101264"/>
                            <a:ext cx="1125855" cy="403225"/>
                          </a:xfrm>
                          <a:prstGeom prst="rect">
                            <a:avLst/>
                          </a:prstGeom>
                          <a:noFill/>
                        </wps:spPr>
                        <wps:txbx>
                          <w:txbxContent>
                            <w:p w14:paraId="54B1A681" w14:textId="77777777" w:rsidR="00777EE0" w:rsidRDefault="00777EE0" w:rsidP="00E808F1">
                              <w:pPr>
                                <w:tabs>
                                  <w:tab w:val="left" w:pos="720"/>
                                </w:tabs>
                                <w:jc w:val="center"/>
                                <w:rPr>
                                  <w:szCs w:val="24"/>
                                </w:rPr>
                              </w:pPr>
                              <w:r>
                                <w:rPr>
                                  <w:rFonts w:cstheme="minorBidi"/>
                                  <w:i/>
                                  <w:iCs/>
                                  <w:color w:val="000000"/>
                                  <w:kern w:val="24"/>
                                  <w:sz w:val="22"/>
                                </w:rPr>
                                <w:t>Replicate</w:t>
                              </w:r>
                            </w:p>
                          </w:txbxContent>
                        </wps:txbx>
                        <wps:bodyPr wrap="square" rtlCol="0">
                          <a:spAutoFit/>
                        </wps:bodyPr>
                      </wps:wsp>
                    </wpg:wgp>
                  </a:graphicData>
                </a:graphic>
              </wp:anchor>
            </w:drawing>
          </mc:Choice>
          <mc:Fallback>
            <w:pict>
              <v:group w14:anchorId="53B786BC" id="Group 91" o:spid="_x0000_s1115" style="position:absolute;margin-left:0;margin-top:37.65pt;width:463.3pt;height:439.55pt;z-index:253711360" coordsize="58840,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JI4Q8AAF+PAAAOAAAAZHJzL2Uyb0RvYy54bWzsXdty20YSfd+q/QcU32NhBoMbK3Iq6zje&#10;h9RuKs7uO8yLxF2K4IKwJf/9np5L40aIF4lQ5CAPjnjBEDPTc+b06Z7G9z883K29L4tit8o31xPx&#10;xp94i80sn682N9eTf/3+83fJxNuV2WaerfPN4nrydbGb/PD2r3/5/n47Xcj8Nl/PF4WHRja76f32&#10;enJbltvp1dVudru4y3Zv8u1igw+XeXGXlXhZ3FzNi+werd+tr6TvR1f3eTHfFvlssdvh3Z/Mh5O3&#10;uv3lcjEr/7lc7halt76e4N5K/W+h//1E/169/T6b3hTZ9nY1s7eRnXEXd9lqgx/lpn7Kysz7XKw6&#10;Td2tZkW+y5flm1l+d5Uvl6vZQvcBvRF+qzcfivzzVvflZnp/s+VhwtC2xunsZmf/+PJr4a3m15PA&#10;DyfeJrvDJOnf9VJBo3O/vZniSx+K7cftr4V948a8og4/LIs7+j+64j3ocf3K47p4KL0Z3gyTJEgF&#10;hn+Gz8IwkTIJzcjPbjE9netmt++rK5Wv0urKMFF05ZX74Su6P74dfsH3zZ2Lmp0L/OiM3slIpUqo&#10;iYd+yCQKgiAx/XA9TZM0jTCOuqOp9BP7Ofezt4Wqz9RGjN9wbaS6jd4eY93sKtPYPc00Pt5m24W2&#10;uB3NOo9e7EbvN6yobHOzXniBH5sR1N9k49hNd7CTPZYhYxEKhbHpG7tESRHasVMyCKRszHQ23Ra7&#10;8sMiv/Poj+tJgVvRay778suuNEbhvkK/v8l/Xq3XeD+brjf07y5fr+b0nn5BCLN4ty68LxmwoXzQ&#10;1o5Rrn0Lr8yVC40k9lfut66P+q/y63phfuO3xRIrCfYu9G1pDKt+IZvNFpvS/cp6g2/TZUvcD18Y&#10;HL7Qfp8uNXfFF8vDF/MV+pfzTckX3602ebGvgTXf8tJ8H4uv1m/681M+/wpLKcr1u9zAbLaZ3eZA&#10;2VlZ6Dmkb8FKaVUOYq7YdAyS/Y6F+bf8wZNCLyL6eZg1GatXPuADmiuNaW5KHa4woLUWbKyEBg6M&#10;voWoxnJNEl/qTYWX6/lma4ZZLya67/Lh04MG6jBwt2wH/h7b1/Vk97/PWbGY1KaBJnm3/fFziYWg&#10;1wc1Y66xk6jnpILQweYHgN6cn0QP2hnTg00FeCKCRINRNSsi8kOJVjWKKh9gonecS06L3piqIfae&#10;OC3U0uWRnXbl1lTwijh1pfgiSn2zOVpi5daIiAIZxrXZMMvxkrOhp/vVzYbozIbeBM9YGMpPZBha&#10;qhKBs+iNkCck8YVK3WY7yPKwfMsh0NOXh+V9HaonpBtEw2MDvKEx/iQiK/wwiiy6CCVDXzdSAUyi&#10;IilBKomlga75qTV5Znp9DVREj5oILNFDE8JQUl4UFS4TnxoIDgI3djWiJ3jDsYjw+I7Z6Hji+0ID&#10;SnPkXLfjVKhAQzd3+/wN07G1GoPDBjjyvG+W55En1ty8BPYza50n7l4iDIII65nYxL71HgdhGgNZ&#10;7HpvL9bzrbaX5rF79VppnsD+YqbnY1lkq5vb0vuxKPJ7712+2cB5ywsvwHeq+Xq3MZ7j7GHzcftL&#10;PvvvDp/p8cFkmg8JBnsczFCKQIH50wymUezHGrYq3JEBVAc9f7FUUdTUETrzt7O3zPdqnLoeX/NM&#10;BzObltlq/X4z98qvWwgvZbHSzjWNCQCRWm2Zx+453U1/n8PX9FP73c0jLj7D3az88APuprOMAd1K&#10;eH6H7ZlpDptsNj3Tnv3YV7SGYNAK4ok12cqgwR5g7gRIQZSqqCkTjQbtpJ3XadC97JalOMdu7T5x&#10;EruVpF3CYrRtyRivWvSWVI3Q0tsQQqYRHWDKTrDtbaHit20xNNKAzETvRfgtK0N1ftvWhuyO1LPP&#10;yChNpRWB1b6xG4XMyShkvjkpJNOju4uOUCaMt3SGINBcsIlPbAiGXm0njeUKIdNQaV6unQ3laP29&#10;RWEqIZPX3SUYbh+AQp+1u7gFUCPYnhjnUmEISQveMm3OMg6V1J2pRlP4CDGRFGHCODHCRWa4GUF7&#10;m6gQVDciIQq5RlLdCM/JS0Ao3Y5h9TUIxZsWNI+SCHq7zvoUjZ7ruAoQRxtFAh2nOpbMjMEgF7tE&#10;GNHaqwsGwb1vWeuxwSDYbexTjFKv+gSsvK2r+jJC6MEu2EFANHV9uQSIDhGCkKw59ssE+E6FL0+T&#10;CdJQJMBimkIRxmFswswVcEdhkNAeQZCrxSRG284OOGoEWqYYNYIqU0KyJPmIMXOk8MkaQRAqEUTY&#10;kQmQVBKDw9FCqaxZQH5PUktDJL5AH48W3YkLHLuv/vlULwTOD6peJrhunZKnwXPoR4nO+CJ8jhPk&#10;e7XclNAlkkmVpGHS1BRGiH7dqtcgfINlXEcIETWo2MXB5CCvyJF9JiKkn+I/LaHb5EehfN+pakGY&#10;+Klq00OBdKLY+nM6K0X7Tf14/GQfG1zUdu156OEwYWjJIieHX6be+/UnxI4CfFZN1hlYY6fPR2Sa&#10;ps9brlfbf2M+6xNJoaQQnwGD4jRGegT9ZLWpYuZCX+AetfauQhUd2FY/IfOPe2JcszGQ5LIl/4Rb&#10;KqvQj5DEOiadYeZkrxaWKDakjMcDJSVWsOyGOUfIz3Y+q0zAYPFpPySNTs/o9FimxxILy9SP2DPr&#10;FE92elKVkpUanyf1Y+SxNe1ZIfXNbrLpoeyi0ZxHc26Zc4Cdv5lWVLEoK28fKxgiMTCirBNyZpCD&#10;nCAHtmGqEPiTxNkqEcKLJ8ZCLMAdUI9fEyEMOOjgOLuMzhVxhQBzp9RwTErox6KTJxSFSJy1se9h&#10;5oS78qrmhIX1ftQ3zNmurzNYjGbnf2+z85pEkAZBivXaXFRRbLk5Ikc4eEafjnxmlLy6Byx7wu7B&#10;EREJfMfi6JP5jATu+ySz0S6RQCIIbKjYRUOBVeRpIucUJ+Q0VozmPJrz8eZ8REwCCfnPZ85wIu05&#10;oECmiky7gc/WnEHiRXogrD+y85Gdt9n5EfGIQFvc+bSjJp5IyHsxSbYAYIUjU0na0nRlCAvHhqER&#10;eqQaR6h5ryVe3JdBhu3Z+oc2g8zs1ydmkAlUr6A8A9iVjGBDBoErkbl9wAwlATSKcv5YXwNV+ljr&#10;gJk9o8bc4SWyxyDH2LGrZY91chrtVtSTgNvoeAr/rZV6V+/2eMCsrwJB/yocc8ecsEnnK5pKkDBZ&#10;s3ZrORgrrG0kQiVQgPrXOx0wc6VDqgOlvFg7ke2nhwbZg3ke1aGCE3MkV1dl6ZzODVgrduBpheGT&#10;zi9ANwtRF0Vvyn4a+iYNYD94IpM5jtvJt30N7AdPasIc8OX5qHo73Olche2ik3qLNyvmTgZ5CDwP&#10;j9x4OhfBs9bB4WMThEbwdOCpOpotMtFatnqsjo6c2gQZ9nq9CwlRveVSxji7i3pEmoTHyLX3NSXg&#10;xXoB8GR/eUjwROJyk3m6TOaTwDNANa6YqnEQ9UxijFdLQE0ilUBe16OZRBGiaS3q2dtCDT7Rhqv4&#10;QW0YmOIZeRH4ZFmvxj0V74I2tPM4fFLPdXWu3rGrFXUYyedIPo8o89ejQiN5rEU+Ebc6Ez8bCzZF&#10;zKsNoLTk3XIFINiYOi/XCwAoSzSDAiiLR5Z9muzSU113lIJIEVfS2xFl9LUzEJBOg5IxBkDDNLUl&#10;TmqnZ0VfC3UA9RUFIkhXojZUUyp9EQBl4aMOoJpa1xyixwFURAK7j83e2Dt2YxnA8fTss5yexYrp&#10;ACijzomJHM0FG6P2UysnlJY8L9chygCiWI1daYMCKCsiDkBtnuJJDBSCJ07QA9yAbTi/kvhIgUFn&#10;Kv8d51gCSsMx4CdtWZ8agPa2UAGobgNqg2vDsFze0l4EQFn8qANo2yl6HEBRRxWbj2Hve8duLD8w&#10;lh/YPQuAUgp8U/6UrpbeGXVU60s+RiLDviXvlusgAMoHCYYEUEr2M2NqAdSMw8kMFG4oVYewAIoU&#10;kg6AspqM+i1dAEW9s/0tNABUM7U/EIAi+8WOXg1ATUrMCQzUxylucIO+sRsBdATQZwJQVpw4bbVR&#10;8O6k+FFjwcYSqY3dJc914wcBUD6iMiiAsiziANRKsScxUKoPDRKvQYDSsmNT7aZioAmVj2YXfk8l&#10;/94WKgClNlA81TFQ/w9QyZ+KV3RCSHjTcs6jNFD0HGo768d7xm504UcX/nkYKCtODKCdUkMnxJDq&#10;S17F7uEcLs22sVwHAVD2/AYFUJZFHIBaInwSgKoQQh4pLCRP+jjDgiMaDRde165yBbAUiGSnhGBv&#10;ExWC6ka4DhQaMcdXXtSJD1kCqXNQ3guPgtDerjtbbHZ8LIDFD2oZ4/C9j4vqiSOFLDoxhrpHO53s&#10;xcNu8RAfE4gPoUMFkcaOijaJegEsOjxlYse8YJ8/kGSO1JH3NySI0nnphhvvjgieCKKhdElhqDig&#10;yGVvg6gIKRBofPAYQGC+wFmgKEm2v4kGiOLBSsxD46B1yPAllFCqWdThodXZxCNBlGowmlBS3+iN&#10;VQSfUuN7TGZyyUyUDmPs1YFocHYwvrlkI5QPbXny2PwpycmuejDRi5dixQEH6wEOCqIsj1gmaipE&#10;n6iF0nCGKOdPTFRhR2oH4xtEFHF3fmhfA0P3tdCA0ApJqA1TMoi3tReBUBZCajzUPNbgaC30qLFj&#10;/j3S0JGGHn5qaQ8Npdz2NoK2c++OdeVhtjgkC21AO59QQjsAOnQZVjwa5oIAOkRZNBpOMz9cqYpr&#10;blW5BiBm5xzjb5ZM23uqPxBRLMlXobBMnCBXuCMoxGHgTvYLISJkqdGgMwh3fItG2S2jyOmyW5Rp&#10;cDO3vc3m/wEXXd6t8dxflFj2Ql0WzLRrv41fqD9YdHzYi3lmatMV/8Ye9gLHtn85cOT4cstBIcMI&#10;vrReDkEsUqpVB6OsPG2cRI3d43JDVEs/9PyXcTHUHrT7DZ1SHWRvYMmTvR+TTVUjmsfu3bFSkJC0&#10;XcskQM5cy65B1wcuiWTcL+rK8zg/1NLln9yKmpNtPnV2aCRWKDoCfkYeFJ5qKc2B3ApraE4kPf6K&#10;ZKhBSiKZ086vbU4og77FcU2e6LHr5NHasiiNbHLOkYWFp4VaJZAjBkKiGnJtjow19LOj4tjnp8O5&#10;3dmH7tFf/PyWmMPGr2ndUC0HM0f9ZasqOeS8Db527FcicT+xImXgxyo1j3Cp1hYyWSOivbS0NBT2&#10;z9hYDWWshmKRxOmS9EjSg9bMvukzWHOIKLlJ/UBKfBi34z+jNdu6Ct5q/kALmqDgzKPER1z8jTld&#10;YGKHrbkuGp2hRdSwOcDTXwKq4w3oJW2TDr02fKzRmkdrPv8AJyVjHsRmPkf+ZGwOEMJA+UBtzXiy&#10;UQqDblpzmiQ4B2qYRmScnpFrjOh8dB1B8H1rz5UKUKcWB7OZ+72b7yiXzD6PVuKZRTgY2rRdFO0F&#10;88ANOA/08nkllzhfd3+z1RT2psi2t6vZT1mZ1V/j7/vtdCHz23w9XxRv/w8AAP//AwBQSwMEFAAG&#10;AAgAAAAhAKeo3tTfAAAABwEAAA8AAABkcnMvZG93bnJldi54bWxMj0FLw0AQhe+C/2EZwZvdpG2i&#10;xmxKKeqpFGwF8TbNTpPQ7G7IbpP03zue9DaP93jvm3w1mVYM1PvGWQXxLAJBtnS6sZWCz8PbwxMI&#10;H9BqbJ0lBVfysCpub3LMtBvtBw37UAkusT5DBXUIXSalL2sy6GeuI8veyfUGA8u+krrHkctNK+dR&#10;lEqDjeWFGjva1FSe9xej4H3Ecb2IX4ft+bS5fh+S3dc2JqXu76b1C4hAU/gLwy8+o0PBTEd3sdqL&#10;VgE/EhQ8JgsQ7D7P0xTEkY9kuQRZ5PI/f/EDAAD//wMAUEsBAi0AFAAGAAgAAAAhALaDOJL+AAAA&#10;4QEAABMAAAAAAAAAAAAAAAAAAAAAAFtDb250ZW50X1R5cGVzXS54bWxQSwECLQAUAAYACAAAACEA&#10;OP0h/9YAAACUAQAACwAAAAAAAAAAAAAAAAAvAQAAX3JlbHMvLnJlbHNQSwECLQAUAAYACAAAACEA&#10;XusSSOEPAABfjwAADgAAAAAAAAAAAAAAAAAuAgAAZHJzL2Uyb0RvYy54bWxQSwECLQAUAAYACAAA&#10;ACEAp6je1N8AAAAHAQAADwAAAAAAAAAAAAAAAAA7EgAAZHJzL2Rvd25yZXYueG1sUEsFBgAAAAAE&#10;AAQA8wAAAEcTAAAAAA==&#10;">
                <v:group id="Group 306" o:spid="_x0000_s1116" style="position:absolute;left:26494;top:28633;width:9899;height:5921" coordorigin="26494,28633" coordsize="989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Rectangle 307" o:spid="_x0000_s1117" style="position:absolute;left:27151;top:28633;width:8422;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msxAAAANwAAAAPAAAAZHJzL2Rvd25yZXYueG1sRI/BasMw&#10;EETvhfyD2EAupZHrQBqcyKYUCrm4kLQfsFgby8RaKZYcu39fFQo9DjPzhjlUs+3FnYbQOVbwvM5A&#10;EDdOd9wq+Pp8f9qBCBFZY++YFHxTgKpcPByw0G7iE93PsRUJwqFABSZGX0gZGkMWw9p54uRd3GAx&#10;Jjm0Ug84JbjtZZ5lW2mx47Rg0NOboeZ6Hq2CedzdbvV4tYY2df+YR/9Re6/Uajm/7kFEmuN/+K99&#10;1Ao22Qv8nklHQJY/AAAA//8DAFBLAQItABQABgAIAAAAIQDb4fbL7gAAAIUBAAATAAAAAAAAAAAA&#10;AAAAAAAAAABbQ29udGVudF9UeXBlc10ueG1sUEsBAi0AFAAGAAgAAAAhAFr0LFu/AAAAFQEAAAsA&#10;AAAAAAAAAAAAAAAAHwEAAF9yZWxzLy5yZWxzUEsBAi0AFAAGAAgAAAAhAOWFWazEAAAA3AAAAA8A&#10;AAAAAAAAAAAAAAAABwIAAGRycy9kb3ducmV2LnhtbFBLBQYAAAAAAwADALcAAAD4AgAAAAA=&#10;" filled="f" strokecolor="black [3213]"/>
                  <v:shape id="TextBox 218" o:spid="_x0000_s1118" type="#_x0000_t202" style="position:absolute;left:26494;top:28674;width:989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126DB5CA" w14:textId="77777777" w:rsidR="00777EE0" w:rsidRDefault="00777EE0" w:rsidP="00E808F1">
                          <w:pPr>
                            <w:tabs>
                              <w:tab w:val="left" w:pos="720"/>
                            </w:tabs>
                            <w:jc w:val="center"/>
                            <w:rPr>
                              <w:szCs w:val="24"/>
                            </w:rPr>
                          </w:pPr>
                          <w:r>
                            <w:rPr>
                              <w:rFonts w:cstheme="minorBidi"/>
                              <w:color w:val="000000"/>
                              <w:kern w:val="24"/>
                              <w:sz w:val="22"/>
                            </w:rPr>
                            <w:t>Post-ban</w:t>
                          </w:r>
                          <w:r>
                            <w:rPr>
                              <w:rFonts w:cstheme="minorBidi"/>
                              <w:color w:val="000000" w:themeColor="text1"/>
                              <w:kern w:val="24"/>
                            </w:rPr>
                            <w:br/>
                          </w:r>
                          <w:r>
                            <w:rPr>
                              <w:rFonts w:cstheme="minorBidi"/>
                              <w:color w:val="000000"/>
                              <w:kern w:val="24"/>
                              <w:sz w:val="22"/>
                            </w:rPr>
                            <w:t>data</w:t>
                          </w:r>
                        </w:p>
                      </w:txbxContent>
                    </v:textbox>
                  </v:shape>
                </v:group>
                <v:shape id="TextBox 80" o:spid="_x0000_s1119" type="#_x0000_t202" style="position:absolute;top:13;width:16052;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5DD96D85" w14:textId="77777777" w:rsidR="00777EE0" w:rsidRDefault="00777EE0" w:rsidP="00E808F1">
                        <w:pPr>
                          <w:tabs>
                            <w:tab w:val="left" w:pos="720"/>
                          </w:tabs>
                          <w:jc w:val="center"/>
                          <w:rPr>
                            <w:szCs w:val="24"/>
                          </w:rPr>
                        </w:pPr>
                        <w:r>
                          <w:rPr>
                            <w:rFonts w:cstheme="minorBidi"/>
                            <w:b/>
                            <w:bCs/>
                            <w:color w:val="000000"/>
                            <w:kern w:val="24"/>
                            <w:sz w:val="22"/>
                          </w:rPr>
                          <w:t>DATA COLLECTION</w:t>
                        </w:r>
                      </w:p>
                    </w:txbxContent>
                  </v:textbox>
                </v:shape>
                <v:shape id="TextBox 81" o:spid="_x0000_s1120" type="#_x0000_t202" style="position:absolute;left:20169;width:1632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608117A9" w14:textId="77777777" w:rsidR="00777EE0" w:rsidRDefault="00777EE0" w:rsidP="00E808F1">
                        <w:pPr>
                          <w:tabs>
                            <w:tab w:val="left" w:pos="720"/>
                          </w:tabs>
                          <w:jc w:val="center"/>
                          <w:rPr>
                            <w:szCs w:val="24"/>
                          </w:rPr>
                        </w:pPr>
                        <w:r>
                          <w:rPr>
                            <w:rFonts w:cstheme="minorBidi"/>
                            <w:b/>
                            <w:bCs/>
                            <w:color w:val="000000"/>
                            <w:kern w:val="24"/>
                            <w:sz w:val="22"/>
                          </w:rPr>
                          <w:t>DATA ANALYSIS</w:t>
                        </w:r>
                      </w:p>
                    </w:txbxContent>
                  </v:textbox>
                </v:shape>
                <v:shape id="TextBox 82" o:spid="_x0000_s1121" type="#_x0000_t202" style="position:absolute;left:40825;top:26;width:1801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61EF1553" w14:textId="77777777" w:rsidR="00777EE0" w:rsidRDefault="00777EE0" w:rsidP="00E808F1">
                        <w:pPr>
                          <w:tabs>
                            <w:tab w:val="left" w:pos="720"/>
                          </w:tabs>
                          <w:jc w:val="center"/>
                          <w:rPr>
                            <w:szCs w:val="24"/>
                          </w:rPr>
                        </w:pPr>
                        <w:r>
                          <w:rPr>
                            <w:rFonts w:cstheme="minorBidi"/>
                            <w:b/>
                            <w:bCs/>
                            <w:color w:val="000000"/>
                            <w:kern w:val="24"/>
                            <w:sz w:val="22"/>
                          </w:rPr>
                          <w:t xml:space="preserve"> BEHAVIOUR MODEL</w:t>
                        </w:r>
                      </w:p>
                    </w:txbxContent>
                  </v:textbox>
                </v:shape>
                <v:group id="Group 312" o:spid="_x0000_s1122" style="position:absolute;left:1056;top:11425;width:8462;height:9740" coordorigin="1056,11425" coordsize="8462,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13" o:spid="_x0000_s1123" style="position:absolute;left:1056;top:11800;width:8462;height:7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lywgAAANwAAAAPAAAAZHJzL2Rvd25yZXYueG1sRI/RisIw&#10;FETfF/yHcAVfFk21sEg1iggL+1JB1w+4NNem2NzEJtX692ZhwcdhZs4w6+1gW3GnLjSOFcxnGQji&#10;yumGawXn3+/pEkSIyBpbx6TgSQG2m9HHGgvtHnyk+ynWIkE4FKjAxOgLKUNlyGKYOU+cvIvrLMYk&#10;u1rqDh8Jblu5yLIvabHhtGDQ095QdT31VsHQL2+3sr9aQ3nZfi6iP5TeKzUZD7sViEhDfIf/2z9a&#10;QT7P4e9MOgJy8wIAAP//AwBQSwECLQAUAAYACAAAACEA2+H2y+4AAACFAQAAEwAAAAAAAAAAAAAA&#10;AAAAAAAAW0NvbnRlbnRfVHlwZXNdLnhtbFBLAQItABQABgAIAAAAIQBa9CxbvwAAABUBAAALAAAA&#10;AAAAAAAAAAAAAB8BAABfcmVscy8ucmVsc1BLAQItABQABgAIAAAAIQAfZ8lywgAAANwAAAAPAAAA&#10;AAAAAAAAAAAAAAcCAABkcnMvZG93bnJldi54bWxQSwUGAAAAAAMAAwC3AAAA9gIAAAAA&#10;" filled="f" strokecolor="black [3213]"/>
                  <v:shape id="TextBox 110" o:spid="_x0000_s1124" type="#_x0000_t202" style="position:absolute;left:1533;top:11425;width:7360;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4A0E7A4D" w14:textId="77777777" w:rsidR="00777EE0" w:rsidRDefault="00777EE0" w:rsidP="00E808F1">
                          <w:pPr>
                            <w:tabs>
                              <w:tab w:val="left" w:pos="720"/>
                            </w:tabs>
                            <w:jc w:val="center"/>
                            <w:rPr>
                              <w:szCs w:val="24"/>
                            </w:rPr>
                          </w:pPr>
                          <w:r>
                            <w:rPr>
                              <w:rFonts w:cstheme="minorBidi"/>
                              <w:b/>
                              <w:bCs/>
                              <w:color w:val="000000"/>
                              <w:kern w:val="24"/>
                              <w:sz w:val="22"/>
                            </w:rPr>
                            <w:t>Study 1</w:t>
                          </w:r>
                          <w:r>
                            <w:rPr>
                              <w:rFonts w:cstheme="minorBidi"/>
                              <w:color w:val="000000"/>
                              <w:kern w:val="24"/>
                              <w:sz w:val="22"/>
                            </w:rPr>
                            <w:t xml:space="preserve"> pre-ban</w:t>
                          </w:r>
                          <w:r>
                            <w:rPr>
                              <w:rFonts w:cstheme="minorBidi"/>
                              <w:color w:val="000000" w:themeColor="text1"/>
                              <w:kern w:val="24"/>
                            </w:rPr>
                            <w:t xml:space="preserve"> f</w:t>
                          </w:r>
                          <w:r>
                            <w:rPr>
                              <w:rFonts w:cstheme="minorBidi"/>
                              <w:color w:val="000000"/>
                              <w:kern w:val="24"/>
                              <w:sz w:val="22"/>
                            </w:rPr>
                            <w:t>ocus groups</w:t>
                          </w:r>
                        </w:p>
                      </w:txbxContent>
                    </v:textbox>
                  </v:shape>
                </v:group>
                <v:shapetype id="_x0000_t32" coordsize="21600,21600" o:spt="32" o:oned="t" path="m,l21600,21600e" filled="f">
                  <v:path arrowok="t" fillok="f" o:connecttype="none"/>
                  <o:lock v:ext="edit" shapetype="t"/>
                </v:shapetype>
                <v:shape id="Straight Arrow Connector 315" o:spid="_x0000_s1125" type="#_x0000_t32" style="position:absolute;left:5213;top:19670;width:24;height:7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dMxgAAANwAAAAPAAAAZHJzL2Rvd25yZXYueG1sRI9BSwMx&#10;FITvgv8hPKE3m61FkW3TopVC8aTbltLbY/O6Wd28bJN0d/33Rih4HGbmG2a+HGwjOvKhdqxgMs5A&#10;EJdO11wp2G3X988gQkTW2DgmBT8UYLm4vZljrl3Pn9QVsRIJwiFHBSbGNpcylIYshrFriZN3ct5i&#10;TNJXUnvsE9w28iHLnqTFmtOCwZZWhsrv4mIVNN17f95fvs7m7aPbFqvD0bz6VqnR3fAyAxFpiP/h&#10;a3ujFUwnj/B3Jh0BufgFAAD//wMAUEsBAi0AFAAGAAgAAAAhANvh9svuAAAAhQEAABMAAAAAAAAA&#10;AAAAAAAAAAAAAFtDb250ZW50X1R5cGVzXS54bWxQSwECLQAUAAYACAAAACEAWvQsW78AAAAVAQAA&#10;CwAAAAAAAAAAAAAAAAAfAQAAX3JlbHMvLnJlbHNQSwECLQAUAAYACAAAACEA4UpHTMYAAADcAAAA&#10;DwAAAAAAAAAAAAAAAAAHAgAAZHJzL2Rvd25yZXYueG1sUEsFBgAAAAADAAMAtwAAAPoCAAAAAA==&#10;" strokecolor="black [3213]">
                  <v:stroke endarrow="block"/>
                  <o:lock v:ext="edit" shapetype="f"/>
                </v:shape>
                <v:shape id="Straight Arrow Connector 316" o:spid="_x0000_s1126" type="#_x0000_t32" style="position:absolute;left:50704;top:47156;width:62;height:3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k7xgAAANwAAAAPAAAAZHJzL2Rvd25yZXYueG1sRI9BawIx&#10;FITvhf6H8ArealYFKatRrFIoPbVri3h7bJ6btZuXNYm723/fFAoeh5n5hlmuB9uIjnyoHSuYjDMQ&#10;xKXTNVcKPvcvj08gQkTW2DgmBT8UYL26v1tirl3PH9QVsRIJwiFHBSbGNpcylIYshrFriZN3ct5i&#10;TNJXUnvsE9w2cpplc2mx5rRgsKWtofK7uFoFTffWX76u54vZvXf7Yns4mmffKjV6GDYLEJGGeAv/&#10;t1+1gtlkDn9n0hGQq18AAAD//wMAUEsBAi0AFAAGAAgAAAAhANvh9svuAAAAhQEAABMAAAAAAAAA&#10;AAAAAAAAAAAAAFtDb250ZW50X1R5cGVzXS54bWxQSwECLQAUAAYACAAAACEAWvQsW78AAAAVAQAA&#10;CwAAAAAAAAAAAAAAAAAfAQAAX3JlbHMvLnJlbHNQSwECLQAUAAYACAAAACEAEZjZO8YAAADcAAAA&#10;DwAAAAAAAAAAAAAAAAAHAgAAZHJzL2Rvd25yZXYueG1sUEsFBgAAAAADAAMAtwAAAPoCAAAAAA==&#10;" strokecolor="black [3213]">
                  <v:stroke endarrow="block"/>
                  <o:lock v:ext="edit" shapetype="f"/>
                </v:shape>
                <v:group id="Group 317" o:spid="_x0000_s1127" style="position:absolute;left:26333;top:42763;width:9900;height:5920" coordorigin="26333,42763" coordsize="989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318" o:spid="_x0000_s1128" style="position:absolute;left:26992;top:42763;width:8421;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sDwAAAANwAAAAPAAAAZHJzL2Rvd25yZXYueG1sRE/LisIw&#10;FN0L/kO4wmxkTFUQqaZFBgZmU8HHB1yaO02xuYlNqp2/nywEl4fz3pej7cSD+tA6VrBcZCCIa6db&#10;bhRcL9+fWxAhImvsHJOCPwpQFtPJHnPtnnyixzk2IoVwyFGBidHnUobakMWwcJ44cb+utxgT7Bup&#10;e3ymcNvJVZZtpMWWU4NBT1+G6tt5sArGYXu/V8PNGlpX3XwV/bHyXqmP2XjYgYg0xrf45f7RCtbL&#10;tDadSUdAFv8AAAD//wMAUEsBAi0AFAAGAAgAAAAhANvh9svuAAAAhQEAABMAAAAAAAAAAAAAAAAA&#10;AAAAAFtDb250ZW50X1R5cGVzXS54bWxQSwECLQAUAAYACAAAACEAWvQsW78AAAAVAQAACwAAAAAA&#10;AAAAAAAAAAAfAQAAX3JlbHMvLnJlbHNQSwECLQAUAAYACAAAACEAEcNbA8AAAADcAAAADwAAAAAA&#10;AAAAAAAAAAAHAgAAZHJzL2Rvd25yZXYueG1sUEsFBgAAAAADAAMAtwAAAPQCAAAAAA==&#10;" filled="f" strokecolor="black [3213]"/>
                  <v:shape id="TextBox 137" o:spid="_x0000_s1129" type="#_x0000_t202" style="position:absolute;left:26333;top:42803;width:9900;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6F7423D9" w14:textId="77777777" w:rsidR="00777EE0" w:rsidRDefault="00777EE0" w:rsidP="00E808F1">
                          <w:pPr>
                            <w:tabs>
                              <w:tab w:val="left" w:pos="720"/>
                            </w:tabs>
                            <w:jc w:val="center"/>
                            <w:rPr>
                              <w:szCs w:val="24"/>
                            </w:rPr>
                          </w:pPr>
                          <w:r>
                            <w:rPr>
                              <w:rFonts w:cstheme="minorBidi"/>
                              <w:color w:val="000000"/>
                              <w:kern w:val="24"/>
                              <w:sz w:val="22"/>
                            </w:rPr>
                            <w:t>Acceptability data</w:t>
                          </w:r>
                        </w:p>
                      </w:txbxContent>
                    </v:textbox>
                  </v:shape>
                </v:group>
                <v:group id="Group 320" o:spid="_x0000_s1130" style="position:absolute;left:45532;top:42754;width:10306;height:5973" coordorigin="45532,42754" coordsize="1030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321" o:spid="_x0000_s1131" style="position:absolute;left:45532;top:42754;width:10306;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gjwgAAANwAAAAPAAAAZHJzL2Rvd25yZXYueG1sRI/RisIw&#10;FETfBf8hXMEXWVMrLFKNIoLgS4V19wMuzbUpNjexSbX+vVlY2MdhZs4wm91gW/GgLjSOFSzmGQji&#10;yumGawU/38ePFYgQkTW2jknBiwLstuPRBgvtnvxFj0usRYJwKFCBidEXUobKkMUwd544eVfXWYxJ&#10;drXUHT4T3LYyz7JPabHhtGDQ08FQdbv0VsHQr+73sr9ZQ8uyneXRn0vvlZpOhv0aRKQh/of/2iet&#10;YJkv4PdMOgJy+wYAAP//AwBQSwECLQAUAAYACAAAACEA2+H2y+4AAACFAQAAEwAAAAAAAAAAAAAA&#10;AAAAAAAAW0NvbnRlbnRfVHlwZXNdLnhtbFBLAQItABQABgAIAAAAIQBa9CxbvwAAABUBAAALAAAA&#10;AAAAAAAAAAAAAB8BAABfcmVscy8ucmVsc1BLAQItABQABgAIAAAAIQBOlTgjwgAAANwAAAAPAAAA&#10;AAAAAAAAAAAAAAcCAABkcnMvZG93bnJldi54bWxQSwUGAAAAAAMAAwC3AAAA9gIAAAAA&#10;" filled="f" strokecolor="black [3213]"/>
                  <v:shape id="TextBox 142" o:spid="_x0000_s1132" type="#_x0000_t202" style="position:absolute;left:45570;top:42847;width:1026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19C9321B" w14:textId="77777777" w:rsidR="00777EE0" w:rsidRDefault="00777EE0" w:rsidP="00E808F1">
                          <w:pPr>
                            <w:tabs>
                              <w:tab w:val="left" w:pos="720"/>
                            </w:tabs>
                            <w:jc w:val="center"/>
                            <w:rPr>
                              <w:szCs w:val="24"/>
                            </w:rPr>
                          </w:pPr>
                          <w:r>
                            <w:rPr>
                              <w:rFonts w:cstheme="minorBidi"/>
                              <w:color w:val="000000"/>
                              <w:kern w:val="24"/>
                              <w:sz w:val="22"/>
                            </w:rPr>
                            <w:t>Re-evaluate fit of SCM’s</w:t>
                          </w:r>
                        </w:p>
                      </w:txbxContent>
                    </v:textbox>
                  </v:shape>
                </v:group>
                <v:shape id="Straight Arrow Connector 323" o:spid="_x0000_s1133" type="#_x0000_t32" style="position:absolute;left:9518;top:15757;width:6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AexgAAANwAAAAPAAAAZHJzL2Rvd25yZXYueG1sRI9BawIx&#10;FITvBf9DeEJvNatCKatRrFIoPbVri3h7bJ6btZuXNYm723/fFAoeh5n5hlmuB9uIjnyoHSuYTjIQ&#10;xKXTNVcKPvcvD08gQkTW2DgmBT8UYL0a3S0x167nD+qKWIkE4ZCjAhNjm0sZSkMWw8S1xMk7OW8x&#10;JukrqT32CW4bOcuyR2mx5rRgsKWtofK7uFoFTffWX76u54vZvXf7Yns4mmffKnU/HjYLEJGGeAv/&#10;t1+1gvlsDn9n0hGQq18AAAD//wMAUEsBAi0AFAAGAAgAAAAhANvh9svuAAAAhQEAABMAAAAAAAAA&#10;AAAAAAAAAAAAAFtDb250ZW50X1R5cGVzXS54bWxQSwECLQAUAAYACAAAACEAWvQsW78AAAAVAQAA&#10;CwAAAAAAAAAAAAAAAAAfAQAAX3JlbHMvLnJlbHNQSwECLQAUAAYACAAAACEAz4OwHsYAAADcAAAA&#10;DwAAAAAAAAAAAAAAAAAHAgAAZHJzL2Rvd25yZXYueG1sUEsFBgAAAAADAAMAtwAAAPoCAAAAAA==&#10;" strokecolor="black [3213]">
                  <v:stroke endarrow="block"/>
                  <o:lock v:ext="edit" shapetype="f"/>
                </v:shape>
                <v:shape id="Straight Arrow Connector 324" o:spid="_x0000_s1134" type="#_x0000_t32" style="position:absolute;left:35413;top:44879;width:10119;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hqxgAAANwAAAAPAAAAZHJzL2Rvd25yZXYueG1sRI9BSwMx&#10;FITvQv9DeIXebNYqItumRStC8aTbltLbY/O6Wd28bJN0d/33Rih4HGbmG2axGmwjOvKhdqzgbpqB&#10;IC6drrlSsNu+3T6BCBFZY+OYFPxQgNVydLPAXLueP6krYiUShEOOCkyMbS5lKA1ZDFPXEifv5LzF&#10;mKSvpPbYJ7ht5CzLHqXFmtOCwZbWhsrv4mIVNN17f95fvs7m9aPbFuvD0bz4VqnJeHieg4g0xP/w&#10;tb3RCu5nD/B3Jh0BufwFAAD//wMAUEsBAi0AFAAGAAgAAAAhANvh9svuAAAAhQEAABMAAAAAAAAA&#10;AAAAAAAAAAAAAFtDb250ZW50X1R5cGVzXS54bWxQSwECLQAUAAYACAAAACEAWvQsW78AAAAVAQAA&#10;CwAAAAAAAAAAAAAAAAAfAQAAX3JlbHMvLnJlbHNQSwECLQAUAAYACAAAACEAQGooasYAAADcAAAA&#10;DwAAAAAAAAAAAAAAAAAHAgAAZHJzL2Rvd25yZXYueG1sUEsFBgAAAAADAAMAtwAAAPoCAAAAAA==&#10;" strokecolor="black [3213]">
                  <v:stroke endarrow="block"/>
                  <o:lock v:ext="edit" shapetype="f"/>
                </v:shape>
                <v:shape id="Straight Arrow Connector 325" o:spid="_x0000_s1135" type="#_x0000_t32" style="position:absolute;left:50680;top:17858;width:5;height:24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3xxgAAANwAAAAPAAAAZHJzL2Rvd25yZXYueG1sRI9BSwMx&#10;FITvQv9DeIXebNaKItumRStC8aTbltLbY/O6Wd28bJN0d/33Rih4HGbmG2axGmwjOvKhdqzgbpqB&#10;IC6drrlSsNu+3T6BCBFZY+OYFPxQgNVydLPAXLueP6krYiUShEOOCkyMbS5lKA1ZDFPXEifv5LzF&#10;mKSvpPbYJ7ht5CzLHqXFmtOCwZbWhsrv4mIVNN17f95fvs7m9aPbFuvD0bz4VqnJeHieg4g0xP/w&#10;tb3RCu5nD/B3Jh0BufwFAAD//wMAUEsBAi0AFAAGAAgAAAAhANvh9svuAAAAhQEAABMAAAAAAAAA&#10;AAAAAAAAAAAAAFtDb250ZW50X1R5cGVzXS54bWxQSwECLQAUAAYACAAAACEAWvQsW78AAAAVAQAA&#10;CwAAAAAAAAAAAAAAAAAfAQAAX3JlbHMvLnJlbHNQSwECLQAUAAYACAAAACEALyaN8cYAAADcAAAA&#10;DwAAAAAAAAAAAAAAAAAHAgAAZHJzL2Rvd25yZXYueG1sUEsFBgAAAAADAAMAtwAAAPoCAAAAAA==&#10;" strokecolor="black [3213]">
                  <v:stroke endarrow="block"/>
                  <o:lock v:ext="edit" shapetype="f"/>
                </v:shape>
                <v:shape id="TextBox 48" o:spid="_x0000_s1136" type="#_x0000_t202" style="position:absolute;left:14004;top:35808;width:11264;height:40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5uxAAAANwAAAAPAAAAZHJzL2Rvd25yZXYueG1sRI9Pa8JA&#10;FMTvQr/D8gq9SN1UMZQ0qxRBkF6kut5fsy9/aPZtyG5j9NO7QsHjMDO/YfL1aFsxUO8bxwreZgkI&#10;4sKZhisF+rh9fQfhA7LB1jEpuJCH9eppkmNm3Jm/aTiESkQI+wwV1CF0mZS+qMmin7mOOHql6y2G&#10;KPtKmh7PEW5bOU+SVFpsOC7U2NGmpuL38GcVTMuNvpy+3P6aWtLLn8E0Cx2UenkePz9ABBrDI/zf&#10;3hkFi3kK9zPxCMjVDQAA//8DAFBLAQItABQABgAIAAAAIQDb4fbL7gAAAIUBAAATAAAAAAAAAAAA&#10;AAAAAAAAAABbQ29udGVudF9UeXBlc10ueG1sUEsBAi0AFAAGAAgAAAAhAFr0LFu/AAAAFQEAAAsA&#10;AAAAAAAAAAAAAAAAHwEAAF9yZWxzLy5yZWxzUEsBAi0AFAAGAAgAAAAhAOUrvm7EAAAA3AAAAA8A&#10;AAAAAAAAAAAAAAAABwIAAGRycy9kb3ducmV2LnhtbFBLBQYAAAAAAwADALcAAAD4AgAAAAA=&#10;" filled="f" stroked="f">
                  <v:textbox style="mso-fit-shape-to-text:t">
                    <w:txbxContent>
                      <w:p w14:paraId="03EAC160" w14:textId="77777777" w:rsidR="00777EE0" w:rsidRDefault="00777EE0" w:rsidP="00E808F1">
                        <w:pPr>
                          <w:tabs>
                            <w:tab w:val="left" w:pos="720"/>
                          </w:tabs>
                          <w:jc w:val="center"/>
                          <w:rPr>
                            <w:szCs w:val="24"/>
                          </w:rPr>
                        </w:pPr>
                        <w:r>
                          <w:rPr>
                            <w:rFonts w:cstheme="minorBidi"/>
                            <w:i/>
                            <w:iCs/>
                            <w:color w:val="000000"/>
                            <w:kern w:val="24"/>
                            <w:sz w:val="22"/>
                          </w:rPr>
                          <w:t>Cross-check</w:t>
                        </w:r>
                      </w:p>
                    </w:txbxContent>
                  </v:textbox>
                </v:shape>
                <v:shapetype id="_x0000_t33" coordsize="21600,21600" o:spt="33" o:oned="t" path="m,l21600,r,21600e" filled="f">
                  <v:stroke joinstyle="miter"/>
                  <v:path arrowok="t" fillok="f" o:connecttype="none"/>
                  <o:lock v:ext="edit" shapetype="t"/>
                </v:shapetype>
                <v:shape id="Connector: Elbow 327" o:spid="_x0000_s1137" type="#_x0000_t33" style="position:absolute;left:5213;top:7970;width:40350;height:34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DxwAAANwAAAAPAAAAZHJzL2Rvd25yZXYueG1sRI9PawIx&#10;FMTvgt8hPKGX4mZVaGU1SilWLD1pW6q35+btH9y8rJuoWz+9KRQ8DjPzG2Y6b00lztS40rKCQRSD&#10;IE6tLjlX8PX51h+DcB5ZY2WZFPySg/ms25liou2F13Te+FwECLsEFRTe14mULi3IoItsTRy8zDYG&#10;fZBNLnWDlwA3lRzG8ZM0WHJYKLCm14LSw+ZkFHxk15/sfdcOSuT48bhdLvb590Gph177MgHhqfX3&#10;8H97pRWMhs/wdyYcATm7AQAA//8DAFBLAQItABQABgAIAAAAIQDb4fbL7gAAAIUBAAATAAAAAAAA&#10;AAAAAAAAAAAAAABbQ29udGVudF9UeXBlc10ueG1sUEsBAi0AFAAGAAgAAAAhAFr0LFu/AAAAFQEA&#10;AAsAAAAAAAAAAAAAAAAAHwEAAF9yZWxzLy5yZWxzUEsBAi0AFAAGAAgAAAAhAP7g98PHAAAA3AAA&#10;AA8AAAAAAAAAAAAAAAAABwIAAGRycy9kb3ducmV2LnhtbFBLBQYAAAAAAwADALcAAAD7AgAAAAA=&#10;" strokecolor="black [3213]">
                  <v:stroke endarrow="block"/>
                  <o:lock v:ext="edit" shapetype="f"/>
                </v:shape>
                <v:shape id="Straight Arrow Connector 328" o:spid="_x0000_s1138" type="#_x0000_t32" style="position:absolute;left:9468;top:30874;width:6589;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JvwgAAANwAAAAPAAAAZHJzL2Rvd25yZXYueG1sRE/Pa8Iw&#10;FL4P/B/CE7zNVIUxqlGmMhg7bVWR3R7NW9PZvNQktt1/vxwGHj++36vNYBvRkQ+1YwWzaQaCuHS6&#10;5krB8fD6+AwiRGSNjWNS8EsBNuvRwwpz7Xr+pK6IlUghHHJUYGJscylDachimLqWOHHfzluMCfpK&#10;ao99CreNnGfZk7RYc2ow2NLOUHkpblZB073319Pt52r2H92h2J2/zNa3Sk3Gw8sSRKQh3sX/7jet&#10;YDFPa9OZdATk+g8AAP//AwBQSwECLQAUAAYACAAAACEA2+H2y+4AAACFAQAAEwAAAAAAAAAAAAAA&#10;AAAAAAAAW0NvbnRlbnRfVHlwZXNdLnhtbFBLAQItABQABgAIAAAAIQBa9CxbvwAAABUBAAALAAAA&#10;AAAAAAAAAAAAAB8BAABfcmVscy8ucmVsc1BLAQItABQABgAIAAAAIQDBJyJvwgAAANwAAAAPAAAA&#10;AAAAAAAAAAAAAAcCAABkcnMvZG93bnJldi54bWxQSwUGAAAAAAMAAwC3AAAA9gIAAAAA&#10;" strokecolor="black [3213]">
                  <v:stroke endarrow="block"/>
                  <o:lock v:ext="edit" shapetype="f"/>
                </v:shape>
                <v:shape id="Straight Arrow Connector 329" o:spid="_x0000_s1139" type="#_x0000_t32" style="position:absolute;left:9498;top:44907;width:6482;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f0xgAAANwAAAAPAAAAZHJzL2Rvd25yZXYueG1sRI9BSwMx&#10;FITvQv9DeIXebNYKotumRStC8aTbltLbY/O6Wd28bJN0d/33Rih4HGbmG2axGmwjOvKhdqzgbpqB&#10;IC6drrlSsNu+3T6CCBFZY+OYFPxQgNVydLPAXLueP6krYiUShEOOCkyMbS5lKA1ZDFPXEifv5LzF&#10;mKSvpPbYJ7ht5CzLHqTFmtOCwZbWhsrv4mIVNN17f95fvs7m9aPbFuvD0bz4VqnJeHieg4g0xP/w&#10;tb3RCu5nT/B3Jh0BufwFAAD//wMAUEsBAi0AFAAGAAgAAAAhANvh9svuAAAAhQEAABMAAAAAAAAA&#10;AAAAAAAAAAAAAFtDb250ZW50X1R5cGVzXS54bWxQSwECLQAUAAYACAAAACEAWvQsW78AAAAVAQAA&#10;CwAAAAAAAAAAAAAAAAAfAQAAX3JlbHMvLnJlbHNQSwECLQAUAAYACAAAACEArmuH9MYAAADcAAAA&#10;DwAAAAAAAAAAAAAAAAAHAgAAZHJzL2Rvd25yZXYueG1sUEsFBgAAAAADAAMAtwAAAPoCAAAAAA==&#10;" strokecolor="black [3213]">
                  <v:stroke endarrow="block"/>
                  <o:lock v:ext="edit" shapetype="f"/>
                </v:shape>
                <v:shape id="TextBox 60" o:spid="_x0000_s1140" type="#_x0000_t202" style="position:absolute;left:7406;top:13228;width:1038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5CE6EB26" w14:textId="77777777" w:rsidR="00777EE0" w:rsidRDefault="00777EE0" w:rsidP="00E808F1">
                        <w:pPr>
                          <w:tabs>
                            <w:tab w:val="left" w:pos="720"/>
                          </w:tabs>
                          <w:jc w:val="center"/>
                          <w:rPr>
                            <w:szCs w:val="24"/>
                          </w:rPr>
                        </w:pPr>
                        <w:r>
                          <w:rPr>
                            <w:rFonts w:cstheme="minorBidi"/>
                            <w:i/>
                            <w:iCs/>
                            <w:color w:val="000000"/>
                            <w:kern w:val="24"/>
                            <w:sz w:val="22"/>
                          </w:rPr>
                          <w:t xml:space="preserve">Devise </w:t>
                        </w:r>
                      </w:p>
                    </w:txbxContent>
                  </v:textbox>
                </v:shape>
                <v:shape id="TextBox 262" o:spid="_x0000_s1141" type="#_x0000_t202" style="position:absolute;left:11200;top:5071;width:2655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76344C60" w14:textId="77777777" w:rsidR="00777EE0" w:rsidRDefault="00777EE0" w:rsidP="00E808F1">
                        <w:pPr>
                          <w:tabs>
                            <w:tab w:val="left" w:pos="720"/>
                          </w:tabs>
                          <w:jc w:val="center"/>
                          <w:rPr>
                            <w:szCs w:val="24"/>
                          </w:rPr>
                        </w:pPr>
                        <w:r>
                          <w:rPr>
                            <w:rFonts w:cstheme="minorBidi"/>
                            <w:i/>
                            <w:iCs/>
                            <w:color w:val="000000"/>
                            <w:kern w:val="24"/>
                            <w:sz w:val="22"/>
                          </w:rPr>
                          <w:t>Inform study design (focus group questions)</w:t>
                        </w:r>
                      </w:p>
                    </w:txbxContent>
                  </v:textbox>
                </v:shape>
                <v:shape id="Straight Arrow Connector 332" o:spid="_x0000_s1142" type="#_x0000_t32" style="position:absolute;left:50680;top:9339;width:17;height:43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n+xAAAANwAAAAPAAAAZHJzL2Rvd25yZXYueG1sRI9Ba8JA&#10;FITvQv/D8gredGMCVaOrFKFqvRkF9fbIviah2bchu2r677uC4HGYmW+Y+bIztbhR6yrLCkbDCARx&#10;bnXFhYLj4WswAeE8ssbaMin4IwfLxVtvjqm2d97TLfOFCBB2KSoovW9SKV1ekkE3tA1x8H5sa9AH&#10;2RZSt3gPcFPLOIo+pMGKw0KJDa1Kyn+zq1EwlqdNNMm38WiaHM+XVWa/d2urVP+9+5yB8NT5V/jZ&#10;3moFSRLD40w4AnLxDwAA//8DAFBLAQItABQABgAIAAAAIQDb4fbL7gAAAIUBAAATAAAAAAAAAAAA&#10;AAAAAAAAAABbQ29udGVudF9UeXBlc10ueG1sUEsBAi0AFAAGAAgAAAAhAFr0LFu/AAAAFQEAAAsA&#10;AAAAAAAAAAAAAAAAHwEAAF9yZWxzLy5yZWxzUEsBAi0AFAAGAAgAAAAhAPCY2f7EAAAA3AAAAA8A&#10;AAAAAAAAAAAAAAAABwIAAGRycy9kb3ducmV2LnhtbFBLBQYAAAAAAwADALcAAAD4AgAAAAA=&#10;" strokecolor="black [3213]">
                  <v:stroke endarrow="block"/>
                  <o:lock v:ext="edit" shapetype="f"/>
                </v:shape>
                <v:shape id="Straight Arrow Connector 333" o:spid="_x0000_s1143" type="#_x0000_t32" style="position:absolute;left:20320;top:18126;width:0;height:1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bDxgAAANwAAAAPAAAAZHJzL2Rvd25yZXYueG1sRI9BS8NA&#10;FITvQv/D8gre7EYDImm3pVYE8aSppfT2yL5m02bfprvbJP57VxA8DjPzDbNYjbYVPfnQOFZwP8tA&#10;EFdON1wr+Nq+3j2BCBFZY+uYFHxTgNVycrPAQruBP6kvYy0ShEOBCkyMXSFlqAxZDDPXESfv6LzF&#10;mKSvpfY4JLht5UOWPUqLDacFgx1tDFXn8moVtP37cNldTxfz8tFvy83+YJ59p9TtdFzPQUQa43/4&#10;r/2mFeR5Dr9n0hGQyx8AAAD//wMAUEsBAi0AFAAGAAgAAAAhANvh9svuAAAAhQEAABMAAAAAAAAA&#10;AAAAAAAAAAAAAFtDb250ZW50X1R5cGVzXS54bWxQSwECLQAUAAYACAAAACEAWvQsW78AAAAVAQAA&#10;CwAAAAAAAAAAAAAAAAAfAQAAX3JlbHMvLnJlbHNQSwECLQAUAAYACAAAACEASlomw8YAAADcAAAA&#10;DwAAAAAAAAAAAAAAAAAHAgAAZHJzL2Rvd25yZXYueG1sUEsFBgAAAAADAAMAtwAAAPoCAAAAAA==&#10;" strokecolor="black [3213]">
                  <v:stroke endarrow="block"/>
                  <o:lock v:ext="edit" shapetype="f"/>
                </v:shape>
                <v:shape id="Straight Arrow Connector 334" o:spid="_x0000_s1144" type="#_x0000_t32" style="position:absolute;left:20282;top:32940;width:0;height:9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63xgAAANwAAAAPAAAAZHJzL2Rvd25yZXYueG1sRI9BSwMx&#10;FITvQv9DeAVvNmsrImvTYiuCeKpbpfT22Dw3q5uXbZLubv99Uyh4HGbmG2a+HGwjOvKhdqzgfpKB&#10;IC6drrlS8LV9u3sCESKyxsYxKThRgOVidDPHXLueP6krYiUShEOOCkyMbS5lKA1ZDBPXEifvx3mL&#10;MUlfSe2xT3DbyGmWPUqLNacFgy2tDZV/xdEqaLqP/vB9/D2Y1023Lda7vVn5Vqnb8fDyDCLSEP/D&#10;1/a7VjCbPcDlTDoCcnEGAAD//wMAUEsBAi0AFAAGAAgAAAAhANvh9svuAAAAhQEAABMAAAAAAAAA&#10;AAAAAAAAAAAAAFtDb250ZW50X1R5cGVzXS54bWxQSwECLQAUAAYACAAAACEAWvQsW78AAAAVAQAA&#10;CwAAAAAAAAAAAAAAAAAfAQAAX3JlbHMvLnJlbHNQSwECLQAUAAYACAAAACEAxbO+t8YAAADcAAAA&#10;DwAAAAAAAAAAAAAAAAAHAgAAZHJzL2Rvd25yZXYueG1sUEsFBgAAAAADAAMAtwAAAPoCAAAAAA==&#10;" strokecolor="black [3213]">
                  <v:stroke endarrow="block"/>
                  <o:lock v:ext="edit" shapetype="f"/>
                </v:shape>
                <v:shape id="Straight Arrow Connector 335" o:spid="_x0000_s1145" type="#_x0000_t32" style="position:absolute;left:24547;top:44958;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sxgAAANwAAAAPAAAAZHJzL2Rvd25yZXYueG1sRI9BSwMx&#10;FITvQv9DeAVvNmuLImvTYiuCeKpbpfT22Dw3q5uXbZLubv99Uyh4HGbmG2a+HGwjOvKhdqzgfpKB&#10;IC6drrlS8LV9u3sCESKyxsYxKThRgOVidDPHXLueP6krYiUShEOOCkyMbS5lKA1ZDBPXEifvx3mL&#10;MUlfSe2xT3DbyGmWPUqLNacFgy2tDZV/xdEqaLqP/vB9/D2Y1023Lda7vVn5Vqnb8fDyDCLSEP/D&#10;1/a7VjCbPcDlTDoCcnEGAAD//wMAUEsBAi0AFAAGAAgAAAAhANvh9svuAAAAhQEAABMAAAAAAAAA&#10;AAAAAAAAAAAAAFtDb250ZW50X1R5cGVzXS54bWxQSwECLQAUAAYACAAAACEAWvQsW78AAAAVAQAA&#10;CwAAAAAAAAAAAAAAAAAfAQAAX3JlbHMvLnJlbHNQSwECLQAUAAYACAAAACEAqv8bLMYAAADcAAAA&#10;DwAAAAAAAAAAAAAAAAAHAgAAZHJzL2Rvd25yZXYueG1sUEsFBgAAAAADAAMAtwAAAPoCAAAAAA==&#10;" strokecolor="black [3213]">
                  <v:stroke endarrow="block"/>
                  <o:lock v:ext="edit" shapetype="f"/>
                </v:shape>
                <v:group id="Group 336" o:spid="_x0000_s1146" style="position:absolute;left:1006;top:26540;width:8462;height:9741" coordorigin="1006,26540" coordsize="846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37" o:spid="_x0000_s1147" style="position:absolute;left:1006;top:26917;width:8462;height:7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MRwwAAANwAAAAPAAAAZHJzL2Rvd25yZXYueG1sRI/RisIw&#10;FETfF/yHcAVfFk3Xgko1iggLvnRBdz/g0lybYnMTm1S7f79ZEHwcZuYMs9kNthV36kLjWMHHLANB&#10;XDndcK3g5/tzugIRIrLG1jEp+KUAu+3obYOFdg8+0f0ca5EgHApUYGL0hZShMmQxzJwnTt7FdRZj&#10;kl0tdYePBLetnGfZQlpsOC0Y9HQwVF3PvVUw9Kvbreyv1lBetu/z6L9K75WajIf9GkSkIb7Cz/ZR&#10;K8jzJfyfSUdAbv8AAAD//wMAUEsBAi0AFAAGAAgAAAAhANvh9svuAAAAhQEAABMAAAAAAAAAAAAA&#10;AAAAAAAAAFtDb250ZW50X1R5cGVzXS54bWxQSwECLQAUAAYACAAAACEAWvQsW78AAAAVAQAACwAA&#10;AAAAAAAAAAAAAAAfAQAAX3JlbHMvLnJlbHNQSwECLQAUAAYACAAAACEAK+mTEcMAAADcAAAADwAA&#10;AAAAAAAAAAAAAAAHAgAAZHJzL2Rvd25yZXYueG1sUEsFBgAAAAADAAMAtwAAAPcCAAAAAA==&#10;" filled="f" strokecolor="black [3213]"/>
                  <v:shape id="TextBox 185" o:spid="_x0000_s1148" type="#_x0000_t202" style="position:absolute;left:1483;top:26540;width:7359;height:9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0513D16" w14:textId="77777777" w:rsidR="00777EE0" w:rsidRDefault="00777EE0" w:rsidP="00E808F1">
                          <w:pPr>
                            <w:tabs>
                              <w:tab w:val="left" w:pos="720"/>
                            </w:tabs>
                            <w:jc w:val="center"/>
                            <w:rPr>
                              <w:szCs w:val="24"/>
                            </w:rPr>
                          </w:pPr>
                          <w:r>
                            <w:rPr>
                              <w:rFonts w:cstheme="minorBidi"/>
                              <w:b/>
                              <w:bCs/>
                              <w:color w:val="000000"/>
                              <w:kern w:val="24"/>
                              <w:sz w:val="22"/>
                            </w:rPr>
                            <w:t>Study 2</w:t>
                          </w:r>
                          <w:r>
                            <w:rPr>
                              <w:rFonts w:cstheme="minorBidi"/>
                              <w:color w:val="000000"/>
                              <w:kern w:val="24"/>
                              <w:sz w:val="22"/>
                            </w:rPr>
                            <w:t xml:space="preserve"> post-ban</w:t>
                          </w:r>
                          <w:r>
                            <w:rPr>
                              <w:rFonts w:cstheme="minorBidi"/>
                              <w:color w:val="000000" w:themeColor="text1"/>
                              <w:kern w:val="24"/>
                            </w:rPr>
                            <w:t xml:space="preserve"> f</w:t>
                          </w:r>
                          <w:r>
                            <w:rPr>
                              <w:rFonts w:cstheme="minorBidi"/>
                              <w:color w:val="000000"/>
                              <w:kern w:val="24"/>
                              <w:sz w:val="22"/>
                            </w:rPr>
                            <w:t>ocus groups</w:t>
                          </w:r>
                        </w:p>
                      </w:txbxContent>
                    </v:textbox>
                  </v:shape>
                </v:group>
                <v:group id="Group 339" o:spid="_x0000_s1149" style="position:absolute;left:1035;top:40950;width:8463;height:8018" coordorigin="1035,40950" coordsize="846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340" o:spid="_x0000_s1150" style="position:absolute;left:1035;top:40950;width:8463;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gYwQAAANwAAAAPAAAAZHJzL2Rvd25yZXYueG1sRE/dasIw&#10;FL4f+A7hDHYz1nTtEOkaRQaCNx1MfYBDc9YUm5PYpNq9vbkQdvnx/deb2Q7iSmPoHSt4z3IQxK3T&#10;PXcKTsfd2wpEiMgaB8ek4I8CbNaLpxor7W78Q9dD7EQK4VChAhOjr6QMrSGLIXOeOHG/brQYExw7&#10;qUe8pXA7yCLPl9Jiz6nBoKcvQ+35MFkF87S6XJrpbA2VzfBaRP/deK/Uy/O8/QQRaY7/4od7rxWU&#10;H2l+OpOOgFzfAQAA//8DAFBLAQItABQABgAIAAAAIQDb4fbL7gAAAIUBAAATAAAAAAAAAAAAAAAA&#10;AAAAAABbQ29udGVudF9UeXBlc10ueG1sUEsBAi0AFAAGAAgAAAAhAFr0LFu/AAAAFQEAAAsAAAAA&#10;AAAAAAAAAAAAHwEAAF9yZWxzLy5yZWxzUEsBAi0AFAAGAAgAAAAhAPwGeBjBAAAA3AAAAA8AAAAA&#10;AAAAAAAAAAAABwIAAGRycy9kb3ducmV2LnhtbFBLBQYAAAAAAwADALcAAAD1AgAAAAA=&#10;" filled="f" strokecolor="black [3213]"/>
                  <v:shape id="TextBox 189" o:spid="_x0000_s1151" type="#_x0000_t202" style="position:absolute;left:1608;top:41240;width:7366;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BDwwAAANwAAAAPAAAAZHJzL2Rvd25yZXYueG1sRI9Ba8JA&#10;FITvBf/D8oTe6ia2FYmuIrYFD71U4/2RfWaD2bch+2riv+8WCj0OM/MNs96OvlU36mMT2EA+y0AR&#10;V8E2XBsoTx9PS1BRkC22gcnAnSJsN5OHNRY2DPxFt6PUKkE4FmjAiXSF1rFy5DHOQkecvEvoPUqS&#10;fa1tj0OC+1bPs2yhPTacFhx2tHdUXY/f3oCI3eX38t3Hw3n8fBtcVr1iaczjdNytQAmN8h/+ax+s&#10;geeXHH7PpCOgNz8AAAD//wMAUEsBAi0AFAAGAAgAAAAhANvh9svuAAAAhQEAABMAAAAAAAAAAAAA&#10;AAAAAAAAAFtDb250ZW50X1R5cGVzXS54bWxQSwECLQAUAAYACAAAACEAWvQsW78AAAAVAQAACwAA&#10;AAAAAAAAAAAAAAAfAQAAX3JlbHMvLnJlbHNQSwECLQAUAAYACAAAACEAyjbAQ8MAAADcAAAADwAA&#10;AAAAAAAAAAAAAAAHAgAAZHJzL2Rvd25yZXYueG1sUEsFBgAAAAADAAMAtwAAAPcCAAAAAA==&#10;" filled="f" stroked="f">
                    <v:textbox style="mso-fit-shape-to-text:t">
                      <w:txbxContent>
                        <w:p w14:paraId="2EED5A7F" w14:textId="77777777" w:rsidR="00777EE0" w:rsidRDefault="00777EE0" w:rsidP="00E808F1">
                          <w:pPr>
                            <w:tabs>
                              <w:tab w:val="left" w:pos="720"/>
                            </w:tabs>
                            <w:jc w:val="center"/>
                            <w:rPr>
                              <w:szCs w:val="24"/>
                            </w:rPr>
                          </w:pPr>
                          <w:r>
                            <w:rPr>
                              <w:rFonts w:cstheme="minorBidi"/>
                              <w:b/>
                              <w:bCs/>
                              <w:color w:val="000000"/>
                              <w:kern w:val="24"/>
                              <w:sz w:val="22"/>
                            </w:rPr>
                            <w:t>Study 3</w:t>
                          </w:r>
                          <w:r>
                            <w:rPr>
                              <w:rFonts w:cstheme="minorBidi"/>
                              <w:color w:val="000000"/>
                              <w:kern w:val="24"/>
                              <w:sz w:val="22"/>
                            </w:rPr>
                            <w:t xml:space="preserve"> </w:t>
                          </w:r>
                          <w:r>
                            <w:rPr>
                              <w:rFonts w:cstheme="minorBidi"/>
                              <w:color w:val="000000"/>
                              <w:kern w:val="24"/>
                              <w:sz w:val="22"/>
                            </w:rPr>
                            <w:br/>
                            <w:t>focus groups</w:t>
                          </w:r>
                        </w:p>
                      </w:txbxContent>
                    </v:textbox>
                  </v:shape>
                </v:group>
                <v:group id="Group 342" o:spid="_x0000_s1152" style="position:absolute;left:38397;top:28777;width:8649;height:8668" coordorigin="38397,28777" coordsize="8648,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43" o:spid="_x0000_s1153" style="position:absolute;left:38399;top:28777;width:8463;height:7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ZvwwAAANwAAAAPAAAAZHJzL2Rvd25yZXYueG1sRI/RisIw&#10;FETfF/yHcAVfFk3Xikg1iggLvnRBdz/g0lybYnMTm1S7f79ZEHwcZuYMs9kNthV36kLjWMHHLANB&#10;XDndcK3g5/tzugIRIrLG1jEp+KUAu+3obYOFdg8+0f0ca5EgHApUYGL0hZShMmQxzJwnTt7FdRZj&#10;kl0tdYePBLetnGfZUlpsOC0Y9HQwVF3PvVUw9Kvbreyv1lBetu/z6L9K75WajIf9GkSkIb7Cz/ZR&#10;K8gXOfyfSUdAbv8AAAD//wMAUEsBAi0AFAAGAAgAAAAhANvh9svuAAAAhQEAABMAAAAAAAAAAAAA&#10;AAAAAAAAAFtDb250ZW50X1R5cGVzXS54bWxQSwECLQAUAAYACAAAACEAWvQsW78AAAAVAQAACwAA&#10;AAAAAAAAAAAAAAAfAQAAX3JlbHMvLnJlbHNQSwECLQAUAAYACAAAACEADNTmb8MAAADcAAAADwAA&#10;AAAAAAAAAAAAAAAHAgAAZHJzL2Rvd25yZXYueG1sUEsFBgAAAAADAAMAtwAAAPcCAAAAAA==&#10;" filled="f" strokecolor="black [3213]"/>
                  <v:shape id="TextBox 200" o:spid="_x0000_s1154" type="#_x0000_t202" style="position:absolute;left:38397;top:29717;width:864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14:paraId="698D9FEA" w14:textId="77777777" w:rsidR="00777EE0" w:rsidRDefault="00777EE0" w:rsidP="00E808F1">
                          <w:pPr>
                            <w:tabs>
                              <w:tab w:val="left" w:pos="720"/>
                            </w:tabs>
                            <w:jc w:val="center"/>
                            <w:rPr>
                              <w:szCs w:val="24"/>
                            </w:rPr>
                          </w:pPr>
                          <w:r>
                            <w:rPr>
                              <w:rFonts w:cstheme="minorBidi"/>
                              <w:color w:val="000000"/>
                              <w:kern w:val="24"/>
                              <w:sz w:val="22"/>
                            </w:rPr>
                            <w:t>Pre- and post-ban comparison</w:t>
                          </w:r>
                        </w:p>
                      </w:txbxContent>
                    </v:textbox>
                  </v:shape>
                </v:group>
                <v:group id="Group 345" o:spid="_x0000_s1155" style="position:absolute;left:15979;top:42647;width:8605;height:5995" coordorigin="15979,42647" coordsize="8604,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346" o:spid="_x0000_s1156" style="position:absolute;left:16139;top:42647;width:8422;height:4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X3wgAAANwAAAAPAAAAZHJzL2Rvd25yZXYueG1sRI/RisIw&#10;FETfF/yHcAVfFk1XF5FqFBEWfOnCqh9waa5NsbmJTar1782C4OMwM2eY1aa3jbhRG2rHCr4mGQji&#10;0umaKwWn4894ASJEZI2NY1LwoACb9eBjhbl2d/6j2yFWIkE45KjAxOhzKUNpyGKYOE+cvLNrLcYk&#10;20rqFu8Jbhs5zbK5tFhzWjDoaWeovBw6q6DvFtdr0V2soVnRfE6j/y28V2o07LdLEJH6+A6/2nut&#10;YPY9h/8z6QjI9RMAAP//AwBQSwECLQAUAAYACAAAACEA2+H2y+4AAACFAQAAEwAAAAAAAAAAAAAA&#10;AAAAAAAAW0NvbnRlbnRfVHlwZXNdLnhtbFBLAQItABQABgAIAAAAIQBa9CxbvwAAABUBAAALAAAA&#10;AAAAAAAAAAAAAB8BAABfcmVscy8ucmVsc1BLAQItABQABgAIAAAAIQAco0X3wgAAANwAAAAPAAAA&#10;AAAAAAAAAAAAAAcCAABkcnMvZG93bnJldi54bWxQSwUGAAAAAAMAAwC3AAAA9gIAAAAA&#10;" filled="f" strokecolor="black [3213]"/>
                  <v:shape id="TextBox 205" o:spid="_x0000_s1157" type="#_x0000_t202" style="position:absolute;left:15979;top:42762;width:8605;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2B86A5BC" w14:textId="77777777" w:rsidR="00777EE0" w:rsidRDefault="00777EE0" w:rsidP="00E808F1">
                          <w:pPr>
                            <w:tabs>
                              <w:tab w:val="left" w:pos="720"/>
                            </w:tabs>
                            <w:jc w:val="center"/>
                            <w:rPr>
                              <w:szCs w:val="24"/>
                            </w:rPr>
                          </w:pPr>
                          <w:r>
                            <w:rPr>
                              <w:rFonts w:cstheme="minorBidi"/>
                              <w:color w:val="000000"/>
                              <w:kern w:val="24"/>
                              <w:sz w:val="22"/>
                            </w:rPr>
                            <w:t>Coding framework</w:t>
                          </w:r>
                        </w:p>
                      </w:txbxContent>
                    </v:textbox>
                  </v:shape>
                </v:group>
                <v:group id="Group 348" o:spid="_x0000_s1158" style="position:absolute;left:26521;top:13680;width:9893;height:5921" coordorigin="26521,13680" coordsize="9893,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349" o:spid="_x0000_s1159" style="position:absolute;left:27179;top:13680;width:8422;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GFwwAAANwAAAAPAAAAZHJzL2Rvd25yZXYueG1sRI/RagIx&#10;FETfC/5DuIIvRbNqEV2NIoLQly1U/YDL5rpZ3NzETVbXv28KhT4OM3OG2ex624gHtaF2rGA6yUAQ&#10;l07XXCm4nI/jJYgQkTU2jknBiwLstoO3DebaPfmbHqdYiQThkKMCE6PPpQylIYth4jxx8q6utRiT&#10;bCupW3wmuG3kLMsW0mLNacGgp4Oh8nbqrIK+W97vRXezhuZF8z6L/qvwXqnRsN+vQUTq43/4r/2p&#10;Fcw/VvB7Jh0Buf0BAAD//wMAUEsBAi0AFAAGAAgAAAAhANvh9svuAAAAhQEAABMAAAAAAAAAAAAA&#10;AAAAAAAAAFtDb250ZW50X1R5cGVzXS54bWxQSwECLQAUAAYACAAAACEAWvQsW78AAAAVAQAACwAA&#10;AAAAAAAAAAAAAAAfAQAAX3JlbHMvLnJlbHNQSwECLQAUAAYACAAAACEAbTzRhcMAAADcAAAADwAA&#10;AAAAAAAAAAAAAAAHAgAAZHJzL2Rvd25yZXYueG1sUEsFBgAAAAADAAMAtwAAAPcCAAAAAA==&#10;" filled="f" strokecolor="black [3213]"/>
                  <v:shape id="TextBox 212" o:spid="_x0000_s1160" type="#_x0000_t202" style="position:absolute;left:26521;top:13721;width:9893;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14:paraId="3B553A34" w14:textId="77777777" w:rsidR="00777EE0" w:rsidRDefault="00777EE0" w:rsidP="00E808F1">
                          <w:pPr>
                            <w:tabs>
                              <w:tab w:val="left" w:pos="720"/>
                            </w:tabs>
                            <w:jc w:val="center"/>
                            <w:rPr>
                              <w:szCs w:val="24"/>
                            </w:rPr>
                          </w:pPr>
                          <w:r>
                            <w:rPr>
                              <w:rFonts w:cstheme="minorBidi"/>
                              <w:color w:val="000000"/>
                              <w:kern w:val="24"/>
                              <w:sz w:val="22"/>
                            </w:rPr>
                            <w:t xml:space="preserve">Pre-ban </w:t>
                          </w:r>
                          <w:r>
                            <w:rPr>
                              <w:rFonts w:cstheme="minorBidi"/>
                              <w:color w:val="000000" w:themeColor="text1"/>
                              <w:kern w:val="24"/>
                            </w:rPr>
                            <w:br/>
                          </w:r>
                          <w:r>
                            <w:rPr>
                              <w:rFonts w:cstheme="minorBidi"/>
                              <w:color w:val="000000"/>
                              <w:kern w:val="24"/>
                              <w:sz w:val="22"/>
                            </w:rPr>
                            <w:t>data</w:t>
                          </w:r>
                        </w:p>
                      </w:txbxContent>
                    </v:textbox>
                  </v:shape>
                </v:group>
                <v:group id="Group 351" o:spid="_x0000_s1161" style="position:absolute;left:15399;top:13682;width:9899;height:5921" coordorigin="15399,13682" coordsize="9899,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52" o:spid="_x0000_s1162" style="position:absolute;left:16057;top:13682;width:8421;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UpwwAAANwAAAAPAAAAZHJzL2Rvd25yZXYueG1sRI/RisIw&#10;FETfF/yHcAVfFk23siLVKCIs+NKFdfcDLs21KTY3sUm1/r1ZEHwcZuYMs94OthVX6kLjWMHHLANB&#10;XDndcK3g7/drugQRIrLG1jEpuFOA7Wb0tsZCuxv/0PUYa5EgHApUYGL0hZShMmQxzJwnTt7JdRZj&#10;kl0tdYe3BLetzLNsIS02nBYMetobqs7H3ioY+uXlUvZna2hetu959N+l90pNxsNuBSLSEF/hZ/ug&#10;Fcw/c/g/k46A3DwAAAD//wMAUEsBAi0AFAAGAAgAAAAhANvh9svuAAAAhQEAABMAAAAAAAAAAAAA&#10;AAAAAAAAAFtDb250ZW50X1R5cGVzXS54bWxQSwECLQAUAAYACAAAACEAWvQsW78AAAAVAQAACwAA&#10;AAAAAAAAAAAAAAAfAQAAX3JlbHMvLnJlbHNQSwECLQAUAAYACAAAACEA5kHVKcMAAADcAAAADwAA&#10;AAAAAAAAAAAAAAAHAgAAZHJzL2Rvd25yZXYueG1sUEsFBgAAAAADAAMAtwAAAPcCAAAAAA==&#10;" filled="f" strokecolor="black [3213]"/>
                  <v:shape id="TextBox 215" o:spid="_x0000_s1163" type="#_x0000_t202" style="position:absolute;left:15399;top:13723;width:9899;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4904FDE2" w14:textId="77777777" w:rsidR="00777EE0" w:rsidRDefault="00777EE0" w:rsidP="00E808F1">
                          <w:pPr>
                            <w:tabs>
                              <w:tab w:val="left" w:pos="720"/>
                            </w:tabs>
                            <w:jc w:val="center"/>
                            <w:rPr>
                              <w:szCs w:val="24"/>
                            </w:rPr>
                          </w:pPr>
                          <w:r>
                            <w:rPr>
                              <w:rFonts w:cstheme="minorBidi"/>
                              <w:color w:val="000000"/>
                              <w:kern w:val="24"/>
                              <w:sz w:val="22"/>
                            </w:rPr>
                            <w:t>Coding themes</w:t>
                          </w:r>
                        </w:p>
                      </w:txbxContent>
                    </v:textbox>
                  </v:shape>
                </v:group>
                <v:group id="Group 354" o:spid="_x0000_s1164" style="position:absolute;left:16056;top:28707;width:8528;height:5920" coordorigin="16056,28707" coordsize="8528,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355" o:spid="_x0000_s1165" style="position:absolute;left:16066;top:28707;width:8421;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1dwgAAANwAAAAPAAAAZHJzL2Rvd25yZXYueG1sRI/RisIw&#10;FETfF/yHcAVfFk1XUaQaRRYEX7qw6gdcmmtTbG5ik2r9eyMs7OMwM2eY9ba3jbhTG2rHCr4mGQji&#10;0umaKwXn0368BBEissbGMSl4UoDtZvCxxly7B//S/RgrkSAcclRgYvS5lKE0ZDFMnCdO3sW1FmOS&#10;bSV1i48Et42cZtlCWqw5LRj09G2ovB47q6Dvlrdb0V2toVnRfE6j/ym8V2o07HcrEJH6+B/+ax+0&#10;gtl8Du8z6QjIzQsAAP//AwBQSwECLQAUAAYACAAAACEA2+H2y+4AAACFAQAAEwAAAAAAAAAAAAAA&#10;AAAAAAAAW0NvbnRlbnRfVHlwZXNdLnhtbFBLAQItABQABgAIAAAAIQBa9CxbvwAAABUBAAALAAAA&#10;AAAAAAAAAAAAAB8BAABfcmVscy8ucmVsc1BLAQItABQABgAIAAAAIQBpqE1dwgAAANwAAAAPAAAA&#10;AAAAAAAAAAAAAAcCAABkcnMvZG93bnJldi54bWxQSwUGAAAAAAMAAwC3AAAA9gIAAAAA&#10;" filled="f" strokecolor="black [3213]"/>
                  <v:shape id="TextBox 221" o:spid="_x0000_s1166" type="#_x0000_t202" style="position:absolute;left:16056;top:28747;width:8528;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14:paraId="303DD847" w14:textId="77777777" w:rsidR="00777EE0" w:rsidRDefault="00777EE0" w:rsidP="00E808F1">
                          <w:pPr>
                            <w:tabs>
                              <w:tab w:val="left" w:pos="720"/>
                            </w:tabs>
                            <w:jc w:val="center"/>
                            <w:rPr>
                              <w:szCs w:val="24"/>
                            </w:rPr>
                          </w:pPr>
                          <w:r>
                            <w:rPr>
                              <w:rFonts w:cstheme="minorBidi"/>
                              <w:color w:val="000000"/>
                              <w:kern w:val="24"/>
                              <w:sz w:val="22"/>
                            </w:rPr>
                            <w:t>Coding themes</w:t>
                          </w:r>
                        </w:p>
                      </w:txbxContent>
                    </v:textbox>
                  </v:shape>
                </v:group>
                <v:group id="Group 357" o:spid="_x0000_s1167" style="position:absolute;left:45613;top:50851;width:10306;height:4974" coordorigin="45613,50851" coordsize="10306,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58" o:spid="_x0000_s1168" style="position:absolute;left:45613;top:50851;width:10306;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LDwQAAANwAAAAPAAAAZHJzL2Rvd25yZXYueG1sRE/dasIw&#10;FL4f+A7hDHYz1nQtE+kaRQaCNx1MfYBDc9YUm5PYpNq9vbkQdvnx/deb2Q7iSmPoHSt4z3IQxK3T&#10;PXcKTsfd2wpEiMgaB8ek4I8CbNaLpxor7W78Q9dD7EQK4VChAhOjr6QMrSGLIXOeOHG/brQYExw7&#10;qUe8pXA7yCLPl9Jiz6nBoKcvQ+35MFkF87S6XJrpbA2VzfBaRP/deK/Uy/O8/QQRaY7/4od7rxWU&#10;H2ltOpOOgFzfAQAA//8DAFBLAQItABQABgAIAAAAIQDb4fbL7gAAAIUBAAATAAAAAAAAAAAAAAAA&#10;AAAAAABbQ29udGVudF9UeXBlc10ueG1sUEsBAi0AFAAGAAgAAAAhAFr0LFu/AAAAFQEAAAsAAAAA&#10;AAAAAAAAAAAAHwEAAF9yZWxzLy5yZWxzUEsBAi0AFAAGAAgAAAAhAIep4sPBAAAA3AAAAA8AAAAA&#10;AAAAAAAAAAAABwIAAGRycy9kb3ducmV2LnhtbFBLBQYAAAAAAwADALcAAAD1AgAAAAA=&#10;" filled="f" strokecolor="black [3213]"/>
                  <v:shape id="TextBox 291" o:spid="_x0000_s1169" type="#_x0000_t202" style="position:absolute;left:45651;top:51793;width:1026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14:paraId="1D6DBA1E" w14:textId="77777777" w:rsidR="00777EE0" w:rsidRDefault="00777EE0" w:rsidP="00E808F1">
                          <w:pPr>
                            <w:tabs>
                              <w:tab w:val="left" w:pos="720"/>
                            </w:tabs>
                            <w:jc w:val="center"/>
                            <w:rPr>
                              <w:szCs w:val="24"/>
                            </w:rPr>
                          </w:pPr>
                          <w:r>
                            <w:rPr>
                              <w:rFonts w:cstheme="minorBidi"/>
                              <w:color w:val="000000"/>
                              <w:kern w:val="24"/>
                              <w:sz w:val="22"/>
                            </w:rPr>
                            <w:t>Select model/s</w:t>
                          </w:r>
                        </w:p>
                      </w:txbxContent>
                    </v:textbox>
                  </v:shape>
                </v:group>
                <v:group id="Group 360" o:spid="_x0000_s1170" style="position:absolute;left:45523;top:13549;width:10315;height:5973" coordorigin="45523,13549" coordsize="10315,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1" o:spid="_x0000_s1171" style="position:absolute;left:45532;top:13549;width:10306;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jwgAAANwAAAAPAAAAZHJzL2Rvd25yZXYueG1sRI/RisIw&#10;FETfF/yHcAVfFk1VEKlGEUHwpcK6fsCluTbF5iY2qda/N8LCPg4zc4ZZb3vbiAe1oXasYDrJQBCX&#10;TtdcKbj8HsZLECEia2wck4IXBdhuBl9rzLV78g89zrESCcIhRwUmRp9LGUpDFsPEeeLkXV1rMSbZ&#10;VlK3+Exw28hZli2kxZrTgkFPe0Pl7dxZBX23vN+L7mYNzYvmexb9qfBeqdGw361AROrjf/ivfdQK&#10;5ospfM6kIyA3bwAAAP//AwBQSwECLQAUAAYACAAAACEA2+H2y+4AAACFAQAAEwAAAAAAAAAAAAAA&#10;AAAAAAAAW0NvbnRlbnRfVHlwZXNdLnhtbFBLAQItABQABgAIAAAAIQBa9CxbvwAAABUBAAALAAAA&#10;AAAAAAAAAAAAAB8BAABfcmVscy8ucmVsc1BLAQItABQABgAIAAAAIQDY/4HjwgAAANwAAAAPAAAA&#10;AAAAAAAAAAAAAAcCAABkcnMvZG93bnJldi54bWxQSwUGAAAAAAMAAwC3AAAA9gIAAAAA&#10;" filled="f" strokecolor="black [3213]"/>
                  <v:shape id="TextBox 300" o:spid="_x0000_s1172" type="#_x0000_t202" style="position:absolute;left:45523;top:13642;width:1031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6195A4AA" w14:textId="77777777" w:rsidR="00777EE0" w:rsidRDefault="00777EE0" w:rsidP="00E808F1">
                          <w:pPr>
                            <w:tabs>
                              <w:tab w:val="left" w:pos="720"/>
                            </w:tabs>
                            <w:jc w:val="center"/>
                            <w:rPr>
                              <w:szCs w:val="24"/>
                            </w:rPr>
                          </w:pPr>
                          <w:r>
                            <w:rPr>
                              <w:rFonts w:cstheme="minorBidi"/>
                              <w:color w:val="000000"/>
                              <w:kern w:val="24"/>
                              <w:sz w:val="22"/>
                            </w:rPr>
                            <w:t>Evaluate fit of SCM’s</w:t>
                          </w:r>
                        </w:p>
                      </w:txbxContent>
                    </v:textbox>
                  </v:shape>
                </v:group>
                <v:group id="Group 363" o:spid="_x0000_s1173" style="position:absolute;left:45525;top:4936;width:10306;height:5974" coordorigin="45525,4936" coordsize="10306,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64" o:spid="_x0000_s1174" style="position:absolute;left:45525;top:4936;width:10306;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J7wgAAANwAAAAPAAAAZHJzL2Rvd25yZXYueG1sRI/RisIw&#10;FETfF/yHcAVfFk1XF5FqFBEWfOnCqh9waa5NsbmJTar1782C4OMwM2eY1aa3jbhRG2rHCr4mGQji&#10;0umaKwWn4894ASJEZI2NY1LwoACb9eBjhbl2d/6j2yFWIkE45KjAxOhzKUNpyGKYOE+cvLNrLcYk&#10;20rqFu8Jbhs5zbK5tFhzWjDoaWeovBw6q6DvFtdr0V2soVnRfE6j/y28V2o07LdLEJH6+A6/2nut&#10;YDb/hv8z6QjI9RMAAP//AwBQSwECLQAUAAYACAAAACEA2+H2y+4AAACFAQAAEwAAAAAAAAAAAAAA&#10;AAAAAAAAW0NvbnRlbnRfVHlwZXNdLnhtbFBLAQItABQABgAIAAAAIQBa9CxbvwAAABUBAAALAAAA&#10;AAAAAAAAAAAAAB8BAABfcmVscy8ucmVsc1BLAQItABQABgAIAAAAIQDIiCJ7wgAAANwAAAAPAAAA&#10;AAAAAAAAAAAAAAcCAABkcnMvZG93bnJldi54bWxQSwUGAAAAAAMAAwC3AAAA9gIAAAAA&#10;" filled="f" strokecolor="black [3213]"/>
                  <v:shape id="TextBox 303" o:spid="_x0000_s1175" type="#_x0000_t202" style="position:absolute;left:45563;top:5030;width:1026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215A778F" w14:textId="77777777" w:rsidR="00777EE0" w:rsidRDefault="00777EE0" w:rsidP="00E808F1">
                          <w:pPr>
                            <w:tabs>
                              <w:tab w:val="left" w:pos="720"/>
                            </w:tabs>
                            <w:jc w:val="center"/>
                            <w:rPr>
                              <w:szCs w:val="24"/>
                            </w:rPr>
                          </w:pPr>
                          <w:r>
                            <w:rPr>
                              <w:rFonts w:cstheme="minorBidi"/>
                              <w:color w:val="000000"/>
                              <w:kern w:val="24"/>
                              <w:sz w:val="22"/>
                            </w:rPr>
                            <w:t>Select existing models</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66" o:spid="_x0000_s1176" type="#_x0000_t34" style="position:absolute;left:31672;top:17819;width:10754;height:111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27xQAAANwAAAAPAAAAZHJzL2Rvd25yZXYueG1sRI9Ba8JA&#10;FITvBf/D8gRvdWOF0KZupFZE6aU05tDjI/uahGTfht1V4793C4LHYWa+YVbr0fTiTM63lhUs5gkI&#10;4srqlmsF5XH3/ArCB2SNvWVScCUP63zytMJM2wv/0LkItYgQ9hkqaEIYMil91ZBBP7cDcfT+rDMY&#10;onS11A4vEW56+ZIkqTTYclxocKDPhqquOBkFhVsWx+5Ll+lOv1039f67/N1KpWbT8eMdRKAxPML3&#10;9kErWKYp/J+JR0DmNwAAAP//AwBQSwECLQAUAAYACAAAACEA2+H2y+4AAACFAQAAEwAAAAAAAAAA&#10;AAAAAAAAAAAAW0NvbnRlbnRfVHlwZXNdLnhtbFBLAQItABQABgAIAAAAIQBa9CxbvwAAABUBAAAL&#10;AAAAAAAAAAAAAAAAAB8BAABfcmVscy8ucmVsc1BLAQItABQABgAIAAAAIQA3vr27xQAAANwAAAAP&#10;AAAAAAAAAAAAAAAAAAcCAABkcnMvZG93bnJldi54bWxQSwUGAAAAAAMAAwC3AAAA+QIAAAAA&#10;" strokecolor="black [3213]">
                  <v:stroke endarrow="block"/>
                  <o:lock v:ext="edit" shapetype="f"/>
                </v:shape>
                <v:shape id="Connector: Elbow 367" o:spid="_x0000_s1177" type="#_x0000_t34" style="position:absolute;left:42220;top:37189;width:5898;height:530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ggxQAAANwAAAAPAAAAZHJzL2Rvd25yZXYueG1sRI9Ba8JA&#10;FITvBf/D8gRvdaNCqtFVtCItvYgxB4+P7DMJZt+G3a3Gf98tFHocZuYbZrXpTSvu5HxjWcFknIAg&#10;Lq1uuFJQnA+vcxA+IGtsLZOCJ3nYrAcvK8y0ffCJ7nmoRISwz1BBHUKXSenLmgz6se2Io3e1zmCI&#10;0lVSO3xEuGnlNElSabDhuFBjR+81lbf82yjI3Sw/3750kR704rmrPo7FZS+VGg377RJEoD78h//a&#10;n1rBLH2D3zPxCMj1DwAAAP//AwBQSwECLQAUAAYACAAAACEA2+H2y+4AAACFAQAAEwAAAAAAAAAA&#10;AAAAAAAAAAAAW0NvbnRlbnRfVHlwZXNdLnhtbFBLAQItABQABgAIAAAAIQBa9CxbvwAAABUBAAAL&#10;AAAAAAAAAAAAAAAAAB8BAABfcmVscy8ucmVsc1BLAQItABQABgAIAAAAIQBY8hggxQAAANwAAAAP&#10;AAAAAAAAAAAAAAAAAAcCAABkcnMvZG93bnJldi54bWxQSwUGAAAAAAMAAwC3AAAA+QIAAAAA&#10;" strokecolor="black [3213]">
                  <v:stroke endarrow="block"/>
                  <o:lock v:ext="edit" shapetype="f"/>
                </v:shape>
                <v:shape id="TextBox 320" o:spid="_x0000_s1178" type="#_x0000_t202" style="position:absolute;left:7445;top:28343;width:1038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4F591912" w14:textId="77777777" w:rsidR="00777EE0" w:rsidRDefault="00777EE0" w:rsidP="00E808F1">
                        <w:pPr>
                          <w:tabs>
                            <w:tab w:val="left" w:pos="720"/>
                          </w:tabs>
                          <w:jc w:val="center"/>
                          <w:rPr>
                            <w:szCs w:val="24"/>
                          </w:rPr>
                        </w:pPr>
                        <w:r>
                          <w:rPr>
                            <w:rFonts w:cstheme="minorBidi"/>
                            <w:i/>
                            <w:iCs/>
                            <w:color w:val="000000"/>
                            <w:kern w:val="24"/>
                            <w:sz w:val="22"/>
                          </w:rPr>
                          <w:t xml:space="preserve">Revise </w:t>
                        </w:r>
                      </w:p>
                    </w:txbxContent>
                  </v:textbox>
                </v:shape>
                <v:shape id="TextBox 321" o:spid="_x0000_s1179" type="#_x0000_t202" style="position:absolute;left:7426;top:42262;width:1038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7DAD2CF8" w14:textId="77777777" w:rsidR="00777EE0" w:rsidRDefault="00777EE0" w:rsidP="00E808F1">
                        <w:pPr>
                          <w:tabs>
                            <w:tab w:val="left" w:pos="720"/>
                          </w:tabs>
                          <w:jc w:val="center"/>
                          <w:rPr>
                            <w:szCs w:val="24"/>
                          </w:rPr>
                        </w:pPr>
                        <w:r>
                          <w:rPr>
                            <w:rFonts w:cstheme="minorBidi"/>
                            <w:i/>
                            <w:iCs/>
                            <w:color w:val="000000"/>
                            <w:kern w:val="24"/>
                            <w:sz w:val="22"/>
                          </w:rPr>
                          <w:t xml:space="preserve">Devise </w:t>
                        </w:r>
                      </w:p>
                    </w:txbxContent>
                  </v:textbox>
                </v:shape>
                <v:shape id="TextBox 322" o:spid="_x0000_s1180" type="#_x0000_t202" style="position:absolute;left:14050;top:21241;width:11258;height:40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ycwgAAANwAAAAPAAAAZHJzL2Rvd25yZXYueG1sRE/LasJA&#10;FN0X/IfhCm6KmVSpSnQMEhCkm1KN+2vm5oGZOyEzjbFf31kUujyc9y4dTSsG6l1jWcFbFIMgLqxu&#10;uFKQX47zDQjnkTW2lknBkxyk+8nLDhNtH/xFw9lXIoSwS1BB7X2XSOmKmgy6yHbEgSttb9AH2FdS&#10;9/gI4aaVizheSYMNh4YaO8pqKu7nb6Pgtczy5/XDfv6sDOXvt0E3y9wrNZuOhy0IT6P/F/+5T1rB&#10;ch3mhzPhCMj9LwAAAP//AwBQSwECLQAUAAYACAAAACEA2+H2y+4AAACFAQAAEwAAAAAAAAAAAAAA&#10;AAAAAAAAW0NvbnRlbnRfVHlwZXNdLnhtbFBLAQItABQABgAIAAAAIQBa9CxbvwAAABUBAAALAAAA&#10;AAAAAAAAAAAAAB8BAABfcmVscy8ucmVsc1BLAQItABQABgAIAAAAIQAWPaycwgAAANwAAAAPAAAA&#10;AAAAAAAAAAAAAAcCAABkcnMvZG93bnJldi54bWxQSwUGAAAAAAMAAwC3AAAA9gIAAAAA&#10;" filled="f" stroked="f">
                  <v:textbox style="mso-fit-shape-to-text:t">
                    <w:txbxContent>
                      <w:p w14:paraId="4ADE2DE3" w14:textId="77777777" w:rsidR="00777EE0" w:rsidRDefault="00777EE0" w:rsidP="00E808F1">
                        <w:pPr>
                          <w:tabs>
                            <w:tab w:val="left" w:pos="720"/>
                          </w:tabs>
                          <w:jc w:val="center"/>
                          <w:rPr>
                            <w:szCs w:val="24"/>
                          </w:rPr>
                        </w:pPr>
                        <w:r>
                          <w:rPr>
                            <w:rFonts w:cstheme="minorBidi"/>
                            <w:i/>
                            <w:iCs/>
                            <w:color w:val="000000"/>
                            <w:kern w:val="24"/>
                            <w:sz w:val="22"/>
                          </w:rPr>
                          <w:t>Inform</w:t>
                        </w:r>
                      </w:p>
                    </w:txbxContent>
                  </v:textbox>
                </v:shape>
                <v:shape id="Straight Arrow Connector 371" o:spid="_x0000_s1181" type="#_x0000_t32" style="position:absolute;left:24478;top:30749;width:26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TvxgAAANwAAAAPAAAAZHJzL2Rvd25yZXYueG1sRI9BSwMx&#10;FITvgv8hPKE3m60FlW3TopVC8aTbltLbY/O6Wd28bJN0d/33Rih4HGbmG2a+HGwjOvKhdqxgMs5A&#10;EJdO11wp2G3X988gQkTW2DgmBT8UYLm4vZljrl3Pn9QVsRIJwiFHBSbGNpcylIYshrFriZN3ct5i&#10;TNJXUnvsE9w28iHLHqXFmtOCwZZWhsrv4mIVNN17f95fvs7m7aPbFqvD0bz6VqnR3fAyAxFpiP/h&#10;a3ujFUyfJvB3Jh0BufgFAAD//wMAUEsBAi0AFAAGAAgAAAAhANvh9svuAAAAhQEAABMAAAAAAAAA&#10;AAAAAAAAAAAAAFtDb250ZW50X1R5cGVzXS54bWxQSwECLQAUAAYACAAAACEAWvQsW78AAAAVAQAA&#10;CwAAAAAAAAAAAAAAAAAfAQAAX3JlbHMvLnJlbHNQSwECLQAUAAYACAAAACEAQ66k78YAAADcAAAA&#10;DwAAAAAAAAAAAAAAAAAHAgAAZHJzL2Rvd25yZXYueG1sUEsFBgAAAAADAAMAtwAAAPoCAAAAAA==&#10;" strokecolor="black [3213]">
                  <v:stroke endarrow="block"/>
                  <o:lock v:ext="edit" shapetype="f"/>
                </v:shape>
                <v:shape id="Straight Arrow Connector 372" o:spid="_x0000_s1182" type="#_x0000_t32" style="position:absolute;left:24585;top:15957;width:2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qYxgAAANwAAAAPAAAAZHJzL2Rvd25yZXYueG1sRI9BSwMx&#10;FITvQv9DeIXebNYKKtumRStC8aTbltLbY/O6Wd28bJN0d/33Rih4HGbmG2axGmwjOvKhdqzgbpqB&#10;IC6drrlSsNu+3T6BCBFZY+OYFPxQgNVydLPAXLueP6krYiUShEOOCkyMbS5lKA1ZDFPXEifv5LzF&#10;mKSvpPbYJ7ht5CzLHqTFmtOCwZbWhsrv4mIVNN17f95fvs7m9aPbFuvD0bz4VqnJeHieg4g0xP/w&#10;tb3RCu4fZ/B3Jh0BufwFAAD//wMAUEsBAi0AFAAGAAgAAAAhANvh9svuAAAAhQEAABMAAAAAAAAA&#10;AAAAAAAAAAAAAFtDb250ZW50X1R5cGVzXS54bWxQSwECLQAUAAYACAAAACEAWvQsW78AAAAVAQAA&#10;CwAAAAAAAAAAAAAAAAAfAQAAX3JlbHMvLnJlbHNQSwECLQAUAAYACAAAACEAs3w6mMYAAADcAAAA&#10;DwAAAAAAAAAAAAAAAAAHAgAAZHJzL2Rvd25yZXYueG1sUEsFBgAAAAADAAMAtwAAAPoCAAAAAA==&#10;" strokecolor="black [3213]">
                  <v:stroke endarrow="block"/>
                  <o:lock v:ext="edit" shapetype="f"/>
                </v:shape>
                <v:shape id="Straight Arrow Connector 373" o:spid="_x0000_s1183" type="#_x0000_t32" style="position:absolute;left:35723;top:30888;width:26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8DxgAAANwAAAAPAAAAZHJzL2Rvd25yZXYueG1sRI9BSwMx&#10;FITvQv9DeAVvNmsLKmvTYiuCeKpbpfT22Dw3q5uXbZLubv99Uyh4HGbmG2a+HGwjOvKhdqzgfpKB&#10;IC6drrlS8LV9u3sCESKyxsYxKThRgOVidDPHXLueP6krYiUShEOOCkyMbS5lKA1ZDBPXEifvx3mL&#10;MUlfSe2xT3DbyGmWPUiLNacFgy2tDZV/xdEqaLqP/vB9/D2Y1023Lda7vVn5Vqnb8fDyDCLSEP/D&#10;1/a7VjB7nMHlTDoCcnEGAAD//wMAUEsBAi0AFAAGAAgAAAAhANvh9svuAAAAhQEAABMAAAAAAAAA&#10;AAAAAAAAAAAAAFtDb250ZW50X1R5cGVzXS54bWxQSwECLQAUAAYACAAAACEAWvQsW78AAAAVAQAA&#10;CwAAAAAAAAAAAAAAAAAfAQAAX3JlbHMvLnJlbHNQSwECLQAUAAYACAAAACEA3DCfA8YAAADcAAAA&#10;DwAAAAAAAAAAAAAAAAAHAgAAZHJzL2Rvd25yZXYueG1sUEsFBgAAAAADAAMAtwAAAPoCAAAAAA==&#10;" strokecolor="black [3213]">
                  <v:stroke endarrow="block"/>
                  <o:lock v:ext="edit" shapetype="f"/>
                </v:shape>
                <v:shape id="Straight Arrow Connector 374" o:spid="_x0000_s1184" type="#_x0000_t32" style="position:absolute;left:35641;top:15790;width:988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d3xgAAANwAAAAPAAAAZHJzL2Rvd25yZXYueG1sRI9BSwMx&#10;FITvgv8hPKE3m7UVLdumRVsE8WS3LaW3x+a5Wd28bJN0d/33RhA8DjPzDbNYDbYRHflQO1ZwN85A&#10;EJdO11wp2O9ebmcgQkTW2DgmBd8UYLW8vlpgrl3PW+qKWIkE4ZCjAhNjm0sZSkMWw9i1xMn7cN5i&#10;TNJXUnvsE9w2cpJlD9JizWnBYEtrQ+VXcbEKmu6tPx8un2ezee92xfp4Ms++VWp0MzzNQUQa4n/4&#10;r/2qFUwf7+H3TDoCcvkDAAD//wMAUEsBAi0AFAAGAAgAAAAhANvh9svuAAAAhQEAABMAAAAAAAAA&#10;AAAAAAAAAAAAAFtDb250ZW50X1R5cGVzXS54bWxQSwECLQAUAAYACAAAACEAWvQsW78AAAAVAQAA&#10;CwAAAAAAAAAAAAAAAAAfAQAAX3JlbHMvLnJlbHNQSwECLQAUAAYACAAAACEAU9kHd8YAAADcAAAA&#10;DwAAAAAAAAAAAAAAAAAHAgAAZHJzL2Rvd25yZXYueG1sUEsFBgAAAAADAAMAtwAAAPoCAAAAAA==&#10;" strokecolor="black [3213]">
                  <v:stroke endarrow="block"/>
                  <o:lock v:ext="edit" shapetype="f"/>
                </v:shape>
                <v:shape id="TextBox 322" o:spid="_x0000_s1185" type="#_x0000_t202" style="position:absolute;left:-1349;top:21013;width:11259;height:40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8EwwAAANwAAAAPAAAAZHJzL2Rvd25yZXYueG1sRI9Bi8Iw&#10;FITvgv8hPMGLrKmK7lKNIoIgXmS13t82z7bYvJQm1uqvN8KCx2FmvmEWq9aUoqHaFZYVjIYRCOLU&#10;6oIzBclp+/UDwnlkjaVlUvAgB6tlt7PAWNs7/1Jz9JkIEHYxKsi9r2IpXZqTQTe0FXHwLrY26IOs&#10;M6lrvAe4KeU4imbSYMFhIceKNjml1+PNKBhcNsnjvLeH58xQMv1rdDFJvFL9Xrueg/DU+k/4v73T&#10;CibfU3ifCUdALl8AAAD//wMAUEsBAi0AFAAGAAgAAAAhANvh9svuAAAAhQEAABMAAAAAAAAAAAAA&#10;AAAAAAAAAFtDb250ZW50X1R5cGVzXS54bWxQSwECLQAUAAYACAAAACEAWvQsW78AAAAVAQAACwAA&#10;AAAAAAAAAAAAAAAfAQAAX3JlbHMvLnJlbHNQSwECLQAUAAYACAAAACEABkoPBMMAAADcAAAADwAA&#10;AAAAAAAAAAAAAAAHAgAAZHJzL2Rvd25yZXYueG1sUEsFBgAAAAADAAMAtwAAAPcCAAAAAA==&#10;" filled="f" stroked="f">
                  <v:textbox style="mso-fit-shape-to-text:t">
                    <w:txbxContent>
                      <w:p w14:paraId="54B1A681" w14:textId="77777777" w:rsidR="00777EE0" w:rsidRDefault="00777EE0" w:rsidP="00E808F1">
                        <w:pPr>
                          <w:tabs>
                            <w:tab w:val="left" w:pos="720"/>
                          </w:tabs>
                          <w:jc w:val="center"/>
                          <w:rPr>
                            <w:szCs w:val="24"/>
                          </w:rPr>
                        </w:pPr>
                        <w:r>
                          <w:rPr>
                            <w:rFonts w:cstheme="minorBidi"/>
                            <w:i/>
                            <w:iCs/>
                            <w:color w:val="000000"/>
                            <w:kern w:val="24"/>
                            <w:sz w:val="22"/>
                          </w:rPr>
                          <w:t>Replicate</w:t>
                        </w:r>
                      </w:p>
                    </w:txbxContent>
                  </v:textbox>
                </v:shape>
                <w10:wrap type="topAndBottom"/>
              </v:group>
            </w:pict>
          </mc:Fallback>
        </mc:AlternateContent>
      </w:r>
      <w:bookmarkEnd w:id="344"/>
    </w:p>
    <w:p w14:paraId="08D942BA" w14:textId="77777777" w:rsidR="00E808F1" w:rsidRDefault="00E808F1" w:rsidP="00E808F1">
      <w:pPr>
        <w:spacing w:line="480" w:lineRule="auto"/>
      </w:pPr>
    </w:p>
    <w:p w14:paraId="11E191C5" w14:textId="77777777" w:rsidR="00E808F1" w:rsidRDefault="00E808F1" w:rsidP="00E808F1">
      <w:pPr>
        <w:spacing w:line="480" w:lineRule="auto"/>
      </w:pPr>
      <w:r>
        <w:t xml:space="preserve">The subsequent sections provide a brief overview of each study before going on to describe in more detail the theoretical models considered within the research, some core elements of design and implementation, and the analytical approach used. </w:t>
      </w:r>
    </w:p>
    <w:p w14:paraId="15A1EEE3" w14:textId="32100992" w:rsidR="00E808F1" w:rsidRPr="00014BFC" w:rsidRDefault="00E808F1" w:rsidP="00E808F1">
      <w:pPr>
        <w:pStyle w:val="Heading3"/>
      </w:pPr>
      <w:bookmarkStart w:id="345" w:name="_Toc35892637"/>
      <w:r>
        <w:t xml:space="preserve">Study 1 (Chapter </w:t>
      </w:r>
      <w:r w:rsidR="00835A06">
        <w:t>6</w:t>
      </w:r>
      <w:r>
        <w:t>)</w:t>
      </w:r>
      <w:bookmarkEnd w:id="345"/>
    </w:p>
    <w:p w14:paraId="00563669" w14:textId="76F9DE6C" w:rsidR="00E808F1" w:rsidRPr="00014BFC" w:rsidRDefault="00E808F1" w:rsidP="00E808F1">
      <w:pPr>
        <w:spacing w:line="480" w:lineRule="auto"/>
      </w:pPr>
      <w:r>
        <w:t xml:space="preserve">Study 1 was undertaken several months prior to </w:t>
      </w:r>
      <w:r w:rsidR="00D63BBE">
        <w:t xml:space="preserve">the </w:t>
      </w:r>
      <w:r>
        <w:t xml:space="preserve">introduction of the PS Act. </w:t>
      </w:r>
      <w:bookmarkStart w:id="346" w:name="_Hlk7617296"/>
      <w:r>
        <w:t xml:space="preserve">The study was a belief elicitation study informed by the method outlined by </w:t>
      </w:r>
      <w:r w:rsidRPr="00D34DFB">
        <w:t>Epton and</w:t>
      </w:r>
      <w:r>
        <w:t xml:space="preserve"> colleagues for the development of theory-based health messages (Epton, Norman, Harris, Webb, Snowsill &amp; Sheeran, 2014).</w:t>
      </w:r>
      <w:bookmarkEnd w:id="346"/>
      <w:r w:rsidRPr="00A448BF">
        <w:t xml:space="preserve"> </w:t>
      </w:r>
      <w:bookmarkStart w:id="347" w:name="_Hlk7611757"/>
      <w:r>
        <w:t xml:space="preserve">The study was designed to explore young people’s beliefs, reasons and motivations related to use and non-use of NPS </w:t>
      </w:r>
      <w:bookmarkEnd w:id="347"/>
      <w:r>
        <w:t xml:space="preserve">to identify: the unique aspects of young people’s relationship with NPS; their salient beliefs about NPS, and their reasons and motivations for using and not using NPS. </w:t>
      </w:r>
    </w:p>
    <w:p w14:paraId="0672199D" w14:textId="507149C4" w:rsidR="00E808F1" w:rsidRDefault="00E808F1" w:rsidP="00E808F1">
      <w:pPr>
        <w:pStyle w:val="Heading3"/>
      </w:pPr>
      <w:bookmarkStart w:id="348" w:name="_Toc35892638"/>
      <w:r>
        <w:t xml:space="preserve">Study 2 (Chapter </w:t>
      </w:r>
      <w:r w:rsidR="00835A06">
        <w:t>7</w:t>
      </w:r>
      <w:r>
        <w:t>)</w:t>
      </w:r>
      <w:bookmarkEnd w:id="348"/>
    </w:p>
    <w:p w14:paraId="624D49BE" w14:textId="6AD6CACB" w:rsidR="00E808F1" w:rsidRDefault="00E808F1" w:rsidP="00E808F1">
      <w:pPr>
        <w:spacing w:line="480" w:lineRule="auto"/>
      </w:pPr>
      <w:r>
        <w:t xml:space="preserve">Study 2 was a comparative study conducted more than a year after the PS Act was brought into force on the 26 May 2016. To aid comparison, Study 2 largely replicated the design of Study 1, with some additional questions asking participants about their knowledge and perception of the ban on former legal highs. The study aimed to explore the effect of the PS Act on young people’s perceptions of NPS and NPS use, and any similarities or differences between the beliefs of the young people in the pre-ban focus groups and those of the young people in the post-ban groups. As Study 1 was originally designed before </w:t>
      </w:r>
      <w:r w:rsidR="00D63BBE">
        <w:t xml:space="preserve">the </w:t>
      </w:r>
      <w:r>
        <w:t>introduction of the PS Act was announced, the studies were not initially designed for comparative purposes but nevertheless were able to provide significant insight into the impact of the ban on young people’s perceptions and cognitions.</w:t>
      </w:r>
    </w:p>
    <w:p w14:paraId="53D1EBA8" w14:textId="77777777" w:rsidR="003D4E79" w:rsidRDefault="003D4E79" w:rsidP="00E808F1">
      <w:pPr>
        <w:spacing w:line="480" w:lineRule="auto"/>
        <w:rPr>
          <w:b/>
        </w:rPr>
      </w:pPr>
    </w:p>
    <w:p w14:paraId="4A12DE97" w14:textId="1EF758DD" w:rsidR="00E808F1" w:rsidRDefault="00E808F1" w:rsidP="00E808F1">
      <w:pPr>
        <w:pStyle w:val="Heading3"/>
      </w:pPr>
      <w:bookmarkStart w:id="349" w:name="_Toc35892639"/>
      <w:r>
        <w:t xml:space="preserve">Study 3 (Chapter </w:t>
      </w:r>
      <w:r w:rsidR="00835A06">
        <w:t>8</w:t>
      </w:r>
      <w:r>
        <w:t>)</w:t>
      </w:r>
      <w:bookmarkEnd w:id="349"/>
    </w:p>
    <w:p w14:paraId="50F23560" w14:textId="77777777" w:rsidR="00E808F1" w:rsidRDefault="00E808F1" w:rsidP="00E808F1">
      <w:pPr>
        <w:spacing w:line="480" w:lineRule="auto"/>
      </w:pPr>
      <w:r>
        <w:t xml:space="preserve">Study 3 was designed to consider young people’s views about intervention approaches for the purpose of identifying what young people think would be most effective and acceptable. Engaging with young people to hear their perspectives on what makes a good intervention and what is important to them, can help improve the cultural sensitivity and targeting of intervention design, in addition to informing the content of intervention components to ensure they are engaging and appropriate. The aims of the study were to identify which motives are most important to young people, which constructs may make the best targets for intervention, which delivery settings and methods are most suitable, and which approaches are best avoided. </w:t>
      </w:r>
    </w:p>
    <w:p w14:paraId="76F67AA4" w14:textId="21E31BF8" w:rsidR="00E808F1" w:rsidRDefault="00E808F1" w:rsidP="00E808F1">
      <w:pPr>
        <w:pStyle w:val="Heading2"/>
      </w:pPr>
      <w:bookmarkStart w:id="350" w:name="_Toc35892640"/>
      <w:r>
        <w:t>Theoretical basis for interventions</w:t>
      </w:r>
      <w:bookmarkEnd w:id="350"/>
    </w:p>
    <w:p w14:paraId="642DE833" w14:textId="77777777" w:rsidR="00960B53" w:rsidRPr="007309DC" w:rsidRDefault="00960B53" w:rsidP="00960B53">
      <w:pPr>
        <w:spacing w:line="480" w:lineRule="auto"/>
      </w:pPr>
      <w:r w:rsidRPr="007309DC">
        <w:t xml:space="preserve">Theories define the relationships among interrelated constructs (e.g. beliefs, attitude, intention, behaviour) in a way that makes it easier to explain and predict behaviour (Glanz &amp; Rimer, 2005). The constructs and the specified relationships between them then provide a map of potential intervention targets (Conner &amp; Norman, 2013).  </w:t>
      </w:r>
    </w:p>
    <w:p w14:paraId="5031D5F3" w14:textId="77777777" w:rsidR="00960B53" w:rsidRPr="007309DC" w:rsidRDefault="00960B53" w:rsidP="00960B53">
      <w:pPr>
        <w:spacing w:line="480" w:lineRule="auto"/>
        <w:rPr>
          <w:szCs w:val="24"/>
        </w:rPr>
      </w:pPr>
      <w:r w:rsidRPr="007309DC">
        <w:rPr>
          <w:szCs w:val="24"/>
        </w:rPr>
        <w:t>The review of the drug intervention evidence base (see Chapter 3) highlighted the importance of using theory in intervention development. The European drug prevention quality standards (EDPQ; Brotherhood &amp; Sumnall, 2011) strongly endorse the use of theory in drug-focused interventions and within the drug intervention evidence base t</w:t>
      </w:r>
      <w:r w:rsidRPr="007309DC">
        <w:t>heory-based approaches were found to be more effective (Brotherhood et al., 2013; UNODC, 2018).</w:t>
      </w:r>
      <w:r w:rsidRPr="007309DC">
        <w:rPr>
          <w:szCs w:val="24"/>
        </w:rPr>
        <w:t xml:space="preserve"> </w:t>
      </w:r>
    </w:p>
    <w:p w14:paraId="47239F5F" w14:textId="1799F549" w:rsidR="00253CD5" w:rsidRPr="007309DC" w:rsidRDefault="00960B53" w:rsidP="00E808F1">
      <w:pPr>
        <w:spacing w:line="480" w:lineRule="auto"/>
      </w:pPr>
      <w:r w:rsidRPr="007309DC">
        <w:rPr>
          <w:szCs w:val="24"/>
        </w:rPr>
        <w:t xml:space="preserve">Including theory in intervention design is vitally important for improving intervention effectiveness, not only because reliable theory can support better outcomes, but providing a theoretical basis can also facilitate intervention development by establishing precisely which intervention mechanisms are responsible for observed outcomes (Michie, 2007). </w:t>
      </w:r>
      <w:r w:rsidRPr="007309DC">
        <w:t xml:space="preserve">However, it </w:t>
      </w:r>
    </w:p>
    <w:p w14:paraId="41200869" w14:textId="77777777" w:rsidR="00253CD5" w:rsidRDefault="00253CD5">
      <w:pPr>
        <w:rPr>
          <w:color w:val="0070C0"/>
        </w:rPr>
      </w:pPr>
      <w:r>
        <w:rPr>
          <w:color w:val="0070C0"/>
        </w:rPr>
        <w:br w:type="page"/>
      </w:r>
    </w:p>
    <w:p w14:paraId="6D6F671D" w14:textId="37316308" w:rsidR="00E808F1" w:rsidRPr="007309DC" w:rsidRDefault="00960B53" w:rsidP="00E808F1">
      <w:pPr>
        <w:spacing w:line="480" w:lineRule="auto"/>
        <w:rPr>
          <w:szCs w:val="24"/>
        </w:rPr>
      </w:pPr>
      <w:r w:rsidRPr="007309DC">
        <w:t>is important to ensure that interventions use and specify theory appropriately (Miche &amp; Abraham, 2004), as while</w:t>
      </w:r>
      <w:r w:rsidRPr="007309DC">
        <w:rPr>
          <w:szCs w:val="24"/>
        </w:rPr>
        <w:t xml:space="preserve"> t</w:t>
      </w:r>
      <w:r w:rsidRPr="007309DC">
        <w:t>heory-based approaches to behaviour change are known to be more effective for a range of health behaviours (</w:t>
      </w:r>
      <w:bookmarkStart w:id="351" w:name="_Hlk7620117"/>
      <w:r w:rsidRPr="007309DC">
        <w:rPr>
          <w:szCs w:val="24"/>
        </w:rPr>
        <w:t>Conner &amp; Norman, 2005; Noar et al., 2007; Prestwich, Webb &amp; Conner, 2015; Webb et al., 2010</w:t>
      </w:r>
      <w:bookmarkEnd w:id="351"/>
      <w:r w:rsidRPr="007309DC">
        <w:t>)</w:t>
      </w:r>
      <w:r w:rsidR="00FB0389" w:rsidRPr="007309DC">
        <w:t>,</w:t>
      </w:r>
      <w:r w:rsidRPr="007309DC">
        <w:t xml:space="preserve"> not all applications of theory-based interventions are equally successful</w:t>
      </w:r>
      <w:r w:rsidRPr="007309DC">
        <w:rPr>
          <w:szCs w:val="24"/>
        </w:rPr>
        <w:t xml:space="preserve"> (Prestwich, Sniehotta, et al., 2014). If descriptions of interventions, however effective, do not sufficiently specify their theoretical basis and the precise mechanism of change being targeted, attempts to apply the intervention can lead to a misapplication of theory. This results in interventions that are said to be evidence-inspired rather than evidence-based. (Hardman et al., 2002; Michie &amp; Abraham, 2004). </w:t>
      </w:r>
    </w:p>
    <w:p w14:paraId="65D3AFBB" w14:textId="77777777" w:rsidR="00E808F1" w:rsidRDefault="00E808F1" w:rsidP="00E808F1">
      <w:pPr>
        <w:spacing w:line="480" w:lineRule="auto"/>
      </w:pPr>
      <w:r>
        <w:t xml:space="preserve">Although several theories were used successfully in the drug intervention evidence-base, there are insufficient studies incorporating theory to determine their relative efficacy with illicit drug use (Jepson, Cox &amp; Platt, 2006). The theories that were used were social cognitive theories and stages of change models (Brotherhood et al., 2013; Jepson &amp; Jepson, 2010; Jepson et. al., 2006). While these theories </w:t>
      </w:r>
      <w:r w:rsidRPr="00652949">
        <w:t>are commonly used in the development of interventions</w:t>
      </w:r>
      <w:r>
        <w:t xml:space="preserve"> (Rutter, 2002), a review of individual approaches to behaviour change conducted by NICE (2009) found that interventions based on the stages of change model did not demonstrate effectiveness and consequently do not recommend it is used as a theoretical basis for behaviour change interventions. </w:t>
      </w:r>
    </w:p>
    <w:p w14:paraId="05097DDE" w14:textId="45025FBC" w:rsidR="00E808F1" w:rsidRDefault="00E808F1" w:rsidP="00E808F1">
      <w:pPr>
        <w:pStyle w:val="Heading3"/>
      </w:pPr>
      <w:bookmarkStart w:id="352" w:name="_Toc35892641"/>
      <w:r>
        <w:t>Selection of models</w:t>
      </w:r>
      <w:bookmarkEnd w:id="352"/>
    </w:p>
    <w:p w14:paraId="1619CF16" w14:textId="77777777" w:rsidR="00D72CF5" w:rsidRDefault="00E808F1" w:rsidP="00D72CF5">
      <w:pPr>
        <w:spacing w:line="480" w:lineRule="auto"/>
        <w:rPr>
          <w:color w:val="000000"/>
          <w:szCs w:val="24"/>
        </w:rPr>
      </w:pPr>
      <w:r>
        <w:t xml:space="preserve">One of the key objectives of this research is to identify which theoretical constructs are most relevant to NPS behaviour and determine which theoretical models are appropriate for use in NPS-related behaviour change interventions. </w:t>
      </w:r>
      <w:bookmarkStart w:id="353" w:name="_Toc365537980"/>
      <w:r w:rsidR="00D72CF5">
        <w:t xml:space="preserve"> </w:t>
      </w:r>
      <w:r>
        <w:rPr>
          <w:color w:val="000000"/>
          <w:szCs w:val="24"/>
        </w:rPr>
        <w:t>While the health behaviours examined by Epton et al.</w:t>
      </w:r>
      <w:r w:rsidR="004C4795">
        <w:rPr>
          <w:color w:val="000000"/>
          <w:szCs w:val="24"/>
        </w:rPr>
        <w:t>,</w:t>
      </w:r>
      <w:r>
        <w:rPr>
          <w:color w:val="000000"/>
          <w:szCs w:val="24"/>
        </w:rPr>
        <w:t xml:space="preserve"> (2014) are well researched from a social cognitive perspective, this investigation concerns a novel behaviour (i.e., NPS use) so the recommended process was adapted to incorporate a more exploratory approach. Epton et al.</w:t>
      </w:r>
      <w:r w:rsidR="004C4795">
        <w:rPr>
          <w:color w:val="000000"/>
          <w:szCs w:val="24"/>
        </w:rPr>
        <w:t>,</w:t>
      </w:r>
      <w:r>
        <w:rPr>
          <w:color w:val="000000"/>
          <w:szCs w:val="24"/>
        </w:rPr>
        <w:t xml:space="preserve"> (2014) used the Theory of Planned </w:t>
      </w:r>
    </w:p>
    <w:p w14:paraId="2A8E23DE" w14:textId="77777777" w:rsidR="00D72CF5" w:rsidRDefault="00D72CF5">
      <w:pPr>
        <w:rPr>
          <w:color w:val="000000"/>
          <w:szCs w:val="24"/>
        </w:rPr>
      </w:pPr>
      <w:r>
        <w:rPr>
          <w:color w:val="000000"/>
          <w:szCs w:val="24"/>
        </w:rPr>
        <w:br w:type="page"/>
      </w:r>
    </w:p>
    <w:p w14:paraId="1A57877B" w14:textId="7CB0ED90" w:rsidR="00E808F1" w:rsidRPr="00D72CF5" w:rsidRDefault="00E808F1" w:rsidP="00D72CF5">
      <w:pPr>
        <w:spacing w:line="480" w:lineRule="auto"/>
      </w:pPr>
      <w:r>
        <w:rPr>
          <w:color w:val="000000"/>
          <w:szCs w:val="24"/>
        </w:rPr>
        <w:t>Behaviour (TPB: Azjen, 2013) as a theoretical framework for their study as its suitability for the behaviours of interest had been previously established. However, no theoretical frameworks have yet been applied to NPS behaviour.  Consequently, this study considers several social cognition theories which have been selected based on their relevance to comparable health risk behaviours. The intention is that a broader</w:t>
      </w:r>
      <w:r w:rsidR="00253CD5">
        <w:rPr>
          <w:color w:val="000000"/>
          <w:szCs w:val="24"/>
        </w:rPr>
        <w:t xml:space="preserve"> </w:t>
      </w:r>
      <w:r>
        <w:rPr>
          <w:color w:val="000000"/>
          <w:szCs w:val="24"/>
        </w:rPr>
        <w:t xml:space="preserve">theoretical base, linked with a range of comparable behaviours, will aid </w:t>
      </w:r>
      <w:r w:rsidR="00FB0389">
        <w:rPr>
          <w:color w:val="000000"/>
          <w:szCs w:val="24"/>
        </w:rPr>
        <w:t xml:space="preserve">the </w:t>
      </w:r>
      <w:r>
        <w:rPr>
          <w:color w:val="000000"/>
          <w:szCs w:val="24"/>
        </w:rPr>
        <w:t xml:space="preserve">synthesis of a theoretical framework appropriate for use with NPS behaviour. </w:t>
      </w:r>
      <w:bookmarkStart w:id="354" w:name="_Toc499849464"/>
      <w:bookmarkEnd w:id="353"/>
      <w:r w:rsidRPr="00B736D3">
        <w:rPr>
          <w:szCs w:val="24"/>
        </w:rPr>
        <w:t>Although NPS bear closest phenomenological similarity to the illicit drugs which they largely emulate, the legal status of the majority of NPS places them in a social context which may share more similarities with legally available psychoactive substances such as alcohol and tobacco. Having no direct parallel in previous health research, but key commonalities with a range of health behaviours, it was decided not to restrict the theoretical framework to a single model based on a review of recreational drug interventions, but to expand consideration to health behaviour research more generally.</w:t>
      </w:r>
      <w:r w:rsidRPr="004F692F">
        <w:rPr>
          <w:szCs w:val="24"/>
        </w:rPr>
        <w:t xml:space="preserve"> </w:t>
      </w:r>
      <w:r w:rsidRPr="00B736D3">
        <w:rPr>
          <w:szCs w:val="24"/>
        </w:rPr>
        <w:t xml:space="preserve">Looking to previous research, five models of behaviour change were deemed appropriate to inform the development of the study. </w:t>
      </w:r>
      <w:r>
        <w:rPr>
          <w:color w:val="000000"/>
          <w:szCs w:val="24"/>
        </w:rPr>
        <w:t>In addition to the TPB this study also included: the Health Belief Model (</w:t>
      </w:r>
      <w:r w:rsidR="00015283">
        <w:rPr>
          <w:szCs w:val="24"/>
        </w:rPr>
        <w:t xml:space="preserve">Becker, 1974; </w:t>
      </w:r>
      <w:r>
        <w:rPr>
          <w:szCs w:val="24"/>
        </w:rPr>
        <w:t>Rosenstock, 1966;</w:t>
      </w:r>
      <w:r>
        <w:rPr>
          <w:color w:val="000000"/>
          <w:szCs w:val="24"/>
        </w:rPr>
        <w:t xml:space="preserve">), Protection Motivation Theory </w:t>
      </w:r>
      <w:r>
        <w:rPr>
          <w:szCs w:val="24"/>
        </w:rPr>
        <w:t>(Rogers, 1975)</w:t>
      </w:r>
      <w:r>
        <w:rPr>
          <w:color w:val="000000"/>
          <w:szCs w:val="24"/>
        </w:rPr>
        <w:t xml:space="preserve">, Behavioural Reasoning Theory (Westaby, 2005) and the Prototype/Willingness Model (Gibbons, Gerrard, Blanton, &amp; Russell, 1998). </w:t>
      </w:r>
    </w:p>
    <w:p w14:paraId="1528ABB8" w14:textId="77777777" w:rsidR="00D72CF5" w:rsidRDefault="00E808F1" w:rsidP="00D72CF5">
      <w:pPr>
        <w:pStyle w:val="Thesismaintext"/>
        <w:spacing w:line="480" w:lineRule="auto"/>
        <w:rPr>
          <w:szCs w:val="24"/>
        </w:rPr>
      </w:pPr>
      <w:r w:rsidRPr="00B736D3">
        <w:rPr>
          <w:szCs w:val="24"/>
        </w:rPr>
        <w:t xml:space="preserve">The selection criteria for the models were that they should </w:t>
      </w:r>
      <w:r>
        <w:rPr>
          <w:szCs w:val="24"/>
        </w:rPr>
        <w:t>(</w:t>
      </w:r>
      <w:r w:rsidRPr="00B736D3">
        <w:rPr>
          <w:szCs w:val="24"/>
        </w:rPr>
        <w:t xml:space="preserve">i) provide an explanation of the cognitive and social processes underlying </w:t>
      </w:r>
      <w:r>
        <w:rPr>
          <w:szCs w:val="24"/>
        </w:rPr>
        <w:t>comparable</w:t>
      </w:r>
      <w:r w:rsidRPr="00B736D3">
        <w:rPr>
          <w:szCs w:val="24"/>
        </w:rPr>
        <w:t xml:space="preserve"> health behaviour</w:t>
      </w:r>
      <w:r>
        <w:rPr>
          <w:szCs w:val="24"/>
        </w:rPr>
        <w:t>s, (</w:t>
      </w:r>
      <w:r w:rsidRPr="00B736D3">
        <w:rPr>
          <w:szCs w:val="24"/>
        </w:rPr>
        <w:t xml:space="preserve">ii) specify behavioural determinants and </w:t>
      </w:r>
      <w:r>
        <w:rPr>
          <w:szCs w:val="24"/>
        </w:rPr>
        <w:t>(</w:t>
      </w:r>
      <w:r w:rsidRPr="00B736D3">
        <w:rPr>
          <w:szCs w:val="24"/>
        </w:rPr>
        <w:t xml:space="preserve">iii) show evidence of success in predicting health behaviour or behaviour change in related </w:t>
      </w:r>
      <w:r>
        <w:rPr>
          <w:szCs w:val="24"/>
        </w:rPr>
        <w:t xml:space="preserve">or comparable </w:t>
      </w:r>
      <w:r w:rsidRPr="00B736D3">
        <w:rPr>
          <w:szCs w:val="24"/>
        </w:rPr>
        <w:t xml:space="preserve">behaviours. Although the specific constructs of </w:t>
      </w:r>
      <w:r>
        <w:rPr>
          <w:szCs w:val="24"/>
        </w:rPr>
        <w:t xml:space="preserve">social cognition </w:t>
      </w:r>
      <w:r w:rsidRPr="00B736D3">
        <w:rPr>
          <w:szCs w:val="24"/>
        </w:rPr>
        <w:t xml:space="preserve">models vary, the models share some common core assumptions. </w:t>
      </w:r>
      <w:r>
        <w:rPr>
          <w:szCs w:val="24"/>
        </w:rPr>
        <w:t>In particular, they assume that b</w:t>
      </w:r>
      <w:r w:rsidRPr="00B736D3">
        <w:rPr>
          <w:szCs w:val="24"/>
        </w:rPr>
        <w:t xml:space="preserve">ehaviour is determined by a set of social, behavioural and efficacy </w:t>
      </w:r>
      <w:r>
        <w:rPr>
          <w:szCs w:val="24"/>
        </w:rPr>
        <w:t>beliefs</w:t>
      </w:r>
      <w:r w:rsidRPr="00B736D3">
        <w:rPr>
          <w:szCs w:val="24"/>
        </w:rPr>
        <w:t xml:space="preserve"> which form the basis of an assessment about the value of performing the behaviour. This evaluation then informs a person’s intention or commitment to perform the behaviour, which </w:t>
      </w:r>
    </w:p>
    <w:p w14:paraId="1A857BFE" w14:textId="2A96AE57" w:rsidR="00960B53" w:rsidRPr="00D72CF5" w:rsidRDefault="00E808F1" w:rsidP="00D72CF5">
      <w:pPr>
        <w:pStyle w:val="Thesismaintext"/>
        <w:spacing w:line="480" w:lineRule="auto"/>
        <w:rPr>
          <w:szCs w:val="24"/>
        </w:rPr>
      </w:pPr>
      <w:r w:rsidRPr="00B736D3">
        <w:rPr>
          <w:szCs w:val="24"/>
        </w:rPr>
        <w:t>interact</w:t>
      </w:r>
      <w:r>
        <w:rPr>
          <w:szCs w:val="24"/>
        </w:rPr>
        <w:t>s</w:t>
      </w:r>
      <w:r w:rsidRPr="00B736D3">
        <w:rPr>
          <w:szCs w:val="24"/>
        </w:rPr>
        <w:t xml:space="preserve"> with environmental constraints to</w:t>
      </w:r>
      <w:r w:rsidR="00253CD5">
        <w:rPr>
          <w:szCs w:val="24"/>
        </w:rPr>
        <w:t xml:space="preserve"> </w:t>
      </w:r>
      <w:r>
        <w:rPr>
          <w:szCs w:val="24"/>
        </w:rPr>
        <w:t>determine</w:t>
      </w:r>
      <w:r w:rsidRPr="00B736D3">
        <w:rPr>
          <w:szCs w:val="24"/>
        </w:rPr>
        <w:t xml:space="preserve"> </w:t>
      </w:r>
      <w:r w:rsidR="00FB0389">
        <w:rPr>
          <w:szCs w:val="24"/>
        </w:rPr>
        <w:t xml:space="preserve">the </w:t>
      </w:r>
      <w:r>
        <w:rPr>
          <w:szCs w:val="24"/>
        </w:rPr>
        <w:t>performance of the</w:t>
      </w:r>
      <w:r w:rsidRPr="00B736D3">
        <w:rPr>
          <w:szCs w:val="24"/>
        </w:rPr>
        <w:t xml:space="preserve"> behaviour. To the extent that a person is free to act in line with their goals, behaviour is considered to be intentional and volitional.</w:t>
      </w:r>
      <w:r>
        <w:rPr>
          <w:szCs w:val="24"/>
        </w:rPr>
        <w:t xml:space="preserve"> </w:t>
      </w:r>
    </w:p>
    <w:p w14:paraId="136B852F" w14:textId="77777777" w:rsidR="00546CD0" w:rsidRDefault="00546CD0">
      <w:pPr>
        <w:rPr>
          <w:b/>
          <w:bCs/>
          <w:color w:val="000000"/>
        </w:rPr>
      </w:pPr>
      <w:r>
        <w:br w:type="page"/>
      </w:r>
    </w:p>
    <w:p w14:paraId="67DD3470" w14:textId="5A553F55" w:rsidR="00E808F1" w:rsidRDefault="00E808F1" w:rsidP="00E808F1">
      <w:pPr>
        <w:pStyle w:val="Heading3"/>
      </w:pPr>
      <w:bookmarkStart w:id="355" w:name="_Toc35892642"/>
      <w:r w:rsidRPr="004F692F">
        <w:t xml:space="preserve">Health </w:t>
      </w:r>
      <w:r>
        <w:t>b</w:t>
      </w:r>
      <w:r w:rsidRPr="004F692F">
        <w:t xml:space="preserve">elief </w:t>
      </w:r>
      <w:r>
        <w:t>m</w:t>
      </w:r>
      <w:r w:rsidRPr="004F692F">
        <w:t>odel</w:t>
      </w:r>
      <w:bookmarkEnd w:id="355"/>
      <w:r w:rsidRPr="004F692F">
        <w:t xml:space="preserve"> </w:t>
      </w:r>
    </w:p>
    <w:p w14:paraId="2C31AA45" w14:textId="2A5C8208" w:rsidR="00E808F1" w:rsidRDefault="00E808F1" w:rsidP="00E808F1">
      <w:pPr>
        <w:spacing w:line="480" w:lineRule="auto"/>
        <w:rPr>
          <w:b/>
        </w:rPr>
      </w:pPr>
      <w:r>
        <w:t xml:space="preserve">The health belief model </w:t>
      </w:r>
      <w:r w:rsidRPr="004F692F">
        <w:t xml:space="preserve">(HBM; </w:t>
      </w:r>
      <w:r w:rsidR="00015283" w:rsidRPr="004F692F">
        <w:t>Becker, 1974</w:t>
      </w:r>
      <w:r w:rsidR="00015283">
        <w:t xml:space="preserve">; </w:t>
      </w:r>
      <w:r w:rsidRPr="004F692F">
        <w:t xml:space="preserve">Rosenstock, 1966) </w:t>
      </w:r>
      <w:r>
        <w:t xml:space="preserve">proposes that health behaviour is explained by people’s beliefs about the perceived level of health threat (susceptibility and severity) and the value of performing the behaviour (barriers and benefits) as well as various cues to action. The HBM is one of the most widely used theories in health behaviour research which has been applied to a broad range of behaviours including health risk behaviours such as smoking (Gianetti, </w:t>
      </w:r>
      <w:r w:rsidR="00015283">
        <w:t xml:space="preserve">Hersey &amp; Iverson, 1987; Mullen, Stacy &amp; Lloyd, 1990; Penderson, Wanklin &amp; Baskerville, 1982; </w:t>
      </w:r>
      <w:r>
        <w:t>Reynolds &amp; Rihen, 1985) and drinking (</w:t>
      </w:r>
      <w:r w:rsidR="00015283">
        <w:t xml:space="preserve">Beck, 1981; Gottleib &amp; Baker, 1986; </w:t>
      </w:r>
      <w:r>
        <w:t xml:space="preserve">Portnoy, 1980). Although it remains popular, the HBM is criticised for having poor construct definition and relatively weak predictive power </w:t>
      </w:r>
      <w:r w:rsidRPr="004A0167">
        <w:t xml:space="preserve">(Armitage </w:t>
      </w:r>
      <w:r w:rsidR="007E0F63">
        <w:t>&amp;</w:t>
      </w:r>
      <w:r w:rsidRPr="004A0167">
        <w:t xml:space="preserve"> Conner 2000</w:t>
      </w:r>
      <w:r w:rsidR="00015283">
        <w:t>;</w:t>
      </w:r>
      <w:r w:rsidRPr="004A0167">
        <w:t xml:space="preserve"> Harrison et al</w:t>
      </w:r>
      <w:r w:rsidR="004C4795">
        <w:t>.,</w:t>
      </w:r>
      <w:r w:rsidRPr="004A0167">
        <w:t xml:space="preserve"> 1992)</w:t>
      </w:r>
      <w:r>
        <w:t xml:space="preserve">. </w:t>
      </w:r>
    </w:p>
    <w:p w14:paraId="085DDD08" w14:textId="7A0FC8E3" w:rsidR="00E808F1" w:rsidRPr="00010DD0" w:rsidRDefault="00E808F1" w:rsidP="00835A06">
      <w:pPr>
        <w:pStyle w:val="FigureHeading"/>
      </w:pPr>
      <w:bookmarkStart w:id="356" w:name="_Toc9509132"/>
      <w:r w:rsidRPr="00CE72F7">
        <w:t xml:space="preserve">Figure </w:t>
      </w:r>
      <w:r w:rsidR="00835A06">
        <w:t>5-</w:t>
      </w:r>
      <w:r w:rsidRPr="00CE72F7">
        <w:t xml:space="preserve">2 Health belief model </w:t>
      </w:r>
      <w:bookmarkEnd w:id="356"/>
    </w:p>
    <w:p w14:paraId="13F525B8" w14:textId="77777777" w:rsidR="00E808F1" w:rsidRDefault="00E808F1" w:rsidP="00E808F1">
      <w:pPr>
        <w:spacing w:line="480" w:lineRule="auto"/>
        <w:rPr>
          <w:b/>
        </w:rPr>
      </w:pPr>
      <w:r w:rsidRPr="00171429">
        <w:rPr>
          <w:b/>
          <w:noProof/>
          <w:lang w:val="en-US" w:eastAsia="en-US"/>
        </w:rPr>
        <mc:AlternateContent>
          <mc:Choice Requires="wpg">
            <w:drawing>
              <wp:anchor distT="0" distB="0" distL="114300" distR="114300" simplePos="0" relativeHeight="253712384" behindDoc="0" locked="0" layoutInCell="1" allowOverlap="1" wp14:anchorId="414E269F" wp14:editId="115C88E5">
                <wp:simplePos x="0" y="0"/>
                <wp:positionH relativeFrom="column">
                  <wp:posOffset>0</wp:posOffset>
                </wp:positionH>
                <wp:positionV relativeFrom="paragraph">
                  <wp:posOffset>271889</wp:posOffset>
                </wp:positionV>
                <wp:extent cx="5307563" cy="2855132"/>
                <wp:effectExtent l="0" t="0" r="7620" b="0"/>
                <wp:wrapNone/>
                <wp:docPr id="376" name="Group 435"/>
                <wp:cNvGraphicFramePr/>
                <a:graphic xmlns:a="http://schemas.openxmlformats.org/drawingml/2006/main">
                  <a:graphicData uri="http://schemas.microsoft.com/office/word/2010/wordprocessingGroup">
                    <wpg:wgp>
                      <wpg:cNvGrpSpPr/>
                      <wpg:grpSpPr>
                        <a:xfrm>
                          <a:off x="0" y="0"/>
                          <a:ext cx="5307563" cy="2855132"/>
                          <a:chOff x="0" y="0"/>
                          <a:chExt cx="5307563" cy="2855132"/>
                        </a:xfrm>
                      </wpg:grpSpPr>
                      <wpg:grpSp>
                        <wpg:cNvPr id="377" name="Group 377"/>
                        <wpg:cNvGrpSpPr/>
                        <wpg:grpSpPr>
                          <a:xfrm>
                            <a:off x="3845159" y="1159569"/>
                            <a:ext cx="1462404" cy="635228"/>
                            <a:chOff x="3845193" y="1159569"/>
                            <a:chExt cx="1111669" cy="565221"/>
                          </a:xfrm>
                        </wpg:grpSpPr>
                        <wps:wsp>
                          <wps:cNvPr id="378" name="Rectangle 378"/>
                          <wps:cNvSpPr/>
                          <wps:spPr>
                            <a:xfrm>
                              <a:off x="3894269" y="1159569"/>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79" name="TextBox 339"/>
                          <wps:cNvSpPr txBox="1"/>
                          <wps:spPr>
                            <a:xfrm>
                              <a:off x="3845193" y="1171637"/>
                              <a:ext cx="1111669" cy="553153"/>
                            </a:xfrm>
                            <a:prstGeom prst="rect">
                              <a:avLst/>
                            </a:prstGeom>
                            <a:noFill/>
                          </wps:spPr>
                          <wps:txbx>
                            <w:txbxContent>
                              <w:p w14:paraId="3F6AC368" w14:textId="77777777" w:rsidR="00777EE0" w:rsidRDefault="00777EE0" w:rsidP="00E808F1">
                                <w:pPr>
                                  <w:jc w:val="center"/>
                                  <w:rPr>
                                    <w:szCs w:val="24"/>
                                  </w:rPr>
                                </w:pPr>
                                <w:r>
                                  <w:rPr>
                                    <w:color w:val="000000" w:themeColor="text1"/>
                                    <w:kern w:val="24"/>
                                  </w:rPr>
                                  <w:t>Health-promoting behaviour</w:t>
                                </w:r>
                              </w:p>
                            </w:txbxContent>
                          </wps:txbx>
                          <wps:bodyPr wrap="square" rtlCol="0">
                            <a:spAutoFit/>
                          </wps:bodyPr>
                        </wps:wsp>
                      </wpg:grpSp>
                      <wps:wsp>
                        <wps:cNvPr id="380" name="Straight Connector 380"/>
                        <wps:cNvCnPr>
                          <a:cxnSpLocks/>
                        </wps:cNvCnPr>
                        <wps:spPr>
                          <a:xfrm flipH="1">
                            <a:off x="1064417" y="244231"/>
                            <a:ext cx="432629" cy="1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a:cxnSpLocks/>
                        </wps:cNvCnPr>
                        <wps:spPr>
                          <a:xfrm>
                            <a:off x="3016239" y="1028689"/>
                            <a:ext cx="893482" cy="3812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a:cxnSpLocks/>
                        </wps:cNvCnPr>
                        <wps:spPr>
                          <a:xfrm flipV="1">
                            <a:off x="3013728" y="1409938"/>
                            <a:ext cx="895993" cy="1158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a:cxnSpLocks/>
                        </wps:cNvCnPr>
                        <wps:spPr>
                          <a:xfrm>
                            <a:off x="3007697" y="244231"/>
                            <a:ext cx="902024" cy="11657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a:cxnSpLocks/>
                        </wps:cNvCnPr>
                        <wps:spPr>
                          <a:xfrm flipV="1">
                            <a:off x="3016237" y="1409938"/>
                            <a:ext cx="893484" cy="3888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5" name="Group 385"/>
                        <wpg:cNvGrpSpPr/>
                        <wpg:grpSpPr>
                          <a:xfrm>
                            <a:off x="1459110" y="0"/>
                            <a:ext cx="1584325" cy="621665"/>
                            <a:chOff x="1459123" y="0"/>
                            <a:chExt cx="1162202" cy="621665"/>
                          </a:xfrm>
                          <a:solidFill>
                            <a:schemeClr val="bg1"/>
                          </a:solidFill>
                        </wpg:grpSpPr>
                        <wps:wsp>
                          <wps:cNvPr id="386" name="Rectangle: Rounded Corners 386"/>
                          <wps:cNvSpPr/>
                          <wps:spPr>
                            <a:xfrm>
                              <a:off x="1486952" y="50173"/>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TextBox 355"/>
                          <wps:cNvSpPr txBox="1"/>
                          <wps:spPr>
                            <a:xfrm>
                              <a:off x="1459123" y="0"/>
                              <a:ext cx="1162202" cy="621665"/>
                            </a:xfrm>
                            <a:prstGeom prst="rect">
                              <a:avLst/>
                            </a:prstGeom>
                            <a:noFill/>
                          </wps:spPr>
                          <wps:txbx>
                            <w:txbxContent>
                              <w:p w14:paraId="44C8E9F0" w14:textId="77777777" w:rsidR="00777EE0" w:rsidRDefault="00777EE0" w:rsidP="00E808F1">
                                <w:pPr>
                                  <w:jc w:val="center"/>
                                  <w:rPr>
                                    <w:szCs w:val="24"/>
                                  </w:rPr>
                                </w:pPr>
                                <w:r>
                                  <w:rPr>
                                    <w:color w:val="000000" w:themeColor="text1"/>
                                    <w:kern w:val="24"/>
                                  </w:rPr>
                                  <w:t xml:space="preserve">Perceived benefits vs. perceived barriers </w:t>
                                </w:r>
                              </w:p>
                            </w:txbxContent>
                          </wps:txbx>
                          <wps:bodyPr wrap="square" rtlCol="0">
                            <a:spAutoFit/>
                          </wps:bodyPr>
                        </wps:wsp>
                      </wpg:grpSp>
                      <wpg:grpSp>
                        <wpg:cNvPr id="388" name="Group 388"/>
                        <wpg:cNvGrpSpPr/>
                        <wpg:grpSpPr>
                          <a:xfrm>
                            <a:off x="1497046" y="834631"/>
                            <a:ext cx="1519193" cy="467621"/>
                            <a:chOff x="1497046" y="834631"/>
                            <a:chExt cx="1108158" cy="467621"/>
                          </a:xfrm>
                        </wpg:grpSpPr>
                        <wps:wsp>
                          <wps:cNvPr id="389" name="Rectangle: Rounded Corners 389"/>
                          <wps:cNvSpPr/>
                          <wps:spPr>
                            <a:xfrm>
                              <a:off x="1497046" y="83463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TextBox 358"/>
                          <wps:cNvSpPr txBox="1"/>
                          <wps:spPr>
                            <a:xfrm>
                              <a:off x="1513743" y="882517"/>
                              <a:ext cx="1064419" cy="419735"/>
                            </a:xfrm>
                            <a:prstGeom prst="rect">
                              <a:avLst/>
                            </a:prstGeom>
                            <a:noFill/>
                          </wps:spPr>
                          <wps:txbx>
                            <w:txbxContent>
                              <w:p w14:paraId="65BC516C" w14:textId="77777777" w:rsidR="00777EE0" w:rsidRDefault="00777EE0" w:rsidP="00E808F1">
                                <w:pPr>
                                  <w:jc w:val="center"/>
                                  <w:rPr>
                                    <w:szCs w:val="24"/>
                                  </w:rPr>
                                </w:pPr>
                                <w:r>
                                  <w:rPr>
                                    <w:color w:val="000000" w:themeColor="text1"/>
                                    <w:kern w:val="24"/>
                                  </w:rPr>
                                  <w:t>Perceived threat</w:t>
                                </w:r>
                              </w:p>
                            </w:txbxContent>
                          </wps:txbx>
                          <wps:bodyPr wrap="square" rtlCol="0">
                            <a:spAutoFit/>
                          </wps:bodyPr>
                        </wps:wsp>
                      </wpg:grpSp>
                      <wpg:grpSp>
                        <wpg:cNvPr id="391" name="Group 391"/>
                        <wpg:cNvGrpSpPr/>
                        <wpg:grpSpPr>
                          <a:xfrm>
                            <a:off x="1497044" y="1604748"/>
                            <a:ext cx="1519193" cy="474088"/>
                            <a:chOff x="1497044" y="1604748"/>
                            <a:chExt cx="1108158" cy="474088"/>
                          </a:xfrm>
                        </wpg:grpSpPr>
                        <wps:wsp>
                          <wps:cNvPr id="392" name="Rectangle: Rounded Corners 392"/>
                          <wps:cNvSpPr/>
                          <wps:spPr>
                            <a:xfrm>
                              <a:off x="1497044" y="1604748"/>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 name="TextBox 362"/>
                          <wps:cNvSpPr txBox="1"/>
                          <wps:spPr>
                            <a:xfrm>
                              <a:off x="1590927" y="1659101"/>
                              <a:ext cx="910175" cy="419735"/>
                            </a:xfrm>
                            <a:prstGeom prst="rect">
                              <a:avLst/>
                            </a:prstGeom>
                            <a:noFill/>
                          </wps:spPr>
                          <wps:txbx>
                            <w:txbxContent>
                              <w:p w14:paraId="1F15A07C" w14:textId="77777777" w:rsidR="00777EE0" w:rsidRDefault="00777EE0" w:rsidP="00E808F1">
                                <w:pPr>
                                  <w:jc w:val="center"/>
                                  <w:rPr>
                                    <w:szCs w:val="24"/>
                                  </w:rPr>
                                </w:pPr>
                                <w:r>
                                  <w:rPr>
                                    <w:color w:val="000000" w:themeColor="text1"/>
                                    <w:kern w:val="24"/>
                                  </w:rPr>
                                  <w:t>Self-efficacy</w:t>
                                </w:r>
                              </w:p>
                            </w:txbxContent>
                          </wps:txbx>
                          <wps:bodyPr wrap="square" rtlCol="0">
                            <a:spAutoFit/>
                          </wps:bodyPr>
                        </wps:wsp>
                      </wpg:grpSp>
                      <wpg:grpSp>
                        <wpg:cNvPr id="394" name="Group 394"/>
                        <wpg:cNvGrpSpPr/>
                        <wpg:grpSpPr>
                          <a:xfrm>
                            <a:off x="1497046" y="2374865"/>
                            <a:ext cx="1516682" cy="480267"/>
                            <a:chOff x="1497046" y="2374865"/>
                            <a:chExt cx="1108158" cy="480267"/>
                          </a:xfrm>
                          <a:solidFill>
                            <a:schemeClr val="bg1"/>
                          </a:solidFill>
                        </wpg:grpSpPr>
                        <wps:wsp>
                          <wps:cNvPr id="395" name="Rectangle: Rounded Corners 395"/>
                          <wps:cNvSpPr/>
                          <wps:spPr>
                            <a:xfrm>
                              <a:off x="1497046" y="2374865"/>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TextBox 370"/>
                          <wps:cNvSpPr txBox="1"/>
                          <wps:spPr>
                            <a:xfrm>
                              <a:off x="1602282" y="2435397"/>
                              <a:ext cx="830025" cy="419735"/>
                            </a:xfrm>
                            <a:prstGeom prst="rect">
                              <a:avLst/>
                            </a:prstGeom>
                            <a:noFill/>
                          </wps:spPr>
                          <wps:txbx>
                            <w:txbxContent>
                              <w:p w14:paraId="5D3C80D4" w14:textId="77777777" w:rsidR="00777EE0" w:rsidRDefault="00777EE0" w:rsidP="00E808F1">
                                <w:pPr>
                                  <w:jc w:val="center"/>
                                  <w:rPr>
                                    <w:szCs w:val="24"/>
                                  </w:rPr>
                                </w:pPr>
                                <w:r>
                                  <w:rPr>
                                    <w:color w:val="000000" w:themeColor="text1"/>
                                    <w:kern w:val="24"/>
                                  </w:rPr>
                                  <w:t>Cues to action</w:t>
                                </w:r>
                              </w:p>
                            </w:txbxContent>
                          </wps:txbx>
                          <wps:bodyPr wrap="square" rtlCol="0">
                            <a:spAutoFit/>
                          </wps:bodyPr>
                        </wps:wsp>
                      </wpg:grpSp>
                      <wpg:grpSp>
                        <wpg:cNvPr id="397" name="Group 397"/>
                        <wpg:cNvGrpSpPr/>
                        <wpg:grpSpPr>
                          <a:xfrm>
                            <a:off x="0" y="11736"/>
                            <a:ext cx="1064417" cy="621665"/>
                            <a:chOff x="0" y="11736"/>
                            <a:chExt cx="1108158" cy="621665"/>
                          </a:xfrm>
                        </wpg:grpSpPr>
                        <wps:wsp>
                          <wps:cNvPr id="398" name="Rectangle: Rounded Corners 398"/>
                          <wps:cNvSpPr/>
                          <wps:spPr>
                            <a:xfrm>
                              <a:off x="0" y="50367"/>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 name="TextBox 373"/>
                          <wps:cNvSpPr txBox="1"/>
                          <wps:spPr>
                            <a:xfrm>
                              <a:off x="59990" y="11736"/>
                              <a:ext cx="948671" cy="621665"/>
                            </a:xfrm>
                            <a:prstGeom prst="rect">
                              <a:avLst/>
                            </a:prstGeom>
                            <a:noFill/>
                          </wps:spPr>
                          <wps:txbx>
                            <w:txbxContent>
                              <w:p w14:paraId="79DA3D97" w14:textId="77777777" w:rsidR="00777EE0" w:rsidRDefault="00777EE0" w:rsidP="00E808F1">
                                <w:pPr>
                                  <w:jc w:val="center"/>
                                  <w:rPr>
                                    <w:szCs w:val="24"/>
                                  </w:rPr>
                                </w:pPr>
                                <w:r>
                                  <w:rPr>
                                    <w:color w:val="000000" w:themeColor="text1"/>
                                    <w:kern w:val="24"/>
                                  </w:rPr>
                                  <w:t>Modifying variables</w:t>
                                </w:r>
                              </w:p>
                            </w:txbxContent>
                          </wps:txbx>
                          <wps:bodyPr wrap="square" rtlCol="0">
                            <a:spAutoFit/>
                          </wps:bodyPr>
                        </wps:wsp>
                      </wpg:grpSp>
                      <wpg:grpSp>
                        <wpg:cNvPr id="400" name="Group 400"/>
                        <wpg:cNvGrpSpPr/>
                        <wpg:grpSpPr>
                          <a:xfrm>
                            <a:off x="4806" y="796917"/>
                            <a:ext cx="1059611" cy="621665"/>
                            <a:chOff x="4806" y="796917"/>
                            <a:chExt cx="1108158" cy="621665"/>
                          </a:xfrm>
                        </wpg:grpSpPr>
                        <wps:wsp>
                          <wps:cNvPr id="401" name="Rectangle: Rounded Corners 401"/>
                          <wps:cNvSpPr/>
                          <wps:spPr>
                            <a:xfrm>
                              <a:off x="4806" y="830096"/>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TextBox 376"/>
                          <wps:cNvSpPr txBox="1"/>
                          <wps:spPr>
                            <a:xfrm>
                              <a:off x="65900" y="796917"/>
                              <a:ext cx="992155" cy="621665"/>
                            </a:xfrm>
                            <a:prstGeom prst="rect">
                              <a:avLst/>
                            </a:prstGeom>
                            <a:noFill/>
                          </wps:spPr>
                          <wps:txbx>
                            <w:txbxContent>
                              <w:p w14:paraId="0B612034" w14:textId="77777777" w:rsidR="00777EE0" w:rsidRDefault="00777EE0" w:rsidP="00E808F1">
                                <w:pPr>
                                  <w:jc w:val="center"/>
                                  <w:rPr>
                                    <w:szCs w:val="24"/>
                                  </w:rPr>
                                </w:pPr>
                                <w:r>
                                  <w:rPr>
                                    <w:color w:val="000000" w:themeColor="text1"/>
                                    <w:kern w:val="24"/>
                                  </w:rPr>
                                  <w:t>Perceived seriousness</w:t>
                                </w:r>
                              </w:p>
                            </w:txbxContent>
                          </wps:txbx>
                          <wps:bodyPr wrap="square" rtlCol="0">
                            <a:spAutoFit/>
                          </wps:bodyPr>
                        </wps:wsp>
                      </wpg:grpSp>
                      <wpg:grpSp>
                        <wpg:cNvPr id="403" name="Group 403"/>
                        <wpg:cNvGrpSpPr/>
                        <wpg:grpSpPr>
                          <a:xfrm>
                            <a:off x="20266" y="1570842"/>
                            <a:ext cx="1064417" cy="621665"/>
                            <a:chOff x="20266" y="1570842"/>
                            <a:chExt cx="1108158" cy="621665"/>
                          </a:xfrm>
                        </wpg:grpSpPr>
                        <wps:wsp>
                          <wps:cNvPr id="404" name="Rectangle: Rounded Corners 404"/>
                          <wps:cNvSpPr/>
                          <wps:spPr>
                            <a:xfrm>
                              <a:off x="20266" y="1609528"/>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TextBox 379"/>
                          <wps:cNvSpPr txBox="1"/>
                          <wps:spPr>
                            <a:xfrm>
                              <a:off x="26661" y="1570842"/>
                              <a:ext cx="1064362" cy="621665"/>
                            </a:xfrm>
                            <a:prstGeom prst="rect">
                              <a:avLst/>
                            </a:prstGeom>
                            <a:noFill/>
                          </wps:spPr>
                          <wps:txbx>
                            <w:txbxContent>
                              <w:p w14:paraId="0350493A" w14:textId="77777777" w:rsidR="00777EE0" w:rsidRDefault="00777EE0" w:rsidP="00E808F1">
                                <w:pPr>
                                  <w:jc w:val="center"/>
                                  <w:rPr>
                                    <w:szCs w:val="24"/>
                                  </w:rPr>
                                </w:pPr>
                                <w:r>
                                  <w:rPr>
                                    <w:color w:val="000000" w:themeColor="text1"/>
                                    <w:kern w:val="24"/>
                                  </w:rPr>
                                  <w:t>Perceived susceptibility</w:t>
                                </w:r>
                              </w:p>
                            </w:txbxContent>
                          </wps:txbx>
                          <wps:bodyPr wrap="square" rtlCol="0">
                            <a:spAutoFit/>
                          </wps:bodyPr>
                        </wps:wsp>
                      </wpg:grpSp>
                      <wps:wsp>
                        <wps:cNvPr id="406" name="Straight Connector 406"/>
                        <wps:cNvCnPr>
                          <a:cxnSpLocks/>
                        </wps:cNvCnPr>
                        <wps:spPr>
                          <a:xfrm>
                            <a:off x="1064417" y="1024154"/>
                            <a:ext cx="432627" cy="4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Straight Connector 407"/>
                        <wps:cNvCnPr>
                          <a:cxnSpLocks/>
                        </wps:cNvCnPr>
                        <wps:spPr>
                          <a:xfrm flipV="1">
                            <a:off x="1084683" y="1028689"/>
                            <a:ext cx="412361" cy="7748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a:cxnSpLocks/>
                        </wps:cNvCnPr>
                        <wps:spPr>
                          <a:xfrm>
                            <a:off x="1064417" y="244425"/>
                            <a:ext cx="432627" cy="7842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a:cxnSpLocks/>
                        </wps:cNvCnPr>
                        <wps:spPr>
                          <a:xfrm>
                            <a:off x="1064417" y="244425"/>
                            <a:ext cx="432627" cy="1554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4E269F" id="Group 435" o:spid="_x0000_s1186" style="position:absolute;margin-left:0;margin-top:21.4pt;width:417.9pt;height:224.8pt;z-index:253712384" coordsize="53075,2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2lAkAAH1OAAAOAAAAZHJzL2Uyb0RvYy54bWzsXFuzm7Yafe9M/wPDe2ME4uaJ00l3m7Qz&#10;mZ5MknP6zMb4MsVAgR07/fVduiAuxviSbLJPQx52jEFC+vRpLX3rk/z8x8Mu1j5GebFNk4VOnhm6&#10;FiVhutwm64X+3w+vfvB0rSiDZBnEaRIt9E9Rof/44vvvnu+zeWSmmzReRrmGSpJivs8W+qYss/ls&#10;VoSbaBcUz9IsSnBzlea7oMRlvp4t82CP2nfxzDQMZ7ZP82WWp2FUFPj2Z3FTf8HrX62isPzPalVE&#10;pRYvdLSt5H9z/vee/Z29eB7M13mQbbahbEZwQyt2wTbBS1VVPwdloD3k26OqdtswT4t0VT4L090s&#10;Xa22YcT7gN4Qo9Ob13n6kPG+rOf7dabMBNN27HRzteHvH9/m2na50C3X0bUk2GGQ+Hs1atnMPPts&#10;PcdTr/PsffY2l1+sxRXr8WGV79j/6It24Ib9pAwbHUotxJe2Zbi2Y+laiHumZ9vEMoXpww3G56hc&#10;uPnlTMlZ9eIZa59qjrpQ7Va9c9u9s1z3ht5ZHrWJ7esa+kHwwXZ80Y+qp4Q6JjWo6Klj2abpdTrK&#10;q/Bhi24VdacJ/jmomZvLdlAJYZWc7DOmTlF7R/F53vF+E2QRd7qCjbuyHyay8I53mFRBso4jzXJ5&#10;5/YZf1K5RzEv4Ck9vmF5PjVZv7pdV9YzTM/xZccptW3banU8mGd5Ub6O0p3GPiz0HG3h8y74+KYo&#10;hY2qR1gDijTeLl9t45hfMFCJ7uJc+xgADu7XlVVbT8XJuYLloacgBkeUjDjqyNYw0whj8E/lpzhi&#10;tcfJu2iFWYepQXjzOd7VTQvCMErK6i38aVZshY6ogtb5gvJ5VlS0ShU2zxdWJfib06RUhXfbJM37&#10;KohVk1fiefhso9/s4326/ASXysv4LhWQHCThJgUih2XOx5o9BXdmE3gUv4a3Cb/+AC/8KT1olsXn&#10;NHs9/J95tVYecIONFYe/akgrCFLY157aLnEsjjGwvkSz9sS2LfK5/p2kzLmZ37Pm1p5WHu4PHNUr&#10;lFOW34PrFnrx10OQR3pjHNgoF9nLhxI18onEKhSjJWvng1LD7VgD5IG2xQC9L/Ngu96U2l2aJJj4&#10;aa5ZuCvHBGN1lwjYCQ/J++xNGv5ZVJZRN2szidHTVvE2+7WahpLDiOFQSkAYjK0oNS0+8PUwUst0&#10;TIlSxKfDEBVvEwanwfwERH0e3nTGvfiSCGP0zfE2NJ1GmAsK34AwNfSeQZhq4EdEEo8MOqoCD+WL&#10;wfwKR2UeJN3TMohjAqQ4jTLG9DqLEM+3qGeK5YPlEZPy+2r5cMSik4ueot5/m4vCKQawlK/JJe/d&#10;iqX/62ApnNVysQjmzkoN37fkgrjiRM+38aVwViypPd/jYcfkrcr3xELxGwRUeMWAt/LQ4HZvbQGq&#10;4Tr+ab73DdMwZUyHyMx2Db6um1x0clF4xYCL8qXh7S7KF6c9gAr2F85K+gEV7C+91fI8LA+mBSqb&#10;7E/aWaWGdSRbgQylgwlRzhLseKUoR6jtE4JACgGN1Dwr+gXjIpzBW5g055jQnTj9Ym1aKXO8sCkE&#10;K1m4KVU5JsCxW7wBjS1xpaNz9EowdYjJojk2e7CIV9rn46hbntI+lbo1196lD8kyWiLczBMo3Ag2&#10;nUawyYQBGXqKuPtIDiAUYpYN28CytkFcTlh1FIkB8WD9apnugVmGJyrU4GTJ2jcUTl5tbqZGafuF&#10;jpbaIuAb0Mzq+KvxHgw2C2IvCEUHZSc2R4tNsIyEPGcb+CcNotwGb5HqGXu6pYddIKSNHa1eoYel&#10;IjNRZOGrLZTNN0FRvg1ypCIwaZFewV2IZH/rWlu+iX9LMB98QinLbfALarsmLvLmnfvmneRhx6U3&#10;RKt4G//Inq8FuVWe7v5AVuUleytuNQU6eXFXihQK8jJh9PIlfwz5jCwo30B5CasQgCmxHw5/BHkm&#10;5doSqPN7WinMR5KIeJaNbJIyJWo1pESNBAwqbaDkQVumRa6WB3uAVKEwIvphGK1U7QuF7/PCoJLu&#10;pSTb9qzaH/i0vFYYPElnKotQ0ZlsxlU5JkJ916CAbACrZ1Gnq88Rm/ikiimp44LWGJC0OK2/hiax&#10;NdC5rkMR21dhKaVVD7JUV74+x1L9pqhds2EIrCe/DE0p/5zoB4mFx4ntJ/r5v6cfH/wr4suafhRw&#10;X5mdAipaLhXreM8zbSQ4OCiqic6zHjKtQYnvivy/Qrwj2fhc8lXN8c7KsE5OKaQak4N8pdNLDsIX&#10;HCJv4CCE2eAg4hjUpXxcGsv7Fgm51PDkA43AiiFvTxWnWEhVosbka7CQr0TkIRbCU5J3pJtewkI9&#10;tlDeOUVLfNdClX/jy7IpWpqipacULbE1d4eunC4OXLqZArurDN+UOqcD/croZOHZN64Urkahq3qv&#10;wah0BVAUNq3oSqrKN9CVCJmgHkOZkjKfwlcb0l+VNKaeYTpyedChq54qTtGVqkTR1Q0bsr4KwynR&#10;dZDhujrAJQzXYz41AhPDTQwnkSWf9EClHT4pPdDHBO4wnNvcgnbNdkGEDdgeLPIDJnZbW0hBA0Pq&#10;EMKzDKNKzYzDcGqT0qgMpzTWiuG4Ha7McSFSZqEY0iw8jVJbUe3mO5nhOip6gtHq9JhitK9CT0pE&#10;HaSnrk4wTE/CBrZhVbz/uLSktIFJ/5v0vyn9tK5yYnKzSHXqgp2F6NJNc9/TNXSDbXZMTuwHSR8R&#10;gQthrI2RCua+vPYH3pOANCLVUGSUW8EU+4I346pgCuGRWMe7vuMfy6i275AjUzaST73FnzTlUMTe&#10;0m4DlMOekmN6kean7MDWOVhYoWyDtadoaIqGpmiocabt6e2OoGzjV5eeunukLtX7IPExdAY99aGq&#10;75sEGy9G5CdFs6PykxJQRShEDdmMq/gJO0kcQVAEe5U9yqm2Aa3V8aY22TcY6kQFT5yjlFA6yFHN&#10;Pbnn9/A1LOEY2CLXTfI9CktNwRE2OarjptPmiGlvXt+RdGoomV5tjnDVjoIrN0cAMB2scVlwdAoy&#10;LaSyRuQfhVOPwT8j7KmmLEYSi4Oeg7vsbh0r3HDYjMUKPcd1CQ7qEJvbriY8fl4XIiPjO2qf29Yy&#10;nYb8Nk5DUpziGnJQKULzbb43OGjv4R0sF6jjiT1YcNXjo7uUmBYDIuaqLtK0IiVwWoeZnPVbcVYl&#10;+veiaVPsv8FZT6ApfvyAIgHVEmaaYOoitnA42E4e+qSPl43C90qr7vXQ5spsPA+FaEDxEwjMhScX&#10;fcIuyvOo+I0zPkzy99jYj6g1r/G5+atxL/4BAAD//wMAUEsDBBQABgAIAAAAIQClHKRJ3gAAAAcB&#10;AAAPAAAAZHJzL2Rvd25yZXYueG1sTI9BS8NAEIXvgv9hGcGb3SRtpcZsSinqqQi2gnibJtMkNDsb&#10;stsk/feOJ73Nmze89022nmyrBup949hAPItAEReubLgy8Hl4fViB8gG5xNYxGbiSh3V+e5NhWrqR&#10;P2jYh0pJCPsUDdQhdKnWvqjJop+5jli8k+stBpF9pcseRwm3rU6i6FFbbFgaauxoW1Nx3l+sgbcR&#10;x808fhl259P2+n1Yvn/tYjLm/m7aPIMKNIW/Y/jFF3TIhenoLlx61RqQR4KBRSL84q7mSxmOsnhK&#10;FqDzTP/nz38AAAD//wMAUEsBAi0AFAAGAAgAAAAhALaDOJL+AAAA4QEAABMAAAAAAAAAAAAAAAAA&#10;AAAAAFtDb250ZW50X1R5cGVzXS54bWxQSwECLQAUAAYACAAAACEAOP0h/9YAAACUAQAACwAAAAAA&#10;AAAAAAAAAAAvAQAAX3JlbHMvLnJlbHNQSwECLQAUAAYACAAAACEAaPgmNpQJAAB9TgAADgAAAAAA&#10;AAAAAAAAAAAuAgAAZHJzL2Uyb0RvYy54bWxQSwECLQAUAAYACAAAACEApRykSd4AAAAHAQAADwAA&#10;AAAAAAAAAAAAAADuCwAAZHJzL2Rvd25yZXYueG1sUEsFBgAAAAAEAAQA8wAAAPkMAAAAAA==&#10;">
                <v:group id="Group 377" o:spid="_x0000_s1187" style="position:absolute;left:38451;top:11595;width:14624;height:6352" coordorigin="38451,11595" coordsize="11116,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378" o:spid="_x0000_s1188" style="position:absolute;left:38942;top:11595;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VLwwAAANwAAAAPAAAAZHJzL2Rvd25yZXYueG1sRE/LasJA&#10;FN0X/IfhCt0UnbRCItGJSEEqdGV04fKaueZh5k46M9X07zuLQpeH815vRtOLOznfWlbwOk9AEFdW&#10;t1wrOB13syUIH5A19pZJwQ952BSTpzXm2j74QPcy1CKGsM9RQRPCkEvpq4YM+rkdiCN3tc5giNDV&#10;Ujt8xHDTy7ckSaXBlmNDgwO9N1Tdym+j4MWazB3S7rLrPrZfZxs+F/shU+p5Om5XIAKN4V/8595r&#10;BYssro1n4hGQxS8AAAD//wMAUEsBAi0AFAAGAAgAAAAhANvh9svuAAAAhQEAABMAAAAAAAAAAAAA&#10;AAAAAAAAAFtDb250ZW50X1R5cGVzXS54bWxQSwECLQAUAAYACAAAACEAWvQsW78AAAAVAQAACwAA&#10;AAAAAAAAAAAAAAAfAQAAX3JlbHMvLnJlbHNQSwECLQAUAAYACAAAACEAQnZlS8MAAADcAAAADwAA&#10;AAAAAAAAAAAAAAAHAgAAZHJzL2Rvd25yZXYueG1sUEsFBgAAAAADAAMAtwAAAPcCAAAAAA==&#10;" fillcolor="white [3212]" strokecolor="black [3213]"/>
                  <v:shape id="TextBox 339" o:spid="_x0000_s1189" type="#_x0000_t202" style="position:absolute;left:38451;top:11716;width:11117;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3F6AC368" w14:textId="77777777" w:rsidR="00777EE0" w:rsidRDefault="00777EE0" w:rsidP="00E808F1">
                          <w:pPr>
                            <w:jc w:val="center"/>
                            <w:rPr>
                              <w:szCs w:val="24"/>
                            </w:rPr>
                          </w:pPr>
                          <w:r>
                            <w:rPr>
                              <w:color w:val="000000" w:themeColor="text1"/>
                              <w:kern w:val="24"/>
                            </w:rPr>
                            <w:t>Health-promoting behaviour</w:t>
                          </w:r>
                        </w:p>
                      </w:txbxContent>
                    </v:textbox>
                  </v:shape>
                </v:group>
                <v:line id="Straight Connector 380" o:spid="_x0000_s1190" style="position:absolute;flip:x;visibility:visible;mso-wrap-style:square" from="10644,2442" to="14970,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G3wgAAANwAAAAPAAAAZHJzL2Rvd25yZXYueG1sRE/dasIw&#10;FL4f7B3CGexupnOuaDWKEwTxRvx5gENzbIrNSZdkWvv05kLY5cf3P1t0thFX8qF2rOBzkIEgLp2u&#10;uVJwOq4/xiBCRNbYOCYFdwqwmL++zLDQ7sZ7uh5iJVIIhwIVmBjbQspQGrIYBq4lTtzZeYsxQV9J&#10;7fGWwm0jh1mWS4s1pwaDLa0MlZfDn1XQ9PHUT35Wps9+R3e92+XOf2+Ven/rllMQkbr4L366N1rB&#10;1zjNT2fSEZDzBwAAAP//AwBQSwECLQAUAAYACAAAACEA2+H2y+4AAACFAQAAEwAAAAAAAAAAAAAA&#10;AAAAAAAAW0NvbnRlbnRfVHlwZXNdLnhtbFBLAQItABQABgAIAAAAIQBa9CxbvwAAABUBAAALAAAA&#10;AAAAAAAAAAAAAB8BAABfcmVscy8ucmVsc1BLAQItABQABgAIAAAAIQC2xyG3wgAAANwAAAAPAAAA&#10;AAAAAAAAAAAAAAcCAABkcnMvZG93bnJldi54bWxQSwUGAAAAAAMAAwC3AAAA9gIAAAAA&#10;" strokecolor="black [3213]">
                  <o:lock v:ext="edit" shapetype="f"/>
                </v:line>
                <v:line id="Straight Connector 381" o:spid="_x0000_s1191" style="position:absolute;visibility:visible;mso-wrap-style:square" from="30162,10286" to="39097,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RYxgAAANwAAAAPAAAAZHJzL2Rvd25yZXYueG1sRI9Ba8JA&#10;FITvhf6H5RV6q5tYakJ0lVAQ2nrSKl4f2WcSm30bdrcx7a/vCkKPw8x8wyxWo+nEQM63lhWkkwQE&#10;cWV1y7WC/ef6KQfhA7LGzjIp+CEPq+X93QILbS+8pWEXahEh7AtU0ITQF1L6qiGDfmJ74uidrDMY&#10;onS11A4vEW46OU2SmTTYclxosKfXhqqv3bdRkFcfZ1dm5Xv6cuiz32G6ma2PmVKPD2M5BxFoDP/h&#10;W/tNK3jOU7ieiUdALv8AAAD//wMAUEsBAi0AFAAGAAgAAAAhANvh9svuAAAAhQEAABMAAAAAAAAA&#10;AAAAAAAAAAAAAFtDb250ZW50X1R5cGVzXS54bWxQSwECLQAUAAYACAAAACEAWvQsW78AAAAVAQAA&#10;CwAAAAAAAAAAAAAAAAAfAQAAX3JlbHMvLnJlbHNQSwECLQAUAAYACAAAACEANHvEWMYAAADcAAAA&#10;DwAAAAAAAAAAAAAAAAAHAgAAZHJzL2Rvd25yZXYueG1sUEsFBgAAAAADAAMAtwAAAPoCAAAAAA==&#10;" strokecolor="black [3213]">
                  <o:lock v:ext="edit" shapetype="f"/>
                </v:line>
                <v:line id="Straight Connector 382" o:spid="_x0000_s1192" style="position:absolute;flip:y;visibility:visible;mso-wrap-style:square" from="30137,14099" to="39097,2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pbxQAAANwAAAAPAAAAZHJzL2Rvd25yZXYueG1sRI9Ra8Iw&#10;FIXfhf2HcAd703ROxdWm4oTB2IvM+QMuzbUpa25qkmntrzcDYY+Hc853OMW6t604kw+NYwXPkwwE&#10;ceV0w7WCw/f7eAkiRGSNrWNScKUA6/JhVGCu3YW/6LyPtUgQDjkqMDF2uZShMmQxTFxHnLyj8xZj&#10;kr6W2uMlwW0rp1m2kBYbTgsGO9oaqn72v1ZBO8TD8Pq2NUN2ml31brdwfv6p1NNjv1mBiNTH//C9&#10;/aEVvCyn8HcmHQFZ3gAAAP//AwBQSwECLQAUAAYACAAAACEA2+H2y+4AAACFAQAAEwAAAAAAAAAA&#10;AAAAAAAAAAAAW0NvbnRlbnRfVHlwZXNdLnhtbFBLAQItABQABgAIAAAAIQBa9CxbvwAAABUBAAAL&#10;AAAAAAAAAAAAAAAAAB8BAABfcmVscy8ucmVsc1BLAQItABQABgAIAAAAIQApWRpbxQAAANwAAAAP&#10;AAAAAAAAAAAAAAAAAAcCAABkcnMvZG93bnJldi54bWxQSwUGAAAAAAMAAwC3AAAA+QIAAAAA&#10;" strokecolor="black [3213]">
                  <o:lock v:ext="edit" shapetype="f"/>
                </v:line>
                <v:line id="Straight Connector 383" o:spid="_x0000_s1193" style="position:absolute;visibility:visible;mso-wrap-style:square" from="30076,2442" to="39097,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0xgAAANwAAAAPAAAAZHJzL2Rvd25yZXYueG1sRI9Ba8JA&#10;FITvQv/D8gredKNSE6KrhIJg21Ntxesj+0zSZt+G3W1M/fVuoeBxmJlvmPV2MK3oyfnGsoLZNAFB&#10;XFrdcKXg82M3yUD4gKyxtUwKfsnDdvMwWmOu7YXfqT+ESkQI+xwV1CF0uZS+rMmgn9qOOHpn6wyG&#10;KF0ltcNLhJtWzpNkKQ02HBdq7Oi5pvL78GMUZOXrlyvS4mX2dOzSaz9/W+5OqVLjx6FYgQg0hHv4&#10;v73XChbZAv7OxCMgNzcAAAD//wMAUEsBAi0AFAAGAAgAAAAhANvh9svuAAAAhQEAABMAAAAAAAAA&#10;AAAAAAAAAAAAAFtDb250ZW50X1R5cGVzXS54bWxQSwECLQAUAAYACAAAACEAWvQsW78AAAAVAQAA&#10;CwAAAAAAAAAAAAAAAAAfAQAAX3JlbHMvLnJlbHNQSwECLQAUAAYACAAAACEAq+X/tMYAAADcAAAA&#10;DwAAAAAAAAAAAAAAAAAHAgAAZHJzL2Rvd25yZXYueG1sUEsFBgAAAAADAAMAtwAAAPoCAAAAAA==&#10;" strokecolor="black [3213]">
                  <o:lock v:ext="edit" shapetype="f"/>
                </v:line>
                <v:line id="Straight Connector 384" o:spid="_x0000_s1194" style="position:absolute;flip:y;visibility:visible;mso-wrap-style:square" from="30162,14099" to="39097,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0xAAAANwAAAAPAAAAZHJzL2Rvd25yZXYueG1sRI/RagIx&#10;FETfC/2HcAu+1azViq5GsYJQfJGqH3DZXDeLm5s1ibru1zdCoY/DzJxh5svW1uJGPlSOFQz6GQji&#10;wumKSwXHw+Z9AiJEZI21Y1LwoADLxevLHHPt7vxDt30sRYJwyFGBibHJpQyFIYuh7xri5J2ctxiT&#10;9KXUHu8Jbmv5kWVjabHitGCwobWh4ry/WgV1F4/d9Gttuuwyeujdbuz851ap3lu7moGI1Mb/8F/7&#10;WysYTkbwPJOOgFz8AgAA//8DAFBLAQItABQABgAIAAAAIQDb4fbL7gAAAIUBAAATAAAAAAAAAAAA&#10;AAAAAAAAAABbQ29udGVudF9UeXBlc10ueG1sUEsBAi0AFAAGAAgAAAAhAFr0LFu/AAAAFQEAAAsA&#10;AAAAAAAAAAAAAAAAHwEAAF9yZWxzLy5yZWxzUEsBAi0AFAAGAAgAAAAhAMn8J7TEAAAA3AAAAA8A&#10;AAAAAAAAAAAAAAAABwIAAGRycy9kb3ducmV2LnhtbFBLBQYAAAAAAwADALcAAAD4AgAAAAA=&#10;" strokecolor="black [3213]">
                  <o:lock v:ext="edit" shapetype="f"/>
                </v:line>
                <v:group id="Group 385" o:spid="_x0000_s1195" style="position:absolute;left:14591;width:15843;height:6216" coordorigin="14591" coordsize="116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oundrect id="Rectangle: Rounded Corners 386" o:spid="_x0000_s1196" style="position:absolute;left:14869;top:501;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j+xgAAANwAAAAPAAAAZHJzL2Rvd25yZXYueG1sRI9Ba8JA&#10;FITvQv/D8gpepG5UkDR1lVYQ1BxsrfT8yD6T0OzbkF2T+O9dQfA4zMw3zGLVm0q01LjSsoLJOAJB&#10;nFldcq7g9Lt5i0E4j6yxskwKruRgtXwZLDDRtuMfao8+FwHCLkEFhfd1IqXLCjLoxrYmDt7ZNgZ9&#10;kE0udYNdgJtKTqNoLg2WHBYKrGldUPZ/vBgFabq5vrejw+5URWW6P3f57uvvW6nha//5AcJT75/h&#10;R3urFcziOdzPhCMglzcAAAD//wMAUEsBAi0AFAAGAAgAAAAhANvh9svuAAAAhQEAABMAAAAAAAAA&#10;AAAAAAAAAAAAAFtDb250ZW50X1R5cGVzXS54bWxQSwECLQAUAAYACAAAACEAWvQsW78AAAAVAQAA&#10;CwAAAAAAAAAAAAAAAAAfAQAAX3JlbHMvLnJlbHNQSwECLQAUAAYACAAAACEA8qpI/sYAAADcAAAA&#10;DwAAAAAAAAAAAAAAAAAHAgAAZHJzL2Rvd25yZXYueG1sUEsFBgAAAAADAAMAtwAAAPoCAAAAAA==&#10;" fillcolor="white [3212]" strokecolor="black [3213]"/>
                  <v:shape id="TextBox 355" o:spid="_x0000_s1197" type="#_x0000_t202" style="position:absolute;left:14591;width:11622;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44C8E9F0" w14:textId="77777777" w:rsidR="00777EE0" w:rsidRDefault="00777EE0" w:rsidP="00E808F1">
                          <w:pPr>
                            <w:jc w:val="center"/>
                            <w:rPr>
                              <w:szCs w:val="24"/>
                            </w:rPr>
                          </w:pPr>
                          <w:r>
                            <w:rPr>
                              <w:color w:val="000000" w:themeColor="text1"/>
                              <w:kern w:val="24"/>
                            </w:rPr>
                            <w:t xml:space="preserve">Perceived benefits vs. perceived barriers </w:t>
                          </w:r>
                        </w:p>
                      </w:txbxContent>
                    </v:textbox>
                  </v:shape>
                </v:group>
                <v:group id="Group 388" o:spid="_x0000_s1198" style="position:absolute;left:14970;top:8346;width:15192;height:4676" coordorigin="14970,8346" coordsize="11081,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oundrect id="Rectangle: Rounded Corners 389" o:spid="_x0000_s1199" style="position:absolute;left:14970;top:8346;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IbxgAAANwAAAAPAAAAZHJzL2Rvd25yZXYueG1sRI9Ba8JA&#10;FITvBf/D8gQvRTdaqDG6ihYKxUNBm4PentlnEsy+TXe3Gv+9Wyj0OMzMN8xi1ZlGXMn52rKC8SgB&#10;QVxYXXOpIP96H6YgfEDW2FgmBXfysFr2nhaYaXvjHV33oRQRwj5DBVUIbSalLyoy6Ee2JY7e2TqD&#10;IUpXSu3wFuGmkZMkeZUGa44LFbb0VlFx2f8YBdPPzWlzmObbY+qecby22zJvv5Ua9Lv1HESgLvyH&#10;/9ofWsFLOoPfM/EIyOUDAAD//wMAUEsBAi0AFAAGAAgAAAAhANvh9svuAAAAhQEAABMAAAAAAAAA&#10;AAAAAAAAAAAAAFtDb250ZW50X1R5cGVzXS54bWxQSwECLQAUAAYACAAAACEAWvQsW78AAAAVAQAA&#10;CwAAAAAAAAAAAAAAAAAfAQAAX3JlbHMvLnJlbHNQSwECLQAUAAYACAAAACEArCbSG8YAAADcAAAA&#10;DwAAAAAAAAAAAAAAAAAHAgAAZHJzL2Rvd25yZXYueG1sUEsFBgAAAAADAAMAtwAAAPoCAAAAAA==&#10;" filled="f" strokecolor="black [3213]"/>
                  <v:shape id="TextBox 358" o:spid="_x0000_s1200" type="#_x0000_t202" style="position:absolute;left:15137;top:8825;width:1064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65BC516C" w14:textId="77777777" w:rsidR="00777EE0" w:rsidRDefault="00777EE0" w:rsidP="00E808F1">
                          <w:pPr>
                            <w:jc w:val="center"/>
                            <w:rPr>
                              <w:szCs w:val="24"/>
                            </w:rPr>
                          </w:pPr>
                          <w:r>
                            <w:rPr>
                              <w:color w:val="000000" w:themeColor="text1"/>
                              <w:kern w:val="24"/>
                            </w:rPr>
                            <w:t>Perceived threat</w:t>
                          </w:r>
                        </w:p>
                      </w:txbxContent>
                    </v:textbox>
                  </v:shape>
                </v:group>
                <v:group id="Group 391" o:spid="_x0000_s1201" style="position:absolute;left:14970;top:16047;width:15192;height:4741" coordorigin="14970,16047" coordsize="1108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oundrect id="Rectangle: Rounded Corners 392" o:spid="_x0000_s1202" style="position:absolute;left:14970;top:16047;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ggxgAAANwAAAAPAAAAZHJzL2Rvd25yZXYueG1sRI9Ba8JA&#10;FITvgv9heUIvpdnUQjExq2hBqM1Ba6XnR/aZBLNvQ3abxH/fLRQ8DjPzDZOtR9OInjpXW1bwHMUg&#10;iAuray4VnL92TwsQziNrbCyTghs5WK+mkwxTbQf+pP7kSxEg7FJUUHnfplK6oiKDLrItcfAutjPo&#10;g+xKqTscAtw0ch7Hr9JgzWGhwpbeKiqupx+jIM93t6R/POzPTVznH5eh3G+/j0o9zMbNEoSn0d/D&#10;/+13reAlmcPfmXAE5OoXAAD//wMAUEsBAi0AFAAGAAgAAAAhANvh9svuAAAAhQEAABMAAAAAAAAA&#10;AAAAAAAAAAAAAFtDb250ZW50X1R5cGVzXS54bWxQSwECLQAUAAYACAAAACEAWvQsW78AAAAVAQAA&#10;CwAAAAAAAAAAAAAAAAAfAQAAX3JlbHMvLnJlbHNQSwECLQAUAAYACAAAACEACEjYIMYAAADcAAAA&#10;DwAAAAAAAAAAAAAAAAAHAgAAZHJzL2Rvd25yZXYueG1sUEsFBgAAAAADAAMAtwAAAPoCAAAAAA==&#10;" fillcolor="white [3212]" strokecolor="black [3213]"/>
                  <v:shape id="TextBox 362" o:spid="_x0000_s1203" type="#_x0000_t202" style="position:absolute;left:15909;top:16591;width:910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fowwAAANwAAAAPAAAAZHJzL2Rvd25yZXYueG1sRI9Ba8JA&#10;FITvBf/D8oTe6saK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K8jX6MMAAADcAAAADwAA&#10;AAAAAAAAAAAAAAAHAgAAZHJzL2Rvd25yZXYueG1sUEsFBgAAAAADAAMAtwAAAPcCAAAAAA==&#10;" filled="f" stroked="f">
                    <v:textbox style="mso-fit-shape-to-text:t">
                      <w:txbxContent>
                        <w:p w14:paraId="1F15A07C" w14:textId="77777777" w:rsidR="00777EE0" w:rsidRDefault="00777EE0" w:rsidP="00E808F1">
                          <w:pPr>
                            <w:jc w:val="center"/>
                            <w:rPr>
                              <w:szCs w:val="24"/>
                            </w:rPr>
                          </w:pPr>
                          <w:r>
                            <w:rPr>
                              <w:color w:val="000000" w:themeColor="text1"/>
                              <w:kern w:val="24"/>
                            </w:rPr>
                            <w:t>Self-efficacy</w:t>
                          </w:r>
                        </w:p>
                      </w:txbxContent>
                    </v:textbox>
                  </v:shape>
                </v:group>
                <v:group id="Group 394" o:spid="_x0000_s1204" style="position:absolute;left:14970;top:23748;width:15167;height:4803" coordorigin="14970,23748" coordsize="11081,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oundrect id="Rectangle: Rounded Corners 395" o:spid="_x0000_s1205" style="position:absolute;left:14970;top:23748;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UxgAAANwAAAAPAAAAZHJzL2Rvd25yZXYueG1sRI9Ba8JA&#10;FITvBf/D8gpepG6qKDV1lSoIag62Vnp+ZJ9JMPs2ZNck/ntXEHocZuYbZr7sTCkaql1hWcH7MAJB&#10;nFpdcKbg9Lt5+wDhPLLG0jIpuJGD5aL3MsdY25Z/qDn6TAQIuxgV5N5XsZQuzcmgG9qKOHhnWxv0&#10;QdaZ1DW2AW5KOYqiqTRYcFjIsaJ1TunleDUKkmRzmzWDw+5URkWyP7fZbvX3rVT/tfv6BOGp8//h&#10;Z3urFYxnE3icCUdALu4AAAD//wMAUEsBAi0AFAAGAAgAAAAhANvh9svuAAAAhQEAABMAAAAAAAAA&#10;AAAAAAAAAAAAAFtDb250ZW50X1R5cGVzXS54bWxQSwECLQAUAAYACAAAACEAWvQsW78AAAAVAQAA&#10;CwAAAAAAAAAAAAAAAAAfAQAAX3JlbHMvLnJlbHNQSwECLQAUAAYACAAAACEAh6FAVMYAAADcAAAA&#10;DwAAAAAAAAAAAAAAAAAHAgAAZHJzL2Rvd25yZXYueG1sUEsFBgAAAAADAAMAtwAAAPoCAAAAAA==&#10;" fillcolor="white [3212]" strokecolor="black [3213]"/>
                  <v:shape id="TextBox 370" o:spid="_x0000_s1206" type="#_x0000_t202" style="position:absolute;left:16022;top:24353;width:8301;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5D3C80D4" w14:textId="77777777" w:rsidR="00777EE0" w:rsidRDefault="00777EE0" w:rsidP="00E808F1">
                          <w:pPr>
                            <w:jc w:val="center"/>
                            <w:rPr>
                              <w:szCs w:val="24"/>
                            </w:rPr>
                          </w:pPr>
                          <w:r>
                            <w:rPr>
                              <w:color w:val="000000" w:themeColor="text1"/>
                              <w:kern w:val="24"/>
                            </w:rPr>
                            <w:t>Cues to action</w:t>
                          </w:r>
                        </w:p>
                      </w:txbxContent>
                    </v:textbox>
                  </v:shape>
                </v:group>
                <v:group id="Group 397" o:spid="_x0000_s1207" style="position:absolute;top:117;width:10644;height:6217" coordorigin=",117"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oundrect id="Rectangle: Rounded Corners 398" o:spid="_x0000_s1208" style="position:absolute;top:503;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dxAAAANwAAAAPAAAAZHJzL2Rvd25yZXYueG1sRE/Pa8Iw&#10;FL4L/g/hDbyIpm6grjOWOhDEw2Dag97emre2rHmpSdTuv18Owo4f3+9V1ptW3Mj5xrKC2TQBQVxa&#10;3XCloDhuJ0sQPiBrbC2Tgl/ykK2HgxWm2t75k26HUIkYwj5FBXUIXSqlL2sy6Ke2I47ct3UGQ4Su&#10;ktrhPYabVj4nyVwabDg21NjRe03lz+FqFCw+Nl+b06LYn5dujLPc7quiuyg1eurzNxCB+vAvfrh3&#10;WsHLa1wbz8QjINd/AAAA//8DAFBLAQItABQABgAIAAAAIQDb4fbL7gAAAIUBAAATAAAAAAAAAAAA&#10;AAAAAAAAAABbQ29udGVudF9UeXBlc10ueG1sUEsBAi0AFAAGAAgAAAAhAFr0LFu/AAAAFQEAAAsA&#10;AAAAAAAAAAAAAAAAHwEAAF9yZWxzLy5yZWxzUEsBAi0AFAAGAAgAAAAhAEaz4V3EAAAA3AAAAA8A&#10;AAAAAAAAAAAAAAAABwIAAGRycy9kb3ducmV2LnhtbFBLBQYAAAAAAwADALcAAAD4AgAAAAA=&#10;" filled="f" strokecolor="black [3213]"/>
                  <v:shape id="TextBox 373" o:spid="_x0000_s1209" type="#_x0000_t202" style="position:absolute;left:599;top:117;width:9487;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ACwwAAANwAAAAPAAAAZHJzL2Rvd25yZXYueG1sRI9Pa8JA&#10;FMTvBb/D8gRvdaNi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SiDgAsMAAADcAAAADwAA&#10;AAAAAAAAAAAAAAAHAgAAZHJzL2Rvd25yZXYueG1sUEsFBgAAAAADAAMAtwAAAPcCAAAAAA==&#10;" filled="f" stroked="f">
                    <v:textbox style="mso-fit-shape-to-text:t">
                      <w:txbxContent>
                        <w:p w14:paraId="79DA3D97" w14:textId="77777777" w:rsidR="00777EE0" w:rsidRDefault="00777EE0" w:rsidP="00E808F1">
                          <w:pPr>
                            <w:jc w:val="center"/>
                            <w:rPr>
                              <w:szCs w:val="24"/>
                            </w:rPr>
                          </w:pPr>
                          <w:r>
                            <w:rPr>
                              <w:color w:val="000000" w:themeColor="text1"/>
                              <w:kern w:val="24"/>
                            </w:rPr>
                            <w:t>Modifying variables</w:t>
                          </w:r>
                        </w:p>
                      </w:txbxContent>
                    </v:textbox>
                  </v:shape>
                </v:group>
                <v:group id="Group 400" o:spid="_x0000_s1210" style="position:absolute;left:48;top:7969;width:10596;height:6216" coordorigin="48,7969"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oundrect id="Rectangle: Rounded Corners 401" o:spid="_x0000_s1211" style="position:absolute;left:48;top:8300;width:11081;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61xgAAANwAAAAPAAAAZHJzL2Rvd25yZXYueG1sRI9Ba8JA&#10;FITvhf6H5RW8lLprKdKmrqIFoZqDNornR/aZhGbfhuyaxH/vCoUeh5n5hpktBluLjlpfOdYwGSsQ&#10;xLkzFRcajof1yzsIH5AN1o5Jw5U8LOaPDzNMjOv5h7osFCJC2CeooQyhSaT0eUkW/dg1xNE7u9Zi&#10;iLItpGmxj3Bby1elptJixXGhxIa+Ssp/s4vVkKbr60f3vNsca1Wl23NfbFanvdajp2H5CSLQEP7D&#10;f+1vo+FNTeB+Jh4BOb8BAAD//wMAUEsBAi0AFAAGAAgAAAAhANvh9svuAAAAhQEAABMAAAAAAAAA&#10;AAAAAAAAAAAAAFtDb250ZW50X1R5cGVzXS54bWxQSwECLQAUAAYACAAAACEAWvQsW78AAAAVAQAA&#10;CwAAAAAAAAAAAAAAAAAfAQAAX3JlbHMvLnJlbHNQSwECLQAUAAYACAAAACEA0DoetcYAAADcAAAA&#10;DwAAAAAAAAAAAAAAAAAHAgAAZHJzL2Rvd25yZXYueG1sUEsFBgAAAAADAAMAtwAAAPoCAAAAAA==&#10;" fillcolor="white [3212]" strokecolor="black [3213]"/>
                  <v:shape id="TextBox 376" o:spid="_x0000_s1212" type="#_x0000_t202" style="position:absolute;left:659;top:7969;width:992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0B612034" w14:textId="77777777" w:rsidR="00777EE0" w:rsidRDefault="00777EE0" w:rsidP="00E808F1">
                          <w:pPr>
                            <w:jc w:val="center"/>
                            <w:rPr>
                              <w:szCs w:val="24"/>
                            </w:rPr>
                          </w:pPr>
                          <w:r>
                            <w:rPr>
                              <w:color w:val="000000" w:themeColor="text1"/>
                              <w:kern w:val="24"/>
                            </w:rPr>
                            <w:t>Perceived seriousness</w:t>
                          </w:r>
                        </w:p>
                      </w:txbxContent>
                    </v:textbox>
                  </v:shape>
                </v:group>
                <v:group id="Group 403" o:spid="_x0000_s1213" style="position:absolute;left:202;top:15708;width:10644;height:6217" coordorigin="202,15708"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oundrect id="Rectangle: Rounded Corners 404" o:spid="_x0000_s1214" style="position:absolute;left:202;top:16095;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O6xgAAANwAAAAPAAAAZHJzL2Rvd25yZXYueG1sRI9Ba8JA&#10;FITvQv/D8gpepG4UMZK6ihYE8SBoc2hvr9nXJDT7Nt1dNf57VxA8DjPzDTNfdqYRZ3K+tqxgNExA&#10;EBdW11wqyD83bzMQPiBrbCyTgit5WC5eenPMtL3wgc7HUIoIYZ+hgiqENpPSFxUZ9EPbEkfv1zqD&#10;IUpXSu3wEuGmkeMkmUqDNceFClv6qKj4O56MgnS//ll/pfnue+YGOFrZXZm3/0r1X7vVO4hAXXiG&#10;H+2tVjBJJnA/E4+AXNwAAAD//wMAUEsBAi0AFAAGAAgAAAAhANvh9svuAAAAhQEAABMAAAAAAAAA&#10;AAAAAAAAAAAAAFtDb250ZW50X1R5cGVzXS54bWxQSwECLQAUAAYACAAAACEAWvQsW78AAAAVAQAA&#10;CwAAAAAAAAAAAAAAAAAfAQAAX3JlbHMvLnJlbHNQSwECLQAUAAYACAAAACEA716zusYAAADcAAAA&#10;DwAAAAAAAAAAAAAAAAAHAgAAZHJzL2Rvd25yZXYueG1sUEsFBgAAAAADAAMAtwAAAPoCAAAAAA==&#10;" filled="f" strokecolor="black [3213]"/>
                  <v:shape id="TextBox 379" o:spid="_x0000_s1215" type="#_x0000_t202" style="position:absolute;left:266;top:15708;width:1064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14:paraId="0350493A" w14:textId="77777777" w:rsidR="00777EE0" w:rsidRDefault="00777EE0" w:rsidP="00E808F1">
                          <w:pPr>
                            <w:jc w:val="center"/>
                            <w:rPr>
                              <w:szCs w:val="24"/>
                            </w:rPr>
                          </w:pPr>
                          <w:r>
                            <w:rPr>
                              <w:color w:val="000000" w:themeColor="text1"/>
                              <w:kern w:val="24"/>
                            </w:rPr>
                            <w:t>Perceived susceptibility</w:t>
                          </w:r>
                        </w:p>
                      </w:txbxContent>
                    </v:textbox>
                  </v:shape>
                </v:group>
                <v:line id="Straight Connector 406" o:spid="_x0000_s1216" style="position:absolute;visibility:visible;mso-wrap-style:square" from="10644,10241" to="14970,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ITxgAAANwAAAAPAAAAZHJzL2Rvd25yZXYueG1sRI9Ba8JA&#10;FITvBf/D8gRvdaPYRFJXCYLQ1lOt0usj+5qkZt+G3W1M/fWuUOhxmJlvmNVmMK3oyfnGsoLZNAFB&#10;XFrdcKXg+LF7XILwAVlja5kU/JKHzXr0sMJc2wu/U38IlYgQ9jkqqEPocil9WZNBP7UdcfS+rDMY&#10;onSV1A4vEW5aOU+SVBpsOC7U2NG2pvJ8+DEKluXbtyuy4nX2dOqyaz/fp7vPTKnJeCieQQQawn/4&#10;r/2iFSySFO5n4hGQ6xsAAAD//wMAUEsBAi0AFAAGAAgAAAAhANvh9svuAAAAhQEAABMAAAAAAAAA&#10;AAAAAAAAAAAAAFtDb250ZW50X1R5cGVzXS54bWxQSwECLQAUAAYACAAAACEAWvQsW78AAAAVAQAA&#10;CwAAAAAAAAAAAAAAAAAfAQAAX3JlbHMvLnJlbHNQSwECLQAUAAYACAAAACEAFuuSE8YAAADcAAAA&#10;DwAAAAAAAAAAAAAAAAAHAgAAZHJzL2Rvd25yZXYueG1sUEsFBgAAAAADAAMAtwAAAPoCAAAAAA==&#10;" strokecolor="black [3213]">
                  <o:lock v:ext="edit" shapetype="f"/>
                </v:line>
                <v:line id="Straight Connector 407" o:spid="_x0000_s1217" style="position:absolute;flip:y;visibility:visible;mso-wrap-style:square" from="10846,10286" to="14970,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f8xQAAANwAAAAPAAAAZHJzL2Rvd25yZXYueG1sRI/dagIx&#10;FITvC32HcAreadJitV2NYoVC6Y348wCHzXGzdHOyJlHXffqmIPRymJlvmPmyc424UIi1Zw3PIwWC&#10;uPSm5krDYf85fAMRE7LBxjNpuFGE5eLxYY6F8Vfe0mWXKpEhHAvUYFNqCyljaclhHPmWOHtHHxym&#10;LEMlTcBrhrtGvig1kQ5rzgsWW1pbKn92Z6eh6dOhf/9Y216dxjez2Ux8eP3WevDUrWYgEnXpP3xv&#10;fxkNYzWFvzP5CMjFLwAAAP//AwBQSwECLQAUAAYACAAAACEA2+H2y+4AAACFAQAAEwAAAAAAAAAA&#10;AAAAAAAAAAAAW0NvbnRlbnRfVHlwZXNdLnhtbFBLAQItABQABgAIAAAAIQBa9CxbvwAAABUBAAAL&#10;AAAAAAAAAAAAAAAAAB8BAABfcmVscy8ucmVsc1BLAQItABQABgAIAAAAIQCUV3f8xQAAANwAAAAP&#10;AAAAAAAAAAAAAAAAAAcCAABkcnMvZG93bnJldi54bWxQSwUGAAAAAAMAAwC3AAAA+QIAAAAA&#10;" strokecolor="black [3213]">
                  <o:lock v:ext="edit" shapetype="f"/>
                </v:line>
                <v:line id="Straight Connector 408" o:spid="_x0000_s1218" style="position:absolute;visibility:visible;mso-wrap-style:square" from="10644,2444" to="14970,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P6wwAAANwAAAAPAAAAZHJzL2Rvd25yZXYueG1sRE/LasJA&#10;FN0X/IfhCu7qRGmNREcJglDbVX3g9pK5JtHMnTAzxrRf31kUXB7Oe7nuTSM6cr62rGAyTkAQF1bX&#10;XCo4HravcxA+IGtsLJOCH/KwXg1elphp++Bv6vahFDGEfYYKqhDaTEpfVGTQj21LHLmLdQZDhK6U&#10;2uEjhptGTpNkJg3WHBsqbGlTUXHb342CefF5dXma7ybvpzb97aZfs+05VWo07PMFiEB9eIr/3R9a&#10;wVsS18Yz8QjI1R8AAAD//wMAUEsBAi0AFAAGAAgAAAAhANvh9svuAAAAhQEAABMAAAAAAAAAAAAA&#10;AAAAAAAAAFtDb250ZW50X1R5cGVzXS54bWxQSwECLQAUAAYACAAAACEAWvQsW78AAAAVAQAACwAA&#10;AAAAAAAAAAAAAAAfAQAAX3JlbHMvLnJlbHNQSwECLQAUAAYACAAAACEACDij+sMAAADcAAAADwAA&#10;AAAAAAAAAAAAAAAHAgAAZHJzL2Rvd25yZXYueG1sUEsFBgAAAAADAAMAtwAAAPcCAAAAAA==&#10;" strokecolor="black [3213]">
                  <o:lock v:ext="edit" shapetype="f"/>
                </v:line>
                <v:line id="Straight Connector 409" o:spid="_x0000_s1219" style="position:absolute;visibility:visible;mso-wrap-style:square" from="10644,2444" to="14970,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ZhxgAAANwAAAAPAAAAZHJzL2Rvd25yZXYueG1sRI9Ba8JA&#10;FITvBf/D8oTe6kaxxkZXCYKg7Ult6fWRfSbR7Nuwu41pf323UPA4zMw3zHLdm0Z05HxtWcF4lIAg&#10;LqyuuVTwfto+zUH4gKyxsUwKvsnDejV4WGKm7Y0P1B1DKSKEfYYKqhDaTEpfVGTQj2xLHL2zdQZD&#10;lK6U2uEtwk0jJ0kykwZrjgsVtrSpqLgev4yCefF6cXma78fPH236003eZtvPVKnHYZ8vQATqwz38&#10;395pBdPkBf7OxCMgV78AAAD//wMAUEsBAi0AFAAGAAgAAAAhANvh9svuAAAAhQEAABMAAAAAAAAA&#10;AAAAAAAAAAAAAFtDb250ZW50X1R5cGVzXS54bWxQSwECLQAUAAYACAAAACEAWvQsW78AAAAVAQAA&#10;CwAAAAAAAAAAAAAAAAAfAQAAX3JlbHMvLnJlbHNQSwECLQAUAAYACAAAACEAZ3QGYcYAAADcAAAA&#10;DwAAAAAAAAAAAAAAAAAHAgAAZHJzL2Rvd25yZXYueG1sUEsFBgAAAAADAAMAtwAAAPoCAAAAAA==&#10;" strokecolor="black [3213]">
                  <o:lock v:ext="edit" shapetype="f"/>
                </v:line>
              </v:group>
            </w:pict>
          </mc:Fallback>
        </mc:AlternateContent>
      </w:r>
    </w:p>
    <w:p w14:paraId="3EB4C4F5" w14:textId="77777777" w:rsidR="00E808F1" w:rsidRDefault="00E808F1" w:rsidP="00E808F1">
      <w:pPr>
        <w:spacing w:line="480" w:lineRule="auto"/>
        <w:rPr>
          <w:b/>
        </w:rPr>
      </w:pPr>
    </w:p>
    <w:p w14:paraId="37F4BEED" w14:textId="77777777" w:rsidR="00E808F1" w:rsidRDefault="00E808F1" w:rsidP="00E808F1">
      <w:pPr>
        <w:spacing w:line="480" w:lineRule="auto"/>
        <w:rPr>
          <w:b/>
        </w:rPr>
      </w:pPr>
    </w:p>
    <w:p w14:paraId="434D4E5C" w14:textId="77777777" w:rsidR="00E808F1" w:rsidRDefault="00E808F1" w:rsidP="00E808F1">
      <w:pPr>
        <w:spacing w:line="480" w:lineRule="auto"/>
        <w:rPr>
          <w:b/>
        </w:rPr>
      </w:pPr>
    </w:p>
    <w:p w14:paraId="07C3E51C" w14:textId="77777777" w:rsidR="00E808F1" w:rsidRDefault="00E808F1" w:rsidP="00E808F1">
      <w:pPr>
        <w:spacing w:line="480" w:lineRule="auto"/>
        <w:rPr>
          <w:b/>
        </w:rPr>
      </w:pPr>
    </w:p>
    <w:p w14:paraId="013913CE" w14:textId="77777777" w:rsidR="00E808F1" w:rsidRPr="00CE72F7" w:rsidRDefault="00E808F1" w:rsidP="00E808F1">
      <w:pPr>
        <w:spacing w:line="480" w:lineRule="auto"/>
        <w:rPr>
          <w:b/>
        </w:rPr>
      </w:pPr>
    </w:p>
    <w:p w14:paraId="05B974E5" w14:textId="77777777" w:rsidR="00E808F1" w:rsidRDefault="00E808F1" w:rsidP="00E808F1">
      <w:pPr>
        <w:rPr>
          <w:b/>
          <w:bCs/>
          <w:color w:val="000000"/>
          <w:sz w:val="22"/>
        </w:rPr>
      </w:pPr>
      <w:r>
        <w:br w:type="page"/>
      </w:r>
    </w:p>
    <w:p w14:paraId="36C62B5E" w14:textId="58429590" w:rsidR="00E808F1" w:rsidRDefault="00E808F1" w:rsidP="00E808F1">
      <w:pPr>
        <w:pStyle w:val="Heading3"/>
        <w:spacing w:line="480" w:lineRule="auto"/>
      </w:pPr>
      <w:bookmarkStart w:id="357" w:name="_Toc35892643"/>
      <w:r w:rsidRPr="004F692F">
        <w:t xml:space="preserve">Protection </w:t>
      </w:r>
      <w:r>
        <w:t>m</w:t>
      </w:r>
      <w:r w:rsidRPr="004F692F">
        <w:t xml:space="preserve">otivation </w:t>
      </w:r>
      <w:r>
        <w:t>t</w:t>
      </w:r>
      <w:r w:rsidRPr="004F692F">
        <w:t>heory</w:t>
      </w:r>
      <w:bookmarkEnd w:id="357"/>
      <w:r w:rsidRPr="004F692F">
        <w:t xml:space="preserve"> </w:t>
      </w:r>
    </w:p>
    <w:p w14:paraId="6B7A80A2" w14:textId="4AC58A0E" w:rsidR="00E808F1" w:rsidRDefault="00E808F1" w:rsidP="00E808F1">
      <w:pPr>
        <w:spacing w:line="480" w:lineRule="auto"/>
      </w:pPr>
      <w:r>
        <w:t xml:space="preserve">Developed as an explanation for the mechanism underlying fear appeals, protection motivation theory </w:t>
      </w:r>
      <w:r w:rsidRPr="004F692F">
        <w:t>(</w:t>
      </w:r>
      <w:r>
        <w:t xml:space="preserve">PMT; </w:t>
      </w:r>
      <w:r w:rsidRPr="004F692F">
        <w:t>Rogers, 1975</w:t>
      </w:r>
      <w:r>
        <w:t>) proposes that people are motivated to protect their health on the basis of a threat appraisal and a coping appraisal. Health threats are appraised according to perceptions of susceptibility and severity while coping ability is evaluated on the likelihood that performing a behaviour will remove the threat and the person is capable of performing the behaviour. PMT has been used successfully with drug</w:t>
      </w:r>
      <w:r w:rsidR="00FB0389">
        <w:t>-</w:t>
      </w:r>
      <w:r>
        <w:t xml:space="preserve">taking (Wu, Wong Chou et. al., 2014), adolescent smoking (MacDonald et.al., 2013; Thrul et. al., 2013 &amp; Yan et. al., 2014) and to a lesser extent drinking (Murgraff et. al., 1999). </w:t>
      </w:r>
    </w:p>
    <w:p w14:paraId="55A5AC61" w14:textId="55A557DC" w:rsidR="00E808F1" w:rsidRPr="00010DD0" w:rsidRDefault="00E808F1" w:rsidP="00835A06">
      <w:pPr>
        <w:pStyle w:val="FigureHeading"/>
      </w:pPr>
      <w:bookmarkStart w:id="358" w:name="_Toc9509133"/>
      <w:r w:rsidRPr="00CE72F7">
        <w:t>Figure</w:t>
      </w:r>
      <w:r w:rsidR="00835A06">
        <w:t xml:space="preserve"> 5-</w:t>
      </w:r>
      <w:r>
        <w:t>3</w:t>
      </w:r>
      <w:r w:rsidRPr="00CE72F7">
        <w:t xml:space="preserve"> </w:t>
      </w:r>
      <w:r>
        <w:t>Protection motivation theory</w:t>
      </w:r>
      <w:bookmarkEnd w:id="358"/>
    </w:p>
    <w:p w14:paraId="4FD2E3DF" w14:textId="77777777" w:rsidR="00E808F1" w:rsidRDefault="00E808F1" w:rsidP="00E808F1">
      <w:pPr>
        <w:spacing w:line="480" w:lineRule="auto"/>
        <w:rPr>
          <w:b/>
        </w:rPr>
      </w:pPr>
      <w:r w:rsidRPr="00171429">
        <w:rPr>
          <w:b/>
          <w:noProof/>
          <w:lang w:val="en-US" w:eastAsia="en-US"/>
        </w:rPr>
        <mc:AlternateContent>
          <mc:Choice Requires="wpg">
            <w:drawing>
              <wp:anchor distT="0" distB="0" distL="114300" distR="114300" simplePos="0" relativeHeight="253717504" behindDoc="0" locked="0" layoutInCell="1" allowOverlap="1" wp14:anchorId="3C54EBB2" wp14:editId="20E2D552">
                <wp:simplePos x="0" y="0"/>
                <wp:positionH relativeFrom="column">
                  <wp:posOffset>0</wp:posOffset>
                </wp:positionH>
                <wp:positionV relativeFrom="paragraph">
                  <wp:posOffset>54800</wp:posOffset>
                </wp:positionV>
                <wp:extent cx="5920949" cy="2928046"/>
                <wp:effectExtent l="0" t="0" r="3810" b="0"/>
                <wp:wrapNone/>
                <wp:docPr id="410" name="Group 436"/>
                <wp:cNvGraphicFramePr/>
                <a:graphic xmlns:a="http://schemas.openxmlformats.org/drawingml/2006/main">
                  <a:graphicData uri="http://schemas.microsoft.com/office/word/2010/wordprocessingGroup">
                    <wpg:wgp>
                      <wpg:cNvGrpSpPr/>
                      <wpg:grpSpPr>
                        <a:xfrm>
                          <a:off x="0" y="0"/>
                          <a:ext cx="5920949" cy="2928046"/>
                          <a:chOff x="0" y="0"/>
                          <a:chExt cx="5920949" cy="2928046"/>
                        </a:xfrm>
                      </wpg:grpSpPr>
                      <wpg:grpSp>
                        <wpg:cNvPr id="411" name="Group 411"/>
                        <wpg:cNvGrpSpPr/>
                        <wpg:grpSpPr>
                          <a:xfrm>
                            <a:off x="4458545" y="1126570"/>
                            <a:ext cx="1462404" cy="649876"/>
                            <a:chOff x="4458567" y="1126570"/>
                            <a:chExt cx="1111669" cy="578255"/>
                          </a:xfrm>
                        </wpg:grpSpPr>
                        <wps:wsp>
                          <wps:cNvPr id="412" name="Rectangle 412"/>
                          <wps:cNvSpPr/>
                          <wps:spPr>
                            <a:xfrm>
                              <a:off x="4500044" y="1126570"/>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13" name="TextBox 389"/>
                          <wps:cNvSpPr txBox="1"/>
                          <wps:spPr>
                            <a:xfrm>
                              <a:off x="4458567" y="1151672"/>
                              <a:ext cx="1111669" cy="553153"/>
                            </a:xfrm>
                            <a:prstGeom prst="rect">
                              <a:avLst/>
                            </a:prstGeom>
                            <a:noFill/>
                          </wps:spPr>
                          <wps:txbx>
                            <w:txbxContent>
                              <w:p w14:paraId="734EECD2" w14:textId="77777777" w:rsidR="00777EE0" w:rsidRDefault="00777EE0" w:rsidP="00E808F1">
                                <w:pPr>
                                  <w:jc w:val="center"/>
                                  <w:rPr>
                                    <w:szCs w:val="24"/>
                                  </w:rPr>
                                </w:pPr>
                                <w:r>
                                  <w:rPr>
                                    <w:color w:val="000000" w:themeColor="text1"/>
                                    <w:kern w:val="24"/>
                                  </w:rPr>
                                  <w:t>Health-protection motivation</w:t>
                                </w:r>
                              </w:p>
                            </w:txbxContent>
                          </wps:txbx>
                          <wps:bodyPr wrap="square" rtlCol="0">
                            <a:spAutoFit/>
                          </wps:bodyPr>
                        </wps:wsp>
                      </wpg:grpSp>
                      <wps:wsp>
                        <wps:cNvPr id="414" name="Straight Connector 414"/>
                        <wps:cNvCnPr>
                          <a:cxnSpLocks/>
                        </wps:cNvCnPr>
                        <wps:spPr>
                          <a:xfrm flipH="1">
                            <a:off x="1458397" y="232495"/>
                            <a:ext cx="290740" cy="1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a:cxnSpLocks/>
                        </wps:cNvCnPr>
                        <wps:spPr>
                          <a:xfrm flipV="1">
                            <a:off x="3110003" y="2539387"/>
                            <a:ext cx="282567" cy="36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a:cxnSpLocks/>
                        </wps:cNvCnPr>
                        <wps:spPr>
                          <a:xfrm flipV="1">
                            <a:off x="3107610" y="231890"/>
                            <a:ext cx="280154" cy="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7" name="Group 417"/>
                        <wpg:cNvGrpSpPr/>
                        <wpg:grpSpPr>
                          <a:xfrm>
                            <a:off x="1710546" y="6734"/>
                            <a:ext cx="1424940" cy="621665"/>
                            <a:chOff x="1710552" y="6734"/>
                            <a:chExt cx="1162378" cy="621665"/>
                          </a:xfrm>
                          <a:solidFill>
                            <a:schemeClr val="bg1"/>
                          </a:solidFill>
                        </wpg:grpSpPr>
                        <wps:wsp>
                          <wps:cNvPr id="418" name="Rectangle: Rounded Corners 418"/>
                          <wps:cNvSpPr/>
                          <wps:spPr>
                            <a:xfrm>
                              <a:off x="1742032" y="38437"/>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TextBox 397"/>
                          <wps:cNvSpPr txBox="1"/>
                          <wps:spPr>
                            <a:xfrm>
                              <a:off x="1710552" y="6734"/>
                              <a:ext cx="1162378" cy="621665"/>
                            </a:xfrm>
                            <a:prstGeom prst="rect">
                              <a:avLst/>
                            </a:prstGeom>
                            <a:noFill/>
                          </wps:spPr>
                          <wps:txbx>
                            <w:txbxContent>
                              <w:p w14:paraId="710088EC" w14:textId="77777777" w:rsidR="00777EE0" w:rsidRDefault="00777EE0" w:rsidP="00E808F1">
                                <w:pPr>
                                  <w:jc w:val="center"/>
                                  <w:rPr>
                                    <w:szCs w:val="24"/>
                                  </w:rPr>
                                </w:pPr>
                                <w:r>
                                  <w:rPr>
                                    <w:color w:val="000000" w:themeColor="text1"/>
                                    <w:kern w:val="24"/>
                                  </w:rPr>
                                  <w:t>Intrinsic rewards extrinsic rewards</w:t>
                                </w:r>
                              </w:p>
                            </w:txbxContent>
                          </wps:txbx>
                          <wps:bodyPr wrap="square" rtlCol="0">
                            <a:spAutoFit/>
                          </wps:bodyPr>
                        </wps:wsp>
                      </wpg:grpSp>
                      <wpg:grpSp>
                        <wpg:cNvPr id="420" name="Group 420"/>
                        <wpg:cNvGrpSpPr/>
                        <wpg:grpSpPr>
                          <a:xfrm>
                            <a:off x="1749137" y="2348953"/>
                            <a:ext cx="1360866" cy="470544"/>
                            <a:chOff x="1749137" y="2348953"/>
                            <a:chExt cx="1108158" cy="470544"/>
                          </a:xfrm>
                          <a:solidFill>
                            <a:schemeClr val="bg1"/>
                          </a:solidFill>
                        </wpg:grpSpPr>
                        <wps:wsp>
                          <wps:cNvPr id="421" name="Rectangle: Rounded Corners 421"/>
                          <wps:cNvSpPr/>
                          <wps:spPr>
                            <a:xfrm>
                              <a:off x="1749137" y="2348953"/>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TextBox 406"/>
                          <wps:cNvSpPr txBox="1"/>
                          <wps:spPr>
                            <a:xfrm>
                              <a:off x="1845538" y="2399762"/>
                              <a:ext cx="935920" cy="419735"/>
                            </a:xfrm>
                            <a:prstGeom prst="rect">
                              <a:avLst/>
                            </a:prstGeom>
                            <a:noFill/>
                          </wps:spPr>
                          <wps:txbx>
                            <w:txbxContent>
                              <w:p w14:paraId="3AD16E7F" w14:textId="77777777" w:rsidR="00777EE0" w:rsidRDefault="00777EE0" w:rsidP="00E808F1">
                                <w:pPr>
                                  <w:jc w:val="center"/>
                                  <w:rPr>
                                    <w:szCs w:val="24"/>
                                  </w:rPr>
                                </w:pPr>
                                <w:r>
                                  <w:rPr>
                                    <w:color w:val="000000" w:themeColor="text1"/>
                                    <w:kern w:val="24"/>
                                  </w:rPr>
                                  <w:t>Response cost</w:t>
                                </w:r>
                              </w:p>
                            </w:txbxContent>
                          </wps:txbx>
                          <wps:bodyPr wrap="square" rtlCol="0">
                            <a:spAutoFit/>
                          </wps:bodyPr>
                        </wps:wsp>
                      </wpg:grpSp>
                      <wpg:grpSp>
                        <wpg:cNvPr id="423" name="Group 423"/>
                        <wpg:cNvGrpSpPr/>
                        <wpg:grpSpPr>
                          <a:xfrm>
                            <a:off x="76109" y="0"/>
                            <a:ext cx="1382288" cy="621665"/>
                            <a:chOff x="76109" y="0"/>
                            <a:chExt cx="1108158" cy="621665"/>
                          </a:xfrm>
                        </wpg:grpSpPr>
                        <wps:wsp>
                          <wps:cNvPr id="424" name="Rectangle: Rounded Corners 424"/>
                          <wps:cNvSpPr/>
                          <wps:spPr>
                            <a:xfrm>
                              <a:off x="76109" y="3863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TextBox 409"/>
                          <wps:cNvSpPr txBox="1"/>
                          <wps:spPr>
                            <a:xfrm>
                              <a:off x="111514" y="0"/>
                              <a:ext cx="1035447" cy="621665"/>
                            </a:xfrm>
                            <a:prstGeom prst="rect">
                              <a:avLst/>
                            </a:prstGeom>
                            <a:noFill/>
                          </wps:spPr>
                          <wps:txbx>
                            <w:txbxContent>
                              <w:p w14:paraId="0E2616C4" w14:textId="77777777" w:rsidR="00777EE0" w:rsidRDefault="00777EE0" w:rsidP="00E808F1">
                                <w:pPr>
                                  <w:jc w:val="center"/>
                                  <w:rPr>
                                    <w:szCs w:val="24"/>
                                  </w:rPr>
                                </w:pPr>
                                <w:r>
                                  <w:rPr>
                                    <w:color w:val="000000" w:themeColor="text1"/>
                                    <w:kern w:val="24"/>
                                  </w:rPr>
                                  <w:t>Vulnerability severity</w:t>
                                </w:r>
                              </w:p>
                            </w:txbxContent>
                          </wps:txbx>
                          <wps:bodyPr wrap="square" rtlCol="0">
                            <a:spAutoFit/>
                          </wps:bodyPr>
                        </wps:wsp>
                      </wpg:grpSp>
                      <wpg:grpSp>
                        <wpg:cNvPr id="426" name="Group 426"/>
                        <wpg:cNvGrpSpPr/>
                        <wpg:grpSpPr>
                          <a:xfrm>
                            <a:off x="76109" y="1146681"/>
                            <a:ext cx="1382288" cy="621665"/>
                            <a:chOff x="76109" y="1146681"/>
                            <a:chExt cx="1108158" cy="621665"/>
                          </a:xfrm>
                        </wpg:grpSpPr>
                        <wps:wsp>
                          <wps:cNvPr id="427" name="Rectangle: Rounded Corners 427"/>
                          <wps:cNvSpPr/>
                          <wps:spPr>
                            <a:xfrm>
                              <a:off x="76109" y="1179856"/>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TextBox 412"/>
                          <wps:cNvSpPr txBox="1"/>
                          <wps:spPr>
                            <a:xfrm>
                              <a:off x="137204" y="1146681"/>
                              <a:ext cx="992685" cy="621665"/>
                            </a:xfrm>
                            <a:prstGeom prst="rect">
                              <a:avLst/>
                            </a:prstGeom>
                            <a:noFill/>
                          </wps:spPr>
                          <wps:txbx>
                            <w:txbxContent>
                              <w:p w14:paraId="5C381545" w14:textId="77777777" w:rsidR="00777EE0" w:rsidRDefault="00777EE0" w:rsidP="00E808F1">
                                <w:pPr>
                                  <w:jc w:val="center"/>
                                  <w:rPr>
                                    <w:szCs w:val="24"/>
                                  </w:rPr>
                                </w:pPr>
                                <w:r>
                                  <w:rPr>
                                    <w:color w:val="000000" w:themeColor="text1"/>
                                    <w:kern w:val="24"/>
                                  </w:rPr>
                                  <w:t>Sources of information</w:t>
                                </w:r>
                              </w:p>
                            </w:txbxContent>
                          </wps:txbx>
                          <wps:bodyPr wrap="square" rtlCol="0">
                            <a:spAutoFit/>
                          </wps:bodyPr>
                        </wps:wsp>
                      </wpg:grpSp>
                      <wps:wsp>
                        <wps:cNvPr id="429" name="Straight Connector 429"/>
                        <wps:cNvCnPr>
                          <a:cxnSpLocks/>
                        </wps:cNvCnPr>
                        <wps:spPr>
                          <a:xfrm>
                            <a:off x="1430788" y="2541243"/>
                            <a:ext cx="318349" cy="17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30" name="Group 430"/>
                        <wpg:cNvGrpSpPr/>
                        <wpg:grpSpPr>
                          <a:xfrm>
                            <a:off x="3387764" y="0"/>
                            <a:ext cx="1064417" cy="621665"/>
                            <a:chOff x="3387764" y="0"/>
                            <a:chExt cx="1108158" cy="621665"/>
                          </a:xfrm>
                        </wpg:grpSpPr>
                        <wps:wsp>
                          <wps:cNvPr id="431" name="Rectangle: Rounded Corners 431"/>
                          <wps:cNvSpPr/>
                          <wps:spPr>
                            <a:xfrm>
                              <a:off x="3387764" y="37832"/>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2" name="TextBox 422"/>
                          <wps:cNvSpPr txBox="1"/>
                          <wps:spPr>
                            <a:xfrm>
                              <a:off x="3478154" y="0"/>
                              <a:ext cx="948671" cy="621665"/>
                            </a:xfrm>
                            <a:prstGeom prst="rect">
                              <a:avLst/>
                            </a:prstGeom>
                            <a:noFill/>
                          </wps:spPr>
                          <wps:txbx>
                            <w:txbxContent>
                              <w:p w14:paraId="600E8E63" w14:textId="77777777" w:rsidR="00777EE0" w:rsidRDefault="00777EE0" w:rsidP="00E808F1">
                                <w:pPr>
                                  <w:jc w:val="center"/>
                                  <w:rPr>
                                    <w:szCs w:val="24"/>
                                  </w:rPr>
                                </w:pPr>
                                <w:r>
                                  <w:rPr>
                                    <w:color w:val="000000" w:themeColor="text1"/>
                                    <w:kern w:val="24"/>
                                  </w:rPr>
                                  <w:t>Threat appraisal</w:t>
                                </w:r>
                              </w:p>
                            </w:txbxContent>
                          </wps:txbx>
                          <wps:bodyPr wrap="square" rtlCol="0">
                            <a:spAutoFit/>
                          </wps:bodyPr>
                        </wps:wsp>
                      </wpg:grpSp>
                      <wpg:grpSp>
                        <wpg:cNvPr id="433" name="Group 433"/>
                        <wpg:cNvGrpSpPr/>
                        <wpg:grpSpPr>
                          <a:xfrm>
                            <a:off x="3392570" y="2294370"/>
                            <a:ext cx="1059611" cy="621665"/>
                            <a:chOff x="3392570" y="2294370"/>
                            <a:chExt cx="1108158" cy="621665"/>
                          </a:xfrm>
                        </wpg:grpSpPr>
                        <wps:wsp>
                          <wps:cNvPr id="434" name="Rectangle: Rounded Corners 434"/>
                          <wps:cNvSpPr/>
                          <wps:spPr>
                            <a:xfrm>
                              <a:off x="3392570" y="2345329"/>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5" name="TextBox 425"/>
                          <wps:cNvSpPr txBox="1"/>
                          <wps:spPr>
                            <a:xfrm>
                              <a:off x="3478344" y="2294370"/>
                              <a:ext cx="992155" cy="621665"/>
                            </a:xfrm>
                            <a:prstGeom prst="rect">
                              <a:avLst/>
                            </a:prstGeom>
                            <a:noFill/>
                          </wps:spPr>
                          <wps:txbx>
                            <w:txbxContent>
                              <w:p w14:paraId="31B3453E" w14:textId="77777777" w:rsidR="00777EE0" w:rsidRDefault="00777EE0" w:rsidP="00E808F1">
                                <w:pPr>
                                  <w:jc w:val="center"/>
                                  <w:rPr>
                                    <w:szCs w:val="24"/>
                                  </w:rPr>
                                </w:pPr>
                                <w:r>
                                  <w:rPr>
                                    <w:color w:val="000000" w:themeColor="text1"/>
                                    <w:kern w:val="24"/>
                                  </w:rPr>
                                  <w:t>Coping appraisal</w:t>
                                </w:r>
                              </w:p>
                            </w:txbxContent>
                          </wps:txbx>
                          <wps:bodyPr wrap="square" rtlCol="0">
                            <a:spAutoFit/>
                          </wps:bodyPr>
                        </wps:wsp>
                      </wpg:grpSp>
                      <wpg:grpSp>
                        <wpg:cNvPr id="436" name="Group 436"/>
                        <wpg:cNvGrpSpPr/>
                        <wpg:grpSpPr>
                          <a:xfrm>
                            <a:off x="0" y="2306381"/>
                            <a:ext cx="1594485" cy="621665"/>
                            <a:chOff x="0" y="2306381"/>
                            <a:chExt cx="1304324" cy="621665"/>
                          </a:xfrm>
                        </wpg:grpSpPr>
                        <wps:wsp>
                          <wps:cNvPr id="437" name="Rectangle: Rounded Corners 437"/>
                          <wps:cNvSpPr/>
                          <wps:spPr>
                            <a:xfrm>
                              <a:off x="62258" y="2347185"/>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TextBox 428"/>
                          <wps:cNvSpPr txBox="1"/>
                          <wps:spPr>
                            <a:xfrm>
                              <a:off x="0" y="2306381"/>
                              <a:ext cx="1304324" cy="621665"/>
                            </a:xfrm>
                            <a:prstGeom prst="rect">
                              <a:avLst/>
                            </a:prstGeom>
                            <a:noFill/>
                          </wps:spPr>
                          <wps:txbx>
                            <w:txbxContent>
                              <w:p w14:paraId="15C8871E" w14:textId="77777777" w:rsidR="00777EE0" w:rsidRDefault="00777EE0" w:rsidP="00E808F1">
                                <w:pPr>
                                  <w:jc w:val="center"/>
                                  <w:rPr>
                                    <w:szCs w:val="24"/>
                                  </w:rPr>
                                </w:pPr>
                                <w:r>
                                  <w:rPr>
                                    <w:color w:val="000000" w:themeColor="text1"/>
                                    <w:kern w:val="24"/>
                                  </w:rPr>
                                  <w:t>Response efficacy self-efficacy</w:t>
                                </w:r>
                              </w:p>
                            </w:txbxContent>
                          </wps:txbx>
                          <wps:bodyPr wrap="square" rtlCol="0">
                            <a:spAutoFit/>
                          </wps:bodyPr>
                        </wps:wsp>
                      </wpg:grpSp>
                      <wpg:grpSp>
                        <wpg:cNvPr id="439" name="Group 439"/>
                        <wpg:cNvGrpSpPr/>
                        <wpg:grpSpPr>
                          <a:xfrm>
                            <a:off x="2045025" y="723256"/>
                            <a:ext cx="1059611" cy="470103"/>
                            <a:chOff x="2045025" y="723256"/>
                            <a:chExt cx="1108158" cy="470103"/>
                          </a:xfrm>
                        </wpg:grpSpPr>
                        <wps:wsp>
                          <wps:cNvPr id="440" name="Rectangle: Rounded Corners 440"/>
                          <wps:cNvSpPr/>
                          <wps:spPr>
                            <a:xfrm>
                              <a:off x="2045025" y="723256"/>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1" name="TextBox 431"/>
                          <wps:cNvSpPr txBox="1"/>
                          <wps:spPr>
                            <a:xfrm>
                              <a:off x="2086063" y="773624"/>
                              <a:ext cx="992819" cy="419735"/>
                            </a:xfrm>
                            <a:prstGeom prst="rect">
                              <a:avLst/>
                            </a:prstGeom>
                            <a:noFill/>
                          </wps:spPr>
                          <wps:txbx>
                            <w:txbxContent>
                              <w:p w14:paraId="5C0EA71E" w14:textId="77777777" w:rsidR="00777EE0" w:rsidRDefault="00777EE0" w:rsidP="00E808F1">
                                <w:pPr>
                                  <w:jc w:val="center"/>
                                  <w:rPr>
                                    <w:szCs w:val="24"/>
                                  </w:rPr>
                                </w:pPr>
                                <w:r>
                                  <w:rPr>
                                    <w:color w:val="000000" w:themeColor="text1"/>
                                    <w:kern w:val="24"/>
                                  </w:rPr>
                                  <w:t>Fear</w:t>
                                </w:r>
                              </w:p>
                            </w:txbxContent>
                          </wps:txbx>
                          <wps:bodyPr wrap="square" rtlCol="0">
                            <a:spAutoFit/>
                          </wps:bodyPr>
                        </wps:wsp>
                      </wpg:grpSp>
                      <wps:wsp>
                        <wps:cNvPr id="442" name="Straight Connector 442"/>
                        <wps:cNvCnPr>
                          <a:cxnSpLocks/>
                        </wps:cNvCnPr>
                        <wps:spPr>
                          <a:xfrm>
                            <a:off x="3919973" y="425948"/>
                            <a:ext cx="2402" cy="19193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Straight Arrow Connector 443"/>
                        <wps:cNvCnPr>
                          <a:cxnSpLocks/>
                        </wps:cNvCnPr>
                        <wps:spPr>
                          <a:xfrm flipV="1">
                            <a:off x="1458397" y="1373030"/>
                            <a:ext cx="2394846" cy="8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 name="Straight Arrow Connector 444"/>
                        <wps:cNvCnPr>
                          <a:cxnSpLocks/>
                        </wps:cNvCnPr>
                        <wps:spPr>
                          <a:xfrm>
                            <a:off x="3756163" y="1373030"/>
                            <a:ext cx="756948" cy="39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5" name="Straight Arrow Connector 445"/>
                        <wps:cNvCnPr>
                          <a:cxnSpLocks/>
                        </wps:cNvCnPr>
                        <wps:spPr>
                          <a:xfrm>
                            <a:off x="3104636" y="917314"/>
                            <a:ext cx="748607" cy="37306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6" name="Straight Arrow Connector 446"/>
                        <wps:cNvCnPr>
                          <a:cxnSpLocks/>
                        </wps:cNvCnPr>
                        <wps:spPr>
                          <a:xfrm>
                            <a:off x="2551523" y="461665"/>
                            <a:ext cx="0" cy="261516"/>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54EBB2" id="Group 436" o:spid="_x0000_s1220" style="position:absolute;margin-left:0;margin-top:4.3pt;width:466.2pt;height:230.55pt;z-index:253717504" coordsize="59209,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8rfQoAAOdVAAAOAAAAZHJzL2Uyb0RvYy54bWzsXGuTmzgW/b5V+x8of980QuLlijPV2zPJ&#10;blVqNpVkZz7TGD9qbWCBjt376/dIAiHz8Kvbbk8N+dCxDRIgXZ17z7lXvP9pu14ZP6IsXybxZETe&#10;mSMjisNkuoznk9G/v3/8mzcy8iKIp8EqiaPJ6DnKRz99+Otf3m/ScWQli2Q1jTIDncT5eJNORoui&#10;SMd3d3m4iNZB/i5JoxgHZ0m2Dgp8zeZ30yzYoPf16s4yTeduk2TTNEvCKM/x68/y4OiD6H82i8Li&#10;X7NZHhXGajLCvRXibyb+PvK/dx/eB+N5FqSLZVjeRnDGXayDZYyLqq5+DorAeMqWra7WyzBL8mRW&#10;vAuT9V0ymy3DSDwDnoaYjaf5lCVPqXiW+XgzT9UwYWgb43R2t+GvP75kxnI6GTGC8YmDNSZJXNdg&#10;1OHDs0nnY5z1KUu/pV+y8oe5/MafeDvL1vx/PIuxFQP7rAY22hZGiB9t3zJ95o+MEMcs3/JMJvoO&#10;xuEC89NqFy5+OdDyrrrwHb8/dTvqi7pv9XSk8XSEnPF0jNmezeyRgecgxHJstzSh6kkJcyxmMvmk&#10;DvM9t/mgogvHbXdRPzTBP8cph8t2Pcu2+b32PjOWTl5bR/4y6/i2CNJIGF3O512Nn1WN31csqiCe&#10;ryKDEUuOoThTmUc+zmEpHbbBbNM0GQand/RMy3P88sExULZNdx48GKdZXnyKkrXBP0xGGe5FrLvg&#10;x+e8kGNUncJvIE9Wy+nH5WolvnBQiR5WmfEjABw8zoUFYFR3zlrFhxoW246G6Ea2jATqlHezSavB&#10;EJ+K51XEe1/FX6MZVh2WBhG3L/CuvrUgDKO4qK4izubNZngQ1ZAebliez5vKu1KNrcONVQtx5SQu&#10;VOP1Mk6yrg5W6pZn8nzYrPbc/ONjMn2GSWXF6iGRkBzE4SIBIodFJuaanwVz5gv4KnZNK7v+jjX8&#10;92RrUM9vWLVRbHGAz5WAv2pKKwhS2Le7tG3iuGJ9YPRLNNtd2DYlL7XvOOHGze1ejLNYdvxTsX3c&#10;ClT3BHLwn8qR38DXTUb5f5+CLBpp88BnOU/vnwr0KBZS3absXUxKDbdXmyDghXRL34osWM4XhfGQ&#10;xDEWfpIBgVg1J8Cqh1jCTriNv6Wfk/A/eTUy6mA9THL2jNlqmf6jWoalDyNAeepLiLaoxXwxiPU0&#10;Wr7pMnhL7s2IL+5AYXMLolbLmMNpMO6BqJfhTWPe89dEGLNrje9CUz/CHNH4DISpofcAwlQTf00k&#10;QViwx1DVQlS2iOjnREP9rWGolBB4VCAYD6ts6lPP5ctBs1TEDjzW4JZKEZnwo4OpKsOTLvhPaKrO&#10;XlMt434R1Z2LqW1TNV2HUwxuqpR4fiNwBicgdhU3m7vx7oCpt2ioJe1qMy3gzQ6PJAKUTuSRxCWm&#10;DZbI7cVxqUCuGtcIg1euXLBjgS2VLlrxSdHeBmnZaa9zLMeiLtQJDo11Dxo47rCCRoDeyR3q2IiH&#10;ITzSuAItwxPIwVa0bGx8TZ7iaTRFnJTFkGYQJXlalHSYpxGXWSaVY0c9RhtOBU7HI3Y5dNTzQFb3&#10;+xXIGPGU39++OOjk4eY0ythMRr5t2TJS2UP26sBBu07J2Y6IofbyJRE6L4JpJHklJ7kC3NC9Mhvh&#10;druJ3BEM8Nph1glELpGSWp6GH5eg5J+DvPgSZNDQAPXQBXEU7O5/I2OXd6z+GUOm8Anja7gQX5jt&#10;WviS6Uce9SPx01pwRgg5uJr4yM+vmeQsS9a/Qw6851fFIZ1Zll8eCqn9QVAMo/t7cRqEuDQoPoMy&#10;hFV4xSWE79vfgywtdYYCDO7XpJJGWrG8PJfbQZxwCjXbR6GuBAxQUSQwKF4LRoPwj18eIShHgWN5&#10;bTeW1qT2EJJWisyRos1hUqsClEuQ2j6/xq1zx6/hBzGeJ+mjwFafAFFlHMQ8X0oAmmujjuk5cHzc&#10;MTEXTrD0fZpr6+lC924aRNed/NG8m6VE233eDWft2nX5rUeFPDwDg38TAmlF9Qf/JjzO4N9uyb9Z&#10;Kh9R+TdmKrdwqn/zkGqgCGiBuBb1fddp6LY+5RmsEpKJ79ID/PRQWuKwh1Ou+qoeTmnhZQbQEumX&#10;E5kbp/kIPjCWDYpPqGdZXotyaUnAVtMej9bB196CfEFPO4J8SdVNC7v2u6d6DKjnUOHatODgIq5J&#10;meNAqZDluYwcOFCqPzylgszQoFQMQLcbeh5NqQixkbvqQkmTIuQvNfsOoGuJoS93NkoduqqzURp0&#10;5WxK930SnarRkqD0wvGaeHmCy9np4MYdj5JY9/IiFUSU8dCxjocQ1/dsMR2Xdj2aGqepZQcKNAbV&#10;73BmVuW4OHsrk6Uyi/Aa5RuD6qcUwptS/SyVDlCsqFWjdbSLohBkpYvagcZK9/N9y0F5SX8C5dVl&#10;P+VsL+GnrpGtsZQo21XLgqN1MHFG3pVboqpgoabLqRZntDbq9JhgcjWaIwNLq4JM4joiAtDUwcbU&#10;DTUsfbV5Z8BsnYo6rYalT5emTV0aPwg7OimQoqgdcZ2eiNRhDEncxkrXeHtH49sOoMCrj2Dukn0f&#10;zdz1UUBqGQlUTEO95C6TNh24O/LKqjR14O5DOrSzfJ1XM+ymQxkU5NrdnpIOpcxF/UMnVPrMc1xg&#10;S29RScOxvpi7yzIqDlGXiIl6XU5TKKbnCMWU+hbfQCGCFMtHnUlTMDZt38E+jcZw7jieni5u3P3A&#10;eA5X7ciipxPcjzYWlNlUxpOXdkADg9c3lVQ5UyALwumhbofHpkPdTtfmvqqYqFzf1T4rpBZbjkov&#10;HT/VUdFyv5XVBbCg8AR7yxr42s8DX+6uVKnGVd1VU2p+wc5Gi5oObcnMts9YWwvRHFXp5fTGmoui&#10;JsM2k955eIvcJi9ROsJFnSYxO5bF60ZFmp25RG5OurSDGhjSwJCGgtF6j3yf42lLx1CTz2NIHWhX&#10;qcbkANa9fnrTVzzvqj5HSb3VbvpS3T1JlYMAb5s87wzIdLEVsZWU0xkS6jwJNoMJ0UkVi/b1oHkf&#10;vaak7kNFAW/hfXhZ+GHvg7N27bP81lP42TcUyjT1gRj2Ncgc47CvYaj7vKW6T6aUe5XhbMn0x2Y4&#10;LRTaI5qX6OpW+2PreBT0yCPAcVGJf42yT7+U0S6j5l0jw8mUztqV4cTRGrBfluGkPkGhrpw7ZoF/&#10;iVilnju8hQW3wmeO4MySsSmf1ooyhgznDWQ4r2KgSrpWBnqfZclGf6mETJaXwswZZipeKtHcAK2/&#10;VAIbgKgp07SaxVIYMd/xyo3W8w7s1c/Ll2God2HIbYSv+5KJYFwEy9Uv8dQonlO8GKrIluLNP3wV&#10;Yy3xV1ccsXnyiA2O3Tsjj8jmXVthPTd5fxXTVlmFPaYtzOp809ZqTKhrO6T0np0GjeMcloU9U1+W&#10;yvYj8GDQb5IyuGmDVlr4HoPWxfEzsFo3aILX0kEa5mTbJy6V7xaqAdpFctcsy2A4gMtdQoNFtwp3&#10;3zYJdtMWrTIReyxa38b2MovGiwOJjU1c3KIZwLp6S0aleEBl4cGG5WAzgrjqmxvzIgqm3fHGEIvU&#10;b5OQ9fHnGbqQ8/A2UeFtyjef8teV6t9FWFe/n/XD/wEAAP//AwBQSwMEFAAGAAgAAAAhAGI1xy7f&#10;AAAABgEAAA8AAABkcnMvZG93bnJldi54bWxMj0FrwkAUhO+F/oflFXqrm6hNNeZFRNqepFAtFG/P&#10;7DMJZndDdk3iv+/21B6HGWa+ydajbkTPnautQYgnEQg2hVW1KRG+Dm9PCxDOk1HUWMMIN3awzu/v&#10;MkqVHcwn93tfilBiXEoIlfdtKqUrKtbkJrZlE7yz7TT5ILtSqo6GUK4bOY2iRGqqTVioqOVtxcVl&#10;f9UI7wMNm1n82u8u5+3teHj++N7FjPj4MG5WIDyP/i8Mv/gBHfLAdLJXo5xoEMIRj7BIQARzOZvO&#10;QZwQ5snyBWSeyf/4+Q8AAAD//wMAUEsBAi0AFAAGAAgAAAAhALaDOJL+AAAA4QEAABMAAAAAAAAA&#10;AAAAAAAAAAAAAFtDb250ZW50X1R5cGVzXS54bWxQSwECLQAUAAYACAAAACEAOP0h/9YAAACUAQAA&#10;CwAAAAAAAAAAAAAAAAAvAQAAX3JlbHMvLnJlbHNQSwECLQAUAAYACAAAACEAuRqvK30KAADnVQAA&#10;DgAAAAAAAAAAAAAAAAAuAgAAZHJzL2Uyb0RvYy54bWxQSwECLQAUAAYACAAAACEAYjXHLt8AAAAG&#10;AQAADwAAAAAAAAAAAAAAAADXDAAAZHJzL2Rvd25yZXYueG1sUEsFBgAAAAAEAAQA8wAAAOMNAAAA&#10;AA==&#10;">
                <v:group id="Group 411" o:spid="_x0000_s1221" style="position:absolute;left:44585;top:11265;width:14624;height:6499" coordorigin="44585,11265" coordsize="111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412" o:spid="_x0000_s1222" style="position:absolute;left:45000;top:11265;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kxQAAANwAAAAPAAAAZHJzL2Rvd25yZXYueG1sRI9Pi8Iw&#10;FMTvwn6H8Ba8iKb+QaVrFBFEwZO6hz0+m2dbt3mpSdTut98IgsdhZn7DzBaNqcSdnC8tK+j3EhDE&#10;mdUl5wq+j+vuFIQPyBory6Tgjzws5h+tGabaPnhP90PIRYSwT1FBEUKdSumzggz6nq2Jo3e2zmCI&#10;0uVSO3xEuKnkIEnG0mDJcaHAmlYFZb+Hm1HQsWbi9uPLaX3ZLK8/NuyG23qiVPuzWX6BCNSEd/jV&#10;3moFo/4AnmfiEZDzfwAAAP//AwBQSwECLQAUAAYACAAAACEA2+H2y+4AAACFAQAAEwAAAAAAAAAA&#10;AAAAAAAAAAAAW0NvbnRlbnRfVHlwZXNdLnhtbFBLAQItABQABgAIAAAAIQBa9CxbvwAAABUBAAAL&#10;AAAAAAAAAAAAAAAAAB8BAABfcmVscy8ucmVsc1BLAQItABQABgAIAAAAIQA+63pkxQAAANwAAAAP&#10;AAAAAAAAAAAAAAAAAAcCAABkcnMvZG93bnJldi54bWxQSwUGAAAAAAMAAwC3AAAA+QIAAAAA&#10;" fillcolor="white [3212]" strokecolor="black [3213]"/>
                  <v:shape id="TextBox 389" o:spid="_x0000_s1223" type="#_x0000_t202" style="position:absolute;left:44585;top:11516;width:11117;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14:paraId="734EECD2" w14:textId="77777777" w:rsidR="00777EE0" w:rsidRDefault="00777EE0" w:rsidP="00E808F1">
                          <w:pPr>
                            <w:jc w:val="center"/>
                            <w:rPr>
                              <w:szCs w:val="24"/>
                            </w:rPr>
                          </w:pPr>
                          <w:r>
                            <w:rPr>
                              <w:color w:val="000000" w:themeColor="text1"/>
                              <w:kern w:val="24"/>
                            </w:rPr>
                            <w:t>Health-protection motivation</w:t>
                          </w:r>
                        </w:p>
                      </w:txbxContent>
                    </v:textbox>
                  </v:shape>
                </v:group>
                <v:line id="Straight Connector 414" o:spid="_x0000_s1224" style="position:absolute;flip:x;visibility:visible;mso-wrap-style:square" from="14583,2324" to="17491,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9WxQAAANwAAAAPAAAAZHJzL2Rvd25yZXYueG1sRI/NasMw&#10;EITvhbyD2EButZzihta1EtpAoPQS8vMAi7W1TKyVI6mJ46evCoUch5n5hqlWg+3EhXxoHSuYZzkI&#10;4trplhsFx8Pm8QVEiMgaO8ek4EYBVsvJQ4Wldlfe0WUfG5EgHEpUYGLsSylDbchiyFxPnLxv5y3G&#10;JH0jtcdrgttOPuX5QlpsOS0Y7GltqD7tf6yCbozH8fVjbcb8XNz0drtw/vlLqdl0eH8DEWmI9/B/&#10;+1MrKOYF/J1JR0AufwEAAP//AwBQSwECLQAUAAYACAAAACEA2+H2y+4AAACFAQAAEwAAAAAAAAAA&#10;AAAAAAAAAAAAW0NvbnRlbnRfVHlwZXNdLnhtbFBLAQItABQABgAIAAAAIQBa9CxbvwAAABUBAAAL&#10;AAAAAAAAAAAAAAAAAB8BAABfcmVscy8ucmVsc1BLAQItABQABgAIAAAAIQDhXH9WxQAAANwAAAAP&#10;AAAAAAAAAAAAAAAAAAcCAABkcnMvZG93bnJldi54bWxQSwUGAAAAAAMAAwC3AAAA+QIAAAAA&#10;" strokecolor="black [3213]">
                  <o:lock v:ext="edit" shapetype="f"/>
                </v:line>
                <v:line id="Straight Connector 415" o:spid="_x0000_s1225" style="position:absolute;flip:y;visibility:visible;mso-wrap-style:square" from="31100,25393" to="33925,2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rNxAAAANwAAAAPAAAAZHJzL2Rvd25yZXYueG1sRI/RagIx&#10;FETfC/2HcAt9q1lFpV2NokKh+CJu/YDL5nazuLlZk1TX/XojCD4OM3OGmS8724gz+VA7VjAcZCCI&#10;S6drrhQcfr8/PkGEiKyxcUwKrhRguXh9mWOu3YX3dC5iJRKEQ44KTIxtLmUoDVkMA9cSJ+/PeYsx&#10;SV9J7fGS4LaRoyybSos1pwWDLW0Mlcfi3ypo+njov9Yb02en8VXvdlPnJ1ul3t+61QxEpC4+w4/2&#10;j1YwHk7gfiYdAbm4AQAA//8DAFBLAQItABQABgAIAAAAIQDb4fbL7gAAAIUBAAATAAAAAAAAAAAA&#10;AAAAAAAAAABbQ29udGVudF9UeXBlc10ueG1sUEsBAi0AFAAGAAgAAAAhAFr0LFu/AAAAFQEAAAsA&#10;AAAAAAAAAAAAAAAAHwEAAF9yZWxzLy5yZWxzUEsBAi0AFAAGAAgAAAAhAI4Q2s3EAAAA3AAAAA8A&#10;AAAAAAAAAAAAAAAABwIAAGRycy9kb3ducmV2LnhtbFBLBQYAAAAAAwADALcAAAD4AgAAAAA=&#10;" strokecolor="black [3213]">
                  <o:lock v:ext="edit" shapetype="f"/>
                </v:line>
                <v:line id="Straight Connector 416" o:spid="_x0000_s1226" style="position:absolute;flip:y;visibility:visible;mso-wrap-style:square" from="31076,2318" to="3387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6xQAAANwAAAAPAAAAZHJzL2Rvd25yZXYueG1sRI9Ra8Iw&#10;FIXfB/6HcAe+zVRxZetMyyYIYy8y9QdcmrumrLmpSdTaX78Iwh4P55zvcFbVYDtxJh9axwrmswwE&#10;ce10y42Cw37z9AIiRGSNnWNScKUAVTl5WGGh3YW/6byLjUgQDgUqMDH2hZShNmQxzFxPnLwf5y3G&#10;JH0jtcdLgttOLrIslxZbTgsGe1obqn93J6ugG+NhfP1YmzE7Lq96u82df/5Savo4vL+BiDTE//C9&#10;/akVLOc53M6kIyDLPwAAAP//AwBQSwECLQAUAAYACAAAACEA2+H2y+4AAACFAQAAEwAAAAAAAAAA&#10;AAAAAAAAAAAAW0NvbnRlbnRfVHlwZXNdLnhtbFBLAQItABQABgAIAAAAIQBa9CxbvwAAABUBAAAL&#10;AAAAAAAAAAAAAAAAAB8BAABfcmVscy8ucmVsc1BLAQItABQABgAIAAAAIQB+wkS6xQAAANwAAAAP&#10;AAAAAAAAAAAAAAAAAAcCAABkcnMvZG93bnJldi54bWxQSwUGAAAAAAMAAwC3AAAA+QIAAAAA&#10;" strokecolor="black [3213]">
                  <o:lock v:ext="edit" shapetype="f"/>
                </v:line>
                <v:group id="Group 417" o:spid="_x0000_s1227" style="position:absolute;left:17105;top:67;width:14249;height:6216" coordorigin="17105,67" coordsize="11623,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oundrect id="Rectangle: Rounded Corners 418" o:spid="_x0000_s1228" style="position:absolute;left:17420;top:384;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H1xAAAANwAAAAPAAAAZHJzL2Rvd25yZXYueG1sRE9Na8JA&#10;EL0X+h+WKXgpuomUYlPX0BYENQdtDD0P2TEJzc6G7JrEf989CD0+3vc6nUwrBupdY1lBvIhAEJdW&#10;N1wpKM7b+QqE88gaW8uk4EYO0s3jwxoTbUf+piH3lQgh7BJUUHvfJVK6siaDbmE74sBdbG/QB9hX&#10;Uvc4hnDTymUUvUqDDYeGGjv6qqn8za9GQZZtb2/D83FftFGTHS5jtf/8OSk1e5o+3kF4mvy/+O7e&#10;aQUvcVgbzoQjIDd/AAAA//8DAFBLAQItABQABgAIAAAAIQDb4fbL7gAAAIUBAAATAAAAAAAAAAAA&#10;AAAAAAAAAABbQ29udGVudF9UeXBlc10ueG1sUEsBAi0AFAAGAAgAAAAhAFr0LFu/AAAAFQEAAAsA&#10;AAAAAAAAAAAAAAAAHwEAAF9yZWxzLy5yZWxzUEsBAi0AFAAGAAgAAAAhAMTZIfXEAAAA3AAAAA8A&#10;AAAAAAAAAAAAAAAABwIAAGRycy9kb3ducmV2LnhtbFBLBQYAAAAAAwADALcAAAD4AgAAAAA=&#10;" fillcolor="white [3212]" strokecolor="black [3213]"/>
                  <v:shape id="TextBox 397" o:spid="_x0000_s1229" type="#_x0000_t202" style="position:absolute;left:17105;top:67;width:1162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710088EC" w14:textId="77777777" w:rsidR="00777EE0" w:rsidRDefault="00777EE0" w:rsidP="00E808F1">
                          <w:pPr>
                            <w:jc w:val="center"/>
                            <w:rPr>
                              <w:szCs w:val="24"/>
                            </w:rPr>
                          </w:pPr>
                          <w:r>
                            <w:rPr>
                              <w:color w:val="000000" w:themeColor="text1"/>
                              <w:kern w:val="24"/>
                            </w:rPr>
                            <w:t>Intrinsic rewards extrinsic rewards</w:t>
                          </w:r>
                        </w:p>
                      </w:txbxContent>
                    </v:textbox>
                  </v:shape>
                </v:group>
                <v:group id="Group 420" o:spid="_x0000_s1230" style="position:absolute;left:17491;top:23489;width:13609;height:4705" coordorigin="17491,23489" coordsize="11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oundrect id="Rectangle: Rounded Corners 421" o:spid="_x0000_s1231" style="position:absolute;left:17491;top:23489;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LVxgAAANwAAAAPAAAAZHJzL2Rvd25yZXYueG1sRI9Pa8JA&#10;FMTvBb/D8gQvpW4UEU1dxRYENQf/VHp+ZJ9JMPs2ZNckfntXKPQ4zMxvmMWqM6VoqHaFZQWjYQSC&#10;OLW64EzB5WfzMQPhPLLG0jIpeJCD1bL3tsBY25ZP1Jx9JgKEXYwKcu+rWEqX5mTQDW1FHLyrrQ36&#10;IOtM6hrbADelHEfRVBosOCzkWNF3TuntfDcKkmTzmDfvh92ljIpkf22z3dfvUalBv1t/gvDU+f/w&#10;X3urFUzGI3idCUdALp8AAAD//wMAUEsBAi0AFAAGAAgAAAAhANvh9svuAAAAhQEAABMAAAAAAAAA&#10;AAAAAAAAAAAAAFtDb250ZW50X1R5cGVzXS54bWxQSwECLQAUAAYACAAAACEAWvQsW78AAAAVAQAA&#10;CwAAAAAAAAAAAAAAAAAfAQAAX3JlbHMvLnJlbHNQSwECLQAUAAYACAAAACEAm49C1cYAAADcAAAA&#10;DwAAAAAAAAAAAAAAAAAHAgAAZHJzL2Rvd25yZXYueG1sUEsFBgAAAAADAAMAtwAAAPoCAAAAAA==&#10;" fillcolor="white [3212]" strokecolor="black [3213]"/>
                  <v:shape id="TextBox 406" o:spid="_x0000_s1232" type="#_x0000_t202" style="position:absolute;left:18455;top:23997;width:935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3AD16E7F" w14:textId="77777777" w:rsidR="00777EE0" w:rsidRDefault="00777EE0" w:rsidP="00E808F1">
                          <w:pPr>
                            <w:jc w:val="center"/>
                            <w:rPr>
                              <w:szCs w:val="24"/>
                            </w:rPr>
                          </w:pPr>
                          <w:r>
                            <w:rPr>
                              <w:color w:val="000000" w:themeColor="text1"/>
                              <w:kern w:val="24"/>
                            </w:rPr>
                            <w:t>Response cost</w:t>
                          </w:r>
                        </w:p>
                      </w:txbxContent>
                    </v:textbox>
                  </v:shape>
                </v:group>
                <v:group id="Group 423" o:spid="_x0000_s1233" style="position:absolute;left:761;width:13822;height:6216" coordorigin="761"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oundrect id="Rectangle: Rounded Corners 424" o:spid="_x0000_s1234" style="position:absolute;left:761;top:386;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xgAAANwAAAAPAAAAZHJzL2Rvd25yZXYueG1sRI9Ba8JA&#10;FITvBf/D8oReim6UUCVmFS0UigehNge9PbPPJJh9G3e3mv57t1DocZiZb5h81ZtW3Mj5xrKCyTgB&#10;QVxa3XCloPh6H81B+ICssbVMCn7Iw2o5eMox0/bOn3Tbh0pECPsMFdQhdJmUvqzJoB/bjjh6Z+sM&#10;hihdJbXDe4SbVk6T5FUabDgu1NjRW03lZf9tFMx2m9PmMCu2x7l7wcnabquiuyr1POzXCxCB+vAf&#10;/mt/aAXpNIXfM/EIyOUDAAD//wMAUEsBAi0AFAAGAAgAAAAhANvh9svuAAAAhQEAABMAAAAAAAAA&#10;AAAAAAAAAAAAAFtDb250ZW50X1R5cGVzXS54bWxQSwECLQAUAAYACAAAACEAWvQsW78AAAAVAQAA&#10;CwAAAAAAAAAAAAAAAAAfAQAAX3JlbHMvLnJlbHNQSwECLQAUAAYACAAAACEApOvv2sYAAADcAAAA&#10;DwAAAAAAAAAAAAAAAAAHAgAAZHJzL2Rvd25yZXYueG1sUEsFBgAAAAADAAMAtwAAAPoCAAAAAA==&#10;" filled="f" strokecolor="black [3213]"/>
                  <v:shape id="TextBox 409" o:spid="_x0000_s1235" type="#_x0000_t202" style="position:absolute;left:1115;width:1035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0E2616C4" w14:textId="77777777" w:rsidR="00777EE0" w:rsidRDefault="00777EE0" w:rsidP="00E808F1">
                          <w:pPr>
                            <w:jc w:val="center"/>
                            <w:rPr>
                              <w:szCs w:val="24"/>
                            </w:rPr>
                          </w:pPr>
                          <w:r>
                            <w:rPr>
                              <w:color w:val="000000" w:themeColor="text1"/>
                              <w:kern w:val="24"/>
                            </w:rPr>
                            <w:t>Vulnerability severity</w:t>
                          </w:r>
                        </w:p>
                      </w:txbxContent>
                    </v:textbox>
                  </v:shape>
                </v:group>
                <v:group id="Group 426" o:spid="_x0000_s1236" style="position:absolute;left:761;top:11466;width:13822;height:6217" coordorigin="761,11466"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oundrect id="Rectangle: Rounded Corners 427" o:spid="_x0000_s1237" style="position:absolute;left:761;top:11798;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86xgAAANwAAAAPAAAAZHJzL2Rvd25yZXYueG1sRI9Pa8JA&#10;FMTvQr/D8gq9iG4qYjW6SlsQqjnUf3h+ZJ9JaPZtyG6T+O1dQfA4zMxvmMWqM6VoqHaFZQXvwwgE&#10;cWp1wZmC03E9mIJwHlljaZkUXMnBavnSW2Csbct7ag4+EwHCLkYFufdVLKVLczLohrYiDt7F1gZ9&#10;kHUmdY1tgJtSjqJoIg0WHBZyrOg7p/Tv8G8UJMn6Omv6v5tTGRXJ9tJmm6/zTqm31+5zDsJT55/h&#10;R/tHKxiPPuB+JhwBubwBAAD//wMAUEsBAi0AFAAGAAgAAAAhANvh9svuAAAAhQEAABMAAAAAAAAA&#10;AAAAAAAAAAAAAFtDb250ZW50X1R5cGVzXS54bWxQSwECLQAUAAYACAAAACEAWvQsW78AAAAVAQAA&#10;CwAAAAAAAAAAAAAAAAAfAQAAX3JlbHMvLnJlbHNQSwECLQAUAAYACAAAACEAeyp/OsYAAADcAAAA&#10;DwAAAAAAAAAAAAAAAAAHAgAAZHJzL2Rvd25yZXYueG1sUEsFBgAAAAADAAMAtwAAAPoCAAAAAA==&#10;" fillcolor="white [3212]" strokecolor="black [3213]"/>
                  <v:shape id="TextBox 412" o:spid="_x0000_s1238" type="#_x0000_t202" style="position:absolute;left:1372;top:11466;width:9926;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v:textbox style="mso-fit-shape-to-text:t">
                      <w:txbxContent>
                        <w:p w14:paraId="5C381545" w14:textId="77777777" w:rsidR="00777EE0" w:rsidRDefault="00777EE0" w:rsidP="00E808F1">
                          <w:pPr>
                            <w:jc w:val="center"/>
                            <w:rPr>
                              <w:szCs w:val="24"/>
                            </w:rPr>
                          </w:pPr>
                          <w:r>
                            <w:rPr>
                              <w:color w:val="000000" w:themeColor="text1"/>
                              <w:kern w:val="24"/>
                            </w:rPr>
                            <w:t>Sources of information</w:t>
                          </w:r>
                        </w:p>
                      </w:txbxContent>
                    </v:textbox>
                  </v:shape>
                </v:group>
                <v:line id="Straight Connector 429" o:spid="_x0000_s1239" style="position:absolute;visibility:visible;mso-wrap-style:square" from="14307,25412" to="17491,2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oBxgAAANwAAAAPAAAAZHJzL2Rvd25yZXYueG1sRI9Pa8JA&#10;FMTvBb/D8oTe6sZgjUZXCYLQPyet4vWRfSZps2/D7jam/fTdQqHHYWZ+w6y3g2lFT843lhVMJwkI&#10;4tLqhisFp7f9wwKED8gaW8uk4Is8bDejuzXm2t74QP0xVCJC2OeooA6hy6X0ZU0G/cR2xNG7Wmcw&#10;ROkqqR3eIty0Mk2SuTTYcFyosaNdTeXH8dMoWJQv767Iiufp47nLvvv0db6/ZErdj4diBSLQEP7D&#10;f+0nrWCWLuH3TDwCcvMDAAD//wMAUEsBAi0AFAAGAAgAAAAhANvh9svuAAAAhQEAABMAAAAAAAAA&#10;AAAAAAAAAAAAAFtDb250ZW50X1R5cGVzXS54bWxQSwECLQAUAAYACAAAACEAWvQsW78AAAAVAQAA&#10;CwAAAAAAAAAAAAAAAAAfAQAAX3JlbHMvLnJlbHNQSwECLQAUAAYACAAAACEALMFaAcYAAADcAAAA&#10;DwAAAAAAAAAAAAAAAAAHAgAAZHJzL2Rvd25yZXYueG1sUEsFBgAAAAADAAMAtwAAAPoCAAAAAA==&#10;" strokecolor="black [3213]">
                  <o:lock v:ext="edit" shapetype="f"/>
                </v:line>
                <v:group id="Group 430" o:spid="_x0000_s1240" style="position:absolute;left:33877;width:10644;height:6216" coordorigin="33877"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oundrect id="Rectangle: Rounded Corners 431" o:spid="_x0000_s1241" style="position:absolute;left:33877;top:378;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qfxgAAANwAAAAPAAAAZHJzL2Rvd25yZXYueG1sRI9Ba8JA&#10;FITvQv/D8gq9iG7SFpXoKioIxUNBzUFvz+xrEpp9G3dXTf99t1DwOMzMN8xs0ZlG3Mj52rKCdJiA&#10;IC6srrlUkB82gwkIH5A1NpZJwQ95WMyfejPMtL3zjm77UIoIYZ+hgiqENpPSFxUZ9EPbEkfvyzqD&#10;IUpXSu3wHuGmka9JMpIGa44LFba0rqj43l+NgvHn6rw6jvPtaeL6mC7ttszbi1Ivz91yCiJQFx7h&#10;//aHVvD+lsLfmXgE5PwXAAD//wMAUEsBAi0AFAAGAAgAAAAhANvh9svuAAAAhQEAABMAAAAAAAAA&#10;AAAAAAAAAAAAAFtDb250ZW50X1R5cGVzXS54bWxQSwECLQAUAAYACAAAACEAWvQsW78AAAAVAQAA&#10;CwAAAAAAAAAAAAAAAAAfAQAAX3JlbHMvLnJlbHNQSwECLQAUAAYACAAAACEAMUXan8YAAADcAAAA&#10;DwAAAAAAAAAAAAAAAAAHAgAAZHJzL2Rvd25yZXYueG1sUEsFBgAAAAADAAMAtwAAAPoCAAAAAA==&#10;" filled="f" strokecolor="black [3213]"/>
                  <v:shape id="TextBox 422" o:spid="_x0000_s1242" type="#_x0000_t202" style="position:absolute;left:34781;width:948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AswwAAANwAAAAPAAAAZHJzL2Rvd25yZXYueG1sRI9Ba8JA&#10;FITvBf/D8gRvdaO2RaKriFXw0EttvD+yz2ww+zZkX038991CocdhZr5h1tvBN+pOXawDG5hNM1DE&#10;ZbA1VwaKr+PzElQUZItNYDLwoAjbzehpjbkNPX/S/SyVShCOORpwIm2udSwdeYzT0BIn7xo6j5Jk&#10;V2nbYZ/gvtHzLHvTHmtOCw5b2jsqb+dvb0DE7maP4uDj6TJ8vPcuK1+xMGYyHnYrUEKD/If/2idr&#10;4GUxh98z6QjozQ8AAAD//wMAUEsBAi0AFAAGAAgAAAAhANvh9svuAAAAhQEAABMAAAAAAAAAAAAA&#10;AAAAAAAAAFtDb250ZW50X1R5cGVzXS54bWxQSwECLQAUAAYACAAAACEAWvQsW78AAAAVAQAACwAA&#10;AAAAAAAAAAAAAAAfAQAAX3JlbHMvLnJlbHNQSwECLQAUAAYACAAAACEAokjgLMMAAADcAAAADwAA&#10;AAAAAAAAAAAAAAAHAgAAZHJzL2Rvd25yZXYueG1sUEsFBgAAAAADAAMAtwAAAPcCAAAAAA==&#10;" filled="f" stroked="f">
                    <v:textbox style="mso-fit-shape-to-text:t">
                      <w:txbxContent>
                        <w:p w14:paraId="600E8E63" w14:textId="77777777" w:rsidR="00777EE0" w:rsidRDefault="00777EE0" w:rsidP="00E808F1">
                          <w:pPr>
                            <w:jc w:val="center"/>
                            <w:rPr>
                              <w:szCs w:val="24"/>
                            </w:rPr>
                          </w:pPr>
                          <w:r>
                            <w:rPr>
                              <w:color w:val="000000" w:themeColor="text1"/>
                              <w:kern w:val="24"/>
                            </w:rPr>
                            <w:t>Threat appraisal</w:t>
                          </w:r>
                        </w:p>
                      </w:txbxContent>
                    </v:textbox>
                  </v:shape>
                </v:group>
                <v:group id="Group 433" o:spid="_x0000_s1243" style="position:absolute;left:33925;top:22943;width:10596;height:6217" coordorigin="33925,22943"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roundrect id="Rectangle: Rounded Corners 434" o:spid="_x0000_s1244" style="position:absolute;left:33925;top:23453;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eQxwAAANwAAAAPAAAAZHJzL2Rvd25yZXYueG1sRI9Pa8JA&#10;FMTvBb/D8oReRDdtRWx0I7YgVHOwteL5kX35g9m3IbtN4rfvFoQeh5n5DbPeDKYWHbWusqzgaRaB&#10;IM6srrhQcP7eTZcgnEfWWFsmBTdysElGD2uMte35i7qTL0SAsItRQel9E0vpspIMupltiIOX29ag&#10;D7ItpG6xD3BTy+coWkiDFYeFEht6Lym7nn6MgjTd3V67yXF/rqMqPeR9sX+7fCr1OB62KxCeBv8f&#10;vrc/tIL5yxz+zoQjIJNfAAAA//8DAFBLAQItABQABgAIAAAAIQDb4fbL7gAAAIUBAAATAAAAAAAA&#10;AAAAAAAAAAAAAABbQ29udGVudF9UeXBlc10ueG1sUEsBAi0AFAAGAAgAAAAhAFr0LFu/AAAAFQEA&#10;AAsAAAAAAAAAAAAAAAAAHwEAAF9yZWxzLy5yZWxzUEsBAi0AFAAGAAgAAAAhAA4hd5DHAAAA3AAA&#10;AA8AAAAAAAAAAAAAAAAABwIAAGRycy9kb3ducmV2LnhtbFBLBQYAAAAAAwADALcAAAD7AgAAAAA=&#10;" fillcolor="white [3212]" strokecolor="black [3213]"/>
                  <v:shape id="TextBox 425" o:spid="_x0000_s1245" type="#_x0000_t202" style="position:absolute;left:34783;top:22943;width:9921;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hYwwAAANwAAAAPAAAAZHJzL2Rvd25yZXYueG1sRI9Ba8JA&#10;FITvQv/D8gredGOtpaSuIlXBgxdten9kX7Oh2bch+2riv3cLgsdhZr5hluvBN+pCXawDG5hNM1DE&#10;ZbA1VwaKr/3kHVQUZItNYDJwpQjr1dNoibkNPZ/ocpZKJQjHHA04kTbXOpaOPMZpaImT9xM6j5Jk&#10;V2nbYZ/gvtEvWfamPdacFhy29Omo/D3/eQMidjO7FjsfD9/Dcdu7rFxgYcz4edh8gBIa5BG+tw/W&#10;wOt8Af9n0hHQqxsAAAD//wMAUEsBAi0AFAAGAAgAAAAhANvh9svuAAAAhQEAABMAAAAAAAAAAAAA&#10;AAAAAAAAAFtDb250ZW50X1R5cGVzXS54bWxQSwECLQAUAAYACAAAACEAWvQsW78AAAAVAQAACwAA&#10;AAAAAAAAAAAAAAAfAQAAX3JlbHMvLnJlbHNQSwECLQAUAAYACAAAACEALaF4WMMAAADcAAAADwAA&#10;AAAAAAAAAAAAAAAHAgAAZHJzL2Rvd25yZXYueG1sUEsFBgAAAAADAAMAtwAAAPcCAAAAAA==&#10;" filled="f" stroked="f">
                    <v:textbox style="mso-fit-shape-to-text:t">
                      <w:txbxContent>
                        <w:p w14:paraId="31B3453E" w14:textId="77777777" w:rsidR="00777EE0" w:rsidRDefault="00777EE0" w:rsidP="00E808F1">
                          <w:pPr>
                            <w:jc w:val="center"/>
                            <w:rPr>
                              <w:szCs w:val="24"/>
                            </w:rPr>
                          </w:pPr>
                          <w:r>
                            <w:rPr>
                              <w:color w:val="000000" w:themeColor="text1"/>
                              <w:kern w:val="24"/>
                            </w:rPr>
                            <w:t>Coping appraisal</w:t>
                          </w:r>
                        </w:p>
                      </w:txbxContent>
                    </v:textbox>
                  </v:shape>
                </v:group>
                <v:group id="_x0000_s1246" style="position:absolute;top:23063;width:15944;height:6217" coordorigin=",23063" coordsize="13043,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oundrect id="Rectangle: Rounded Corners 437" o:spid="_x0000_s1247" style="position:absolute;left:622;top:23471;width:11082;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dwxgAAANwAAAAPAAAAZHJzL2Rvd25yZXYueG1sRI9Ba8JA&#10;FITvBf/D8gQvRTfa0kh0FS0UioeCmoPentlnEsy+TXe3Gv+9Wyj0OMzMN8x82ZlGXMn52rKC8SgB&#10;QVxYXXOpIN9/DKcgfEDW2FgmBXfysFz0nuaYaXvjLV13oRQRwj5DBVUIbSalLyoy6Ee2JY7e2TqD&#10;IUpXSu3wFuGmkZMkeZMGa44LFbb0XlFx2f0YBenX+rQ+pPnmOHXPOF7ZTZm330oN+t1qBiJQF/7D&#10;f+1PreD1JYXfM/EIyMUDAAD//wMAUEsBAi0AFAAGAAgAAAAhANvh9svuAAAAhQEAABMAAAAAAAAA&#10;AAAAAAAAAAAAAFtDb250ZW50X1R5cGVzXS54bWxQSwECLQAUAAYACAAAACEAWvQsW78AAAAVAQAA&#10;CwAAAAAAAAAAAAAAAAAfAQAAX3JlbHMvLnJlbHNQSwECLQAUAAYACAAAACEA0eDncMYAAADcAAAA&#10;DwAAAAAAAAAAAAAAAAAHAgAAZHJzL2Rvd25yZXYueG1sUEsFBgAAAAADAAMAtwAAAPoCAAAAAA==&#10;" filled="f" strokecolor="black [3213]"/>
                  <v:shape id="TextBox 428" o:spid="_x0000_s1248" type="#_x0000_t202" style="position:absolute;top:23063;width:1304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fGwAAAANwAAAAPAAAAZHJzL2Rvd25yZXYueG1sRE9Na8JA&#10;EL0X/A/LFHrTjW2VErMRUQseeqmm9yE7ZkOzsyE7NfHfdw+FHh/vu9hOvlM3GmIb2MBykYEiroNt&#10;uTFQXd7nb6CiIFvsApOBO0XYlrOHAnMbRv6k21kalUI45mjAifS51rF25DEuQk+cuGsYPEqCQ6Pt&#10;gGMK951+zrK19thyanDY095R/X3+8QZE7G55r44+nr6mj8PosnqFlTFPj9NuA0pokn/xn/tkDby+&#10;pLXpTDoCuvwFAAD//wMAUEsBAi0AFAAGAAgAAAAhANvh9svuAAAAhQEAABMAAAAAAAAAAAAAAAAA&#10;AAAAAFtDb250ZW50X1R5cGVzXS54bWxQSwECLQAUAAYACAAAACEAWvQsW78AAAAVAQAACwAAAAAA&#10;AAAAAAAAAAAfAQAAX3JlbHMvLnJlbHNQSwECLQAUAAYACAAAACEAw6DXxsAAAADcAAAADwAAAAAA&#10;AAAAAAAAAAAHAgAAZHJzL2Rvd25yZXYueG1sUEsFBgAAAAADAAMAtwAAAPQCAAAAAA==&#10;" filled="f" stroked="f">
                    <v:textbox style="mso-fit-shape-to-text:t">
                      <w:txbxContent>
                        <w:p w14:paraId="15C8871E" w14:textId="77777777" w:rsidR="00777EE0" w:rsidRDefault="00777EE0" w:rsidP="00E808F1">
                          <w:pPr>
                            <w:jc w:val="center"/>
                            <w:rPr>
                              <w:szCs w:val="24"/>
                            </w:rPr>
                          </w:pPr>
                          <w:r>
                            <w:rPr>
                              <w:color w:val="000000" w:themeColor="text1"/>
                              <w:kern w:val="24"/>
                            </w:rPr>
                            <w:t>Response efficacy self-efficacy</w:t>
                          </w:r>
                        </w:p>
                      </w:txbxContent>
                    </v:textbox>
                  </v:shape>
                </v:group>
                <v:group id="Group 439" o:spid="_x0000_s1249" style="position:absolute;left:20450;top:7232;width:10596;height:4701" coordorigin="20450,7232" coordsize="1108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roundrect id="Rectangle: Rounded Corners 440" o:spid="_x0000_s1250" style="position:absolute;left:20450;top:7232;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LuxAAAANwAAAAPAAAAZHJzL2Rvd25yZXYueG1sRE9Na8JA&#10;EL0X/A/LCL0U3bRIqdE12EKgNgdrDJ6H7JgEs7Mhu03iv+8eCj0+3vc2mUwrBupdY1nB8zICQVxa&#10;3XCloDinizcQziNrbC2Tgjs5SHazhy3G2o58oiH3lQgh7GJUUHvfxVK6siaDbmk74sBdbW/QB9hX&#10;Uvc4hnDTypcoepUGGw4NNXb0UVN5y3+MgixL7+vh6Xgo2qjJvq5jdXi/fCv1OJ/2GxCeJv8v/nN/&#10;agWrVZgfzoQjIHe/AAAA//8DAFBLAQItABQABgAIAAAAIQDb4fbL7gAAAIUBAAATAAAAAAAAAAAA&#10;AAAAAAAAAABbQ29udGVudF9UeXBlc10ueG1sUEsBAi0AFAAGAAgAAAAhAFr0LFu/AAAAFQEAAAsA&#10;AAAAAAAAAAAAAAAAHwEAAF9yZWxzLy5yZWxzUEsBAi0AFAAGAAgAAAAhACkcAu7EAAAA3AAAAA8A&#10;AAAAAAAAAAAAAAAABwIAAGRycy9kb3ducmV2LnhtbFBLBQYAAAAAAwADALcAAAD4AgAAAAA=&#10;" fillcolor="white [3212]" strokecolor="black [3213]"/>
                  <v:shape id="TextBox 431" o:spid="_x0000_s1251" type="#_x0000_t202" style="position:absolute;left:20860;top:7736;width:992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0mwgAAANwAAAAPAAAAZHJzL2Rvd25yZXYueG1sRI9Pa8JA&#10;FMTvQr/D8oTedJNi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AKnA0mwgAAANwAAAAPAAAA&#10;AAAAAAAAAAAAAAcCAABkcnMvZG93bnJldi54bWxQSwUGAAAAAAMAAwC3AAAA9gIAAAAA&#10;" filled="f" stroked="f">
                    <v:textbox style="mso-fit-shape-to-text:t">
                      <w:txbxContent>
                        <w:p w14:paraId="5C0EA71E" w14:textId="77777777" w:rsidR="00777EE0" w:rsidRDefault="00777EE0" w:rsidP="00E808F1">
                          <w:pPr>
                            <w:jc w:val="center"/>
                            <w:rPr>
                              <w:szCs w:val="24"/>
                            </w:rPr>
                          </w:pPr>
                          <w:r>
                            <w:rPr>
                              <w:color w:val="000000" w:themeColor="text1"/>
                              <w:kern w:val="24"/>
                            </w:rPr>
                            <w:t>Fear</w:t>
                          </w:r>
                        </w:p>
                      </w:txbxContent>
                    </v:textbox>
                  </v:shape>
                </v:group>
                <v:line id="Straight Connector 442" o:spid="_x0000_s1252" style="position:absolute;visibility:visible;mso-wrap-style:square" from="39199,4259" to="39223,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QxgAAANwAAAAPAAAAZHJzL2Rvd25yZXYueG1sRI9Ba8JA&#10;FITvQv/D8gredGOwRqKrhIJg21Ntxesj+0zSZt+G3W1M/fVuoeBxmJlvmPV2MK3oyfnGsoLZNAFB&#10;XFrdcKXg82M3WYLwAVlja5kU/JKH7eZhtMZc2wu/U38IlYgQ9jkqqEPocil9WZNBP7UdcfTO1hkM&#10;UbpKaoeXCDetTJNkIQ02HBdq7Oi5pvL78GMULMvXL1dkxcvs6dhl1z59W+xOmVLjx6FYgQg0hHv4&#10;v73XCubzFP7OxCMgNzcAAAD//wMAUEsBAi0AFAAGAAgAAAAhANvh9svuAAAAhQEAABMAAAAAAAAA&#10;AAAAAAAAAAAAAFtDb250ZW50X1R5cGVzXS54bWxQSwECLQAUAAYACAAAACEAWvQsW78AAAAVAQAA&#10;CwAAAAAAAAAAAAAAAAAfAQAAX3JlbHMvLnJlbHNQSwECLQAUAAYACAAAACEA/7ot0MYAAADcAAAA&#10;DwAAAAAAAAAAAAAAAAAHAgAAZHJzL2Rvd25yZXYueG1sUEsFBgAAAAADAAMAtwAAAPoCAAAAAA==&#10;" strokecolor="black [3213]">
                  <o:lock v:ext="edit" shapetype="f"/>
                </v:line>
                <v:shape id="Straight Arrow Connector 443" o:spid="_x0000_s1253" type="#_x0000_t32" style="position:absolute;left:14583;top:13730;width:23949;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J9xQAAANwAAAAPAAAAZHJzL2Rvd25yZXYueG1sRI9Pi8Iw&#10;FMTvC36H8ARvmvoHdatRRNBVb1Zhd2+P5tkWm5fSRO1+eyMIexxm5jfMfNmYUtypdoVlBf1eBII4&#10;tbrgTMH5tOlOQTiPrLG0TAr+yMFy0fqYY6ztg490T3wmAoRdjApy76tYSpfmZND1bEUcvIutDfog&#10;60zqGh8Bbko5iKKxNFhwWMixonVO6TW5GQUT+f0VTdPdoP85PP/8rhO7P2ytUp12s5qB8NT4//C7&#10;vdMKRqMhvM6EIyAXTwAAAP//AwBQSwECLQAUAAYACAAAACEA2+H2y+4AAACFAQAAEwAAAAAAAAAA&#10;AAAAAAAAAAAAW0NvbnRlbnRfVHlwZXNdLnhtbFBLAQItABQABgAIAAAAIQBa9CxbvwAAABUBAAAL&#10;AAAAAAAAAAAAAAAAAB8BAABfcmVscy8ucmVsc1BLAQItABQABgAIAAAAIQAHeMJ9xQAAANwAAAAP&#10;AAAAAAAAAAAAAAAAAAcCAABkcnMvZG93bnJldi54bWxQSwUGAAAAAAMAAwC3AAAA+QIAAAAA&#10;" strokecolor="black [3213]">
                  <v:stroke endarrow="block"/>
                  <o:lock v:ext="edit" shapetype="f"/>
                </v:shape>
                <v:shape id="Straight Arrow Connector 444" o:spid="_x0000_s1254" type="#_x0000_t32" style="position:absolute;left:37561;top:13730;width:7570;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CvxgAAANwAAAAPAAAAZHJzL2Rvd25yZXYueG1sRI9BS8NA&#10;FITvQv/D8gre7EYJImm3pVYE8aSppfT2yL5m02bfprvbJP57VxA8DjPzDbNYjbYVPfnQOFZwP8tA&#10;EFdON1wr+Nq+3j2BCBFZY+uYFHxTgNVycrPAQruBP6kvYy0ShEOBCkyMXSFlqAxZDDPXESfv6LzF&#10;mKSvpfY4JLht5UOWPUqLDacFgx1tDFXn8moVtP37cNldTxfz8tFvy83+YJ59p9TtdFzPQUQa43/4&#10;r/2mFeR5Dr9n0hGQyx8AAAD//wMAUEsBAi0AFAAGAAgAAAAhANvh9svuAAAAhQEAABMAAAAAAAAA&#10;AAAAAAAAAAAAAFtDb250ZW50X1R5cGVzXS54bWxQSwECLQAUAAYACAAAACEAWvQsW78AAAAVAQAA&#10;CwAAAAAAAAAAAAAAAAAfAQAAX3JlbHMvLnJlbHNQSwECLQAUAAYACAAAACEAXR8Ar8YAAADcAAAA&#10;DwAAAAAAAAAAAAAAAAAHAgAAZHJzL2Rvd25yZXYueG1sUEsFBgAAAAADAAMAtwAAAPoCAAAAAA==&#10;" strokecolor="black [3213]">
                  <v:stroke endarrow="block"/>
                  <o:lock v:ext="edit" shapetype="f"/>
                </v:shape>
                <v:shape id="Straight Arrow Connector 445" o:spid="_x0000_s1255" type="#_x0000_t32" style="position:absolute;left:31046;top:9173;width:7486;height:3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U0xgAAANwAAAAPAAAAZHJzL2Rvd25yZXYueG1sRI9BSwMx&#10;FITvQv9DeAVvNmupImvTYiuCeKpbpfT22Dw3q5uXbZLubv99Uyh4HGbmG2a+HGwjOvKhdqzgfpKB&#10;IC6drrlS8LV9u3sCESKyxsYxKThRgOVidDPHXLueP6krYiUShEOOCkyMbS5lKA1ZDBPXEifvx3mL&#10;MUlfSe2xT3DbyGmWPUqLNacFgy2tDZV/xdEqaLqP/vB9/D2Y1023Lda7vVn5Vqnb8fDyDCLSEP/D&#10;1/a7VjCbPcDlTDoCcnEGAAD//wMAUEsBAi0AFAAGAAgAAAAhANvh9svuAAAAhQEAABMAAAAAAAAA&#10;AAAAAAAAAAAAAFtDb250ZW50X1R5cGVzXS54bWxQSwECLQAUAAYACAAAACEAWvQsW78AAAAVAQAA&#10;CwAAAAAAAAAAAAAAAAAfAQAAX3JlbHMvLnJlbHNQSwECLQAUAAYACAAAACEAMlOlNMYAAADcAAAA&#10;DwAAAAAAAAAAAAAAAAAHAgAAZHJzL2Rvd25yZXYueG1sUEsFBgAAAAADAAMAtwAAAPoCAAAAAA==&#10;" strokecolor="black [3213]">
                  <v:stroke endarrow="block"/>
                  <o:lock v:ext="edit" shapetype="f"/>
                </v:shape>
                <v:shape id="Straight Arrow Connector 446" o:spid="_x0000_s1256" type="#_x0000_t32" style="position:absolute;left:25515;top:4616;width:0;height:2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VWxQAAANwAAAAPAAAAZHJzL2Rvd25yZXYueG1sRI9PawIx&#10;FMTvhX6H8Aq91axFRVajiLTFgwj+19tz89xdunlZkqjbb98IgsdhZn7DDMeNqcSVnC8tK2i3EhDE&#10;mdUl5wo26++PPggfkDVWlknBH3kYj15fhphqe+MlXVchFxHCPkUFRQh1KqXPCjLoW7Ymjt7ZOoMh&#10;SpdL7fAW4aaSn0nSkwZLjgsF1jQtKPtdXYyCw2I27+an6fYQ3Kn/9VPvj7uElXp/ayYDEIGa8Aw/&#10;2jOtoNPpwf1MPAJy9A8AAP//AwBQSwECLQAUAAYACAAAACEA2+H2y+4AAACFAQAAEwAAAAAAAAAA&#10;AAAAAAAAAAAAW0NvbnRlbnRfVHlwZXNdLnhtbFBLAQItABQABgAIAAAAIQBa9CxbvwAAABUBAAAL&#10;AAAAAAAAAAAAAAAAAB8BAABfcmVscy8ucmVsc1BLAQItABQABgAIAAAAIQA30VVWxQAAANwAAAAP&#10;AAAAAAAAAAAAAAAAAAcCAABkcnMvZG93bnJldi54bWxQSwUGAAAAAAMAAwC3AAAA+QIAAAAA&#10;" strokecolor="black [3213]">
                  <v:stroke startarrow="block" endarrow="block"/>
                  <o:lock v:ext="edit" shapetype="f"/>
                </v:shape>
              </v:group>
            </w:pict>
          </mc:Fallback>
        </mc:AlternateContent>
      </w:r>
    </w:p>
    <w:p w14:paraId="687CCBA9" w14:textId="77777777" w:rsidR="00E808F1" w:rsidRDefault="00E808F1" w:rsidP="00E808F1">
      <w:pPr>
        <w:spacing w:line="480" w:lineRule="auto"/>
        <w:rPr>
          <w:b/>
        </w:rPr>
      </w:pPr>
    </w:p>
    <w:p w14:paraId="169DF095" w14:textId="77777777" w:rsidR="00E808F1" w:rsidRDefault="00E808F1" w:rsidP="00E808F1">
      <w:pPr>
        <w:spacing w:line="480" w:lineRule="auto"/>
        <w:rPr>
          <w:b/>
        </w:rPr>
      </w:pPr>
    </w:p>
    <w:p w14:paraId="442343F8" w14:textId="77777777" w:rsidR="00E808F1" w:rsidRDefault="00E808F1" w:rsidP="00E808F1">
      <w:pPr>
        <w:spacing w:line="480" w:lineRule="auto"/>
        <w:rPr>
          <w:b/>
        </w:rPr>
      </w:pPr>
    </w:p>
    <w:p w14:paraId="17F351A5" w14:textId="77777777" w:rsidR="00E808F1" w:rsidRDefault="00E808F1" w:rsidP="00E808F1">
      <w:pPr>
        <w:spacing w:line="480" w:lineRule="auto"/>
        <w:rPr>
          <w:b/>
        </w:rPr>
      </w:pPr>
    </w:p>
    <w:p w14:paraId="6C8FE488" w14:textId="77777777" w:rsidR="00E808F1" w:rsidRPr="00010DD0" w:rsidRDefault="00E808F1" w:rsidP="00E808F1">
      <w:pPr>
        <w:pStyle w:val="Heading3"/>
        <w:numPr>
          <w:ilvl w:val="0"/>
          <w:numId w:val="0"/>
        </w:numPr>
        <w:rPr>
          <w:color w:val="auto"/>
        </w:rPr>
      </w:pPr>
      <w:r>
        <w:rPr>
          <w:color w:val="auto"/>
        </w:rPr>
        <w:br/>
      </w:r>
      <w:r>
        <w:rPr>
          <w:color w:val="auto"/>
        </w:rPr>
        <w:br/>
      </w:r>
    </w:p>
    <w:p w14:paraId="673F1B15" w14:textId="77777777" w:rsidR="00E808F1" w:rsidRPr="00010DD0" w:rsidRDefault="00E808F1" w:rsidP="00E808F1">
      <w:pPr>
        <w:pStyle w:val="Heading3"/>
        <w:rPr>
          <w:color w:val="auto"/>
        </w:rPr>
      </w:pPr>
      <w:bookmarkStart w:id="359" w:name="_Toc35892644"/>
      <w:r w:rsidRPr="004F692F">
        <w:t xml:space="preserve">Theory of </w:t>
      </w:r>
      <w:r w:rsidRPr="005B4325">
        <w:t>Planned Behaviour</w:t>
      </w:r>
      <w:bookmarkEnd w:id="359"/>
    </w:p>
    <w:p w14:paraId="6F41C875" w14:textId="77777777" w:rsidR="003D4E79" w:rsidRDefault="00E808F1" w:rsidP="00E808F1">
      <w:pPr>
        <w:pStyle w:val="Notesstructure"/>
        <w:spacing w:line="480" w:lineRule="auto"/>
        <w:rPr>
          <w:color w:val="000000" w:themeColor="text1"/>
        </w:rPr>
      </w:pPr>
      <w:r w:rsidRPr="005B4325">
        <w:rPr>
          <w:color w:val="000000" w:themeColor="text1"/>
        </w:rPr>
        <w:t xml:space="preserve">According to the theory of planned behaviour (TPB; </w:t>
      </w:r>
      <w:bookmarkStart w:id="360" w:name="_Hlk7618510"/>
      <w:r w:rsidRPr="005B4325">
        <w:rPr>
          <w:color w:val="000000" w:themeColor="text1"/>
        </w:rPr>
        <w:t xml:space="preserve">Ajzen, 1991) </w:t>
      </w:r>
      <w:bookmarkEnd w:id="360"/>
      <w:r w:rsidRPr="005B4325">
        <w:rPr>
          <w:color w:val="000000" w:themeColor="text1"/>
        </w:rPr>
        <w:t xml:space="preserve">behaviour is a result of a person’s intention to act and their perceptions of control over the intended behaviour. A person’s intentions are determined by their attitude (favourable or unfavourable evaluations), subjective norms (beliefs about whether significant others want them to perform the </w:t>
      </w:r>
    </w:p>
    <w:p w14:paraId="7AFEE132" w14:textId="1F0A7546" w:rsidR="00E808F1" w:rsidRDefault="00E808F1" w:rsidP="00E808F1">
      <w:pPr>
        <w:pStyle w:val="Notesstructure"/>
        <w:spacing w:line="480" w:lineRule="auto"/>
        <w:rPr>
          <w:color w:val="000000" w:themeColor="text1"/>
          <w:szCs w:val="24"/>
          <w:lang w:eastAsia="en-GB"/>
        </w:rPr>
      </w:pPr>
      <w:r w:rsidRPr="005B4325">
        <w:rPr>
          <w:color w:val="000000" w:themeColor="text1"/>
        </w:rPr>
        <w:t>behaviour) and perceived behavioural control (perceptions about whether performing the behaviour is easy or difficult). The TPB has been applied to a variety of health behaviours and has received extensive support (see Conner &amp; Norman, 2015). While the TPB is generally considered a good predictor of behaviour, its performance with health risk behaviours is not as strong (</w:t>
      </w:r>
      <w:r w:rsidRPr="005B4325">
        <w:rPr>
          <w:color w:val="000000" w:themeColor="text1"/>
          <w:lang w:eastAsia="en-GB"/>
        </w:rPr>
        <w:t xml:space="preserve">McEachan, Conner, Taylor, </w:t>
      </w:r>
      <w:r>
        <w:rPr>
          <w:color w:val="000000" w:themeColor="text1"/>
          <w:lang w:eastAsia="en-GB"/>
        </w:rPr>
        <w:t xml:space="preserve">&amp; </w:t>
      </w:r>
      <w:r w:rsidRPr="005B4325">
        <w:rPr>
          <w:color w:val="000000" w:themeColor="text1"/>
          <w:lang w:eastAsia="en-GB"/>
        </w:rPr>
        <w:t>Lawton, 2001</w:t>
      </w:r>
      <w:r w:rsidRPr="005B4325">
        <w:rPr>
          <w:color w:val="000000" w:themeColor="text1"/>
        </w:rPr>
        <w:t>)</w:t>
      </w:r>
      <w:r>
        <w:rPr>
          <w:color w:val="000000" w:themeColor="text1"/>
        </w:rPr>
        <w:t>. Nevertheless, the TPB</w:t>
      </w:r>
      <w:r w:rsidRPr="005B4325">
        <w:rPr>
          <w:color w:val="000000" w:themeColor="text1"/>
        </w:rPr>
        <w:t xml:space="preserve"> has </w:t>
      </w:r>
      <w:r>
        <w:rPr>
          <w:color w:val="000000" w:themeColor="text1"/>
        </w:rPr>
        <w:t>shown positive results</w:t>
      </w:r>
      <w:r w:rsidRPr="005B4325">
        <w:rPr>
          <w:color w:val="000000" w:themeColor="text1"/>
        </w:rPr>
        <w:t xml:space="preserve"> with a range of health risk behaviours including smoking (</w:t>
      </w:r>
      <w:r>
        <w:rPr>
          <w:color w:val="000000" w:themeColor="text1"/>
        </w:rPr>
        <w:t xml:space="preserve">Conner et. al., 2006; </w:t>
      </w:r>
      <w:r w:rsidRPr="005B4325">
        <w:rPr>
          <w:color w:val="000000" w:themeColor="text1"/>
          <w:lang w:eastAsia="en-GB"/>
        </w:rPr>
        <w:t xml:space="preserve">Rise, </w:t>
      </w:r>
      <w:r w:rsidRPr="005B4325">
        <w:rPr>
          <w:color w:val="000000" w:themeColor="text1"/>
          <w:szCs w:val="24"/>
          <w:lang w:eastAsia="en-GB"/>
        </w:rPr>
        <w:t>Kovac,</w:t>
      </w:r>
      <w:r w:rsidRPr="005B4325">
        <w:rPr>
          <w:color w:val="000000" w:themeColor="text1"/>
          <w:lang w:eastAsia="en-GB"/>
        </w:rPr>
        <w:t xml:space="preserve"> </w:t>
      </w:r>
      <w:r w:rsidRPr="005B4325">
        <w:rPr>
          <w:color w:val="000000" w:themeColor="text1"/>
          <w:szCs w:val="24"/>
          <w:lang w:eastAsia="en-GB"/>
        </w:rPr>
        <w:t>Kraft,</w:t>
      </w:r>
      <w:r w:rsidRPr="005B4325">
        <w:rPr>
          <w:color w:val="000000" w:themeColor="text1"/>
          <w:lang w:eastAsia="en-GB"/>
        </w:rPr>
        <w:t xml:space="preserve"> </w:t>
      </w:r>
      <w:r>
        <w:rPr>
          <w:color w:val="000000" w:themeColor="text1"/>
          <w:lang w:eastAsia="en-GB"/>
        </w:rPr>
        <w:t>&amp;</w:t>
      </w:r>
      <w:r w:rsidRPr="005B4325">
        <w:rPr>
          <w:color w:val="000000" w:themeColor="text1"/>
          <w:lang w:eastAsia="en-GB"/>
        </w:rPr>
        <w:t xml:space="preserve"> </w:t>
      </w:r>
      <w:r w:rsidRPr="005B4325">
        <w:rPr>
          <w:color w:val="000000" w:themeColor="text1"/>
          <w:szCs w:val="24"/>
          <w:lang w:eastAsia="en-GB"/>
        </w:rPr>
        <w:t>Moan, 2008)</w:t>
      </w:r>
      <w:r>
        <w:rPr>
          <w:color w:val="000000" w:themeColor="text1"/>
          <w:szCs w:val="24"/>
          <w:lang w:eastAsia="en-GB"/>
        </w:rPr>
        <w:t>,</w:t>
      </w:r>
      <w:r w:rsidRPr="005B4325">
        <w:rPr>
          <w:color w:val="000000" w:themeColor="text1"/>
          <w:szCs w:val="24"/>
          <w:lang w:eastAsia="en-GB"/>
        </w:rPr>
        <w:t xml:space="preserve"> binge drinking </w:t>
      </w:r>
      <w:r>
        <w:rPr>
          <w:color w:val="000000" w:themeColor="text1"/>
          <w:szCs w:val="24"/>
          <w:lang w:eastAsia="en-GB"/>
        </w:rPr>
        <w:t>(</w:t>
      </w:r>
      <w:r w:rsidRPr="005B4325">
        <w:rPr>
          <w:color w:val="000000" w:themeColor="text1"/>
          <w:lang w:eastAsia="en-GB"/>
        </w:rPr>
        <w:t xml:space="preserve">Cooke, </w:t>
      </w:r>
      <w:r w:rsidRPr="005B4325">
        <w:rPr>
          <w:color w:val="000000" w:themeColor="text1"/>
          <w:szCs w:val="24"/>
          <w:lang w:eastAsia="en-GB"/>
        </w:rPr>
        <w:t xml:space="preserve">Dahdah, </w:t>
      </w:r>
      <w:r w:rsidR="00015283">
        <w:rPr>
          <w:color w:val="000000" w:themeColor="text1"/>
          <w:szCs w:val="24"/>
          <w:lang w:eastAsia="en-GB"/>
        </w:rPr>
        <w:t xml:space="preserve">Norman et. al. 2007; </w:t>
      </w:r>
      <w:r w:rsidR="00015283" w:rsidRPr="005B4325">
        <w:rPr>
          <w:color w:val="000000" w:themeColor="text1"/>
          <w:lang w:eastAsia="en-GB"/>
        </w:rPr>
        <w:t>ManKarious &amp; Kothe, 2015</w:t>
      </w:r>
      <w:r w:rsidR="00015283">
        <w:rPr>
          <w:color w:val="000000" w:themeColor="text1"/>
          <w:lang w:eastAsia="en-GB"/>
        </w:rPr>
        <w:t xml:space="preserve">; </w:t>
      </w:r>
      <w:r w:rsidRPr="005B4325">
        <w:rPr>
          <w:color w:val="000000" w:themeColor="text1"/>
          <w:szCs w:val="24"/>
          <w:lang w:eastAsia="en-GB"/>
        </w:rPr>
        <w:t>Norman,</w:t>
      </w:r>
      <w:r w:rsidRPr="005B4325">
        <w:rPr>
          <w:color w:val="000000" w:themeColor="text1"/>
          <w:lang w:eastAsia="en-GB"/>
        </w:rPr>
        <w:t xml:space="preserve"> &amp; French, 2016</w:t>
      </w:r>
      <w:r>
        <w:rPr>
          <w:color w:val="000000" w:themeColor="text1"/>
          <w:lang w:eastAsia="en-GB"/>
        </w:rPr>
        <w:t>)</w:t>
      </w:r>
      <w:r w:rsidRPr="005B4325">
        <w:rPr>
          <w:color w:val="000000" w:themeColor="text1"/>
          <w:lang w:eastAsia="en-GB"/>
        </w:rPr>
        <w:t xml:space="preserve"> and </w:t>
      </w:r>
      <w:r>
        <w:rPr>
          <w:color w:val="000000" w:themeColor="text1"/>
          <w:szCs w:val="24"/>
          <w:lang w:eastAsia="en-GB"/>
        </w:rPr>
        <w:t>illicit drug</w:t>
      </w:r>
      <w:r w:rsidRPr="005B4325">
        <w:rPr>
          <w:color w:val="000000" w:themeColor="text1"/>
          <w:szCs w:val="24"/>
          <w:lang w:eastAsia="en-GB"/>
        </w:rPr>
        <w:t xml:space="preserve"> </w:t>
      </w:r>
      <w:r>
        <w:rPr>
          <w:color w:val="000000" w:themeColor="text1"/>
          <w:szCs w:val="24"/>
          <w:lang w:eastAsia="en-GB"/>
        </w:rPr>
        <w:t xml:space="preserve">use </w:t>
      </w:r>
      <w:r w:rsidRPr="005B4325">
        <w:rPr>
          <w:color w:val="000000" w:themeColor="text1"/>
          <w:szCs w:val="24"/>
          <w:lang w:eastAsia="en-GB"/>
        </w:rPr>
        <w:t>(</w:t>
      </w:r>
      <w:r>
        <w:rPr>
          <w:color w:val="000000" w:themeColor="text1"/>
          <w:szCs w:val="24"/>
          <w:lang w:eastAsia="en-GB"/>
        </w:rPr>
        <w:t xml:space="preserve">MacMillan &amp; Conner, 2003; </w:t>
      </w:r>
      <w:r w:rsidRPr="005B4325">
        <w:rPr>
          <w:color w:val="000000" w:themeColor="text1"/>
          <w:szCs w:val="24"/>
          <w:lang w:eastAsia="en-GB"/>
        </w:rPr>
        <w:t>Peters, Kok &amp; Abraham. 2007)</w:t>
      </w:r>
      <w:r>
        <w:rPr>
          <w:color w:val="000000" w:themeColor="text1"/>
          <w:szCs w:val="24"/>
          <w:lang w:eastAsia="en-GB"/>
        </w:rPr>
        <w:t xml:space="preserve">. Despite its extensive application in behavioural prediction, the TPB has been less commonly used to inform intervention design, (Hardeman et al., 2002). </w:t>
      </w:r>
    </w:p>
    <w:p w14:paraId="1F1242F0" w14:textId="59D83411" w:rsidR="00E808F1" w:rsidRDefault="00E808F1" w:rsidP="00835A06">
      <w:pPr>
        <w:pStyle w:val="FigureHeading"/>
      </w:pPr>
      <w:bookmarkStart w:id="361" w:name="_Toc9509134"/>
      <w:r w:rsidRPr="00CE72F7">
        <w:t xml:space="preserve">Figure </w:t>
      </w:r>
      <w:r w:rsidR="00835A06">
        <w:t>5-</w:t>
      </w:r>
      <w:r>
        <w:t>4</w:t>
      </w:r>
      <w:r w:rsidRPr="00CE72F7">
        <w:t xml:space="preserve"> </w:t>
      </w:r>
      <w:r>
        <w:t>Theory of planned behaviour</w:t>
      </w:r>
      <w:bookmarkEnd w:id="361"/>
    </w:p>
    <w:p w14:paraId="1A9EA9C3" w14:textId="77777777" w:rsidR="00E808F1" w:rsidRDefault="00E808F1" w:rsidP="00E808F1">
      <w:pPr>
        <w:spacing w:line="480" w:lineRule="auto"/>
        <w:rPr>
          <w:b/>
        </w:rPr>
      </w:pPr>
      <w:r w:rsidRPr="00010DD0">
        <w:rPr>
          <w:noProof/>
          <w:color w:val="000000" w:themeColor="text1"/>
          <w:szCs w:val="24"/>
          <w:lang w:val="en-US" w:eastAsia="en-US"/>
        </w:rPr>
        <mc:AlternateContent>
          <mc:Choice Requires="wpg">
            <w:drawing>
              <wp:anchor distT="0" distB="0" distL="114300" distR="114300" simplePos="0" relativeHeight="253718528" behindDoc="0" locked="0" layoutInCell="1" allowOverlap="1" wp14:anchorId="391E7378" wp14:editId="6040A3C6">
                <wp:simplePos x="0" y="0"/>
                <wp:positionH relativeFrom="column">
                  <wp:posOffset>-59377</wp:posOffset>
                </wp:positionH>
                <wp:positionV relativeFrom="paragraph">
                  <wp:posOffset>57339</wp:posOffset>
                </wp:positionV>
                <wp:extent cx="4702693" cy="2060832"/>
                <wp:effectExtent l="57150" t="0" r="3175" b="0"/>
                <wp:wrapNone/>
                <wp:docPr id="447" name="Group 437"/>
                <wp:cNvGraphicFramePr/>
                <a:graphic xmlns:a="http://schemas.openxmlformats.org/drawingml/2006/main">
                  <a:graphicData uri="http://schemas.microsoft.com/office/word/2010/wordprocessingGroup">
                    <wpg:wgp>
                      <wpg:cNvGrpSpPr/>
                      <wpg:grpSpPr>
                        <a:xfrm>
                          <a:off x="0" y="0"/>
                          <a:ext cx="4702693" cy="2060832"/>
                          <a:chOff x="0" y="0"/>
                          <a:chExt cx="4702689" cy="2060832"/>
                        </a:xfrm>
                      </wpg:grpSpPr>
                      <wpg:grpSp>
                        <wpg:cNvPr id="448" name="Group 448"/>
                        <wpg:cNvGrpSpPr/>
                        <wpg:grpSpPr>
                          <a:xfrm>
                            <a:off x="3711455" y="791667"/>
                            <a:ext cx="991234" cy="496674"/>
                            <a:chOff x="3711452" y="791667"/>
                            <a:chExt cx="1111384" cy="485307"/>
                          </a:xfrm>
                        </wpg:grpSpPr>
                        <wps:wsp>
                          <wps:cNvPr id="449" name="Rectangle 449"/>
                          <wps:cNvSpPr/>
                          <wps:spPr>
                            <a:xfrm>
                              <a:off x="3752906" y="791667"/>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50" name="TextBox 23"/>
                          <wps:cNvSpPr txBox="1"/>
                          <wps:spPr>
                            <a:xfrm>
                              <a:off x="3711452" y="866845"/>
                              <a:ext cx="1111384" cy="410129"/>
                            </a:xfrm>
                            <a:prstGeom prst="rect">
                              <a:avLst/>
                            </a:prstGeom>
                            <a:noFill/>
                          </wps:spPr>
                          <wps:txbx>
                            <w:txbxContent>
                              <w:p w14:paraId="34F63F79" w14:textId="77777777" w:rsidR="00777EE0" w:rsidRDefault="00777EE0" w:rsidP="00E808F1">
                                <w:pPr>
                                  <w:jc w:val="center"/>
                                  <w:rPr>
                                    <w:szCs w:val="24"/>
                                  </w:rPr>
                                </w:pPr>
                                <w:r>
                                  <w:rPr>
                                    <w:color w:val="000000" w:themeColor="text1"/>
                                    <w:kern w:val="24"/>
                                  </w:rPr>
                                  <w:t>Behaviour</w:t>
                                </w:r>
                              </w:p>
                            </w:txbxContent>
                          </wps:txbx>
                          <wps:bodyPr wrap="square" rtlCol="0">
                            <a:spAutoFit/>
                          </wps:bodyPr>
                        </wps:wsp>
                      </wpg:grpSp>
                      <wps:wsp>
                        <wps:cNvPr id="451" name="Straight Connector 451"/>
                        <wps:cNvCnPr>
                          <a:cxnSpLocks/>
                        </wps:cNvCnPr>
                        <wps:spPr>
                          <a:xfrm>
                            <a:off x="1347439" y="225464"/>
                            <a:ext cx="720463" cy="7851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a:cxnSpLocks/>
                        </wps:cNvCnPr>
                        <wps:spPr>
                          <a:xfrm>
                            <a:off x="1349950" y="1009922"/>
                            <a:ext cx="717952" cy="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a:cxnSpLocks/>
                        </wps:cNvCnPr>
                        <wps:spPr>
                          <a:xfrm flipV="1">
                            <a:off x="1349949" y="1010573"/>
                            <a:ext cx="717953" cy="769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Straight Connector 454"/>
                        <wps:cNvCnPr>
                          <a:cxnSpLocks/>
                        </wps:cNvCnPr>
                        <wps:spPr>
                          <a:xfrm>
                            <a:off x="2952942" y="1010573"/>
                            <a:ext cx="795487" cy="90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Straight Connector 455"/>
                        <wps:cNvCnPr>
                          <a:cxnSpLocks/>
                        </wps:cNvCnPr>
                        <wps:spPr>
                          <a:xfrm flipV="1">
                            <a:off x="1349949" y="1019661"/>
                            <a:ext cx="2398480" cy="7603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6" name="Group 456"/>
                        <wpg:cNvGrpSpPr/>
                        <wpg:grpSpPr>
                          <a:xfrm>
                            <a:off x="1956324" y="816515"/>
                            <a:ext cx="1108074" cy="471827"/>
                            <a:chOff x="1956320" y="816515"/>
                            <a:chExt cx="1387419" cy="471827"/>
                          </a:xfrm>
                        </wpg:grpSpPr>
                        <wps:wsp>
                          <wps:cNvPr id="457" name="Rectangle: Rounded Corners 457"/>
                          <wps:cNvSpPr/>
                          <wps:spPr>
                            <a:xfrm>
                              <a:off x="2096026" y="816515"/>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8" name="TextBox 326"/>
                          <wps:cNvSpPr txBox="1"/>
                          <wps:spPr>
                            <a:xfrm>
                              <a:off x="1956320" y="868607"/>
                              <a:ext cx="1387419" cy="419735"/>
                            </a:xfrm>
                            <a:prstGeom prst="rect">
                              <a:avLst/>
                            </a:prstGeom>
                            <a:noFill/>
                          </wps:spPr>
                          <wps:txbx>
                            <w:txbxContent>
                              <w:p w14:paraId="6E3BEFCD" w14:textId="77777777" w:rsidR="00777EE0" w:rsidRDefault="00777EE0" w:rsidP="00E808F1">
                                <w:pPr>
                                  <w:jc w:val="center"/>
                                  <w:rPr>
                                    <w:szCs w:val="24"/>
                                  </w:rPr>
                                </w:pPr>
                                <w:r>
                                  <w:rPr>
                                    <w:color w:val="000000" w:themeColor="text1"/>
                                    <w:kern w:val="24"/>
                                  </w:rPr>
                                  <w:t>Intention</w:t>
                                </w:r>
                              </w:p>
                            </w:txbxContent>
                          </wps:txbx>
                          <wps:bodyPr wrap="square" rtlCol="0">
                            <a:spAutoFit/>
                          </wps:bodyPr>
                        </wps:wsp>
                      </wpg:grpSp>
                      <wpg:grpSp>
                        <wpg:cNvPr id="459" name="Group 459"/>
                        <wpg:cNvGrpSpPr/>
                        <wpg:grpSpPr>
                          <a:xfrm>
                            <a:off x="283021" y="31406"/>
                            <a:ext cx="1064418" cy="480341"/>
                            <a:chOff x="283021" y="31406"/>
                            <a:chExt cx="1108158" cy="480341"/>
                          </a:xfrm>
                          <a:solidFill>
                            <a:schemeClr val="bg1"/>
                          </a:solidFill>
                        </wpg:grpSpPr>
                        <wps:wsp>
                          <wps:cNvPr id="460" name="Rectangle: Rounded Corners 460"/>
                          <wps:cNvSpPr/>
                          <wps:spPr>
                            <a:xfrm>
                              <a:off x="283021" y="31406"/>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 name="TextBox 330"/>
                          <wps:cNvSpPr txBox="1"/>
                          <wps:spPr>
                            <a:xfrm>
                              <a:off x="388294" y="92012"/>
                              <a:ext cx="829672" cy="419735"/>
                            </a:xfrm>
                            <a:prstGeom prst="rect">
                              <a:avLst/>
                            </a:prstGeom>
                            <a:noFill/>
                          </wps:spPr>
                          <wps:txbx>
                            <w:txbxContent>
                              <w:p w14:paraId="1261DA0D" w14:textId="77777777" w:rsidR="00777EE0" w:rsidRDefault="00777EE0" w:rsidP="00E808F1">
                                <w:pPr>
                                  <w:jc w:val="center"/>
                                  <w:rPr>
                                    <w:szCs w:val="24"/>
                                  </w:rPr>
                                </w:pPr>
                                <w:r>
                                  <w:rPr>
                                    <w:color w:val="000000" w:themeColor="text1"/>
                                    <w:kern w:val="24"/>
                                  </w:rPr>
                                  <w:t>Attitude</w:t>
                                </w:r>
                              </w:p>
                            </w:txbxContent>
                          </wps:txbx>
                          <wps:bodyPr wrap="square" rtlCol="0">
                            <a:spAutoFit/>
                          </wps:bodyPr>
                        </wps:wsp>
                      </wpg:grpSp>
                      <wpg:grpSp>
                        <wpg:cNvPr id="462" name="Group 462"/>
                        <wpg:cNvGrpSpPr/>
                        <wpg:grpSpPr>
                          <a:xfrm>
                            <a:off x="285533" y="777136"/>
                            <a:ext cx="1064417" cy="621665"/>
                            <a:chOff x="285533" y="777136"/>
                            <a:chExt cx="1108158" cy="621665"/>
                          </a:xfrm>
                        </wpg:grpSpPr>
                        <wps:wsp>
                          <wps:cNvPr id="463" name="Rectangle: Rounded Corners 463"/>
                          <wps:cNvSpPr/>
                          <wps:spPr>
                            <a:xfrm>
                              <a:off x="285533" y="815864"/>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TextBox 331"/>
                          <wps:cNvSpPr txBox="1"/>
                          <wps:spPr>
                            <a:xfrm>
                              <a:off x="291926" y="777136"/>
                              <a:ext cx="1064361" cy="621665"/>
                            </a:xfrm>
                            <a:prstGeom prst="rect">
                              <a:avLst/>
                            </a:prstGeom>
                            <a:noFill/>
                          </wps:spPr>
                          <wps:txbx>
                            <w:txbxContent>
                              <w:p w14:paraId="6DAE9B42" w14:textId="77777777" w:rsidR="00777EE0" w:rsidRDefault="00777EE0" w:rsidP="00E808F1">
                                <w:pPr>
                                  <w:jc w:val="center"/>
                                  <w:rPr>
                                    <w:szCs w:val="24"/>
                                  </w:rPr>
                                </w:pPr>
                                <w:r>
                                  <w:rPr>
                                    <w:color w:val="000000" w:themeColor="text1"/>
                                    <w:kern w:val="24"/>
                                  </w:rPr>
                                  <w:t>Subjective norms</w:t>
                                </w:r>
                              </w:p>
                            </w:txbxContent>
                          </wps:txbx>
                          <wps:bodyPr wrap="square" rtlCol="0">
                            <a:spAutoFit/>
                          </wps:bodyPr>
                        </wps:wsp>
                      </wpg:grpSp>
                      <wpg:grpSp>
                        <wpg:cNvPr id="465" name="Group 465"/>
                        <wpg:cNvGrpSpPr/>
                        <wpg:grpSpPr>
                          <a:xfrm>
                            <a:off x="290337" y="1585981"/>
                            <a:ext cx="1059611" cy="474851"/>
                            <a:chOff x="290337" y="1585981"/>
                            <a:chExt cx="1108158" cy="474851"/>
                          </a:xfrm>
                        </wpg:grpSpPr>
                        <wps:wsp>
                          <wps:cNvPr id="466" name="Rectangle: Rounded Corners 466"/>
                          <wps:cNvSpPr/>
                          <wps:spPr>
                            <a:xfrm>
                              <a:off x="290337" y="1585981"/>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TextBox 332"/>
                          <wps:cNvSpPr txBox="1"/>
                          <wps:spPr>
                            <a:xfrm>
                              <a:off x="307068" y="1641097"/>
                              <a:ext cx="1064540" cy="419735"/>
                            </a:xfrm>
                            <a:prstGeom prst="rect">
                              <a:avLst/>
                            </a:prstGeom>
                            <a:noFill/>
                          </wps:spPr>
                          <wps:txbx>
                            <w:txbxContent>
                              <w:p w14:paraId="02D4A81F" w14:textId="77777777" w:rsidR="00777EE0" w:rsidRDefault="00777EE0" w:rsidP="00E808F1">
                                <w:pPr>
                                  <w:jc w:val="center"/>
                                  <w:rPr>
                                    <w:szCs w:val="24"/>
                                  </w:rPr>
                                </w:pPr>
                                <w:r>
                                  <w:rPr>
                                    <w:color w:val="000000" w:themeColor="text1"/>
                                    <w:kern w:val="24"/>
                                  </w:rPr>
                                  <w:t>PBC</w:t>
                                </w:r>
                              </w:p>
                            </w:txbxContent>
                          </wps:txbx>
                          <wps:bodyPr wrap="square" rtlCol="0">
                            <a:spAutoFit/>
                          </wps:bodyPr>
                        </wps:wsp>
                      </wpg:grpSp>
                      <wps:wsp>
                        <wps:cNvPr id="468" name="Arc 468"/>
                        <wps:cNvSpPr/>
                        <wps:spPr>
                          <a:xfrm rot="13503300">
                            <a:off x="-1937" y="1937"/>
                            <a:ext cx="2019844" cy="201596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Arc 469"/>
                        <wps:cNvSpPr/>
                        <wps:spPr>
                          <a:xfrm rot="13404782">
                            <a:off x="182282" y="251782"/>
                            <a:ext cx="683688" cy="70607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Arc 470"/>
                        <wps:cNvSpPr/>
                        <wps:spPr>
                          <a:xfrm rot="13404782">
                            <a:off x="186299" y="1049875"/>
                            <a:ext cx="683688" cy="70607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1E7378" id="Group 437" o:spid="_x0000_s1257" style="position:absolute;margin-left:-4.7pt;margin-top:4.5pt;width:370.3pt;height:162.25pt;z-index:253718528" coordsize="47026,2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E9ewgAAPA6AAAOAAAAZHJzL2Uyb0RvYy54bWzsW1tzm0YUfu9M/wPDeyIWlstqYmdct8l0&#10;xpNm4rR5xghdpgjogi25v77fXljQ3VJiJWnIgyMEu+zlnO875zurV6+X88x6SHk1K/ILm7x0bCvN&#10;k2I0yycX9p8f37yIbKuq43wUZ0WeXtiPaWW/vvz5p1eLcpi6xbTIRim30EleDRflhT2t63I4GFTJ&#10;NJ3H1cuiTHPcHBd8Hte45JPBiMcL9D7PBq7jBINFwUclL5K0qvDtr+qmfSn7H4/TpP5jPK7S2sou&#10;bIytln+5/Hsn/g4uX8XDCY/L6SzRw4hPGMU8nuV4qenq17iOrXs+2+hqPkt4URXj+mVSzAfFeDxL&#10;UjkHzIY4a7N5y4v7Us5lMlxMSrNMWNq1dTq52+Tdw3tuzUYXNqWhbeXxHJsk32tRLxTLsygnQzz1&#10;lpe35Xuuv5ioKzHj5ZjPxf+Yi7WUC/toFjZd1laCL2nouAHzbCvBPdcJnMhz1dInU+zPRrtk+lu3&#10;ZcQ2Wg6aFw/E+MxwzIUZt5kdDHFldjQ6YXZeSAj1fdvCPEJGgkAuUTxsJsoYcT2qRksZbtO1aaoO&#10;3I0O2hkT/POipo/I9xz5jp0Tht9UrWlUn2cat9O4TKXFVWLTzeJhA9TifYBHxfkkSy1KmVpA+aSx&#10;jWpYwUy2GIYX+i5zgo2ZN0tHHDcKmN5pikX2PdG/mXc8LHlVv02LuSU+XNgcQ5E+Fz/cVLV6tHlE&#10;vL8qstnozSzL5IUAlPQ649ZDDCi4mxDd+cpTWX6oYb3c0hBjVC1TiTh6NIuyWQv5qX7MUtF7ln9I&#10;x/A4uAWRw5dY1w4tTpI0r5u3yKdFszEmYhp6hxvq50VTNSrT2D3c2LSQby7y2jSez/KCb+sgM0Me&#10;q+exdZ15i493xegRFsXr7LpQcBznybQAGic1l9shnoI1C+c9h1n7YARl1h9hhb8US8uVNifeDusX&#10;Nm3VS3wvtkoiX7OjDfoY2Ov6dRQEEfVFgxYYVr2aOMSV3nO6deeFMG1h9WK0yufEp3p5t5R4ziT0&#10;iK/0ui/Achd29c99zFO7swtimFV5dV+jR+lGbRvdu9ySFmjPtj2k2Z7bmsezybS2ros8h9sX3KK+&#10;2RJs1XWuMCdZ5rflTZH8XTUrY262y7SxecSjIfUAPYKdXJ8GGrUbaApdhwaavcLIJ86BvctmuQDR&#10;eLgDmT4PZtY2vPqSwOJsc+1VRNoNLE9ofAKwtIh7AFiaHT8ngIDIFYBstVAZ4wi7M0YYD0+2UMYE&#10;XMFCieMw5ur4yZgoCZmP0YgAK1CusRtbevvcRbf/N/sEaO2xzy7ZnYCg1jiblX81YYyO/4GljCE0&#10;VJZKHD+Ub2mZMBSW2oBpwGgQ6EisSSSaGE6Heb2x/ijGipxnj7GacOazwdQFUjKqcjBEYltMlPk0&#10;QjYswJQ5kUwUezQ12KiSlx+Q7ZH37zFQGfGfzvZPQVMoCjLqbdHU9VhEIwQGwlbDwPHC3lrHMvGS&#10;qbjJW78ta9WK1YZI5UMeURamJTh8gbD2SAmOMD/wXKApTCIiiAY3clEncqBMSZuhIYlcrWIZMU71&#10;oMLNbg8dlcqLQkoatcb0YVCyzRZFYia8AmG5ETCfR6XyjYBpVKqh9aG4z0fpCJkjzyFTI2/UqqZJ&#10;8eUCNyn0Rm7oOiyAeLl3MYkPcVE4oBdFhByIZ6Dp5iMxwH0ZosnuhV5kLUBDvuur3GyPqtWmSh1V&#10;C1si8s0nZI17hSGpEkzjUaoENN/BPx24GQELb9H6lnh6RbF6gtR17sTyCMWqUHWDqkzezKA93sRV&#10;/T7mKBTARVD8wF3IWP/a1qrEkv2ew9AZoRSP1fIC1ufignfv3HXv5PdzKY5B+sDbGp2sI5mNeTH/&#10;hJrHlXgruupKaPriulYFDlRNkvTqSj6GakMZ1zdQR5ImYBdx9sflp5iXOtKukUy+KxoJeEO9UM+K&#10;nc0LoRaN96lFZ/J4I+o3Ap4HV9UOjTjxGAVvBfOCKFCye8u0EOU7iEdY6ElYNYh3tD5tfHzNNVsF&#10;z0QUz6Hg7eQggPoqB2md/6gykBt5jgsjFqBIKGR/bEpnLZ2AUqJBE+GLR3VYYxhoe/sO/xAnMrDb&#10;9tDZjQ4EQt98gvz/NSgrgAerxd5HWXhq1aYPUNb+te+u3BcjrKNXuyc2WSyVtLpqnKtyq8m6JKV+&#10;6VJMT2yGBL8pYkOap3HBEJu3DgJPLk1FEeQOCcUMhwzWhGPcC0ItHCOgPwOrGYI+J6sFRqnXmRW+&#10;kCh6JKuhKg3tUuTaYUi8rbSmhaPAxfEAnXl1aG1rBzt4re3C8NpXISmjIu8lqa6aLAKvQyRlVkIQ&#10;+XrJjTwLS5mQq2efnn26NXCrT6uQLjXHfeCMG+zTrbYfk1a5jDAtn+yCTE+wnSxcGsg0ePcMWZXR&#10;f87KP0Y7bvhHJ3fH8Q9zPJzKk7U1P/JZtKYGo5bBAqJXE2cacFZBJV4tAe3oYQcDtX2YHfkqDGR0&#10;0b0MZCILnfofYKAdS9GU1J+HgvpEqXsObzXX6RVAIQf0CuC2s9CNLKkLbIaqjObfJkrdYzfHUBVO&#10;2joBRClE9ySgOOWlyyIGEKBa+ULLFVx1nlxJn1H+fs/wifVUAtcVTyyKSw3KuyHa4kKVIJ4PrkON&#10;QeTl+mzJC8Ia9hMf0FMrKSKzRSVUF7VwASI8cEov5sm+Ekx/SE/WUfWhO1Xz33n6t608HTikpzYX&#10;PtTXUjjOOX9DtRS4y4qnatV/X5m08VTq0DBS1cPmFFjkuvhGQKnrE3FzxVmDyAtwrEYCKTAXuCvu&#10;mxBzI+jvXdX8cmE1YjpBHe5d9bsve8Jduq6qvEcHRjuUt32uGrjiZzci6nEoi0KtWTZRT++r7a9x&#10;zp2g9L76jL4qhQz8rFISj/4JqPjdZvcan7s/VL38DwAA//8DAFBLAwQUAAYACAAAACEAPg8CpOAA&#10;AAAIAQAADwAAAGRycy9kb3ducmV2LnhtbEyPQWvCQBSE74X+h+UVetNN3NpqmhcRaXsSoVqQ3tbk&#10;mQSzb0N2TeK/7/bUHocZZr5JV6NpRE+dqy0jxNMIBHFui5pLhK/D+2QBwnnNhW4sE8KNHKyy+7tU&#10;J4Ud+JP6vS9FKGGXaITK+zaR0uUVGe2mtiUO3tl2Rvsgu1IWnR5CuWnkLIqepdE1h4VKt7SpKL/s&#10;rwbhY9DDWsVv/fZy3ty+D/PdcRsT4uPDuH4F4Wn0f2H4xQ/okAWmk71y4USDMFk+hSTCMjwK9ouK&#10;ZyBOCEqpOcgslf8PZD8AAAD//wMAUEsBAi0AFAAGAAgAAAAhALaDOJL+AAAA4QEAABMAAAAAAAAA&#10;AAAAAAAAAAAAAFtDb250ZW50X1R5cGVzXS54bWxQSwECLQAUAAYACAAAACEAOP0h/9YAAACUAQAA&#10;CwAAAAAAAAAAAAAAAAAvAQAAX3JlbHMvLnJlbHNQSwECLQAUAAYACAAAACEA2mxBPXsIAADwOgAA&#10;DgAAAAAAAAAAAAAAAAAuAgAAZHJzL2Uyb0RvYy54bWxQSwECLQAUAAYACAAAACEAPg8CpOAAAAAI&#10;AQAADwAAAAAAAAAAAAAAAADVCgAAZHJzL2Rvd25yZXYueG1sUEsFBgAAAAAEAAQA8wAAAOILAAAA&#10;AA==&#10;">
                <v:group id="Group 448" o:spid="_x0000_s1258" style="position:absolute;left:37114;top:7916;width:9912;height:4967" coordorigin="37114,7916" coordsize="11113,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49" o:spid="_x0000_s1259" style="position:absolute;left:37529;top:7916;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xgAAANwAAAAPAAAAZHJzL2Rvd25yZXYueG1sRI9PawIx&#10;FMTvBb9DeEIvRbO2stbtRpGCVPCk7cHj6+a5f7p5WZNUt9/eFASPw8z8hsmXvWnFmZyvLSuYjBMQ&#10;xIXVNZcKvj7Xo1cQPiBrbC2Tgj/ysFwMHnLMtL3wjs77UIoIYZ+hgiqELpPSFxUZ9GPbEUfvaJ3B&#10;EKUrpXZ4iXDTyuckSaXBmuNChR29V1T87H+NgidrZm6XNt/r5mN1Otiwfdl0M6Ueh/3qDUSgPtzD&#10;t/ZGK5hO5/B/Jh4BubgCAAD//wMAUEsBAi0AFAAGAAgAAAAhANvh9svuAAAAhQEAABMAAAAAAAAA&#10;AAAAAAAAAAAAAFtDb250ZW50X1R5cGVzXS54bWxQSwECLQAUAAYACAAAACEAWvQsW78AAAAVAQAA&#10;CwAAAAAAAAAAAAAAAAAfAQAAX3JlbHMvLnJlbHNQSwECLQAUAAYACAAAACEAI/zHCMYAAADcAAAA&#10;DwAAAAAAAAAAAAAAAAAHAgAAZHJzL2Rvd25yZXYueG1sUEsFBgAAAAADAAMAtwAAAPoCAAAAAA==&#10;" fillcolor="white [3212]" strokecolor="black [3213]"/>
                  <v:shape id="TextBox 23" o:spid="_x0000_s1260" type="#_x0000_t202" style="position:absolute;left:37114;top:8668;width:11114;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5gwAAAANwAAAAPAAAAZHJzL2Rvd25yZXYueG1sRE89a8Mw&#10;EN0L/Q/iCt1qOaU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4Ak+YMAAAADcAAAADwAAAAAA&#10;AAAAAAAAAAAHAgAAZHJzL2Rvd25yZXYueG1sUEsFBgAAAAADAAMAtwAAAPQCAAAAAA==&#10;" filled="f" stroked="f">
                    <v:textbox style="mso-fit-shape-to-text:t">
                      <w:txbxContent>
                        <w:p w14:paraId="34F63F79" w14:textId="77777777" w:rsidR="00777EE0" w:rsidRDefault="00777EE0" w:rsidP="00E808F1">
                          <w:pPr>
                            <w:jc w:val="center"/>
                            <w:rPr>
                              <w:szCs w:val="24"/>
                            </w:rPr>
                          </w:pPr>
                          <w:r>
                            <w:rPr>
                              <w:color w:val="000000" w:themeColor="text1"/>
                              <w:kern w:val="24"/>
                            </w:rPr>
                            <w:t>Behaviour</w:t>
                          </w:r>
                        </w:p>
                      </w:txbxContent>
                    </v:textbox>
                  </v:shape>
                </v:group>
                <v:line id="Straight Connector 451" o:spid="_x0000_s1261" style="position:absolute;visibility:visible;mso-wrap-style:square" from="13474,2254" to="20679,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V6xgAAANwAAAAPAAAAZHJzL2Rvd25yZXYueG1sRI9Ba8JA&#10;FITvhf6H5RW81U2kGomuEgpC1VNtxesj+0zSZt+G3W2M/fVdoeBxmJlvmOV6MK3oyfnGsoJ0nIAg&#10;Lq1uuFLw+bF5noPwAVlja5kUXMnDevX4sMRc2wu/U38IlYgQ9jkqqEPocil9WZNBP7YdcfTO1hkM&#10;UbpKaoeXCDetnCTJTBpsOC7U2NFrTeX34ccomJe7L1dkxTadHrvst5/sZ5tTptToaSgWIAIN4R7+&#10;b79pBS/TFG5n4hGQqz8AAAD//wMAUEsBAi0AFAAGAAgAAAAhANvh9svuAAAAhQEAABMAAAAAAAAA&#10;AAAAAAAAAAAAAFtDb250ZW50X1R5cGVzXS54bWxQSwECLQAUAAYACAAAACEAWvQsW78AAAAVAQAA&#10;CwAAAAAAAAAAAAAAAAAfAQAAX3JlbHMvLnJlbHNQSwECLQAUAAYACAAAACEAirElesYAAADcAAAA&#10;DwAAAAAAAAAAAAAAAAAHAgAAZHJzL2Rvd25yZXYueG1sUEsFBgAAAAADAAMAtwAAAPoCAAAAAA==&#10;" strokecolor="black [3213]">
                  <o:lock v:ext="edit" shapetype="f"/>
                </v:line>
                <v:line id="Straight Connector 452" o:spid="_x0000_s1262" style="position:absolute;visibility:visible;mso-wrap-style:square" from="13499,10099" to="20679,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sNxgAAANwAAAAPAAAAZHJzL2Rvd25yZXYueG1sRI9Ba8JA&#10;FITvhf6H5RW81Y2hGomuEgpC1VNtxesj+0zSZt+G3W2M/fVdoeBxmJlvmOV6MK3oyfnGsoLJOAFB&#10;XFrdcKXg82PzPAfhA7LG1jIpuJKH9erxYYm5thd+p/4QKhEh7HNUUIfQ5VL6siaDfmw74uidrTMY&#10;onSV1A4vEW5amSbJTBpsOC7U2NFrTeX34ccomJe7L1dkxXYyPXbZb5/uZ5tTptToaSgWIAIN4R7+&#10;b79pBS/TFG5n4hGQqz8AAAD//wMAUEsBAi0AFAAGAAgAAAAhANvh9svuAAAAhQEAABMAAAAAAAAA&#10;AAAAAAAAAAAAAFtDb250ZW50X1R5cGVzXS54bWxQSwECLQAUAAYACAAAACEAWvQsW78AAAAVAQAA&#10;CwAAAAAAAAAAAAAAAAAfAQAAX3JlbHMvLnJlbHNQSwECLQAUAAYACAAAACEAemO7DcYAAADcAAAA&#10;DwAAAAAAAAAAAAAAAAAHAgAAZHJzL2Rvd25yZXYueG1sUEsFBgAAAAADAAMAtwAAAPoCAAAAAA==&#10;" strokecolor="black [3213]">
                  <o:lock v:ext="edit" shapetype="f"/>
                </v:line>
                <v:line id="Straight Connector 453" o:spid="_x0000_s1263" style="position:absolute;flip:y;visibility:visible;mso-wrap-style:square" from="13499,10105" to="20679,1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7ixAAAANwAAAAPAAAAZHJzL2Rvd25yZXYueG1sRI/RagIx&#10;FETfC/5DuELfatZWRVejVKFQ+iJVP+CyuW4WNzdrEnXdr28EoY/DzJxhFqvW1uJKPlSOFQwHGQji&#10;wumKSwWH/dfbFESIyBprx6TgTgFWy97LAnPtbvxL110sRYJwyFGBibHJpQyFIYth4Bri5B2dtxiT&#10;9KXUHm8Jbmv5nmUTabHitGCwoY2h4rS7WAV1Fw/dbL0xXXYe3fV2O3F+/KPUa7/9nIOI1Mb/8LP9&#10;rRWMxh/wOJOOgFz+AQAA//8DAFBLAQItABQABgAIAAAAIQDb4fbL7gAAAIUBAAATAAAAAAAAAAAA&#10;AAAAAAAAAABbQ29udGVudF9UeXBlc10ueG1sUEsBAi0AFAAGAAgAAAAhAFr0LFu/AAAAFQEAAAsA&#10;AAAAAAAAAAAAAAAAHwEAAF9yZWxzLy5yZWxzUEsBAi0AFAAGAAgAAAAhAPjfXuLEAAAA3AAAAA8A&#10;AAAAAAAAAAAAAAAABwIAAGRycy9kb3ducmV2LnhtbFBLBQYAAAAAAwADALcAAAD4AgAAAAA=&#10;" strokecolor="black [3213]">
                  <o:lock v:ext="edit" shapetype="f"/>
                </v:line>
                <v:line id="Straight Connector 454" o:spid="_x0000_s1264" style="position:absolute;visibility:visible;mso-wrap-style:square" from="29529,10105" to="37484,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bixgAAANwAAAAPAAAAZHJzL2Rvd25yZXYueG1sRI9Pa8JA&#10;FMTvgt9heUJvulHUSOoqQRD656S29PrIviap2bdhdxtTP71bEDwOM/MbZr3tTSM6cr62rGA6SUAQ&#10;F1bXXCr4OO3HKxA+IGtsLJOCP/Kw3QwHa8y0vfCBumMoRYSwz1BBFUKbSemLigz6iW2Jo/dtncEQ&#10;pSuldniJcNPIWZIspcGa40KFLe0qKs7HX6NgVbz9uDzNX6eLzza9drP35f4rVepp1OfPIAL14RG+&#10;t1+0gvliDv9n4hGQmxsAAAD//wMAUEsBAi0AFAAGAAgAAAAhANvh9svuAAAAhQEAABMAAAAAAAAA&#10;AAAAAAAAAAAAAFtDb250ZW50X1R5cGVzXS54bWxQSwECLQAUAAYACAAAACEAWvQsW78AAAAVAQAA&#10;CwAAAAAAAAAAAAAAAAAfAQAAX3JlbHMvLnJlbHNQSwECLQAUAAYACAAAACEAmsaG4sYAAADcAAAA&#10;DwAAAAAAAAAAAAAAAAAHAgAAZHJzL2Rvd25yZXYueG1sUEsFBgAAAAADAAMAtwAAAPoCAAAAAA==&#10;" strokecolor="black [3213]">
                  <o:lock v:ext="edit" shapetype="f"/>
                </v:line>
                <v:line id="Straight Connector 455" o:spid="_x0000_s1265" style="position:absolute;flip:y;visibility:visible;mso-wrap-style:square" from="13499,10196" to="37484,1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MNxQAAANwAAAAPAAAAZHJzL2Rvd25yZXYueG1sRI9Ra8Iw&#10;FIXfB/sP4Q72NlOHFe1MyyYIwxeZ+gMuzV1TbG66JGrtrzeDwR4P55zvcFbVYDtxIR9axwqmkwwE&#10;ce10y42C42HzsgARIrLGzjEpuFGAqnx8WGGh3ZW/6LKPjUgQDgUqMDH2hZShNmQxTFxPnLxv5y3G&#10;JH0jtcdrgttOvmbZXFpsOS0Y7GltqD7tz1ZBN8bjuPxYmzH7md30bjd3Pt8q9fw0vL+BiDTE//Bf&#10;+1MrmOU5/J5JR0CWdwAAAP//AwBQSwECLQAUAAYACAAAACEA2+H2y+4AAACFAQAAEwAAAAAAAAAA&#10;AAAAAAAAAAAAW0NvbnRlbnRfVHlwZXNdLnhtbFBLAQItABQABgAIAAAAIQBa9CxbvwAAABUBAAAL&#10;AAAAAAAAAAAAAAAAAB8BAABfcmVscy8ucmVsc1BLAQItABQABgAIAAAAIQAYemMNxQAAANwAAAAP&#10;AAAAAAAAAAAAAAAAAAcCAABkcnMvZG93bnJldi54bWxQSwUGAAAAAAMAAwC3AAAA+QIAAAAA&#10;" strokecolor="black [3213]">
                  <o:lock v:ext="edit" shapetype="f"/>
                </v:line>
                <v:group id="Group 456" o:spid="_x0000_s1266" style="position:absolute;left:19563;top:8165;width:11080;height:4718" coordorigin="19563,8165" coordsize="1387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oundrect id="Rectangle: Rounded Corners 457" o:spid="_x0000_s1267" style="position:absolute;left:20960;top:8165;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LQxgAAANwAAAAPAAAAZHJzL2Rvd25yZXYueG1sRI9Ba8JA&#10;FITvBf/D8gQvRTdK20h0FS0UioeCmoPentlnEsy+TXe3Gv+9Wyj0OMzMN8x82ZlGXMn52rKC8SgB&#10;QVxYXXOpIN9/DKcgfEDW2FgmBXfysFz0nuaYaXvjLV13oRQRwj5DBVUIbSalLyoy6Ee2JY7e2TqD&#10;IUpXSu3wFuGmkZMkeZMGa44LFbb0XlFx2f0YBenX+rQ+pPnmOHXPOF7ZTZm330oN+t1qBiJQF/7D&#10;f+1PreDlNYXfM/EIyMUDAAD//wMAUEsBAi0AFAAGAAgAAAAhANvh9svuAAAAhQEAABMAAAAAAAAA&#10;AAAAAAAAAAAAAFtDb250ZW50X1R5cGVzXS54bWxQSwECLQAUAAYACAAAACEAWvQsW78AAAAVAQAA&#10;CwAAAAAAAAAAAAAAAAAfAQAAX3JlbHMvLnJlbHNQSwECLQAUAAYACAAAACEADD8C0MYAAADcAAAA&#10;DwAAAAAAAAAAAAAAAAAHAgAAZHJzL2Rvd25yZXYueG1sUEsFBgAAAAADAAMAtwAAAPoCAAAAAA==&#10;" filled="f" strokecolor="black [3213]"/>
                  <v:shape id="TextBox 326" o:spid="_x0000_s1268" type="#_x0000_t202" style="position:absolute;left:19563;top:8686;width:1387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mwAAAANwAAAAPAAAAZHJzL2Rvd25yZXYueG1sRE89a8Mw&#10;EN0L/Q/iCt1qOaU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Hn8yZsAAAADcAAAADwAAAAAA&#10;AAAAAAAAAAAHAgAAZHJzL2Rvd25yZXYueG1sUEsFBgAAAAADAAMAtwAAAPQCAAAAAA==&#10;" filled="f" stroked="f">
                    <v:textbox style="mso-fit-shape-to-text:t">
                      <w:txbxContent>
                        <w:p w14:paraId="6E3BEFCD" w14:textId="77777777" w:rsidR="00777EE0" w:rsidRDefault="00777EE0" w:rsidP="00E808F1">
                          <w:pPr>
                            <w:jc w:val="center"/>
                            <w:rPr>
                              <w:szCs w:val="24"/>
                            </w:rPr>
                          </w:pPr>
                          <w:r>
                            <w:rPr>
                              <w:color w:val="000000" w:themeColor="text1"/>
                              <w:kern w:val="24"/>
                            </w:rPr>
                            <w:t>Intention</w:t>
                          </w:r>
                        </w:p>
                      </w:txbxContent>
                    </v:textbox>
                  </v:shape>
                </v:group>
                <v:group id="Group 459" o:spid="_x0000_s1269" style="position:absolute;left:2830;top:314;width:10644;height:4803" coordorigin="2830,314" coordsize="1108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oundrect id="Rectangle: Rounded Corners 460" o:spid="_x0000_s1270" style="position:absolute;left:2830;top:314;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6OxAAAANwAAAAPAAAAZHJzL2Rvd25yZXYueG1sRE9Na8JA&#10;EL0X/A/LCL0U3bQUqdE12EKgNgdrDJ6H7JgEs7Mhu03iv+8eCj0+3vc2mUwrBupdY1nB8zICQVxa&#10;3XCloDinizcQziNrbC2Tgjs5SHazhy3G2o58oiH3lQgh7GJUUHvfxVK6siaDbmk74sBdbW/QB9hX&#10;Uvc4hnDTypcoWkmDDYeGGjv6qKm85T9GQZal9/XwdDwUbdRkX9exOrxfvpV6nE/7DQhPk/8X/7k/&#10;tYLXVZgfzoQjIHe/AAAA//8DAFBLAQItABQABgAIAAAAIQDb4fbL7gAAAIUBAAATAAAAAAAAAAAA&#10;AAAAAAAAAABbQ29udGVudF9UeXBlc10ueG1sUEsBAi0AFAAGAAgAAAAhAFr0LFu/AAAAFQEAAAsA&#10;AAAAAAAAAAAAAAAAHwEAAF9yZWxzLy5yZWxzUEsBAi0AFAAGAAgAAAAhAGKpXo7EAAAA3AAAAA8A&#10;AAAAAAAAAAAAAAAABwIAAGRycy9kb3ducmV2LnhtbFBLBQYAAAAAAwADALcAAAD4AgAAAAA=&#10;" fillcolor="white [3212]" strokecolor="black [3213]"/>
                  <v:shape id="TextBox 330" o:spid="_x0000_s1271" type="#_x0000_t202" style="position:absolute;left:3882;top:920;width:8297;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1261DA0D" w14:textId="77777777" w:rsidR="00777EE0" w:rsidRDefault="00777EE0" w:rsidP="00E808F1">
                          <w:pPr>
                            <w:jc w:val="center"/>
                            <w:rPr>
                              <w:szCs w:val="24"/>
                            </w:rPr>
                          </w:pPr>
                          <w:r>
                            <w:rPr>
                              <w:color w:val="000000" w:themeColor="text1"/>
                              <w:kern w:val="24"/>
                            </w:rPr>
                            <w:t>Attitude</w:t>
                          </w:r>
                        </w:p>
                      </w:txbxContent>
                    </v:textbox>
                  </v:shape>
                </v:group>
                <v:group id="Group 462" o:spid="_x0000_s1272" style="position:absolute;left:2855;top:7771;width:10644;height:6217" coordorigin="2855,7771"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Rectangle: Rounded Corners 463" o:spid="_x0000_s1273" style="position:absolute;left:2855;top:8158;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5uxgAAANwAAAAPAAAAZHJzL2Rvd25yZXYueG1sRI9BawIx&#10;FITvgv8hPMGLaFZbVLZGUUEoHgrVPbS3181zd3HzsiZR139vCoUeh5n5hlmsWlOLGzlfWVYwHiUg&#10;iHOrKy4UZMfdcA7CB2SNtWVS8CAPq2W3s8BU2zt/0u0QChEh7FNUUIbQpFL6vCSDfmQb4uidrDMY&#10;onSF1A7vEW5qOUmSqTRYcVwosaFtSfn5cDUKZh+bn83XLNt/z90Ax2u7L7LmolS/167fQARqw3/4&#10;r/2uFbxOX+D3TDwCcvkEAAD//wMAUEsBAi0AFAAGAAgAAAAhANvh9svuAAAAhQEAABMAAAAAAAAA&#10;AAAAAAAAAAAAAFtDb250ZW50X1R5cGVzXS54bWxQSwECLQAUAAYACAAAACEAWvQsW78AAAAVAQAA&#10;CwAAAAAAAAAAAAAAAAAfAQAAX3JlbHMvLnJlbHNQSwECLQAUAAYACAAAACEAvWjObsYAAADcAAAA&#10;DwAAAAAAAAAAAAAAAAAHAgAAZHJzL2Rvd25yZXYueG1sUEsFBgAAAAADAAMAtwAAAPoCAAAAAA==&#10;" filled="f" strokecolor="black [3213]"/>
                  <v:shape id="TextBox 331" o:spid="_x0000_s1274" type="#_x0000_t202" style="position:absolute;left:2919;top:7771;width:1064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ewwAAANwAAAAPAAAAZHJzL2Rvd25yZXYueG1sRI9Pa8JA&#10;FMTvBb/D8gRvdWOx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UV7y3sMAAADcAAAADwAA&#10;AAAAAAAAAAAAAAAHAgAAZHJzL2Rvd25yZXYueG1sUEsFBgAAAAADAAMAtwAAAPcCAAAAAA==&#10;" filled="f" stroked="f">
                    <v:textbox style="mso-fit-shape-to-text:t">
                      <w:txbxContent>
                        <w:p w14:paraId="6DAE9B42" w14:textId="77777777" w:rsidR="00777EE0" w:rsidRDefault="00777EE0" w:rsidP="00E808F1">
                          <w:pPr>
                            <w:jc w:val="center"/>
                            <w:rPr>
                              <w:szCs w:val="24"/>
                            </w:rPr>
                          </w:pPr>
                          <w:r>
                            <w:rPr>
                              <w:color w:val="000000" w:themeColor="text1"/>
                              <w:kern w:val="24"/>
                            </w:rPr>
                            <w:t>Subjective norms</w:t>
                          </w:r>
                        </w:p>
                      </w:txbxContent>
                    </v:textbox>
                  </v:shape>
                </v:group>
                <v:group id="Group 465" o:spid="_x0000_s1275" style="position:absolute;left:2903;top:15859;width:10596;height:4749" coordorigin="2903,15859" coordsize="1108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oundrect id="Rectangle: Rounded Corners 466" o:spid="_x0000_s1276" style="position:absolute;left:2903;top:15859;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NhxgAAANwAAAAPAAAAZHJzL2Rvd25yZXYueG1sRI9Pa8JA&#10;FMTvQr/D8gpeim6UEjR1FRUEbQ6tf/D8yD6T0OzbkF2T+O27hYLHYWZ+wyxWvalES40rLSuYjCMQ&#10;xJnVJecKLufdaAbCeWSNlWVS8CAHq+XLYIGJth0fqT35XAQIuwQVFN7XiZQuK8igG9uaOHg32xj0&#10;QTa51A12AW4qOY2iWBosOSwUWNO2oOzndDcK0nT3mLdvX4dLFZXp563LD5vrt1LD1379AcJT75/h&#10;//ZeK3iPY/g7E46AXP4CAAD//wMAUEsBAi0AFAAGAAgAAAAhANvh9svuAAAAhQEAABMAAAAAAAAA&#10;AAAAAAAAAAAAAFtDb250ZW50X1R5cGVzXS54bWxQSwECLQAUAAYACAAAACEAWvQsW78AAAAVAQAA&#10;CwAAAAAAAAAAAAAAAAAfAQAAX3JlbHMvLnJlbHNQSwECLQAUAAYACAAAACEAggxjYcYAAADcAAAA&#10;DwAAAAAAAAAAAAAAAAAHAgAAZHJzL2Rvd25yZXYueG1sUEsFBgAAAAADAAMAtwAAAPoCAAAAAA==&#10;" fillcolor="white [3212]" strokecolor="black [3213]"/>
                  <v:shape id="TextBox 332" o:spid="_x0000_s1277" type="#_x0000_t202" style="position:absolute;left:3070;top:16410;width:1064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ypwwAAANwAAAAPAAAAZHJzL2Rvd25yZXYueG1sRI9Ba8JA&#10;FITvQv/D8gredGOxtqSuIlXBgxdten9kX7Oh2bch+2riv3cLgsdhZr5hluvBN+pCXawDG5hNM1DE&#10;ZbA1VwaKr/3kHVQUZItNYDJwpQjr1dNoibkNPZ/ocpZKJQjHHA04kTbXOpaOPMZpaImT9xM6j5Jk&#10;V2nbYZ/gvtEvWbbQHmtOCw5b+nRU/p7/vAERu5ldi52Ph+/huO1dVr5iYcz4edh8gBIa5BG+tw/W&#10;wHzxBv9n0hHQqxsAAAD//wMAUEsBAi0AFAAGAAgAAAAhANvh9svuAAAAhQEAABMAAAAAAAAAAAAA&#10;AAAAAAAAAFtDb250ZW50X1R5cGVzXS54bWxQSwECLQAUAAYACAAAACEAWvQsW78AAAAVAQAACwAA&#10;AAAAAAAAAAAAAAAfAQAAX3JlbHMvLnJlbHNQSwECLQAUAAYACAAAACEAoYxsqcMAAADcAAAADwAA&#10;AAAAAAAAAAAAAAAHAgAAZHJzL2Rvd25yZXYueG1sUEsFBgAAAAADAAMAtwAAAPcCAAAAAA==&#10;" filled="f" stroked="f">
                    <v:textbox style="mso-fit-shape-to-text:t">
                      <w:txbxContent>
                        <w:p w14:paraId="02D4A81F" w14:textId="77777777" w:rsidR="00777EE0" w:rsidRDefault="00777EE0" w:rsidP="00E808F1">
                          <w:pPr>
                            <w:jc w:val="center"/>
                            <w:rPr>
                              <w:szCs w:val="24"/>
                            </w:rPr>
                          </w:pPr>
                          <w:r>
                            <w:rPr>
                              <w:color w:val="000000" w:themeColor="text1"/>
                              <w:kern w:val="24"/>
                            </w:rPr>
                            <w:t>PBC</w:t>
                          </w:r>
                        </w:p>
                      </w:txbxContent>
                    </v:textbox>
                  </v:shape>
                </v:group>
                <v:shape id="Arc 468" o:spid="_x0000_s1278" style="position:absolute;left:-19;top:19;width:20198;height:20159;rotation:-8843756fd;visibility:visible;mso-wrap-style:square;v-text-anchor:middle" coordsize="2019844,20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BowwAAANwAAAAPAAAAZHJzL2Rvd25yZXYueG1sRE9da8Iw&#10;FH0X9h/CHexFNNVJka6pDEHcYCBzKj5emrs2rrkpTVa7f788CD4ezne+Gmwjeuq8caxgNk1AEJdO&#10;G64UHL42kyUIH5A1No5JwR95WBUPoxwz7a78Sf0+VCKGsM9QQR1Cm0npy5os+qlriSP37TqLIcKu&#10;krrDawy3jZwnSSotGo4NNba0rqn82f9aBeN+l14+jmZ7MmlzeZdnOeufd0o9PQ6vLyACDeEuvrnf&#10;tIJFGtfGM/EIyOIfAAD//wMAUEsBAi0AFAAGAAgAAAAhANvh9svuAAAAhQEAABMAAAAAAAAAAAAA&#10;AAAAAAAAAFtDb250ZW50X1R5cGVzXS54bWxQSwECLQAUAAYACAAAACEAWvQsW78AAAAVAQAACwAA&#10;AAAAAAAAAAAAAAAfAQAAX3JlbHMvLnJlbHNQSwECLQAUAAYACAAAACEAVnTQaMMAAADcAAAADwAA&#10;AAAAAAAAAAAAAAAHAgAAZHJzL2Rvd25yZXYueG1sUEsFBgAAAAADAAMAtwAAAPcCAAAAAA==&#10;" path="m1009922,nsc1567687,,2019844,451290,2019844,1007985r-1009922,l1009922,xem1009922,nfc1567687,,2019844,451290,2019844,1007985e" filled="f" strokecolor="black [3213]">
                  <v:path arrowok="t" o:connecttype="custom" o:connectlocs="1009922,0;2019844,1007985" o:connectangles="0,0"/>
                </v:shape>
                <v:shape id="Arc 469" o:spid="_x0000_s1279" style="position:absolute;left:1822;top:2517;width:6837;height:7061;rotation:-8951363fd;visibility:visible;mso-wrap-style:square;v-text-anchor:middle" coordsize="683688,7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KKxwAAANwAAAAPAAAAZHJzL2Rvd25yZXYueG1sRI/NbsIw&#10;EITvlfoO1lbqpQKnISAIGNQfoXDgwN8DrOIlCcTrNHYhvD1GqtTjaGa+0cwWnanFhVpXWVbw3o9A&#10;EOdWV1woOOyXvTEI55E11pZJwY0cLObPTzNMtb3yli47X4gAYZeigtL7JpXS5SUZdH3bEAfvaFuD&#10;Psi2kLrFa4CbWsZRNJIGKw4LJTb0VVJ+3v0aBSZbbkycDL9/ToNxlnyuz3H2Fin1+tJ9TEF46vx/&#10;+K+90gqS0QQeZ8IRkPM7AAAA//8DAFBLAQItABQABgAIAAAAIQDb4fbL7gAAAIUBAAATAAAAAAAA&#10;AAAAAAAAAAAAAABbQ29udGVudF9UeXBlc10ueG1sUEsBAi0AFAAGAAgAAAAhAFr0LFu/AAAAFQEA&#10;AAsAAAAAAAAAAAAAAAAAHwEAAF9yZWxzLy5yZWxzUEsBAi0AFAAGAAgAAAAhAO+kEorHAAAA3AAA&#10;AA8AAAAAAAAAAAAAAAAABwIAAGRycy9kb3ducmV2LnhtbFBLBQYAAAAAAwADALcAAAD7AgAAAAA=&#10;" path="m341844,nsc530639,,683688,158059,683688,353035r-341844,l341844,xem341844,nfc530639,,683688,158059,683688,353035e" filled="f" strokecolor="black [3213]">
                  <v:path arrowok="t" o:connecttype="custom" o:connectlocs="341844,0;683688,353035" o:connectangles="0,0"/>
                </v:shape>
                <v:shape id="Arc 470" o:spid="_x0000_s1280" style="position:absolute;left:1862;top:10498;width:6837;height:7061;rotation:-8951363fd;visibility:visible;mso-wrap-style:square;v-text-anchor:middle" coordsize="683688,7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3KxAAAANwAAAAPAAAAZHJzL2Rvd25yZXYueG1sRE/NTsJA&#10;EL6b8A6bIfFiYEspSgpbghJSDx4QfIBJd2hLu7Olu0J9e/dg4vHL97/eDKYVN+pdbVnBbBqBIC6s&#10;rrlU8HXaT5YgnEfW2FomBT/kYJONHtaYanvnT7odfSlCCLsUFVTed6mUrqjIoJvajjhwZ9sb9AH2&#10;pdQ93kO4aWUcRc/SYM2hocKO3ioqmuO3UWDy/cHEyWJ3vcyXefL60cT5U6TU43jYrkB4Gvy/+M/9&#10;rhUkL2F+OBOOgMx+AQAA//8DAFBLAQItABQABgAIAAAAIQDb4fbL7gAAAIUBAAATAAAAAAAAAAAA&#10;AAAAAAAAAABbQ29udGVudF9UeXBlc10ueG1sUEsBAi0AFAAGAAgAAAAhAFr0LFu/AAAAFQEAAAsA&#10;AAAAAAAAAAAAAAAAHwEAAF9yZWxzLy5yZWxzUEsBAi0AFAAGAAgAAAAhAPtHLcrEAAAA3AAAAA8A&#10;AAAAAAAAAAAAAAAABwIAAGRycy9kb3ducmV2LnhtbFBLBQYAAAAAAwADALcAAAD4AgAAAAA=&#10;" path="m341844,nsc530639,,683688,158059,683688,353035r-341844,l341844,xem341844,nfc530639,,683688,158059,683688,353035e" filled="f" strokecolor="black [3213]">
                  <v:path arrowok="t" o:connecttype="custom" o:connectlocs="341844,0;683688,353035" o:connectangles="0,0"/>
                </v:shape>
              </v:group>
            </w:pict>
          </mc:Fallback>
        </mc:AlternateContent>
      </w:r>
    </w:p>
    <w:p w14:paraId="53E356A2" w14:textId="77777777" w:rsidR="00E808F1" w:rsidRPr="00010DD0" w:rsidRDefault="00E808F1" w:rsidP="00E808F1">
      <w:pPr>
        <w:spacing w:line="480" w:lineRule="auto"/>
      </w:pPr>
    </w:p>
    <w:p w14:paraId="537F78EA" w14:textId="77777777" w:rsidR="00E808F1" w:rsidRDefault="00E808F1" w:rsidP="00E808F1">
      <w:pPr>
        <w:pStyle w:val="Notesstructure"/>
        <w:spacing w:line="480" w:lineRule="auto"/>
        <w:rPr>
          <w:color w:val="000000" w:themeColor="text1"/>
          <w:szCs w:val="24"/>
          <w:lang w:eastAsia="en-GB"/>
        </w:rPr>
      </w:pPr>
    </w:p>
    <w:p w14:paraId="5C4E90B5" w14:textId="77777777" w:rsidR="00E808F1" w:rsidRDefault="00E808F1" w:rsidP="00E808F1">
      <w:pPr>
        <w:pStyle w:val="Notesstructure"/>
        <w:spacing w:line="480" w:lineRule="auto"/>
        <w:rPr>
          <w:color w:val="000000" w:themeColor="text1"/>
          <w:szCs w:val="24"/>
          <w:lang w:eastAsia="en-GB"/>
        </w:rPr>
      </w:pPr>
      <w:r w:rsidRPr="00491716">
        <w:rPr>
          <w:noProof/>
          <w:color w:val="000000" w:themeColor="text1"/>
          <w:szCs w:val="24"/>
          <w:lang w:val="en-US" w:eastAsia="en-US"/>
        </w:rPr>
        <mc:AlternateContent>
          <mc:Choice Requires="wps">
            <w:drawing>
              <wp:anchor distT="45720" distB="45720" distL="114300" distR="114300" simplePos="0" relativeHeight="253715456" behindDoc="0" locked="0" layoutInCell="1" allowOverlap="1" wp14:anchorId="2AD7D353" wp14:editId="34D2DC50">
                <wp:simplePos x="0" y="0"/>
                <wp:positionH relativeFrom="column">
                  <wp:posOffset>3220308</wp:posOffset>
                </wp:positionH>
                <wp:positionV relativeFrom="paragraph">
                  <wp:posOffset>385841</wp:posOffset>
                </wp:positionV>
                <wp:extent cx="2564130" cy="428625"/>
                <wp:effectExtent l="0" t="0" r="7620" b="952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428625"/>
                        </a:xfrm>
                        <a:prstGeom prst="rect">
                          <a:avLst/>
                        </a:prstGeom>
                        <a:solidFill>
                          <a:srgbClr val="FFFFFF"/>
                        </a:solidFill>
                        <a:ln w="9525">
                          <a:noFill/>
                          <a:miter lim="800000"/>
                          <a:headEnd/>
                          <a:tailEnd/>
                        </a:ln>
                      </wps:spPr>
                      <wps:txbx>
                        <w:txbxContent>
                          <w:p w14:paraId="13F92AAD" w14:textId="77777777" w:rsidR="00777EE0" w:rsidRDefault="00777EE0" w:rsidP="00E808F1">
                            <w:r>
                              <w:t>PBC = Perceived behavioural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7D353" id="_x0000_s1281" type="#_x0000_t202" style="position:absolute;margin-left:253.55pt;margin-top:30.4pt;width:201.9pt;height:33.75pt;z-index:25371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DVJAIAACQEAAAOAAAAZHJzL2Uyb0RvYy54bWysU1+P2jAMf5+07xDlfRQ64KCinG7cmCbd&#10;/kh3+wBumtJoaZwlgZZ9+jmB49j2Ni0PkR3bP9s/O6vbodPsIJ1XaEo+GY05k0Zgrcyu5N+etm8W&#10;nPkApgaNRpb8KD2/Xb9+teptIXNsUdfSMQIxvuhtydsQbJFlXrSyAz9CKw0ZG3QdBFLdLqsd9ITe&#10;6Swfj+dZj662DoX0nl7vT0a+TvhNI0X40jReBqZLTrWFdLt0V/HO1isodg5sq8S5DPiHKjpQhpJe&#10;oO4hANs79RdUp4RDj00YCewybBolZOqBupmM/+jmsQUrUy9EjrcXmvz/gxWfD18dU3XJb3LODHQ0&#10;oyc5BPYOB5ZHenrrC/J6tOQXBnqmMadWvX1A8d0zg5sWzE7eOYd9K6Gm8iYxMrsKPeH4CFL1n7Cm&#10;NLAPmICGxnWRO2KDETqN6XgZTSxF0GM+m08nb8kkyDbNF/N8llJA8RxtnQ8fJHYsCiV3NPqEDocH&#10;H2I1UDy7xGQetaq3SuukuF210Y4dgNZkm84Z/Tc3bVhf8uWMcscogzE+bVCnAq2xVl3JF+N4YjgU&#10;kY33pk5yAKVPMlWizZmeyMiJmzBUQxrEchmDI3cV1kcizOFpbembkdCi+8lZTytbcv9jD05ypj8a&#10;In05mU7jjidlOrvJSXHXluraAkYQVMkDZydxE9K/SHzYOxrOViXeXio510yrmOg8f5u469d68nr5&#10;3OtfAAAA//8DAFBLAwQUAAYACAAAACEA292KOd8AAAAKAQAADwAAAGRycy9kb3ducmV2LnhtbEyP&#10;y07DMBBF90j8gzVI7KidopY2jVNVVGxYIFGQ6NKNJ3GEH5HtpuHvGVZ0OZqje8+ttpOzbMSY+uAl&#10;FDMBDH0TdO87CZ8fLw8rYCkrr5UNHiX8YIJtfXtTqVKHi3/H8ZA7RiE+lUqCyXkoOU+NQafSLAzo&#10;6deG6FSmM3ZcR3WhcGf5XIgld6r31GDUgM8Gm+/D2Un4cqbX+/h2bLUd96/tbjFMcZDy/m7abYBl&#10;nPI/DH/6pA41OZ3C2evErISFeCoIlbAUNIGAdSHWwE5EzlePwOuKX0+ofwEAAP//AwBQSwECLQAU&#10;AAYACAAAACEAtoM4kv4AAADhAQAAEwAAAAAAAAAAAAAAAAAAAAAAW0NvbnRlbnRfVHlwZXNdLnht&#10;bFBLAQItABQABgAIAAAAIQA4/SH/1gAAAJQBAAALAAAAAAAAAAAAAAAAAC8BAABfcmVscy8ucmVs&#10;c1BLAQItABQABgAIAAAAIQBJfQDVJAIAACQEAAAOAAAAAAAAAAAAAAAAAC4CAABkcnMvZTJvRG9j&#10;LnhtbFBLAQItABQABgAIAAAAIQDb3Yo53wAAAAoBAAAPAAAAAAAAAAAAAAAAAH4EAABkcnMvZG93&#10;bnJldi54bWxQSwUGAAAAAAQABADzAAAAigUAAAAA&#10;" stroked="f">
                <v:textbox style="mso-fit-shape-to-text:t">
                  <w:txbxContent>
                    <w:p w14:paraId="13F92AAD" w14:textId="77777777" w:rsidR="00777EE0" w:rsidRDefault="00777EE0" w:rsidP="00E808F1">
                      <w:r>
                        <w:t>PBC = Perceived behavioural control</w:t>
                      </w:r>
                    </w:p>
                  </w:txbxContent>
                </v:textbox>
              </v:shape>
            </w:pict>
          </mc:Fallback>
        </mc:AlternateContent>
      </w:r>
    </w:p>
    <w:p w14:paraId="4D125894" w14:textId="77777777" w:rsidR="00E808F1" w:rsidRDefault="00E808F1" w:rsidP="00E808F1">
      <w:pPr>
        <w:pStyle w:val="Notesstructure"/>
        <w:spacing w:line="480" w:lineRule="auto"/>
        <w:rPr>
          <w:color w:val="000000" w:themeColor="text1"/>
          <w:szCs w:val="24"/>
          <w:lang w:eastAsia="en-GB"/>
        </w:rPr>
      </w:pPr>
    </w:p>
    <w:p w14:paraId="53DD0406" w14:textId="6AA06244" w:rsidR="00E808F1" w:rsidRPr="005B4325" w:rsidRDefault="00E808F1" w:rsidP="00E808F1">
      <w:pPr>
        <w:pStyle w:val="Heading3"/>
        <w:spacing w:line="480" w:lineRule="auto"/>
        <w:rPr>
          <w:color w:val="000000" w:themeColor="text1"/>
        </w:rPr>
      </w:pPr>
      <w:bookmarkStart w:id="362" w:name="_Toc35892645"/>
      <w:bookmarkEnd w:id="354"/>
      <w:r w:rsidRPr="005B4325">
        <w:rPr>
          <w:color w:val="000000" w:themeColor="text1"/>
        </w:rPr>
        <w:t xml:space="preserve">Prototype </w:t>
      </w:r>
      <w:r>
        <w:rPr>
          <w:color w:val="000000" w:themeColor="text1"/>
        </w:rPr>
        <w:t>w</w:t>
      </w:r>
      <w:r w:rsidRPr="005B4325">
        <w:rPr>
          <w:color w:val="000000" w:themeColor="text1"/>
        </w:rPr>
        <w:t xml:space="preserve">illingness </w:t>
      </w:r>
      <w:r>
        <w:rPr>
          <w:color w:val="000000" w:themeColor="text1"/>
        </w:rPr>
        <w:t>m</w:t>
      </w:r>
      <w:r w:rsidRPr="005B4325">
        <w:rPr>
          <w:color w:val="000000" w:themeColor="text1"/>
        </w:rPr>
        <w:t>odel</w:t>
      </w:r>
      <w:bookmarkEnd w:id="362"/>
    </w:p>
    <w:p w14:paraId="1DA40532" w14:textId="174E0558" w:rsidR="003D4E79" w:rsidRDefault="00E808F1" w:rsidP="00E808F1">
      <w:pPr>
        <w:spacing w:line="480" w:lineRule="auto"/>
      </w:pPr>
      <w:r>
        <w:t xml:space="preserve">According to the prototype willingness model (PWM; </w:t>
      </w:r>
      <w:r w:rsidR="00015283">
        <w:t xml:space="preserve">Gibbons &amp; Gerrard, 1995; </w:t>
      </w:r>
      <w:r>
        <w:t>Gibbons, Gerrard &amp; Lane, 2003)</w:t>
      </w:r>
      <w:r w:rsidR="00FB0389">
        <w:t>,</w:t>
      </w:r>
      <w:r>
        <w:t xml:space="preserve"> there are two pathways to behaviour, a rational pathway similar to the TPB that is determined by attitudes, subjective norms and intentions, and a social reaction pathway that responds more spontaneously to opportunities to perform health risk behaviours depending on a person’s willingness to engage. An important factor in a person’s willingness </w:t>
      </w:r>
    </w:p>
    <w:p w14:paraId="60F04759" w14:textId="38D9D19B" w:rsidR="00E808F1" w:rsidRDefault="00FB0389" w:rsidP="00E808F1">
      <w:pPr>
        <w:spacing w:line="480" w:lineRule="auto"/>
      </w:pPr>
      <w:r>
        <w:t>are</w:t>
      </w:r>
      <w:r w:rsidR="00E808F1">
        <w:t xml:space="preserve"> the prototypes associated with the risk behaviour (e.g., a typical NPS user), the favourability and similarity of which can affect how open a person is to engage in the behaviour. The PWM was developed to account for adolescent risk-taking in recognition of the unplanned nature of many risk behaviours in social contexts. The PWM has been used successfully with health risk behaviours (Rivis, Sheeran &amp; Armitage 2006) including drinking behaviour in students and adolescents (</w:t>
      </w:r>
      <w:r w:rsidR="00015283">
        <w:t xml:space="preserve">Gerrard et. al., 2002; </w:t>
      </w:r>
      <w:r w:rsidR="00E808F1">
        <w:t>Gibbons &amp; Gerrar</w:t>
      </w:r>
      <w:r w:rsidR="00015283">
        <w:t>d</w:t>
      </w:r>
      <w:r w:rsidR="00E808F1">
        <w:t xml:space="preserve">, 1996; Norman, Armitage &amp; Quigley, 2007) and drug use (Brody et. al., 2004). </w:t>
      </w:r>
    </w:p>
    <w:p w14:paraId="7CEE141E" w14:textId="6C27433A" w:rsidR="00E808F1" w:rsidRDefault="00E808F1" w:rsidP="00835A06">
      <w:pPr>
        <w:pStyle w:val="FigureHeading"/>
      </w:pPr>
      <w:bookmarkStart w:id="363" w:name="_Toc9509135"/>
      <w:r w:rsidRPr="00CE72F7">
        <w:t xml:space="preserve">Figure </w:t>
      </w:r>
      <w:r w:rsidR="00835A06">
        <w:t>5-</w:t>
      </w:r>
      <w:r>
        <w:t>5</w:t>
      </w:r>
      <w:r w:rsidRPr="00CE72F7">
        <w:t xml:space="preserve"> </w:t>
      </w:r>
      <w:r>
        <w:t>Prototype willingness model</w:t>
      </w:r>
      <w:bookmarkEnd w:id="363"/>
    </w:p>
    <w:p w14:paraId="5486CD97" w14:textId="77777777" w:rsidR="00E808F1" w:rsidRDefault="00E808F1" w:rsidP="00E808F1">
      <w:pPr>
        <w:spacing w:line="480" w:lineRule="auto"/>
        <w:rPr>
          <w:b/>
        </w:rPr>
      </w:pPr>
      <w:r w:rsidRPr="004131BD">
        <w:rPr>
          <w:b/>
          <w:noProof/>
          <w:lang w:val="en-US" w:eastAsia="en-US"/>
        </w:rPr>
        <mc:AlternateContent>
          <mc:Choice Requires="wpg">
            <w:drawing>
              <wp:anchor distT="0" distB="0" distL="114300" distR="114300" simplePos="0" relativeHeight="253719552" behindDoc="0" locked="0" layoutInCell="1" allowOverlap="1" wp14:anchorId="185AB5A4" wp14:editId="6AF7207A">
                <wp:simplePos x="0" y="0"/>
                <wp:positionH relativeFrom="column">
                  <wp:posOffset>0</wp:posOffset>
                </wp:positionH>
                <wp:positionV relativeFrom="paragraph">
                  <wp:posOffset>39655</wp:posOffset>
                </wp:positionV>
                <wp:extent cx="5878830" cy="2161540"/>
                <wp:effectExtent l="0" t="0" r="7620" b="0"/>
                <wp:wrapNone/>
                <wp:docPr id="471" name="Group 441"/>
                <wp:cNvGraphicFramePr/>
                <a:graphic xmlns:a="http://schemas.openxmlformats.org/drawingml/2006/main">
                  <a:graphicData uri="http://schemas.microsoft.com/office/word/2010/wordprocessingGroup">
                    <wpg:wgp>
                      <wpg:cNvGrpSpPr/>
                      <wpg:grpSpPr>
                        <a:xfrm>
                          <a:off x="0" y="0"/>
                          <a:ext cx="5878830" cy="2161540"/>
                          <a:chOff x="0" y="0"/>
                          <a:chExt cx="5879419" cy="2161944"/>
                        </a:xfrm>
                      </wpg:grpSpPr>
                      <wps:wsp>
                        <wps:cNvPr id="472" name="Arc 472"/>
                        <wps:cNvSpPr/>
                        <wps:spPr>
                          <a:xfrm rot="13503300">
                            <a:off x="1449457" y="1937"/>
                            <a:ext cx="2019844" cy="201596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3" name="Group 473"/>
                        <wpg:cNvGrpSpPr/>
                        <wpg:grpSpPr>
                          <a:xfrm>
                            <a:off x="4888184" y="782429"/>
                            <a:ext cx="991235" cy="621665"/>
                            <a:chOff x="4888134" y="782432"/>
                            <a:chExt cx="1111385" cy="607438"/>
                          </a:xfrm>
                        </wpg:grpSpPr>
                        <wps:wsp>
                          <wps:cNvPr id="474" name="Rectangle 474"/>
                          <wps:cNvSpPr/>
                          <wps:spPr>
                            <a:xfrm>
                              <a:off x="4941869" y="788971"/>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5" name="TextBox 176"/>
                          <wps:cNvSpPr txBox="1"/>
                          <wps:spPr>
                            <a:xfrm>
                              <a:off x="4888134" y="782432"/>
                              <a:ext cx="1111385" cy="607438"/>
                            </a:xfrm>
                            <a:prstGeom prst="rect">
                              <a:avLst/>
                            </a:prstGeom>
                            <a:noFill/>
                          </wps:spPr>
                          <wps:txbx>
                            <w:txbxContent>
                              <w:p w14:paraId="2BAAE5A8" w14:textId="77777777" w:rsidR="00777EE0" w:rsidRDefault="00777EE0" w:rsidP="00E808F1">
                                <w:pPr>
                                  <w:jc w:val="center"/>
                                  <w:rPr>
                                    <w:szCs w:val="24"/>
                                  </w:rPr>
                                </w:pPr>
                                <w:r>
                                  <w:rPr>
                                    <w:color w:val="000000" w:themeColor="text1"/>
                                    <w:kern w:val="24"/>
                                  </w:rPr>
                                  <w:t xml:space="preserve">Risk </w:t>
                                </w:r>
                                <w:r>
                                  <w:rPr>
                                    <w:color w:val="000000" w:themeColor="text1"/>
                                    <w:kern w:val="24"/>
                                  </w:rPr>
                                  <w:br/>
                                  <w:t>behaviour</w:t>
                                </w:r>
                              </w:p>
                            </w:txbxContent>
                          </wps:txbx>
                          <wps:bodyPr wrap="square" rtlCol="0">
                            <a:spAutoFit/>
                          </wps:bodyPr>
                        </wps:wsp>
                      </wpg:grpSp>
                      <wps:wsp>
                        <wps:cNvPr id="476" name="Straight Connector 476"/>
                        <wps:cNvCnPr>
                          <a:cxnSpLocks/>
                        </wps:cNvCnPr>
                        <wps:spPr>
                          <a:xfrm>
                            <a:off x="2789115" y="222923"/>
                            <a:ext cx="713313" cy="3955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a:cxnSpLocks/>
                        </wps:cNvCnPr>
                        <wps:spPr>
                          <a:xfrm>
                            <a:off x="2791626" y="1007381"/>
                            <a:ext cx="708427" cy="381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a:cxnSpLocks/>
                        </wps:cNvCnPr>
                        <wps:spPr>
                          <a:xfrm flipV="1">
                            <a:off x="2791625" y="1389032"/>
                            <a:ext cx="708428" cy="388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a:cxnSpLocks/>
                        </wps:cNvCnPr>
                        <wps:spPr>
                          <a:xfrm flipV="1">
                            <a:off x="4385093" y="1017115"/>
                            <a:ext cx="551015" cy="3719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4" name="Group 64"/>
                        <wpg:cNvGrpSpPr/>
                        <wpg:grpSpPr>
                          <a:xfrm>
                            <a:off x="3390430" y="1159519"/>
                            <a:ext cx="1108075" cy="621665"/>
                            <a:chOff x="3390361" y="1159519"/>
                            <a:chExt cx="1387420" cy="621665"/>
                          </a:xfrm>
                        </wpg:grpSpPr>
                        <wps:wsp>
                          <wps:cNvPr id="65" name="Rectangle: Rounded Corners 65"/>
                          <wps:cNvSpPr/>
                          <wps:spPr>
                            <a:xfrm>
                              <a:off x="3527620" y="1194974"/>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TextBox 183"/>
                          <wps:cNvSpPr txBox="1"/>
                          <wps:spPr>
                            <a:xfrm>
                              <a:off x="3390361" y="1159519"/>
                              <a:ext cx="1387420" cy="621665"/>
                            </a:xfrm>
                            <a:prstGeom prst="rect">
                              <a:avLst/>
                            </a:prstGeom>
                            <a:noFill/>
                          </wps:spPr>
                          <wps:txbx>
                            <w:txbxContent>
                              <w:p w14:paraId="6741AFCF" w14:textId="77777777" w:rsidR="00777EE0" w:rsidRDefault="00777EE0" w:rsidP="00E808F1">
                                <w:pPr>
                                  <w:jc w:val="center"/>
                                  <w:rPr>
                                    <w:szCs w:val="24"/>
                                  </w:rPr>
                                </w:pPr>
                                <w:r>
                                  <w:rPr>
                                    <w:color w:val="000000" w:themeColor="text1"/>
                                    <w:kern w:val="24"/>
                                  </w:rPr>
                                  <w:t xml:space="preserve"> Behavioural willingness</w:t>
                                </w:r>
                              </w:p>
                            </w:txbxContent>
                          </wps:txbx>
                          <wps:bodyPr wrap="square" rtlCol="0">
                            <a:spAutoFit/>
                          </wps:bodyPr>
                        </wps:wsp>
                      </wpg:grpSp>
                      <wpg:grpSp>
                        <wpg:cNvPr id="67" name="Group 67"/>
                        <wpg:cNvGrpSpPr/>
                        <wpg:grpSpPr>
                          <a:xfrm>
                            <a:off x="1724697" y="28865"/>
                            <a:ext cx="1064418" cy="472961"/>
                            <a:chOff x="1724697" y="28865"/>
                            <a:chExt cx="1108158" cy="472961"/>
                          </a:xfrm>
                          <a:solidFill>
                            <a:schemeClr val="bg1"/>
                          </a:solidFill>
                        </wpg:grpSpPr>
                        <wps:wsp>
                          <wps:cNvPr id="68" name="Rectangle: Rounded Corners 68"/>
                          <wps:cNvSpPr/>
                          <wps:spPr>
                            <a:xfrm>
                              <a:off x="1724697" y="28865"/>
                              <a:ext cx="1108158" cy="388116"/>
                            </a:xfrm>
                            <a:prstGeom prst="round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Box 186"/>
                          <wps:cNvSpPr txBox="1"/>
                          <wps:spPr>
                            <a:xfrm>
                              <a:off x="1863088" y="82091"/>
                              <a:ext cx="830334" cy="419735"/>
                            </a:xfrm>
                            <a:prstGeom prst="rect">
                              <a:avLst/>
                            </a:prstGeom>
                            <a:noFill/>
                          </wps:spPr>
                          <wps:txbx>
                            <w:txbxContent>
                              <w:p w14:paraId="225E92F5" w14:textId="77777777" w:rsidR="00777EE0" w:rsidRDefault="00777EE0" w:rsidP="00E808F1">
                                <w:pPr>
                                  <w:jc w:val="center"/>
                                  <w:rPr>
                                    <w:szCs w:val="24"/>
                                  </w:rPr>
                                </w:pPr>
                                <w:r>
                                  <w:rPr>
                                    <w:color w:val="000000" w:themeColor="text1"/>
                                    <w:kern w:val="24"/>
                                  </w:rPr>
                                  <w:t>Attitudes</w:t>
                                </w:r>
                              </w:p>
                            </w:txbxContent>
                          </wps:txbx>
                          <wps:bodyPr wrap="square" rtlCol="0">
                            <a:spAutoFit/>
                          </wps:bodyPr>
                        </wps:wsp>
                      </wpg:grpSp>
                      <wpg:grpSp>
                        <wpg:cNvPr id="70" name="Group 70"/>
                        <wpg:cNvGrpSpPr/>
                        <wpg:grpSpPr>
                          <a:xfrm>
                            <a:off x="1727209" y="793635"/>
                            <a:ext cx="1064417" cy="621665"/>
                            <a:chOff x="1727209" y="793635"/>
                            <a:chExt cx="1108158" cy="621665"/>
                          </a:xfrm>
                        </wpg:grpSpPr>
                        <wps:wsp>
                          <wps:cNvPr id="71" name="Rectangle: Rounded Corners 71"/>
                          <wps:cNvSpPr/>
                          <wps:spPr>
                            <a:xfrm>
                              <a:off x="1727209" y="813323"/>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TextBox 189"/>
                          <wps:cNvSpPr txBox="1"/>
                          <wps:spPr>
                            <a:xfrm>
                              <a:off x="1754939" y="793635"/>
                              <a:ext cx="1064362" cy="621665"/>
                            </a:xfrm>
                            <a:prstGeom prst="rect">
                              <a:avLst/>
                            </a:prstGeom>
                            <a:noFill/>
                          </wps:spPr>
                          <wps:txbx>
                            <w:txbxContent>
                              <w:p w14:paraId="10910510" w14:textId="77777777" w:rsidR="00777EE0" w:rsidRDefault="00777EE0" w:rsidP="00E808F1">
                                <w:pPr>
                                  <w:jc w:val="center"/>
                                  <w:rPr>
                                    <w:szCs w:val="24"/>
                                  </w:rPr>
                                </w:pPr>
                                <w:r>
                                  <w:rPr>
                                    <w:color w:val="000000" w:themeColor="text1"/>
                                    <w:kern w:val="24"/>
                                  </w:rPr>
                                  <w:t>Subjective norms</w:t>
                                </w:r>
                              </w:p>
                            </w:txbxContent>
                          </wps:txbx>
                          <wps:bodyPr wrap="square" rtlCol="0">
                            <a:spAutoFit/>
                          </wps:bodyPr>
                        </wps:wsp>
                      </wpg:grpSp>
                      <wpg:grpSp>
                        <wpg:cNvPr id="74" name="Group 74"/>
                        <wpg:cNvGrpSpPr/>
                        <wpg:grpSpPr>
                          <a:xfrm>
                            <a:off x="1732013" y="1540279"/>
                            <a:ext cx="1059611" cy="621665"/>
                            <a:chOff x="1732013" y="1540279"/>
                            <a:chExt cx="1108158" cy="621665"/>
                          </a:xfrm>
                        </wpg:grpSpPr>
                        <wps:wsp>
                          <wps:cNvPr id="75" name="Rectangle: Rounded Corners 75"/>
                          <wps:cNvSpPr/>
                          <wps:spPr>
                            <a:xfrm>
                              <a:off x="1732013" y="1583440"/>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extBox 192"/>
                          <wps:cNvSpPr txBox="1"/>
                          <wps:spPr>
                            <a:xfrm>
                              <a:off x="1748000" y="1540279"/>
                              <a:ext cx="1063877" cy="621665"/>
                            </a:xfrm>
                            <a:prstGeom prst="rect">
                              <a:avLst/>
                            </a:prstGeom>
                            <a:noFill/>
                          </wps:spPr>
                          <wps:txbx>
                            <w:txbxContent>
                              <w:p w14:paraId="7ACC6B12" w14:textId="77777777" w:rsidR="00777EE0" w:rsidRDefault="00777EE0" w:rsidP="00E808F1">
                                <w:pPr>
                                  <w:jc w:val="center"/>
                                  <w:rPr>
                                    <w:szCs w:val="24"/>
                                  </w:rPr>
                                </w:pPr>
                                <w:r>
                                  <w:rPr>
                                    <w:color w:val="000000" w:themeColor="text1"/>
                                    <w:kern w:val="24"/>
                                  </w:rPr>
                                  <w:t xml:space="preserve">Prototype risk images </w:t>
                                </w:r>
                              </w:p>
                            </w:txbxContent>
                          </wps:txbx>
                          <wps:bodyPr wrap="square" rtlCol="0">
                            <a:spAutoFit/>
                          </wps:bodyPr>
                        </wps:wsp>
                      </wpg:grpSp>
                      <wpg:grpSp>
                        <wpg:cNvPr id="77" name="Group 77"/>
                        <wpg:cNvGrpSpPr/>
                        <wpg:grpSpPr>
                          <a:xfrm>
                            <a:off x="3392899" y="399250"/>
                            <a:ext cx="1108075" cy="621665"/>
                            <a:chOff x="3392830" y="399250"/>
                            <a:chExt cx="1387420" cy="621665"/>
                          </a:xfrm>
                        </wpg:grpSpPr>
                        <wps:wsp>
                          <wps:cNvPr id="78" name="Rectangle: Rounded Corners 78"/>
                          <wps:cNvSpPr/>
                          <wps:spPr>
                            <a:xfrm>
                              <a:off x="3529973" y="424382"/>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TextBox 195"/>
                          <wps:cNvSpPr txBox="1"/>
                          <wps:spPr>
                            <a:xfrm>
                              <a:off x="3392830" y="399250"/>
                              <a:ext cx="1387420" cy="621665"/>
                            </a:xfrm>
                            <a:prstGeom prst="rect">
                              <a:avLst/>
                            </a:prstGeom>
                            <a:noFill/>
                          </wps:spPr>
                          <wps:txbx>
                            <w:txbxContent>
                              <w:p w14:paraId="6B6F5E4F" w14:textId="77777777" w:rsidR="00777EE0" w:rsidRDefault="00777EE0" w:rsidP="00E808F1">
                                <w:pPr>
                                  <w:jc w:val="center"/>
                                  <w:rPr>
                                    <w:szCs w:val="24"/>
                                  </w:rPr>
                                </w:pPr>
                                <w:r>
                                  <w:rPr>
                                    <w:color w:val="000000" w:themeColor="text1"/>
                                    <w:kern w:val="24"/>
                                  </w:rPr>
                                  <w:t xml:space="preserve"> Behavioural intention</w:t>
                                </w:r>
                              </w:p>
                            </w:txbxContent>
                          </wps:txbx>
                          <wps:bodyPr wrap="square" rtlCol="0">
                            <a:spAutoFit/>
                          </wps:bodyPr>
                        </wps:wsp>
                      </wpg:grpSp>
                      <wps:wsp>
                        <wps:cNvPr id="80" name="Straight Connector 80"/>
                        <wps:cNvCnPr>
                          <a:cxnSpLocks/>
                        </wps:cNvCnPr>
                        <wps:spPr>
                          <a:xfrm>
                            <a:off x="2789115" y="222923"/>
                            <a:ext cx="720297" cy="1162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V="1">
                            <a:off x="2791626" y="625730"/>
                            <a:ext cx="717786" cy="381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3942573" y="812498"/>
                            <a:ext cx="2374" cy="3824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a:off x="4387470" y="618440"/>
                            <a:ext cx="548638" cy="39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4" name="Group 84"/>
                        <wpg:cNvGrpSpPr/>
                        <wpg:grpSpPr>
                          <a:xfrm>
                            <a:off x="0" y="777289"/>
                            <a:ext cx="1108075" cy="621665"/>
                            <a:chOff x="0" y="777289"/>
                            <a:chExt cx="1387420" cy="621665"/>
                          </a:xfrm>
                        </wpg:grpSpPr>
                        <wps:wsp>
                          <wps:cNvPr id="85" name="Rectangle: Rounded Corners 85"/>
                          <wps:cNvSpPr/>
                          <wps:spPr>
                            <a:xfrm>
                              <a:off x="170431" y="815222"/>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xtBox 208"/>
                          <wps:cNvSpPr txBox="1"/>
                          <wps:spPr>
                            <a:xfrm>
                              <a:off x="0" y="777289"/>
                              <a:ext cx="1387420" cy="621665"/>
                            </a:xfrm>
                            <a:prstGeom prst="rect">
                              <a:avLst/>
                            </a:prstGeom>
                            <a:noFill/>
                          </wps:spPr>
                          <wps:txbx>
                            <w:txbxContent>
                              <w:p w14:paraId="531B91C7" w14:textId="77777777" w:rsidR="00777EE0" w:rsidRDefault="00777EE0" w:rsidP="00E808F1">
                                <w:pPr>
                                  <w:jc w:val="center"/>
                                  <w:rPr>
                                    <w:szCs w:val="24"/>
                                  </w:rPr>
                                </w:pPr>
                                <w:r>
                                  <w:rPr>
                                    <w:color w:val="000000" w:themeColor="text1"/>
                                    <w:kern w:val="24"/>
                                  </w:rPr>
                                  <w:t xml:space="preserve"> Previous behaviour</w:t>
                                </w:r>
                              </w:p>
                            </w:txbxContent>
                          </wps:txbx>
                          <wps:bodyPr wrap="square" rtlCol="0">
                            <a:spAutoFit/>
                          </wps:bodyPr>
                        </wps:wsp>
                      </wpg:grpSp>
                      <wps:wsp>
                        <wps:cNvPr id="87" name="Straight Connector 87"/>
                        <wps:cNvCnPr>
                          <a:cxnSpLocks/>
                        </wps:cNvCnPr>
                        <wps:spPr>
                          <a:xfrm flipV="1">
                            <a:off x="1021153" y="1007381"/>
                            <a:ext cx="434131" cy="18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Arc 88"/>
                        <wps:cNvSpPr/>
                        <wps:spPr>
                          <a:xfrm rot="13404782">
                            <a:off x="1633676" y="251782"/>
                            <a:ext cx="683688" cy="70607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Arc 89"/>
                        <wps:cNvSpPr/>
                        <wps:spPr>
                          <a:xfrm rot="13404782">
                            <a:off x="1637693" y="1049875"/>
                            <a:ext cx="683688" cy="70607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Straight Connector 90"/>
                        <wps:cNvCnPr>
                          <a:cxnSpLocks/>
                        </wps:cNvCnPr>
                        <wps:spPr>
                          <a:xfrm flipV="1">
                            <a:off x="1021153" y="222923"/>
                            <a:ext cx="703544" cy="7863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a:off x="1021153" y="1009280"/>
                            <a:ext cx="710860" cy="768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5AB5A4" id="Group 441" o:spid="_x0000_s1282" style="position:absolute;margin-left:0;margin-top:3.1pt;width:462.9pt;height:170.2pt;z-index:253719552" coordsize="58794,2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IkgoAAKBXAAAOAAAAZHJzL2Uyb0RvYy54bWzsXFuTm8oRfk9V/gOl93gZhqvK61ObPbGT&#10;KteJy3ZynlmELhUJCLBeOb8+X88NhNB1Le26Dn5YCwEj6On+uvvrnnn7y3q1tL6lZbXIs9sRe2OP&#10;rDRL8skim92O/vX1/V/CkVXVcTaJl3mW3o6+p9Xol3d//tPbp2KcOvk8X07S0sIgWTV+Km5H87ou&#10;xjc3VTJPV3H1Ji/SDCenebmKaxyWs5tJGT9h9NXyxrFt/+YpLydFmSdpVeHbX+XJ0Tsx/nSaJvU/&#10;p9Mqra3l7QjPVou/pfj7QH9v3r2Nx7MyLuaLRD1GfMZTrOJFhh81Q/0a17H1WC62hlotkjKv8mn9&#10;JslXN/l0ukhS8Q54G2Z33uZDmT8W4l1m46dZYcQE0XbkdPawyW/fPpXWYnI7cgM2srJ4hUkSv2u5&#10;LiPxPBWzMa76UBZfik+l+mImj+iN19NyRf/jXay1EOx3I9h0XVsJvvTCIAw55J/gnMN85rlK9Mkc&#10;87N1XzL/W3Nn5LKouTNyXXqqG/3DN/R85nGeCqhR1Uiqep6kvszjIhUTUJEMjKQcLam7MrHcwJFy&#10;EtcYIVXjCvLSErLKHLrHuGdzbttCVZTAmOtGrheMLIiGRTygseKxlhy0IgrxylJyNvMiP9p4/3hc&#10;lFX9Ic1XFn24HcVlIoaPv32saikpfQUNvMzob5UvF5P3i+VSHJCxpffL0voWw0zqtZh3SLh1FY7o&#10;Tkhbv5f4VH9fpnLUz+kUaoS5ZuLXhQE3Y8ZJkma1HneZ4Wq6bYonMDdKqey9UV1Pt6bCuE+52dwh&#10;fjnPanPzapHlZd9jN6KYyuu1BOR7kwge8sl36IWYXih4VSTvF5iHj3FVf4pLYAm+BD5iYuZ5+b+R&#10;9QSsuR1V/32My3RkLf+RQUUj6ACBkziALjg4KNtnHtpnssfVfY55grni18RHur5e6o/TMl/9Dli8&#10;o1/FqThL8Nu3o6Qu9cF9LTEQwJqkd3fiMgBSEdcfsy9FomeRFOfr+ve4LJRy1dDL33JtFvG4o2Ty&#10;WpJvlt891vl0ITSwkZOSH0xUAoswXIMxxr64ti+FRAGXFnYSErlhGLIQpgPDCkLHdYThNKYVRczh&#10;nrQsH6Dke9L0DCSJAXgzABd2Ho8bdGL4x0M9hh24PNwwzhcBJzywhPHP8H5xNlumgCgBmjQPgLEd&#10;EEXTpjAJiMRCAI0UXRjBNWygErMdnFao7Lqe54kJMqC8BUolHmUfKrWQBrCziUcPM40bG1c9D8g0&#10;gCiMFGAm4Fp8+pGwxvuAZRMPd8Oac/jmM2BtaZD4IKw1qNJGEXIrJChlx1fxubAyqdZfgUF/zdcW&#10;C3yJCkaprXqNEwReeMBmSnWo0Kg3IUOPYWune8isT1bvLCdfq6Um4wJ6vnr9sBbBF0NMoJ5ZOZRN&#10;P9GgO1lpVRC4vt8Hrg3ySElcISjy9QR9qct4MZvX1n2eZTD8vAQAtefqPpOBUbKGs/mYJ/+ptGiA&#10;TvLkntlzgjBiDOpAsaTjRI7AngbXA8Y5gwehWJNHnsdESLUbm5aLjGK8LWdGMRV9/TygGSImKYFu&#10;xKRn/JoQgiBbQkivhgo1Ib0zSghXf6aGRsx3YA8U0tt2wMOO/wzs0HXwNEJFQ+Z72sPpZEpH7Crs&#10;GlR0Vypxhvc7Oqh/CRUFXbJHRUV0eb6KWtPlovi3Du5VrOcEpKwSThHMRrYOc7U3FMqK55LKGrq+&#10;gPIBT43qybz3iPTV3EFuRYVe8ubnZ6AvoaxIAPYoq0i3frCyIsHy7AjOXSArCygOwJs3zh/uHiSJ&#10;UtaARYPzl0yLUb3XqKyKwOvyAL7JZCUNgGPM9Yl8JOeR7RL1SBoD+swDmbihMYzZoR0olenlAWgI&#10;7oNu6Q7RIgJ4GLhE2xBINoMYkGzCcYp8ySguHpCDzlDWaXiAsfU5f8wm6QSReZmBtLck56GM9DAv&#10;wD0n8Ok1hSQiN5K8QmN+JEzmNc6CsQPOAgx3NqEH3BeBm/SJgnHrCYSZB4dFZr/BCHR4g8bPt67C&#10;jBzJY+5NvcVvz+NJKilTz8Y/UisMb55CHPVTnUdwpLs5gcs4mhM4AWKyoQMD1VmCxTyS6ryGwZsE&#10;3DAkoeJNT2ZIdkKeDgoRKe4FvEtQJIbWuQRFsssHmZxR+SCVJZ7ERLPAcf1IlnicMNREs5Gl7aPW&#10;pkAT1aQIvka4KMNE7xig5X/auNsMYfzPfqTsZVhfwmWZ7Gefy2onQYdd1g7RGdm3BcdBC/4Qh4Wy&#10;hiL8Bo8lasLCX27S+psUuIlP6crjUqPBY120OHcNj2USyMZjtXlisu5jOX3Uq7gdAkAQmoaOHXUY&#10;N3QfcGL8KT5HP0GAwp8M13YwbocKViYk7fC7LUbfdAVc0V0FiMtkSi7dFY7xmiemTIBMlKBV9S/i&#10;vpRVK8gX/krRl02yQ4VR1cyxa4QdDqsZwzisF/A+Tf/LHu8jK6FHJ0xtQaDkxLu1iiFfGvKloTVE&#10;tNBcvaSMphKFlY33aXOWJ3mfwHMjvh8yuY+2sR380CXSJZP7XdP/dCg73XdyYrrE0famSF50CqJC&#10;IfMhE7TbaINjIOQ2pbnhgHYM8bo90DGUHahK4dJNTq+Oqla3IQXRur0waEsi5NRphjta3vwiGVCL&#10;cmtRYpIt6003h0RpSJR+zi7GKyRK6J7puqrIpBeqo+/oRClwQ2KrBYffj64+yL2t8N6E5pfwVaY9&#10;8Zq+qkPt4ZVPz5VAlDohdUIir+RR5Hg96HqwuuSI3vjOCC1PdYBrfYlc6RimLjiNqUNxKUJiLkTp&#10;Oqj0qnZb4/Uv4qhMIj84oMEBDQ5opnv7FcWhWvIRgW85oG4ceqwDEpCpKvK9kHkA7i7hf8y7XML/&#10;XCFACA3v19PaiJNNxnDh3lvHdqjQRYkZSilOIP3h7thh6Gz8Y3Q2ogNWAUifgprK7nmtt3v6GmUT&#10;LvobAyDORt4bsCAIcZpUFQ26Qw+uWpNnKnGvsVPsGlBqFnf2aWo76zoDSoWm/r3Tgcsjl/RTlq6Y&#10;40Yibm4YGoeDRlN66qiVFAOi/uH11NDXfXpqyN/zELVFICIRC1yqKwInfayn7PKHnovKq2pe4VHo&#10;S35y0M9XrZ87up1otWy7fIzj0ykRqSpBEIAY2XS5h1ttt+991TQILf2V8tpTMsZFTfh9TMMS+pVl&#10;szFaabHAbVuGQ4et3K9g6LAdNhMQEeGVWuopXZDmrivGjt3lOI9lQbaRzvCc5HD3rCW4BP9huq5+&#10;Vv7DcPl9wdAzV3b2ppfYAgHLSVSRum+Np8tdRjguqBAqEcAJDFHRq46KrpFdmsIJbR2EfsWDoYHe&#10;Oci1XexiIla96NK+z7lPpUFE5g6WuXcLJn7IfeqIJA0MbN+WzYC7dXDYOcjsgfTs5uRm8dHBLTaG&#10;5TRmlyFKO4/aOegalmpKHsJSu51hym7bXTd7LTXwzbJVEDwySW4onsFUm93Brr3ybTDVn30dQYRg&#10;WsblPdEfTjY+9lzKtrtpQjv6692Dxuae3rUPVQaO/f2G8I+aDl/Vrn00JWot9pUySCxL2aOpzyyD&#10;tUjbtn5iBxr0KG1Vv+zQh9mI2NAPHSw/HBT0dSuoaPPCNrAijVRb1tI+s+1jodDNxrrv/g8AAP//&#10;AwBQSwMEFAAGAAgAAAAhAOigO4PeAAAABgEAAA8AAABkcnMvZG93bnJldi54bWxMj0FLw0AUhO+C&#10;/2F5gje7SWqDjXkppainItgK0ts2+5qEZt+G7DZJ/73ryR6HGWa+yVeTacVAvWssI8SzCARxaXXD&#10;FcL3/v3pBYTzirVqLRPClRysivu7XGXajvxFw85XIpSwyxRC7X2XSenKmoxyM9sRB+9ke6N8kH0l&#10;da/GUG5amURRKo1qOCzUqqNNTeV5dzEIH6Ma1/P4bdieT5vrYb/4/NnGhPj4MK1fQXia/H8Y/vAD&#10;OhSB6WgvrJ1oEcIRj5AmIIK5TBbhxxFh/pymIItc3uIXvwAAAP//AwBQSwECLQAUAAYACAAAACEA&#10;toM4kv4AAADhAQAAEwAAAAAAAAAAAAAAAAAAAAAAW0NvbnRlbnRfVHlwZXNdLnhtbFBLAQItABQA&#10;BgAIAAAAIQA4/SH/1gAAAJQBAAALAAAAAAAAAAAAAAAAAC8BAABfcmVscy8ucmVsc1BLAQItABQA&#10;BgAIAAAAIQC+1B0IkgoAAKBXAAAOAAAAAAAAAAAAAAAAAC4CAABkcnMvZTJvRG9jLnhtbFBLAQIt&#10;ABQABgAIAAAAIQDooDuD3gAAAAYBAAAPAAAAAAAAAAAAAAAAAOwMAABkcnMvZG93bnJldi54bWxQ&#10;SwUGAAAAAAQABADzAAAA9w0AAAAA&#10;">
                <v:shape id="Arc 472" o:spid="_x0000_s1283" style="position:absolute;left:14494;top:19;width:20198;height:20160;rotation:-8843756fd;visibility:visible;mso-wrap-style:square;v-text-anchor:middle" coordsize="2019844,20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FfxgAAANwAAAAPAAAAZHJzL2Rvd25yZXYueG1sRI9Ba8JA&#10;FITvQv/D8oRepG7Ukkp0FRFKLRREbcXjI/tM1mbfhuw2pv++KxQ8DjPzDTNfdrYSLTXeOFYwGiYg&#10;iHOnDRcKPg+vT1MQPiBrrByTgl/ysFw89OaYaXflHbX7UIgIYZ+hgjKEOpPS5yVZ9ENXE0fv7BqL&#10;IcqmkLrBa4TbSo6TJJUWDceFEmtal5R/73+sgkG7TS8fX+btaNLq8i5PctROtko99rvVDESgLtzD&#10;/+2NVvD8MobbmXgE5OIPAAD//wMAUEsBAi0AFAAGAAgAAAAhANvh9svuAAAAhQEAABMAAAAAAAAA&#10;AAAAAAAAAAAAAFtDb250ZW50X1R5cGVzXS54bWxQSwECLQAUAAYACAAAACEAWvQsW78AAAAVAQAA&#10;CwAAAAAAAAAAAAAAAAAfAQAAX3JlbHMvLnJlbHNQSwECLQAUAAYACAAAACEAskVxX8YAAADcAAAA&#10;DwAAAAAAAAAAAAAAAAAHAgAAZHJzL2Rvd25yZXYueG1sUEsFBgAAAAADAAMAtwAAAPoCAAAAAA==&#10;" path="m1009922,nsc1567687,,2019844,451290,2019844,1007985r-1009922,l1009922,xem1009922,nfc1567687,,2019844,451290,2019844,1007985e" filled="f" strokecolor="black [3213]">
                  <v:path arrowok="t" o:connecttype="custom" o:connectlocs="1009922,0;2019844,1007985" o:connectangles="0,0"/>
                </v:shape>
                <v:group id="Group 473" o:spid="_x0000_s1284" style="position:absolute;left:48881;top:7824;width:9913;height:6216" coordorigin="48881,7824" coordsize="111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rect id="Rectangle 474" o:spid="_x0000_s1285" style="position:absolute;left:49418;top:7889;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IrxQAAANwAAAAPAAAAZHJzL2Rvd25yZXYueG1sRI9PawIx&#10;FMTvBb9DeAUvRbNacWVrVqQgCp60PXh8bl73Tzcv2yTq9tubQsHjMDO/YZar3rTiSs7XlhVMxgkI&#10;4sLqmksFnx+b0QKED8gaW8uk4Jc8rPLB0xIzbW98oOsxlCJC2GeooAqhy6T0RUUG/dh2xNH7ss5g&#10;iNKVUju8Rbhp5TRJ5tJgzXGhwo7eKyq+jxej4MWa1B3mzXnTbNc/Jxv2r7suVWr43K/fQATqwyP8&#10;395pBbN0Bn9n4hGQ+R0AAP//AwBQSwECLQAUAAYACAAAACEA2+H2y+4AAACFAQAAEwAAAAAAAAAA&#10;AAAAAAAAAAAAW0NvbnRlbnRfVHlwZXNdLnhtbFBLAQItABQABgAIAAAAIQBa9CxbvwAAABUBAAAL&#10;AAAAAAAAAAAAAAAAAB8BAABfcmVscy8ucmVsc1BLAQItABQABgAIAAAAIQADkaIrxQAAANwAAAAP&#10;AAAAAAAAAAAAAAAAAAcCAABkcnMvZG93bnJldi54bWxQSwUGAAAAAAMAAwC3AAAA+QIAAAAA&#10;" fillcolor="white [3212]" strokecolor="black [3213]"/>
                  <v:shape id="TextBox 176" o:spid="_x0000_s1286" type="#_x0000_t202" style="position:absolute;left:48881;top:7824;width:11114;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14:paraId="2BAAE5A8" w14:textId="77777777" w:rsidR="00777EE0" w:rsidRDefault="00777EE0" w:rsidP="00E808F1">
                          <w:pPr>
                            <w:jc w:val="center"/>
                            <w:rPr>
                              <w:szCs w:val="24"/>
                            </w:rPr>
                          </w:pPr>
                          <w:r>
                            <w:rPr>
                              <w:color w:val="000000" w:themeColor="text1"/>
                              <w:kern w:val="24"/>
                            </w:rPr>
                            <w:t xml:space="preserve">Risk </w:t>
                          </w:r>
                          <w:r>
                            <w:rPr>
                              <w:color w:val="000000" w:themeColor="text1"/>
                              <w:kern w:val="24"/>
                            </w:rPr>
                            <w:br/>
                            <w:t>behaviour</w:t>
                          </w:r>
                        </w:p>
                      </w:txbxContent>
                    </v:textbox>
                  </v:shape>
                </v:group>
                <v:line id="Straight Connector 476" o:spid="_x0000_s1287" style="position:absolute;visibility:visible;mso-wrap-style:square" from="27891,2229" to="35024,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FuxgAAANwAAAAPAAAAZHJzL2Rvd25yZXYueG1sRI9Ba8JA&#10;FITvBf/D8gRvdaPYRFJXCYLQ1lOt0usj+5qkZt+G3W1M/fWuUOhxmJlvmNVmMK3oyfnGsoLZNAFB&#10;XFrdcKXg+LF7XILwAVlja5kU/JKHzXr0sMJc2wu/U38IlYgQ9jkqqEPocil9WZNBP7UdcfS+rDMY&#10;onSV1A4vEW5aOU+SVBpsOC7U2NG2pvJ8+DEKluXbtyuy4nX2dOqyaz/fp7vPTKnJeCieQQQawn/4&#10;r/2iFSyyFO5n4hGQ6xsAAAD//wMAUEsBAi0AFAAGAAgAAAAhANvh9svuAAAAhQEAABMAAAAAAAAA&#10;AAAAAAAAAAAAAFtDb250ZW50X1R5cGVzXS54bWxQSwECLQAUAAYACAAAACEAWvQsW78AAAAVAQAA&#10;CwAAAAAAAAAAAAAAAAAfAQAAX3JlbHMvLnJlbHNQSwECLQAUAAYACAAAACEATu3hbsYAAADcAAAA&#10;DwAAAAAAAAAAAAAAAAAHAgAAZHJzL2Rvd25yZXYueG1sUEsFBgAAAAADAAMAtwAAAPoCAAAAAA==&#10;" strokecolor="black [3213]">
                  <o:lock v:ext="edit" shapetype="f"/>
                </v:line>
                <v:line id="Straight Connector 477" o:spid="_x0000_s1288" style="position:absolute;visibility:visible;mso-wrap-style:square" from="27916,10073" to="35000,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T1xgAAANwAAAAPAAAAZHJzL2Rvd25yZXYueG1sRI9BawIx&#10;FITvhf6H8Aq91azSGlmNshSEtp60itfH5rm7dvOyJOm67a9vBKHHYWa+YRarwbaiJx8axxrGowwE&#10;celMw5WG/ef6aQYiRGSDrWPS8EMBVsv7uwXmxl14S/0uViJBOOSooY6xy6UMZU0Ww8h1xMk7OW8x&#10;JukraTxeEty2cpJlU2mx4bRQY0evNZVfu2+rYVZ+nH2hivfxy6FTv/1kM10fldaPD0MxBxFpiP/h&#10;W/vNaHhWCq5n0hGQyz8AAAD//wMAUEsBAi0AFAAGAAgAAAAhANvh9svuAAAAhQEAABMAAAAAAAAA&#10;AAAAAAAAAAAAAFtDb250ZW50X1R5cGVzXS54bWxQSwECLQAUAAYACAAAACEAWvQsW78AAAAVAQAA&#10;CwAAAAAAAAAAAAAAAAAfAQAAX3JlbHMvLnJlbHNQSwECLQAUAAYACAAAACEAIaFE9cYAAADcAAAA&#10;DwAAAAAAAAAAAAAAAAAHAgAAZHJzL2Rvd25yZXYueG1sUEsFBgAAAAADAAMAtwAAAPoCAAAAAA==&#10;" strokecolor="black [3213]">
                  <o:lock v:ext="edit" shapetype="f"/>
                </v:line>
                <v:line id="Straight Connector 478" o:spid="_x0000_s1289" style="position:absolute;flip:y;visibility:visible;mso-wrap-style:square" from="27916,13890" to="35000,1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DzwgAAANwAAAAPAAAAZHJzL2Rvd25yZXYueG1sRE/dasIw&#10;FL4X9g7hDLzTdKJu65qKEwTZjazzAQ7NWVPWnHRJprVPv1wIXn58/8VmsJ04kw+tYwVP8wwEce10&#10;y42C09d+9gIiRGSNnWNScKUAm/JhUmCu3YU/6VzFRqQQDjkqMDH2uZShNmQxzF1PnLhv5y3GBH0j&#10;tcdLCredXGTZWlpsOTUY7GlnqP6p/qyCboyn8fV9Z8bsd3nVx+Pa+dWHUtPHYfsGItIQ7+Kb+6AV&#10;LJ/T2nQmHQFZ/gMAAP//AwBQSwECLQAUAAYACAAAACEA2+H2y+4AAACFAQAAEwAAAAAAAAAAAAAA&#10;AAAAAAAAW0NvbnRlbnRfVHlwZXNdLnhtbFBLAQItABQABgAIAAAAIQBa9CxbvwAAABUBAAALAAAA&#10;AAAAAAAAAAAAAB8BAABfcmVscy8ucmVsc1BLAQItABQABgAIAAAAIQC9zpDzwgAAANwAAAAPAAAA&#10;AAAAAAAAAAAAAAcCAABkcnMvZG93bnJldi54bWxQSwUGAAAAAAMAAwC3AAAA9gIAAAAA&#10;" strokecolor="black [3213]">
                  <o:lock v:ext="edit" shapetype="f"/>
                </v:line>
                <v:line id="Straight Connector 479" o:spid="_x0000_s1290" style="position:absolute;flip:y;visibility:visible;mso-wrap-style:square" from="43850,10171" to="49361,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oxAAAANwAAAAPAAAAZHJzL2Rvd25yZXYueG1sRI/RagIx&#10;FETfC/5DuIJvNatYq6tRqiBIX6TqB1w2183i5mabRF3365tCoY/DzJxhluvW1uJOPlSOFYyGGQji&#10;wumKSwXn0+51BiJEZI21Y1LwpADrVe9libl2D/6i+zGWIkE45KjAxNjkUobCkMUwdA1x8i7OW4xJ&#10;+lJqj48Et7UcZ9lUWqw4LRhsaGuouB5vVkHdxXM332xNl31PnvpwmDr/9qnUoN9+LEBEauN/+K+9&#10;1wom73P4PZOOgFz9AAAA//8DAFBLAQItABQABgAIAAAAIQDb4fbL7gAAAIUBAAATAAAAAAAAAAAA&#10;AAAAAAAAAABbQ29udGVudF9UeXBlc10ueG1sUEsBAi0AFAAGAAgAAAAhAFr0LFu/AAAAFQEAAAsA&#10;AAAAAAAAAAAAAAAAHwEAAF9yZWxzLy5yZWxzUEsBAi0AFAAGAAgAAAAhANKCNWjEAAAA3AAAAA8A&#10;AAAAAAAAAAAAAAAABwIAAGRycy9kb3ducmV2LnhtbFBLBQYAAAAAAwADALcAAAD4AgAAAAA=&#10;" strokecolor="black [3213]">
                  <o:lock v:ext="edit" shapetype="f"/>
                </v:line>
                <v:group id="Group 64" o:spid="_x0000_s1291" style="position:absolute;left:33904;top:11595;width:11081;height:6216" coordorigin="33903,11595" coordsize="1387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Rectangle: Rounded Corners 65" o:spid="_x0000_s1292" style="position:absolute;left:35276;top:11949;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IYxQAAANsAAAAPAAAAZHJzL2Rvd25yZXYueG1sRI9PawIx&#10;FMTvBb9DeIKXolkL/mE1igoF8SDU7qHenpvn7uLmZU2ibr99IxQ8DjPzG2a+bE0t7uR8ZVnBcJCA&#10;IM6trrhQkH1/9qcgfEDWWFsmBb/kYbnovM0x1fbBX3Q/hEJECPsUFZQhNKmUPi/JoB/Yhjh6Z+sM&#10;hihdIbXDR4SbWn4kyVgarDgulNjQpqT8crgZBZP9+rT+mWS749S943Bld0XWXJXqddvVDESgNrzC&#10;/+2tVjAewfNL/AFy8QcAAP//AwBQSwECLQAUAAYACAAAACEA2+H2y+4AAACFAQAAEwAAAAAAAAAA&#10;AAAAAAAAAAAAW0NvbnRlbnRfVHlwZXNdLnhtbFBLAQItABQABgAIAAAAIQBa9CxbvwAAABUBAAAL&#10;AAAAAAAAAAAAAAAAAB8BAABfcmVscy8ucmVsc1BLAQItABQABgAIAAAAIQB7KSIYxQAAANsAAAAP&#10;AAAAAAAAAAAAAAAAAAcCAABkcnMvZG93bnJldi54bWxQSwUGAAAAAAMAAwC3AAAA+QIAAAAA&#10;" filled="f" strokecolor="black [3213]"/>
                  <v:shape id="TextBox 183" o:spid="_x0000_s1293" type="#_x0000_t202" style="position:absolute;left:33903;top:11595;width:1387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6741AFCF" w14:textId="77777777" w:rsidR="00777EE0" w:rsidRDefault="00777EE0" w:rsidP="00E808F1">
                          <w:pPr>
                            <w:jc w:val="center"/>
                            <w:rPr>
                              <w:szCs w:val="24"/>
                            </w:rPr>
                          </w:pPr>
                          <w:r>
                            <w:rPr>
                              <w:color w:val="000000" w:themeColor="text1"/>
                              <w:kern w:val="24"/>
                            </w:rPr>
                            <w:t xml:space="preserve"> Behavioural willingness</w:t>
                          </w:r>
                        </w:p>
                      </w:txbxContent>
                    </v:textbox>
                  </v:shape>
                </v:group>
                <v:group id="Group 67" o:spid="_x0000_s1294" style="position:absolute;left:17246;top:288;width:10645;height:4730" coordorigin="17246,288" coordsize="11081,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Rectangle: Rounded Corners 68" o:spid="_x0000_s1295" style="position:absolute;left:17246;top:288;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2GwQAAANsAAAAPAAAAZHJzL2Rvd25yZXYueG1sRE9Ni8Iw&#10;EL0L/ocwwl5EU/egUo2iCwviQVB70NvYjG2xmdQkav335rCwx8f7ni9bU4snOV9ZVjAaJiCIc6sr&#10;LhRkx9/BFIQPyBpry6TgTR6Wi25njqm2L97T8xAKEUPYp6igDKFJpfR5SQb90DbEkbtaZzBE6Aqp&#10;Hb5iuKnld5KMpcGKY0OJDf2UlN8OD6Ngsltf1qdJtj1PXR9HK7stsuau1FevXc1ABGrDv/jPvdEK&#10;xnFs/BJ/gFx8AAAA//8DAFBLAQItABQABgAIAAAAIQDb4fbL7gAAAIUBAAATAAAAAAAAAAAAAAAA&#10;AAAAAABbQ29udGVudF9UeXBlc10ueG1sUEsBAi0AFAAGAAgAAAAhAFr0LFu/AAAAFQEAAAsAAAAA&#10;AAAAAAAAAAAAHwEAAF9yZWxzLy5yZWxzUEsBAi0AFAAGAAgAAAAhAJUojYbBAAAA2wAAAA8AAAAA&#10;AAAAAAAAAAAABwIAAGRycy9kb3ducmV2LnhtbFBLBQYAAAAAAwADALcAAAD1AgAAAAA=&#10;" filled="f" strokecolor="black [3213]"/>
                  <v:shape id="TextBox 186" o:spid="_x0000_s1296" type="#_x0000_t202" style="position:absolute;left:18630;top:820;width:8304;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225E92F5" w14:textId="77777777" w:rsidR="00777EE0" w:rsidRDefault="00777EE0" w:rsidP="00E808F1">
                          <w:pPr>
                            <w:jc w:val="center"/>
                            <w:rPr>
                              <w:szCs w:val="24"/>
                            </w:rPr>
                          </w:pPr>
                          <w:r>
                            <w:rPr>
                              <w:color w:val="000000" w:themeColor="text1"/>
                              <w:kern w:val="24"/>
                            </w:rPr>
                            <w:t>Attitudes</w:t>
                          </w:r>
                        </w:p>
                      </w:txbxContent>
                    </v:textbox>
                  </v:shape>
                </v:group>
                <v:group id="Group 70" o:spid="_x0000_s1297" style="position:absolute;left:17272;top:7936;width:10644;height:6217" coordorigin="17272,7936"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Rectangle: Rounded Corners 71" o:spid="_x0000_s1298" style="position:absolute;left:17272;top:8133;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GxAAAANsAAAAPAAAAZHJzL2Rvd25yZXYueG1sRI9Ba8JA&#10;FITvgv9heUIvopt4qJK6igqCeChUc9Dba/Y1Cc2+jburpv++Kwgeh5lvhpkvO9OIGzlfW1aQjhMQ&#10;xIXVNZcK8uN2NAPhA7LGxjIp+CMPy0W/N8dM2zt/0e0QShFL2GeooAqhzaT0RUUG/di2xNH7sc5g&#10;iNKVUju8x3LTyEmSvEuDNceFClvaVFT8Hq5GwfRz/b0+TfP9eeaGmK7svszbi1Jvg271ASJQF17h&#10;J73TkUvh8SX+ALn4BwAA//8DAFBLAQItABQABgAIAAAAIQDb4fbL7gAAAIUBAAATAAAAAAAAAAAA&#10;AAAAAAAAAABbQ29udGVudF9UeXBlc10ueG1sUEsBAi0AFAAGAAgAAAAhAFr0LFu/AAAAFQEAAAsA&#10;AAAAAAAAAAAAAAAAHwEAAF9yZWxzLy5yZWxzUEsBAi0AFAAGAAgAAAAhAIHLssbEAAAA2wAAAA8A&#10;AAAAAAAAAAAAAAAABwIAAGRycy9kb3ducmV2LnhtbFBLBQYAAAAAAwADALcAAAD4AgAAAAA=&#10;" filled="f" strokecolor="black [3213]"/>
                  <v:shape id="TextBox 189" o:spid="_x0000_s1299" type="#_x0000_t202" style="position:absolute;left:17549;top:7936;width:1064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10910510" w14:textId="77777777" w:rsidR="00777EE0" w:rsidRDefault="00777EE0" w:rsidP="00E808F1">
                          <w:pPr>
                            <w:jc w:val="center"/>
                            <w:rPr>
                              <w:szCs w:val="24"/>
                            </w:rPr>
                          </w:pPr>
                          <w:r>
                            <w:rPr>
                              <w:color w:val="000000" w:themeColor="text1"/>
                              <w:kern w:val="24"/>
                            </w:rPr>
                            <w:t>Subjective norms</w:t>
                          </w:r>
                        </w:p>
                      </w:txbxContent>
                    </v:textbox>
                  </v:shape>
                </v:group>
                <v:group id="Group 74" o:spid="_x0000_s1300" style="position:absolute;left:17320;top:15402;width:10596;height:6217" coordorigin="17320,15402"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oundrect id="Rectangle: Rounded Corners 75" o:spid="_x0000_s1301" style="position:absolute;left:17320;top:15834;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4ZxgAAANsAAAAPAAAAZHJzL2Rvd25yZXYueG1sRI9ba8JA&#10;FITfC/0Pyyn0RXTTglZTN9IWhGoerBd8PmRPLjR7NmS3Sfz3riD0cZiZb5jlajC16Kh1lWUFL5MI&#10;BHFmdcWFgtNxPZ6DcB5ZY22ZFFzIwSp5fFhirG3Pe+oOvhABwi5GBaX3TSyly0oy6Ca2IQ5ebluD&#10;Psi2kLrFPsBNLV+jaCYNVhwWSmzoq6Ts9/BnFKTp+rLoRrvNqY6qdJv3xebz/KPU89Pw8Q7C0+D/&#10;w/f2t1bwNoXbl/ADZHIFAAD//wMAUEsBAi0AFAAGAAgAAAAhANvh9svuAAAAhQEAABMAAAAAAAAA&#10;AAAAAAAAAAAAAFtDb250ZW50X1R5cGVzXS54bWxQSwECLQAUAAYACAAAACEAWvQsW78AAAAVAQAA&#10;CwAAAAAAAAAAAAAAAAAfAQAAX3JlbHMvLnJlbHNQSwECLQAUAAYACAAAACEA9Vd+GcYAAADbAAAA&#10;DwAAAAAAAAAAAAAAAAAHAgAAZHJzL2Rvd25yZXYueG1sUEsFBgAAAAADAAMAtwAAAPoCAAAAAA==&#10;" fillcolor="white [3212]" strokecolor="black [3213]"/>
                  <v:shape id="TextBox 192" o:spid="_x0000_s1302" type="#_x0000_t202" style="position:absolute;left:17480;top:15402;width:10638;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7ACC6B12" w14:textId="77777777" w:rsidR="00777EE0" w:rsidRDefault="00777EE0" w:rsidP="00E808F1">
                          <w:pPr>
                            <w:jc w:val="center"/>
                            <w:rPr>
                              <w:szCs w:val="24"/>
                            </w:rPr>
                          </w:pPr>
                          <w:r>
                            <w:rPr>
                              <w:color w:val="000000" w:themeColor="text1"/>
                              <w:kern w:val="24"/>
                            </w:rPr>
                            <w:t xml:space="preserve">Prototype risk images </w:t>
                          </w:r>
                        </w:p>
                      </w:txbxContent>
                    </v:textbox>
                  </v:shape>
                </v:group>
                <v:group id="Group 77" o:spid="_x0000_s1303" style="position:absolute;left:33928;top:3992;width:11081;height:6217" coordorigin="33928,3992" coordsize="1387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ectangle: Rounded Corners 78" o:spid="_x0000_s1304" style="position:absolute;left:35299;top:4243;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tbwgAAANsAAAAPAAAAZHJzL2Rvd25yZXYueG1sRE9Na8JA&#10;EL0L/Q/LFLxI3ehBJXUVFQriQajNob1Ns9MkNDsbd7ca/33nIHh8vO/lunetulCIjWcDk3EGirj0&#10;tuHKQPHx9rIAFROyxdYzGbhRhPXqabDE3Porv9PllColIRxzNFCn1OVax7Imh3HsO2LhfnxwmASG&#10;StuAVwl3rZ5m2Uw7bFgaauxoV1P5e/pzBubH7ff2c14cvhZhhJONP1RFdzZm+NxvXkEl6tNDfHfv&#10;rfhkrHyRH6BX/wAAAP//AwBQSwECLQAUAAYACAAAACEA2+H2y+4AAACFAQAAEwAAAAAAAAAAAAAA&#10;AAAAAAAAW0NvbnRlbnRfVHlwZXNdLnhtbFBLAQItABQABgAIAAAAIQBa9CxbvwAAABUBAAALAAAA&#10;AAAAAAAAAAAAAB8BAABfcmVscy8ucmVsc1BLAQItABQABgAIAAAAIQAQ8RtbwgAAANsAAAAPAAAA&#10;AAAAAAAAAAAAAAcCAABkcnMvZG93bnJldi54bWxQSwUGAAAAAAMAAwC3AAAA9gIAAAAA&#10;" filled="f" strokecolor="black [3213]"/>
                  <v:shape id="TextBox 195" o:spid="_x0000_s1305" type="#_x0000_t202" style="position:absolute;left:33928;top:3992;width:1387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6B6F5E4F" w14:textId="77777777" w:rsidR="00777EE0" w:rsidRDefault="00777EE0" w:rsidP="00E808F1">
                          <w:pPr>
                            <w:jc w:val="center"/>
                            <w:rPr>
                              <w:szCs w:val="24"/>
                            </w:rPr>
                          </w:pPr>
                          <w:r>
                            <w:rPr>
                              <w:color w:val="000000" w:themeColor="text1"/>
                              <w:kern w:val="24"/>
                            </w:rPr>
                            <w:t xml:space="preserve"> Behavioural intention</w:t>
                          </w:r>
                        </w:p>
                      </w:txbxContent>
                    </v:textbox>
                  </v:shape>
                </v:group>
                <v:line id="Straight Connector 80" o:spid="_x0000_s1306" style="position:absolute;visibility:visible;mso-wrap-style:square" from="27891,2229" to="35094,1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C/wQAAANsAAAAPAAAAZHJzL2Rvd25yZXYueG1sRE9NS8NA&#10;EL0X/A/LCN7aTQs2IXZbglBQe7KteB2yYxLNzobdNY399c5B8Ph435vd5Ho1UoidZwPLRQaKuPa2&#10;48bA+bSfF6BiQrbYeyYDPxRht72ZbbC0/sKvNB5ToySEY4kG2pSGUutYt+QwLvxALNyHDw6TwNBo&#10;G/Ai4a7Xqyxba4cdS0OLAz22VH8dv52Bon75DFVePS/v34b8Oq4O6/17bszd7VQ9gEo0pX/xn/vJ&#10;ik/Wyxf5AXr7CwAA//8DAFBLAQItABQABgAIAAAAIQDb4fbL7gAAAIUBAAATAAAAAAAAAAAAAAAA&#10;AAAAAABbQ29udGVudF9UeXBlc10ueG1sUEsBAi0AFAAGAAgAAAAhAFr0LFu/AAAAFQEAAAsAAAAA&#10;AAAAAAAAAAAAHwEAAF9yZWxzLy5yZWxzUEsBAi0AFAAGAAgAAAAhAPZBEL/BAAAA2wAAAA8AAAAA&#10;AAAAAAAAAAAABwIAAGRycy9kb3ducmV2LnhtbFBLBQYAAAAAAwADALcAAAD1AgAAAAA=&#10;" strokecolor="black [3213]">
                  <o:lock v:ext="edit" shapetype="f"/>
                </v:line>
                <v:line id="Straight Connector 81" o:spid="_x0000_s1307" style="position:absolute;flip:y;visibility:visible;mso-wrap-style:square" from="27916,6257" to="35094,1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fVwwAAANsAAAAPAAAAZHJzL2Rvd25yZXYueG1sRI/RagIx&#10;FETfhf5DuIW+aVapolujqFAQX6TqB1w2183Szc2apLru1xtB6OMwM2eY+bK1tbiSD5VjBcNBBoK4&#10;cLriUsHp+N2fgggRWWPtmBTcKcBy8dabY67djX/oeoilSBAOOSowMTa5lKEwZDEMXEOcvLPzFmOS&#10;vpTa4y3BbS1HWTaRFitOCwYb2hgqfg9/VkHdxVM3W29Ml10+73q/nzg/3in18d6uvkBEauN/+NXe&#10;agXTITy/pB8gFw8AAAD//wMAUEsBAi0AFAAGAAgAAAAhANvh9svuAAAAhQEAABMAAAAAAAAAAAAA&#10;AAAAAAAAAFtDb250ZW50X1R5cGVzXS54bWxQSwECLQAUAAYACAAAACEAWvQsW78AAAAVAQAACwAA&#10;AAAAAAAAAAAAAAAfAQAAX3JlbHMvLnJlbHNQSwECLQAUAAYACAAAACEAGnqX1cMAAADbAAAADwAA&#10;AAAAAAAAAAAAAAAHAgAAZHJzL2Rvd25yZXYueG1sUEsFBgAAAAADAAMAtwAAAPcCAAAAAA==&#10;" strokecolor="black [3213]">
                  <o:lock v:ext="edit" shapetype="f"/>
                </v:line>
                <v:line id="Straight Connector 82" o:spid="_x0000_s1308" style="position:absolute;flip:x;visibility:visible;mso-wrap-style:square" from="39425,8124" to="39449,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miwwAAANsAAAAPAAAAZHJzL2Rvd25yZXYueG1sRI/dagIx&#10;FITvBd8hnELvNFupolujtEJBvBF/HuCwOW6Wbk7WJNV1n94IgpfDzHzDzJetrcWFfKgcK/gYZiCI&#10;C6crLhUcD7+DKYgQkTXWjknBjQIsF/3eHHPtrryjyz6WIkE45KjAxNjkUobCkMUwdA1x8k7OW4xJ&#10;+lJqj9cEt7UcZdlEWqw4LRhsaGWo+Nv/WwV1F4/d7Gdluuz8edPb7cT58Uap97f2+wtEpDa+ws/2&#10;WiuYjuDxJf0AubgDAAD//wMAUEsBAi0AFAAGAAgAAAAhANvh9svuAAAAhQEAABMAAAAAAAAAAAAA&#10;AAAAAAAAAFtDb250ZW50X1R5cGVzXS54bWxQSwECLQAUAAYACAAAACEAWvQsW78AAAAVAQAACwAA&#10;AAAAAAAAAAAAAAAfAQAAX3JlbHMvLnJlbHNQSwECLQAUAAYACAAAACEA6qgJosMAAADbAAAADwAA&#10;AAAAAAAAAAAAAAAHAgAAZHJzL2Rvd25yZXYueG1sUEsFBgAAAAADAAMAtwAAAPcCAAAAAA==&#10;" strokecolor="black [3213]">
                  <o:lock v:ext="edit" shapetype="f"/>
                </v:line>
                <v:line id="Straight Connector 83" o:spid="_x0000_s1309" style="position:absolute;visibility:visible;mso-wrap-style:square" from="43874,6184" to="49361,1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7IxAAAANsAAAAPAAAAZHJzL2Rvd25yZXYueG1sRI9Pa8JA&#10;FMTvBb/D8gRvdaNSI9FVgiD0z6lW8frIPpNo9m3Y3cbUT+8WCj0OM78ZZrXpTSM6cr62rGAyTkAQ&#10;F1bXXCo4fO2eFyB8QNbYWCYFP+Rhsx48rTDT9saf1O1DKWIJ+wwVVCG0mZS+qMigH9uWOHpn6wyG&#10;KF0ptcNbLDeNnCbJXBqsOS5U2NK2ouK6/zYKFsX7xeVp/jZ5ObbpvZt+zHenVKnRsM+XIAL14T/8&#10;R7/qyM3g90v8AXL9AAAA//8DAFBLAQItABQABgAIAAAAIQDb4fbL7gAAAIUBAAATAAAAAAAAAAAA&#10;AAAAAAAAAABbQ29udGVudF9UeXBlc10ueG1sUEsBAi0AFAAGAAgAAAAhAFr0LFu/AAAAFQEAAAsA&#10;AAAAAAAAAAAAAAAAHwEAAF9yZWxzLy5yZWxzUEsBAi0AFAAGAAgAAAAhAAaTjsjEAAAA2wAAAA8A&#10;AAAAAAAAAAAAAAAABwIAAGRycy9kb3ducmV2LnhtbFBLBQYAAAAAAwADALcAAAD4AgAAAAA=&#10;" strokecolor="black [3213]">
                  <o:lock v:ext="edit" shapetype="f"/>
                </v:line>
                <v:group id="Group 84" o:spid="_x0000_s1310" style="position:absolute;top:7772;width:11080;height:6217" coordorigin=",7772" coordsize="1387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Rectangle: Rounded Corners 85" o:spid="_x0000_s1311" style="position:absolute;left:1704;top:8152;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TixQAAANsAAAAPAAAAZHJzL2Rvd25yZXYueG1sRI9Ba8JA&#10;FITvgv9heYIX0Y1Ca0hdRQWheBCqOdjba/Y1CWbfxt2tpv/eLRQ8DjPzDbNYdaYRN3K+tqxgOklA&#10;EBdW11wqyE+7cQrCB2SNjWVS8EseVst+b4GZtnf+oNsxlCJC2GeooAqhzaT0RUUG/cS2xNH7ts5g&#10;iNKVUju8R7hp5CxJXqXBmuNChS1tKyouxx+jYH7YfG3O83z/mboRTtd2X+btVanhoFu/gQjUhWf4&#10;v/2uFaQv8Pcl/gC5fAAAAP//AwBQSwECLQAUAAYACAAAACEA2+H2y+4AAACFAQAAEwAAAAAAAAAA&#10;AAAAAAAAAAAAW0NvbnRlbnRfVHlwZXNdLnhtbFBLAQItABQABgAIAAAAIQBa9CxbvwAAABUBAAAL&#10;AAAAAAAAAAAAAAAAAB8BAABfcmVscy8ucmVsc1BLAQItABQABgAIAAAAIQDLJcTixQAAANsAAAAP&#10;AAAAAAAAAAAAAAAAAAcCAABkcnMvZG93bnJldi54bWxQSwUGAAAAAAMAAwC3AAAA+QIAAAAA&#10;" filled="f" strokecolor="black [3213]"/>
                  <v:shape id="TextBox 208" o:spid="_x0000_s1312" type="#_x0000_t202" style="position:absolute;top:7772;width:13874;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9QwQAAANsAAAAPAAAAZHJzL2Rvd25yZXYueG1sRI9Ba8JA&#10;FITvgv9heUJvulFQJLqKVAUPvdTG+yP7zIZm34bs08R/3y0Uehxm5htmux98o57UxTqwgfksA0Vc&#10;BltzZaD4Ok/XoKIgW2wCk4EXRdjvxqMt5jb0/EnPq1QqQTjmaMCJtLnWsXTkMc5CS5y8e+g8SpJd&#10;pW2HfYL7Ri+ybKU91pwWHLb07qj8vj68ARF7mL+Kk4+X2/Bx7F1WLrEw5m0yHDaghAb5D/+1L9bA&#10;egW/X9IP0LsfAAAA//8DAFBLAQItABQABgAIAAAAIQDb4fbL7gAAAIUBAAATAAAAAAAAAAAAAAAA&#10;AAAAAABbQ29udGVudF9UeXBlc10ueG1sUEsBAi0AFAAGAAgAAAAhAFr0LFu/AAAAFQEAAAsAAAAA&#10;AAAAAAAAAAAAHwEAAF9yZWxzLy5yZWxzUEsBAi0AFAAGAAgAAAAhAMIsz1DBAAAA2wAAAA8AAAAA&#10;AAAAAAAAAAAABwIAAGRycy9kb3ducmV2LnhtbFBLBQYAAAAAAwADALcAAAD1AgAAAAA=&#10;" filled="f" stroked="f">
                    <v:textbox style="mso-fit-shape-to-text:t">
                      <w:txbxContent>
                        <w:p w14:paraId="531B91C7" w14:textId="77777777" w:rsidR="00777EE0" w:rsidRDefault="00777EE0" w:rsidP="00E808F1">
                          <w:pPr>
                            <w:jc w:val="center"/>
                            <w:rPr>
                              <w:szCs w:val="24"/>
                            </w:rPr>
                          </w:pPr>
                          <w:r>
                            <w:rPr>
                              <w:color w:val="000000" w:themeColor="text1"/>
                              <w:kern w:val="24"/>
                            </w:rPr>
                            <w:t xml:space="preserve"> Previous behaviour</w:t>
                          </w:r>
                        </w:p>
                      </w:txbxContent>
                    </v:textbox>
                  </v:shape>
                </v:group>
                <v:line id="Straight Connector 87" o:spid="_x0000_s1313" style="position:absolute;flip:y;visibility:visible;mso-wrap-style:square" from="10211,10073" to="14552,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6o6xAAAANsAAAAPAAAAZHJzL2Rvd25yZXYueG1sRI/NasMw&#10;EITvhb6D2EJvjdzQ/NSxHNJAoeQS8vMAi7W1TKyVK6mJ46ePAoUeh5n5himWvW3FmXxoHCt4HWUg&#10;iCunG64VHA+fL3MQISJrbB2TgisFWJaPDwXm2l14R+d9rEWCcMhRgYmxy6UMlSGLYeQ64uR9O28x&#10;JulrqT1eEty2cpxlU2mx4bRgsKO1oeq0/7UK2iEeh/ePtRmyn7er3m6nzk82Sj0/9asFiEh9/A//&#10;tb+0gvkM7l/SD5DlDQAA//8DAFBLAQItABQABgAIAAAAIQDb4fbL7gAAAIUBAAATAAAAAAAAAAAA&#10;AAAAAAAAAABbQ29udGVudF9UeXBlc10ueG1sUEsBAi0AFAAGAAgAAAAhAFr0LFu/AAAAFQEAAAsA&#10;AAAAAAAAAAAAAAAAHwEAAF9yZWxzLy5yZWxzUEsBAi0AFAAGAAgAAAAhAPrfqjrEAAAA2wAAAA8A&#10;AAAAAAAAAAAAAAAABwIAAGRycy9kb3ducmV2LnhtbFBLBQYAAAAAAwADALcAAAD4AgAAAAA=&#10;" strokecolor="black [3213]">
                  <o:lock v:ext="edit" shapetype="f"/>
                </v:line>
                <v:shape id="Arc 88" o:spid="_x0000_s1314" style="position:absolute;left:16336;top:2517;width:6837;height:7061;rotation:-8951363fd;visibility:visible;mso-wrap-style:square;v-text-anchor:middle" coordsize="683688,7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dMwwAAANsAAAAPAAAAZHJzL2Rvd25yZXYueG1sRE/NTsJA&#10;EL6T+A6bMfFCYGtB01S2RCWkHDho8QEm3bGt7c7W7gLl7dkDCccv3/9qPZpOnGhwjWUFz/MIBHFp&#10;dcOVgp/DdpaAcB5ZY2eZFFzIwTp7mKww1fbM33QqfCVCCLsUFdTe96mUrqzJoJvbnjhwv3Yw6AMc&#10;KqkHPIdw08k4il6lwYZDQ409fdZUtsXRKDD59svEy5fN/98iyZcf+zbOp5FST4/j+xsIT6O/i2/u&#10;nVaQhLHhS/gBMrsCAAD//wMAUEsBAi0AFAAGAAgAAAAhANvh9svuAAAAhQEAABMAAAAAAAAAAAAA&#10;AAAAAAAAAFtDb250ZW50X1R5cGVzXS54bWxQSwECLQAUAAYACAAAACEAWvQsW78AAAAVAQAACwAA&#10;AAAAAAAAAAAAAAAfAQAAX3JlbHMvLnJlbHNQSwECLQAUAAYACAAAACEALSXHTMMAAADbAAAADwAA&#10;AAAAAAAAAAAAAAAHAgAAZHJzL2Rvd25yZXYueG1sUEsFBgAAAAADAAMAtwAAAPcCAAAAAA==&#10;" path="m341844,nsc530639,,683688,158059,683688,353035r-341844,l341844,xem341844,nfc530639,,683688,158059,683688,353035e" filled="f" strokecolor="black [3213]">
                  <v:path arrowok="t" o:connecttype="custom" o:connectlocs="341844,0;683688,353035" o:connectangles="0,0"/>
                </v:shape>
                <v:shape id="Arc 89" o:spid="_x0000_s1315" style="position:absolute;left:16376;top:10498;width:6837;height:7061;rotation:-8951363fd;visibility:visible;mso-wrap-style:square;v-text-anchor:middle" coordsize="683688,7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LXxgAAANsAAAAPAAAAZHJzL2Rvd25yZXYueG1sRI/NbsIw&#10;EITvSH0HaytxQeA0/CikGNRSoXDg0KZ9gFW8JCnxOo1dCG9fV0LiOJqZbzSrTW8acabO1ZYVPE0i&#10;EMSF1TWXCr4+d+MEhPPIGhvLpOBKDjbrh8EKU20v/EHn3JciQNilqKDyvk2ldEVFBt3EtsTBO9rO&#10;oA+yK6Xu8BLgppFxFC2kwZrDQoUtbSsqTvmvUWCy3buJZ/O3n+9pks1eD6c4G0VKDR/7l2cQnnp/&#10;D9/ae60gWcL/l/AD5PoPAAD//wMAUEsBAi0AFAAGAAgAAAAhANvh9svuAAAAhQEAABMAAAAAAAAA&#10;AAAAAAAAAAAAAFtDb250ZW50X1R5cGVzXS54bWxQSwECLQAUAAYACAAAACEAWvQsW78AAAAVAQAA&#10;CwAAAAAAAAAAAAAAAAAfAQAAX3JlbHMvLnJlbHNQSwECLQAUAAYACAAAACEAQmli18YAAADbAAAA&#10;DwAAAAAAAAAAAAAAAAAHAgAAZHJzL2Rvd25yZXYueG1sUEsFBgAAAAADAAMAtwAAAPoCAAAAAA==&#10;" path="m341844,nsc530639,,683688,158059,683688,353035r-341844,l341844,xem341844,nfc530639,,683688,158059,683688,353035e" filled="f" strokecolor="black [3213]">
                  <v:path arrowok="t" o:connecttype="custom" o:connectlocs="341844,0;683688,353035" o:connectangles="0,0"/>
                </v:shape>
                <v:line id="Straight Connector 90" o:spid="_x0000_s1316" style="position:absolute;flip:y;visibility:visible;mso-wrap-style:square" from="10211,2229" to="17246,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STwQAAANsAAAAPAAAAZHJzL2Rvd25yZXYueG1sRE/dasIw&#10;FL4f7B3CEXa3po4psxplEwZjN2L1AQ7NWVNsTroka2uffrkQvPz4/je70baiJx8axwrmWQ6CuHK6&#10;4VrB+fT5/AYiRGSNrWNScKUAu+3jwwYL7QY+Ul/GWqQQDgUqMDF2hZShMmQxZK4jTtyP8xZjgr6W&#10;2uOQwm0rX/J8KS02nBoMdrQ3VF3KP6ugneJ5Wn3szZT/vl714bB0fvGt1NNsfF+DiDTGu/jm/tIK&#10;Vml9+pJ+gNz+AwAA//8DAFBLAQItABQABgAIAAAAIQDb4fbL7gAAAIUBAAATAAAAAAAAAAAAAAAA&#10;AAAAAABbQ29udGVudF9UeXBlc10ueG1sUEsBAi0AFAAGAAgAAAAhAFr0LFu/AAAAFQEAAAsAAAAA&#10;AAAAAAAAAAAAHwEAAF9yZWxzLy5yZWxzUEsBAi0AFAAGAAgAAAAhAPDvpJPBAAAA2wAAAA8AAAAA&#10;AAAAAAAAAAAABwIAAGRycy9kb3ducmV2LnhtbFBLBQYAAAAAAwADALcAAAD1AgAAAAA=&#10;" strokecolor="black [3213]">
                  <o:lock v:ext="edit" shapetype="f"/>
                </v:line>
                <v:line id="Straight Connector 91" o:spid="_x0000_s1317" style="position:absolute;visibility:visible;mso-wrap-style:square" from="10211,10092" to="17320,1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P5xQAAANsAAAAPAAAAZHJzL2Rvd25yZXYueG1sRI9Ba8JA&#10;FITvBf/D8oTe6iaCxqauEgTB2lO1pddH9jVJm30bdtcY/fVuoeBxmJlvmOV6MK3oyfnGsoJ0koAg&#10;Lq1uuFLwcdw+LUD4gKyxtUwKLuRhvRo9LDHX9szv1B9CJSKEfY4K6hC6XEpf1mTQT2xHHL1v6wyG&#10;KF0ltcNzhJtWTpNkLg02HBdq7GhTU/l7OBkFi3L/44qseE1nn1127adv8+1XptTjeCheQAQawj38&#10;395pBc8p/H2JP0CubgAAAP//AwBQSwECLQAUAAYACAAAACEA2+H2y+4AAACFAQAAEwAAAAAAAAAA&#10;AAAAAAAAAAAAW0NvbnRlbnRfVHlwZXNdLnhtbFBLAQItABQABgAIAAAAIQBa9CxbvwAAABUBAAAL&#10;AAAAAAAAAAAAAAAAAB8BAABfcmVscy8ucmVsc1BLAQItABQABgAIAAAAIQAc1CP5xQAAANsAAAAP&#10;AAAAAAAAAAAAAAAAAAcCAABkcnMvZG93bnJldi54bWxQSwUGAAAAAAMAAwC3AAAA+QIAAAAA&#10;" strokecolor="black [3213]">
                  <o:lock v:ext="edit" shapetype="f"/>
                </v:line>
              </v:group>
            </w:pict>
          </mc:Fallback>
        </mc:AlternateContent>
      </w:r>
    </w:p>
    <w:p w14:paraId="5289FC16" w14:textId="77777777" w:rsidR="00E808F1" w:rsidRDefault="00E808F1" w:rsidP="00E808F1">
      <w:pPr>
        <w:spacing w:line="480" w:lineRule="auto"/>
        <w:rPr>
          <w:b/>
        </w:rPr>
      </w:pPr>
    </w:p>
    <w:p w14:paraId="1298B6DB" w14:textId="77777777" w:rsidR="00E808F1" w:rsidRDefault="00E808F1" w:rsidP="00E808F1">
      <w:pPr>
        <w:spacing w:line="480" w:lineRule="auto"/>
        <w:rPr>
          <w:b/>
        </w:rPr>
      </w:pPr>
    </w:p>
    <w:p w14:paraId="07ABA164" w14:textId="77777777" w:rsidR="00E808F1" w:rsidRDefault="00E808F1" w:rsidP="00E808F1">
      <w:pPr>
        <w:spacing w:line="480" w:lineRule="auto"/>
        <w:rPr>
          <w:b/>
        </w:rPr>
      </w:pPr>
    </w:p>
    <w:p w14:paraId="5E5B24C9" w14:textId="77777777" w:rsidR="00E808F1" w:rsidRDefault="00E808F1" w:rsidP="00E808F1">
      <w:pPr>
        <w:spacing w:line="480" w:lineRule="auto"/>
      </w:pPr>
    </w:p>
    <w:p w14:paraId="699F1A58" w14:textId="0311D2CA" w:rsidR="00E808F1" w:rsidRPr="004F692F" w:rsidRDefault="00E808F1" w:rsidP="00E808F1">
      <w:pPr>
        <w:pStyle w:val="Heading3"/>
        <w:spacing w:line="480" w:lineRule="auto"/>
      </w:pPr>
      <w:bookmarkStart w:id="364" w:name="_Toc35892646"/>
      <w:r w:rsidRPr="004F692F">
        <w:t>Behavioural reasoning theory</w:t>
      </w:r>
      <w:bookmarkEnd w:id="364"/>
    </w:p>
    <w:p w14:paraId="17C28E51" w14:textId="174AE99F" w:rsidR="00E808F1" w:rsidRDefault="00E808F1" w:rsidP="00E808F1">
      <w:pPr>
        <w:spacing w:line="480" w:lineRule="auto"/>
      </w:pPr>
      <w:r>
        <w:t xml:space="preserve">Behavioural reasoning theory (BRT; Westaby, Fishein &amp; Aherin, 1997) builds on the TPB, sharing the same main constructs, that is, intention as the proximal behavioural determinant, which is influenced by attitudes, social norms and perceived behavioural control. However, in addition, the BRT also includes constructs which represent people’s reasons for and reasons against performing a behaviour. Including reasons allows the model to capture defensive processes and justifications not accounted for by the TPB, allowing greater context-specific explanations of behaviour. BRT has not been used as extensively as some of the other models but has shown </w:t>
      </w:r>
      <w:r w:rsidR="00FB0389">
        <w:t xml:space="preserve">a </w:t>
      </w:r>
      <w:r>
        <w:t>good predictive ability for students’ binge drinking behaviour (Norman, Conner &amp; Stride, 2012).</w:t>
      </w:r>
      <w:bookmarkStart w:id="365" w:name="_Toc365537983"/>
    </w:p>
    <w:p w14:paraId="4794F4FA" w14:textId="77777777" w:rsidR="00835A06" w:rsidRDefault="00835A06">
      <w:pPr>
        <w:rPr>
          <w:b/>
          <w:noProof/>
          <w:lang w:val="en-US" w:eastAsia="en-US"/>
        </w:rPr>
      </w:pPr>
      <w:r>
        <w:br w:type="page"/>
      </w:r>
    </w:p>
    <w:p w14:paraId="1DDA85EE" w14:textId="139B4AE5" w:rsidR="00E808F1" w:rsidRPr="00A43D40" w:rsidRDefault="00E808F1" w:rsidP="00835A06">
      <w:pPr>
        <w:pStyle w:val="FigureHeading"/>
      </w:pPr>
      <w:bookmarkStart w:id="366" w:name="_Toc9509136"/>
      <w:r w:rsidRPr="00CE72F7">
        <w:t xml:space="preserve">Figure </w:t>
      </w:r>
      <w:r w:rsidR="00835A06">
        <w:t>5-</w:t>
      </w:r>
      <w:r>
        <w:t>6</w:t>
      </w:r>
      <w:r w:rsidRPr="00CE72F7">
        <w:t xml:space="preserve"> </w:t>
      </w:r>
      <w:r>
        <w:t>Behavioural reasoning theory</w:t>
      </w:r>
      <w:bookmarkEnd w:id="366"/>
    </w:p>
    <w:p w14:paraId="6350C065" w14:textId="77777777" w:rsidR="00E808F1" w:rsidRDefault="00E808F1" w:rsidP="00E808F1">
      <w:pPr>
        <w:spacing w:line="480" w:lineRule="auto"/>
      </w:pPr>
    </w:p>
    <w:p w14:paraId="2BF1C0BA" w14:textId="77777777" w:rsidR="00E808F1" w:rsidRDefault="00E808F1" w:rsidP="00E808F1">
      <w:pPr>
        <w:spacing w:line="480" w:lineRule="auto"/>
      </w:pPr>
      <w:r w:rsidRPr="00A43D40">
        <w:rPr>
          <w:noProof/>
          <w:lang w:val="en-US" w:eastAsia="en-US"/>
        </w:rPr>
        <mc:AlternateContent>
          <mc:Choice Requires="wpg">
            <w:drawing>
              <wp:anchor distT="0" distB="0" distL="114300" distR="114300" simplePos="0" relativeHeight="253713408" behindDoc="0" locked="0" layoutInCell="1" allowOverlap="1" wp14:anchorId="25A5E899" wp14:editId="68D90E38">
                <wp:simplePos x="0" y="0"/>
                <wp:positionH relativeFrom="column">
                  <wp:posOffset>-213360</wp:posOffset>
                </wp:positionH>
                <wp:positionV relativeFrom="paragraph">
                  <wp:posOffset>142430</wp:posOffset>
                </wp:positionV>
                <wp:extent cx="6161405" cy="2164715"/>
                <wp:effectExtent l="0" t="495300" r="0" b="0"/>
                <wp:wrapNone/>
                <wp:docPr id="556" name="Group 483"/>
                <wp:cNvGraphicFramePr/>
                <a:graphic xmlns:a="http://schemas.openxmlformats.org/drawingml/2006/main">
                  <a:graphicData uri="http://schemas.microsoft.com/office/word/2010/wordprocessingGroup">
                    <wpg:wgp>
                      <wpg:cNvGrpSpPr/>
                      <wpg:grpSpPr>
                        <a:xfrm>
                          <a:off x="0" y="0"/>
                          <a:ext cx="6161405" cy="2164715"/>
                          <a:chOff x="0" y="0"/>
                          <a:chExt cx="6161623" cy="2164773"/>
                        </a:xfrm>
                      </wpg:grpSpPr>
                      <wps:wsp>
                        <wps:cNvPr id="557" name="Connector: Elbow 557"/>
                        <wps:cNvCnPr>
                          <a:cxnSpLocks/>
                        </wps:cNvCnPr>
                        <wps:spPr>
                          <a:xfrm rot="5400000" flipH="1" flipV="1">
                            <a:off x="2532391" y="-1249062"/>
                            <a:ext cx="18159" cy="4139469"/>
                          </a:xfrm>
                          <a:prstGeom prst="bentConnector3">
                            <a:avLst>
                              <a:gd name="adj1" fmla="val 599155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8" name="Group 558"/>
                        <wpg:cNvGrpSpPr/>
                        <wpg:grpSpPr>
                          <a:xfrm>
                            <a:off x="5276433" y="777600"/>
                            <a:ext cx="885190" cy="525886"/>
                            <a:chOff x="5276328" y="777600"/>
                            <a:chExt cx="1111715" cy="513850"/>
                          </a:xfrm>
                        </wpg:grpSpPr>
                        <wps:wsp>
                          <wps:cNvPr id="559" name="Rectangle 559"/>
                          <wps:cNvSpPr/>
                          <wps:spPr>
                            <a:xfrm>
                              <a:off x="5289254" y="777600"/>
                              <a:ext cx="102869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60" name="TextBox 54"/>
                          <wps:cNvSpPr txBox="1"/>
                          <wps:spPr>
                            <a:xfrm>
                              <a:off x="5276328" y="881321"/>
                              <a:ext cx="1111715" cy="410129"/>
                            </a:xfrm>
                            <a:prstGeom prst="rect">
                              <a:avLst/>
                            </a:prstGeom>
                            <a:noFill/>
                          </wps:spPr>
                          <wps:txbx>
                            <w:txbxContent>
                              <w:p w14:paraId="18C95F28" w14:textId="77777777" w:rsidR="00777EE0" w:rsidRDefault="00777EE0" w:rsidP="00E808F1">
                                <w:pPr>
                                  <w:jc w:val="center"/>
                                  <w:rPr>
                                    <w:szCs w:val="24"/>
                                  </w:rPr>
                                </w:pPr>
                                <w:r>
                                  <w:rPr>
                                    <w:color w:val="000000" w:themeColor="text1"/>
                                    <w:kern w:val="24"/>
                                  </w:rPr>
                                  <w:t>Behaviour</w:t>
                                </w:r>
                              </w:p>
                            </w:txbxContent>
                          </wps:txbx>
                          <wps:bodyPr wrap="square" rtlCol="0">
                            <a:spAutoFit/>
                          </wps:bodyPr>
                        </wps:wsp>
                      </wpg:grpSp>
                      <wps:wsp>
                        <wps:cNvPr id="561" name="Straight Connector 561"/>
                        <wps:cNvCnPr>
                          <a:cxnSpLocks/>
                        </wps:cNvCnPr>
                        <wps:spPr>
                          <a:xfrm>
                            <a:off x="3578238" y="220541"/>
                            <a:ext cx="590446" cy="7851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a:cxnSpLocks/>
                        </wps:cNvCnPr>
                        <wps:spPr>
                          <a:xfrm>
                            <a:off x="3580749" y="1004999"/>
                            <a:ext cx="587935" cy="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a:cxnSpLocks/>
                        </wps:cNvCnPr>
                        <wps:spPr>
                          <a:xfrm flipV="1">
                            <a:off x="3580747" y="1005650"/>
                            <a:ext cx="587937" cy="769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Straight Connector 564"/>
                        <wps:cNvCnPr>
                          <a:cxnSpLocks/>
                        </wps:cNvCnPr>
                        <wps:spPr>
                          <a:xfrm flipV="1">
                            <a:off x="5053725" y="1005595"/>
                            <a:ext cx="233000" cy="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a:cxnSpLocks/>
                        </wps:cNvCnPr>
                        <wps:spPr>
                          <a:xfrm flipV="1">
                            <a:off x="3580747" y="1216332"/>
                            <a:ext cx="1707165" cy="5587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6" name="Group 566"/>
                        <wpg:cNvGrpSpPr/>
                        <wpg:grpSpPr>
                          <a:xfrm>
                            <a:off x="4073866" y="811592"/>
                            <a:ext cx="1108075" cy="470043"/>
                            <a:chOff x="4073786" y="811592"/>
                            <a:chExt cx="1387420" cy="470043"/>
                          </a:xfrm>
                        </wpg:grpSpPr>
                        <wps:wsp>
                          <wps:cNvPr id="567" name="Rectangle: Rounded Corners 567"/>
                          <wps:cNvSpPr/>
                          <wps:spPr>
                            <a:xfrm>
                              <a:off x="4192509" y="811592"/>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8" name="TextBox 62"/>
                          <wps:cNvSpPr txBox="1"/>
                          <wps:spPr>
                            <a:xfrm>
                              <a:off x="4073786" y="861900"/>
                              <a:ext cx="1387420" cy="419735"/>
                            </a:xfrm>
                            <a:prstGeom prst="rect">
                              <a:avLst/>
                            </a:prstGeom>
                            <a:noFill/>
                          </wps:spPr>
                          <wps:txbx>
                            <w:txbxContent>
                              <w:p w14:paraId="3A0F3910" w14:textId="77777777" w:rsidR="00777EE0" w:rsidRDefault="00777EE0" w:rsidP="00E808F1">
                                <w:pPr>
                                  <w:jc w:val="center"/>
                                  <w:rPr>
                                    <w:szCs w:val="24"/>
                                  </w:rPr>
                                </w:pPr>
                                <w:r>
                                  <w:rPr>
                                    <w:color w:val="000000" w:themeColor="text1"/>
                                    <w:kern w:val="24"/>
                                  </w:rPr>
                                  <w:t>Intention</w:t>
                                </w:r>
                              </w:p>
                            </w:txbxContent>
                          </wps:txbx>
                          <wps:bodyPr wrap="square" rtlCol="0">
                            <a:spAutoFit/>
                          </wps:bodyPr>
                        </wps:wsp>
                      </wpg:grpSp>
                      <wpg:grpSp>
                        <wpg:cNvPr id="569" name="Group 569"/>
                        <wpg:cNvGrpSpPr/>
                        <wpg:grpSpPr>
                          <a:xfrm>
                            <a:off x="2513820" y="26483"/>
                            <a:ext cx="1064418" cy="460827"/>
                            <a:chOff x="2513820" y="26483"/>
                            <a:chExt cx="1108158" cy="460827"/>
                          </a:xfrm>
                        </wpg:grpSpPr>
                        <wps:wsp>
                          <wps:cNvPr id="570" name="Rectangle: Rounded Corners 570"/>
                          <wps:cNvSpPr/>
                          <wps:spPr>
                            <a:xfrm>
                              <a:off x="2513820" y="26483"/>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1" name="TextBox 66"/>
                          <wps:cNvSpPr txBox="1"/>
                          <wps:spPr>
                            <a:xfrm>
                              <a:off x="2652751" y="67575"/>
                              <a:ext cx="829673" cy="419735"/>
                            </a:xfrm>
                            <a:prstGeom prst="rect">
                              <a:avLst/>
                            </a:prstGeom>
                            <a:noFill/>
                          </wps:spPr>
                          <wps:txbx>
                            <w:txbxContent>
                              <w:p w14:paraId="0B7D3CF7" w14:textId="77777777" w:rsidR="00777EE0" w:rsidRDefault="00777EE0" w:rsidP="00E808F1">
                                <w:pPr>
                                  <w:jc w:val="center"/>
                                  <w:rPr>
                                    <w:szCs w:val="24"/>
                                  </w:rPr>
                                </w:pPr>
                                <w:r>
                                  <w:rPr>
                                    <w:color w:val="000000" w:themeColor="text1"/>
                                    <w:kern w:val="24"/>
                                  </w:rPr>
                                  <w:t>Attitude</w:t>
                                </w:r>
                              </w:p>
                            </w:txbxContent>
                          </wps:txbx>
                          <wps:bodyPr wrap="square" rtlCol="0">
                            <a:spAutoFit/>
                          </wps:bodyPr>
                        </wps:wsp>
                      </wpg:grpSp>
                      <wpg:grpSp>
                        <wpg:cNvPr id="572" name="Group 572"/>
                        <wpg:cNvGrpSpPr/>
                        <wpg:grpSpPr>
                          <a:xfrm>
                            <a:off x="2516332" y="772289"/>
                            <a:ext cx="1064417" cy="621665"/>
                            <a:chOff x="2516332" y="772289"/>
                            <a:chExt cx="1108158" cy="621665"/>
                          </a:xfrm>
                        </wpg:grpSpPr>
                        <wps:wsp>
                          <wps:cNvPr id="573" name="Rectangle: Rounded Corners 573"/>
                          <wps:cNvSpPr/>
                          <wps:spPr>
                            <a:xfrm>
                              <a:off x="2516332" y="81094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TextBox 69"/>
                          <wps:cNvSpPr txBox="1"/>
                          <wps:spPr>
                            <a:xfrm>
                              <a:off x="2522524" y="772289"/>
                              <a:ext cx="1064362" cy="621665"/>
                            </a:xfrm>
                            <a:prstGeom prst="rect">
                              <a:avLst/>
                            </a:prstGeom>
                            <a:noFill/>
                          </wps:spPr>
                          <wps:txbx>
                            <w:txbxContent>
                              <w:p w14:paraId="1BFF9927" w14:textId="77777777" w:rsidR="00777EE0" w:rsidRDefault="00777EE0" w:rsidP="00E808F1">
                                <w:pPr>
                                  <w:jc w:val="center"/>
                                  <w:rPr>
                                    <w:szCs w:val="24"/>
                                  </w:rPr>
                                </w:pPr>
                                <w:r>
                                  <w:rPr>
                                    <w:color w:val="000000" w:themeColor="text1"/>
                                    <w:kern w:val="24"/>
                                  </w:rPr>
                                  <w:t>Subjective norms</w:t>
                                </w:r>
                              </w:p>
                            </w:txbxContent>
                          </wps:txbx>
                          <wps:bodyPr wrap="square" rtlCol="0">
                            <a:spAutoFit/>
                          </wps:bodyPr>
                        </wps:wsp>
                      </wpg:grpSp>
                      <wpg:grpSp>
                        <wpg:cNvPr id="575" name="Group 575"/>
                        <wpg:cNvGrpSpPr/>
                        <wpg:grpSpPr>
                          <a:xfrm>
                            <a:off x="2513628" y="1581058"/>
                            <a:ext cx="1067119" cy="489208"/>
                            <a:chOff x="2513619" y="1581058"/>
                            <a:chExt cx="1116010" cy="489208"/>
                          </a:xfrm>
                        </wpg:grpSpPr>
                        <wps:wsp>
                          <wps:cNvPr id="576" name="Rectangle: Rounded Corners 576"/>
                          <wps:cNvSpPr/>
                          <wps:spPr>
                            <a:xfrm>
                              <a:off x="2521471" y="1581058"/>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 name="TextBox 72"/>
                          <wps:cNvSpPr txBox="1"/>
                          <wps:spPr>
                            <a:xfrm>
                              <a:off x="2513619" y="1650531"/>
                              <a:ext cx="1064541" cy="419735"/>
                            </a:xfrm>
                            <a:prstGeom prst="rect">
                              <a:avLst/>
                            </a:prstGeom>
                            <a:noFill/>
                          </wps:spPr>
                          <wps:txbx>
                            <w:txbxContent>
                              <w:p w14:paraId="0A2214DB" w14:textId="77777777" w:rsidR="00777EE0" w:rsidRDefault="00777EE0" w:rsidP="00E808F1">
                                <w:pPr>
                                  <w:jc w:val="center"/>
                                  <w:rPr>
                                    <w:szCs w:val="24"/>
                                  </w:rPr>
                                </w:pPr>
                                <w:r>
                                  <w:rPr>
                                    <w:color w:val="000000" w:themeColor="text1"/>
                                    <w:kern w:val="24"/>
                                  </w:rPr>
                                  <w:t xml:space="preserve">PBC </w:t>
                                </w:r>
                              </w:p>
                            </w:txbxContent>
                          </wps:txbx>
                          <wps:bodyPr wrap="square" rtlCol="0">
                            <a:spAutoFit/>
                          </wps:bodyPr>
                        </wps:wsp>
                      </wpg:grpSp>
                      <wps:wsp>
                        <wps:cNvPr id="578" name="Straight Connector 578"/>
                        <wps:cNvCnPr>
                          <a:cxnSpLocks/>
                        </wps:cNvCnPr>
                        <wps:spPr>
                          <a:xfrm>
                            <a:off x="1987496" y="1774899"/>
                            <a:ext cx="533640" cy="2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79" name="Group 579"/>
                        <wpg:cNvGrpSpPr/>
                        <wpg:grpSpPr>
                          <a:xfrm>
                            <a:off x="1102456" y="1543108"/>
                            <a:ext cx="885040" cy="621665"/>
                            <a:chOff x="1102456" y="1543108"/>
                            <a:chExt cx="1108158" cy="621665"/>
                          </a:xfrm>
                        </wpg:grpSpPr>
                        <wps:wsp>
                          <wps:cNvPr id="580" name="Rectangle: Rounded Corners 580"/>
                          <wps:cNvSpPr/>
                          <wps:spPr>
                            <a:xfrm>
                              <a:off x="1102456" y="158084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1" name="TextBox 78"/>
                          <wps:cNvSpPr txBox="1"/>
                          <wps:spPr>
                            <a:xfrm>
                              <a:off x="1140179" y="1543108"/>
                              <a:ext cx="1024067" cy="621665"/>
                            </a:xfrm>
                            <a:prstGeom prst="rect">
                              <a:avLst/>
                            </a:prstGeom>
                            <a:noFill/>
                          </wps:spPr>
                          <wps:txbx>
                            <w:txbxContent>
                              <w:p w14:paraId="4653EA82" w14:textId="77777777" w:rsidR="00777EE0" w:rsidRDefault="00777EE0" w:rsidP="00E808F1">
                                <w:pPr>
                                  <w:jc w:val="center"/>
                                  <w:rPr>
                                    <w:szCs w:val="24"/>
                                  </w:rPr>
                                </w:pPr>
                                <w:r>
                                  <w:rPr>
                                    <w:color w:val="000000" w:themeColor="text1"/>
                                    <w:kern w:val="24"/>
                                  </w:rPr>
                                  <w:t xml:space="preserve"> Reasons against</w:t>
                                </w:r>
                              </w:p>
                            </w:txbxContent>
                          </wps:txbx>
                          <wps:bodyPr wrap="square" rtlCol="0">
                            <a:spAutoFit/>
                          </wps:bodyPr>
                        </wps:wsp>
                      </wpg:grpSp>
                      <wpg:grpSp>
                        <wpg:cNvPr id="582" name="Group 582"/>
                        <wpg:cNvGrpSpPr/>
                        <wpg:grpSpPr>
                          <a:xfrm>
                            <a:off x="1094150" y="0"/>
                            <a:ext cx="885040" cy="621665"/>
                            <a:chOff x="1094150" y="0"/>
                            <a:chExt cx="1108158" cy="621665"/>
                          </a:xfrm>
                        </wpg:grpSpPr>
                        <wps:wsp>
                          <wps:cNvPr id="583" name="Rectangle: Rounded Corners 583"/>
                          <wps:cNvSpPr/>
                          <wps:spPr>
                            <a:xfrm>
                              <a:off x="1094150" y="27687"/>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4" name="TextBox 81"/>
                          <wps:cNvSpPr txBox="1"/>
                          <wps:spPr>
                            <a:xfrm>
                              <a:off x="1151147" y="0"/>
                              <a:ext cx="990674" cy="621665"/>
                            </a:xfrm>
                            <a:prstGeom prst="rect">
                              <a:avLst/>
                            </a:prstGeom>
                            <a:noFill/>
                          </wps:spPr>
                          <wps:txbx>
                            <w:txbxContent>
                              <w:p w14:paraId="06CE594C" w14:textId="77777777" w:rsidR="00777EE0" w:rsidRDefault="00777EE0" w:rsidP="00E808F1">
                                <w:pPr>
                                  <w:jc w:val="center"/>
                                  <w:rPr>
                                    <w:szCs w:val="24"/>
                                  </w:rPr>
                                </w:pPr>
                                <w:r>
                                  <w:rPr>
                                    <w:color w:val="000000" w:themeColor="text1"/>
                                    <w:kern w:val="24"/>
                                  </w:rPr>
                                  <w:t xml:space="preserve"> Reasons for</w:t>
                                </w:r>
                              </w:p>
                            </w:txbxContent>
                          </wps:txbx>
                          <wps:bodyPr wrap="square" rtlCol="0">
                            <a:spAutoFit/>
                          </wps:bodyPr>
                        </wps:wsp>
                      </wpg:grpSp>
                      <wps:wsp>
                        <wps:cNvPr id="585" name="Straight Connector 585"/>
                        <wps:cNvCnPr>
                          <a:cxnSpLocks/>
                        </wps:cNvCnPr>
                        <wps:spPr>
                          <a:xfrm flipV="1">
                            <a:off x="1979190" y="220541"/>
                            <a:ext cx="534630" cy="12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Straight Connector 586"/>
                        <wps:cNvCnPr>
                          <a:cxnSpLocks/>
                        </wps:cNvCnPr>
                        <wps:spPr>
                          <a:xfrm>
                            <a:off x="1979190" y="221745"/>
                            <a:ext cx="543286" cy="7813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Straight Connector 587"/>
                        <wps:cNvCnPr>
                          <a:cxnSpLocks/>
                        </wps:cNvCnPr>
                        <wps:spPr>
                          <a:xfrm>
                            <a:off x="1979190" y="221745"/>
                            <a:ext cx="541946" cy="15533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Straight Connector 588"/>
                        <wps:cNvCnPr>
                          <a:cxnSpLocks/>
                        </wps:cNvCnPr>
                        <wps:spPr>
                          <a:xfrm flipV="1">
                            <a:off x="1987496" y="220541"/>
                            <a:ext cx="526324" cy="1554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Straight Connector 589"/>
                        <wps:cNvCnPr>
                          <a:cxnSpLocks/>
                        </wps:cNvCnPr>
                        <wps:spPr>
                          <a:xfrm flipV="1">
                            <a:off x="1987496" y="1003143"/>
                            <a:ext cx="534980" cy="771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Straight Connector 590"/>
                        <wps:cNvCnPr>
                          <a:cxnSpLocks/>
                        </wps:cNvCnPr>
                        <wps:spPr>
                          <a:xfrm flipV="1">
                            <a:off x="1987496" y="1005650"/>
                            <a:ext cx="2181188" cy="7692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 name="Straight Connector 591"/>
                        <wps:cNvCnPr>
                          <a:cxnSpLocks/>
                        </wps:cNvCnPr>
                        <wps:spPr>
                          <a:xfrm>
                            <a:off x="1979190" y="221745"/>
                            <a:ext cx="2189494" cy="783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92" name="Group 592"/>
                        <wpg:cNvGrpSpPr/>
                        <wpg:grpSpPr>
                          <a:xfrm>
                            <a:off x="0" y="800539"/>
                            <a:ext cx="914248" cy="621665"/>
                            <a:chOff x="0" y="800539"/>
                            <a:chExt cx="1144729" cy="621665"/>
                          </a:xfrm>
                        </wpg:grpSpPr>
                        <wps:wsp>
                          <wps:cNvPr id="593" name="Rectangle: Rounded Corners 593"/>
                          <wps:cNvSpPr/>
                          <wps:spPr>
                            <a:xfrm>
                              <a:off x="36571" y="829751"/>
                              <a:ext cx="1108158" cy="38811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 name="TextBox 126"/>
                          <wps:cNvSpPr txBox="1"/>
                          <wps:spPr>
                            <a:xfrm>
                              <a:off x="0" y="800539"/>
                              <a:ext cx="1085288" cy="621665"/>
                            </a:xfrm>
                            <a:prstGeom prst="rect">
                              <a:avLst/>
                            </a:prstGeom>
                            <a:noFill/>
                          </wps:spPr>
                          <wps:txbx>
                            <w:txbxContent>
                              <w:p w14:paraId="1BABA869" w14:textId="77777777" w:rsidR="00777EE0" w:rsidRDefault="00777EE0" w:rsidP="00E808F1">
                                <w:pPr>
                                  <w:jc w:val="center"/>
                                  <w:rPr>
                                    <w:szCs w:val="24"/>
                                  </w:rPr>
                                </w:pPr>
                                <w:r>
                                  <w:rPr>
                                    <w:color w:val="000000" w:themeColor="text1"/>
                                    <w:kern w:val="24"/>
                                  </w:rPr>
                                  <w:t xml:space="preserve"> Past behaviour</w:t>
                                </w:r>
                              </w:p>
                            </w:txbxContent>
                          </wps:txbx>
                          <wps:bodyPr wrap="square" rtlCol="0">
                            <a:spAutoFit/>
                          </wps:bodyPr>
                        </wps:wsp>
                      </wpg:grpSp>
                      <wps:wsp>
                        <wps:cNvPr id="595" name="Straight Connector 595"/>
                        <wps:cNvCnPr>
                          <a:cxnSpLocks/>
                        </wps:cNvCnPr>
                        <wps:spPr>
                          <a:xfrm flipV="1">
                            <a:off x="665620" y="221745"/>
                            <a:ext cx="428530" cy="6020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a:cxnSpLocks/>
                        </wps:cNvCnPr>
                        <wps:spPr>
                          <a:xfrm>
                            <a:off x="658546" y="1233391"/>
                            <a:ext cx="443910" cy="5415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Connector: Elbow 597"/>
                        <wps:cNvCnPr>
                          <a:cxnSpLocks/>
                        </wps:cNvCnPr>
                        <wps:spPr>
                          <a:xfrm flipV="1">
                            <a:off x="267070" y="777600"/>
                            <a:ext cx="5429200" cy="34774"/>
                          </a:xfrm>
                          <a:prstGeom prst="bentConnector4">
                            <a:avLst>
                              <a:gd name="adj1" fmla="val 249"/>
                              <a:gd name="adj2" fmla="val 372878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Connector: Elbow 598"/>
                        <wps:cNvCnPr>
                          <a:cxnSpLocks/>
                        </wps:cNvCnPr>
                        <wps:spPr>
                          <a:xfrm flipV="1">
                            <a:off x="657226" y="26483"/>
                            <a:ext cx="2388803" cy="794200"/>
                          </a:xfrm>
                          <a:prstGeom prst="bentConnector4">
                            <a:avLst>
                              <a:gd name="adj1" fmla="val 199"/>
                              <a:gd name="adj2" fmla="val 1161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A5E899" id="Group 483" o:spid="_x0000_s1318" style="position:absolute;margin-left:-16.8pt;margin-top:11.2pt;width:485.15pt;height:170.45pt;z-index:253713408" coordsize="61616,2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LN7QsAAJ1mAAAOAAAAZHJzL2Uyb0RvYy54bWzsXWtzm0gW/b5V+x8ofZ+Ybrp5uOJMZT2T&#10;7FalZlNJduYzRkjWrgRawLGyv35PP2gaBHo5kj0VUlMeS9ANXM59nXu7/frnzWrpfE2LcpFnNxPy&#10;yp04aZbk00U2v5n868u7n8KJU1ZxNo2XeZbeTL6l5eTnN3/9y+vH9XVK8/t8OU0LB5Nk5fXj+mZy&#10;X1Xr66urMrlPV3H5Kl+nGQ7O8mIVV/hYzK+mRfyI2VfLK+q6/tVjXkzXRZ6kZYlvf1EHJ2/k/LNZ&#10;mlT/nM3KtHKWNxPcWyV/FvLnnfh59eZ1fD0v4vX9ItG3EZ9wF6t4keGiZqpf4ip2HorF1lSrRVLk&#10;ZT6rXiX56iqfzRZJKp8BT0PcztO8L/KHtXyW+fXjfG3EBNF25HTytMlvXz8WzmJ6M+HcnzhZvMJL&#10;ktd1WOgJ8Tyu59c4632x/rz+WOgv5uqTeOLNrFiJ/+NZnI0U7Dcj2HRTOQm+9IlPmMsnToJjlPgs&#10;IFyJPrnH+9kal9z/ao30qWeNDORdXdUXvhL3Z27ncQ0YlY2kyqdJ6vN9vE7lCyiFDIykglpSt3mW&#10;AWN5ce38urzLHx3OAyU0OeA2+1gI2SSb7PP6Q578p4T8cMfWQfGhhGBrUTpFDpBy5op/E2e2XKz/&#10;DsVSv/0ufrOETblHvQgHIdafCGWR61Ml11ryJCQ8UtJjxIuYH4njRnrx9booq/dpvnLELzeTuzSr&#10;zEN58lrx1w9lJS46n2p8xNN/ixtaLaEqX+Olw6OIcB7qmfX5uEY9txi8zMTPMl8upu8Wy6X8IJQ8&#10;vV0WDia5mVQbomewzsIsYqSUmRKTFFj1bZmqWT+lM8AXGFOCkYajmTNOEjxQPe8yw9li2Ax3YAa6&#10;8il3DtTni6GpNCrHDDYj5JXzrDKDV4ssL/qu3ohips6vJaCeW4jgLp9+k+ooRQPMK02VmmCU1gAW&#10;VthWbf2yjlRtTgOfedBFoC0IAh/4BJYgEq2rYchJBMwKJeeUh6GvjhsdFxN4FPfSmaBRd4J/wjao&#10;OYgXcnkNg9dn0XbojxLeJ6h6nM2XKdRc6pHWZGMY26osZKOtIqdhRDnbevJadMSloR9BMkJ2jHHO&#10;21au0SWtpwVupdFOpdK2ulkqBK1rK9rdvFaI1llP09BaM2Araht3Jn1VVqnzTG1FH9ZX2qdu7cEn&#10;6OvSmJg9+uoU1fI2V7FInCX3OUKRpCqk3RNg0np8CSfmQ1MVrL8AhX/LNw7wiVdnYdqpNvhemFb9&#10;ve2oWuhu9DoMiUflgMYwtLSaEZfQPV5oH7qzXPiQbZxVm7uNDGaIa9ywMpTOI2K8m0n534e4SCfW&#10;axCPUa7fPlSY0iBXjdFGV76TxvAoCZ0/yPDhYtX7+VwV8WJ+XznGMTscR5t3dUKYYb09jwch9ZRV&#10;ptTlrPP2eOQyhthQmKYAJt7d8/KWi0zETPG1DATES2qsl/j6aXZmjASUBPZEAhexIHQnQmUkqq3J&#10;UxEaugGDGwYCieuyKJIQbAwMD4PI01GDzyV+TcjQgE+7zhGfQ/HxCZ7v1Ej1IvhEqLrDgurs1srF&#10;jkvURGrWTcg8LpCK9FAhlfsqfu0gFcelMfWRj8kYeQSrgZ5K5g7IycwI4VN02KUGf/e06iJgRXKw&#10;A6x2aHaCMZU8Qhes3OVeQGE2NVh5pEmZOiuhnidJCJnQyWMjUA3sfligAjA7gCphcrrX7wVqy6qC&#10;PvS8LssVuAHxdQAAciMIpb6MaH3RaNW87RZbBZ+oEaaIaK6c5JFsFXMDLxRTwbqFBCxoFzPEha/W&#10;mGEBwkoZECAGqClpMUMAEqs7g0VXeWHAqKa8mjkM7pqsURC8OsE3NP55yGnfkNOGrrp2PuUP2TSd&#10;IoMsMhRrkD+a/Bi89n7+ihHQV0j8uqKoPQWBMAkYYBnXeOAAyJ64BpWNbCpucFemaNJ8kTQ6jzeT&#10;CLSiInDOxyPvZIhErFHex9NUUdZckvQqxTWElEx4+6nmAzjqYerqPDHREdSVKEwA6+U6ebdAseBD&#10;XFYf4wI1AHyJEiCOgs/636RDtSz/kQHoEWEMp1XyA+OBUJrCPnJnH8keVpIlAwWCq9WEmcWdzYp8&#10;9Qcqf2/FVTGVzaXpD7eVKvOhdpikb9/K01BzW8fVBxRjkrpgIEjTL5s/4mKt08MKmP4trys/WyyG&#10;OlfgIMsFazTbxRpdSOOhd8oj10yeqgJpLyy0+1Amr2XyfLD5HYofjLxl8EgUIOtW8K/LgDUJfSBP&#10;bVS8w+tYTJ6sK4lnOQeTN+iDDOlf+yBN+B9VDKUcAhNQhw+ivi6oNskgcX3GSM36+25IpVW2XNDA&#10;BJYHsg0vM1M8qwcK8MAKj7s8EM5qGMz9HmhAEqMDUiqKFz46oNEBiZqwXba4jAMKTKnCOCAZ/p3g&#10;gKiPIjEYXGEx/YAjPoeRaCxmSCMfDSCqTHoZ96Pt/mXdT2Code1+8IW0lse6H5krC2EGAUUNui1N&#10;5X80G+kjsUYKLcVtUiBY3d4ZBhxQM8fzOiBD/O50QDYBfJADMqIIUQTrlsnGFGj0QGMKJLuSnsED&#10;GfbceCBjtzXBcWgKRDnFf3WrTr/R9JBgSR/UY/C26o3FoSzHYApETKh8yRRIcGMqjK99kOZ2j/VB&#10;kJbqLgBDRFzVJ9i4dDihgBCkW7L1CW1Srkz4OkkQclEZE7SmsL0Q8dE/253keb2QoTF3eqFupKST&#10;otLqCRURkG4kAzQJume3ZTEmQmMiNDJx2vNs929dKBEy3Hvthuq4XXYZHMPECb7DGD20EXCv05Yl&#10;gnfRq3XBXIiYprNz+KFLVNkDQ5X2NdXhqLa+iBlOqLJbdppEIEojVTsiQcDCrZYlz/MFIy68HiWS&#10;9zPeaiuEGFuWXkDL0hBVHHSpYnxxfK6O9JEysQQHeCCceeB128k6uuvdGjBN2GmFSYMz2GGSVaZr&#10;JjHAe456ZXgQW4yzGtXcn6y3ZRG64ZityzU2Y8FyLFg+f8Ey3OKLW573mDCJYF0hERZ4yGwKs4oM&#10;UznaHpO35Wu/Q7puOp/PESYNuaGwSxnjixPckCA20bQq5Nmp/e53QNtjX7jrOYgnrpfBmhBeO6KB&#10;DF1Sw1qCWO8W6pLumJ+P+fmYnz9zfo620E6nDFxRO648lCZGRyF8D/zKtqGMsAw7wJVEanchj2NK&#10;WefwOJdIzENDNvcl5jjavKUTEvPermKUjyO5XhmvqXfdm8d8T2fohLpjR7FcOv+iO4ovglRD6/ci&#10;1abzT0Bqi0Ky8UkC1umFAEmARePKzARYdYvl41ASk8tvBbYjifQCSKSLINSw0L0ItTu/z41QghVu&#10;CqHYIMTzULgaISramV7yJiIXgehOHj58Ig8/4O4bRr7X3VPsTaKjNoCVYdHRCFbZe/fDg9UQ/L32&#10;1G40OcGe7gUrVrx7pF6cVNMI3GORYM5FjhEEJEDlYLSso2WdYLOOOsXtAyuOniORaiwrwLq96J1i&#10;FzICo67Q6kfYqGxE62hasUuY2LtueDExjj4JrUckU4BoxCLt/oPQi7Bb4WhQX7pBHaqFYK1vu3VR&#10;Lf49cgWxqoKEsGietFdNzyJWM1Km7VnD8Fm1+O2hdiWEsQA7YA3xg89RhI8OqoTgrEYf9xfhPZ/r&#10;TkUs2xCLOjC4keF5+uVbO9qZFVFqte7gvnfj0mK1qLq9TeAld8UblxabZchCR17M0mLhEdtLiwm1&#10;Gc5jSvXbNrFOZtDrhA0yt+zpMJX5HWr0ZkOdP2vFBJv17AqdzlExwfowv17NjJ7FLiHNaMjrgonv&#10;YnfuMcofSyZTEeXvLJngaBNVnECgWFG+z0MuCGeQIgSbV4mtsVsxB2P4CnZIsCboneaqx3LYzowl&#10;kx+kZBKZkonZY9Xs6I5jT8JnL8FHfWxZpTxi31banFEshNJI9RgayMU9DAO1tW07a/bUEboxuG27&#10;pmHaZyBzajZ2x/Zw2EtLcka49rix+5ND4pe8XabYflzFej06cI6KDNJDimhSWOuezVGwJXEYunqt&#10;fxBhm60ahwNbzZykA6Rel2FrSUsHsJWVWJ6o1G9UgWdSAUmK4G+gSCOo/16L+CMr9mf8bv9VmTf/&#10;BwAA//8DAFBLAwQUAAYACAAAACEAz2bL7uEAAAAKAQAADwAAAGRycy9kb3ducmV2LnhtbEyPQUvD&#10;QBCF74L/YRnBW7tJVqPGbEop6qkItoJ4mybTJDQ7G7LbJP33ric9Du/jvW/y1Ww6MdLgWssa4mUE&#10;gri0Vcu1hs/96+IRhPPIFXaWScOFHKyK66scs8pO/EHjztcilLDLUEPjfZ9J6cqGDLql7YlDdrSD&#10;QR/OoZbVgFMoN51MoiiVBlsOCw32tGmoPO3ORsPbhNNaxS/j9nTcXL739+9f25i0vr2Z188gPM3+&#10;D4Zf/aAORXA62DNXTnQaFkqlAdWQJHcgAvCk0gcQBw0qVQpkkcv/LxQ/AAAA//8DAFBLAQItABQA&#10;BgAIAAAAIQC2gziS/gAAAOEBAAATAAAAAAAAAAAAAAAAAAAAAABbQ29udGVudF9UeXBlc10ueG1s&#10;UEsBAi0AFAAGAAgAAAAhADj9If/WAAAAlAEAAAsAAAAAAAAAAAAAAAAALwEAAF9yZWxzLy5yZWxz&#10;UEsBAi0AFAAGAAgAAAAhAI3Vws3tCwAAnWYAAA4AAAAAAAAAAAAAAAAALgIAAGRycy9lMm9Eb2Mu&#10;eG1sUEsBAi0AFAAGAAgAAAAhAM9my+7hAAAACgEAAA8AAAAAAAAAAAAAAAAARw4AAGRycy9kb3du&#10;cmV2LnhtbFBLBQYAAAAABAAEAPMAAABVDwAAAAA=&#10;">
                <v:shape id="Connector: Elbow 557" o:spid="_x0000_s1319" type="#_x0000_t34" style="position:absolute;left:25324;top:-12492;width:182;height:4139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LxgAAANwAAAAPAAAAZHJzL2Rvd25yZXYueG1sRI9Ba8JA&#10;FITvgv9heUIvUjdV05bUVWqhoB4Eo+D1kX1Ngtm3Ibsx8d93BcHjMDPfMItVbypxpcaVlhW8TSIQ&#10;xJnVJecKTsff108QziNrrCyTghs5WC2HgwUm2nZ8oGvqcxEg7BJUUHhfJ1K6rCCDbmJr4uD92cag&#10;D7LJpW6wC3BTyWkUvUuDJYeFAmv6KSi7pK1RMO+6c7xub+P97LJt8/U5nU13pVIvo/77C4Sn3j/D&#10;j/ZGK4jjD7ifCUdALv8BAAD//wMAUEsBAi0AFAAGAAgAAAAhANvh9svuAAAAhQEAABMAAAAAAAAA&#10;AAAAAAAAAAAAAFtDb250ZW50X1R5cGVzXS54bWxQSwECLQAUAAYACAAAACEAWvQsW78AAAAVAQAA&#10;CwAAAAAAAAAAAAAAAAAfAQAAX3JlbHMvLnJlbHNQSwECLQAUAAYACAAAACEAkvpeC8YAAADcAAAA&#10;DwAAAAAAAAAAAAAAAAAHAgAAZHJzL2Rvd25yZXYueG1sUEsFBgAAAAADAAMAtwAAAPoCAAAAAA==&#10;" adj="1294177" strokecolor="black [3213]">
                  <o:lock v:ext="edit" shapetype="f"/>
                </v:shape>
                <v:group id="Group 558" o:spid="_x0000_s1320" style="position:absolute;left:52764;top:7776;width:8852;height:5258" coordorigin="52763,7776" coordsize="111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angle 559" o:spid="_x0000_s1321" style="position:absolute;left:52892;top:7776;width:1028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5IxgAAANwAAAAPAAAAZHJzL2Rvd25yZXYueG1sRI9PawIx&#10;FMTvBb9DeEIvRbO2uNbtRpGCVPCk7cHj6+a5f7p5WZNUt9/eFASPw8z8hsmXvWnFmZyvLSuYjBMQ&#10;xIXVNZcKvj7Xo1cQPiBrbC2Tgj/ysFwMHnLMtL3wjs77UIoIYZ+hgiqELpPSFxUZ9GPbEUfvaJ3B&#10;EKUrpXZ4iXDTyuckSaXBmuNChR29V1T87H+NgidrZm6XNt/r5mN1Otiwfdl0M6Ueh/3qDUSgPtzD&#10;t/ZGK5hO5/B/Jh4BubgCAAD//wMAUEsBAi0AFAAGAAgAAAAhANvh9svuAAAAhQEAABMAAAAAAAAA&#10;AAAAAAAAAAAAAFtDb250ZW50X1R5cGVzXS54bWxQSwECLQAUAAYACAAAACEAWvQsW78AAAAVAQAA&#10;CwAAAAAAAAAAAAAAAAAfAQAAX3JlbHMvLnJlbHNQSwECLQAUAAYACAAAACEA0MReSMYAAADcAAAA&#10;DwAAAAAAAAAAAAAAAAAHAgAAZHJzL2Rvd25yZXYueG1sUEsFBgAAAAADAAMAtwAAAPoCAAAAAA==&#10;" fillcolor="white [3212]" strokecolor="black [3213]"/>
                  <v:shape id="TextBox 54" o:spid="_x0000_s1322" type="#_x0000_t202" style="position:absolute;left:52763;top:8813;width:11117;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tAvgAAANwAAAAPAAAAZHJzL2Rvd25yZXYueG1sRE9Ni8Iw&#10;EL0v+B/CCN7WVEGRrlFEV/DgZbV7H5qxKTaT0sza+u/NQdjj432vt4Nv1IO6WAc2MJtmoIjLYGuu&#10;DBTX4+cKVBRki01gMvCkCNvN6GONuQ09/9DjIpVKIRxzNOBE2lzrWDryGKehJU7cLXQeJcGu0rbD&#10;PoX7Rs+zbKk91pwaHLa0d1TeL3/egIjdzZ7Ft4+n3+F86F1WLrAwZjIedl+ghAb5F7/dJ2tgsUzz&#10;05l0BPTmBQAA//8DAFBLAQItABQABgAIAAAAIQDb4fbL7gAAAIUBAAATAAAAAAAAAAAAAAAAAAAA&#10;AABbQ29udGVudF9UeXBlc10ueG1sUEsBAi0AFAAGAAgAAAAhAFr0LFu/AAAAFQEAAAsAAAAAAAAA&#10;AAAAAAAAHwEAAF9yZWxzLy5yZWxzUEsBAi0AFAAGAAgAAAAhAFiE+0C+AAAA3AAAAA8AAAAAAAAA&#10;AAAAAAAABwIAAGRycy9kb3ducmV2LnhtbFBLBQYAAAAAAwADALcAAADyAgAAAAA=&#10;" filled="f" stroked="f">
                    <v:textbox style="mso-fit-shape-to-text:t">
                      <w:txbxContent>
                        <w:p w14:paraId="18C95F28" w14:textId="77777777" w:rsidR="00777EE0" w:rsidRDefault="00777EE0" w:rsidP="00E808F1">
                          <w:pPr>
                            <w:jc w:val="center"/>
                            <w:rPr>
                              <w:szCs w:val="24"/>
                            </w:rPr>
                          </w:pPr>
                          <w:r>
                            <w:rPr>
                              <w:color w:val="000000" w:themeColor="text1"/>
                              <w:kern w:val="24"/>
                            </w:rPr>
                            <w:t>Behaviour</w:t>
                          </w:r>
                        </w:p>
                      </w:txbxContent>
                    </v:textbox>
                  </v:shape>
                </v:group>
                <v:line id="Straight Connector 561" o:spid="_x0000_s1323" style="position:absolute;visibility:visible;mso-wrap-style:square" from="35782,2205" to="41686,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BaxgAAANwAAAAPAAAAZHJzL2Rvd25yZXYueG1sRI9Pa8JA&#10;FMTvQr/D8gq91U0EE4muEgpC/5y0Lb0+ss8kmn0bdrcx+um7QsHjMDO/YVab0XRiIOdbywrSaQKC&#10;uLK65VrB1+f2eQHCB2SNnWVScCEPm/XDZIWFtmfe0bAPtYgQ9gUqaELoCyl91ZBBP7U9cfQO1hkM&#10;UbpaaofnCDednCVJJg22HBca7Omloeq0/zUKFtX70ZV5+ZbOv/v8Osw+su1PrtTT41guQQQawz38&#10;337VCuZZCrcz8QjI9R8AAAD//wMAUEsBAi0AFAAGAAgAAAAhANvh9svuAAAAhQEAABMAAAAAAAAA&#10;AAAAAAAAAAAAAFtDb250ZW50X1R5cGVzXS54bWxQSwECLQAUAAYACAAAACEAWvQsW78AAAAVAQAA&#10;CwAAAAAAAAAAAAAAAAAfAQAAX3JlbHMvLnJlbHNQSwECLQAUAAYACAAAACEAMjzgWsYAAADcAAAA&#10;DwAAAAAAAAAAAAAAAAAHAgAAZHJzL2Rvd25yZXYueG1sUEsFBgAAAAADAAMAtwAAAPoCAAAAAA==&#10;" strokecolor="black [3213]">
                  <o:lock v:ext="edit" shapetype="f"/>
                </v:line>
                <v:line id="Straight Connector 562" o:spid="_x0000_s1324" style="position:absolute;visibility:visible;mso-wrap-style:square" from="35807,10049" to="41686,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4txgAAANwAAAAPAAAAZHJzL2Rvd25yZXYueG1sRI9Pa8JA&#10;FMTvQr/D8gq91Y0BE4muEgpC/5y0Lb0+ss8kmn0bdrcx+um7QsHjMDO/YVab0XRiIOdbywpm0wQE&#10;cWV1y7WCr8/t8wKED8gaO8uk4EIeNuuHyQoLbc+8o2EfahEh7AtU0ITQF1L6qiGDfmp74ugdrDMY&#10;onS11A7PEW46mSZJJg22HBca7Omloeq0/zUKFtX70ZV5+Tabf/f5dUg/su1PrtTT41guQQQawz38&#10;337VCuZZCrcz8QjI9R8AAAD//wMAUEsBAi0AFAAGAAgAAAAhANvh9svuAAAAhQEAABMAAAAAAAAA&#10;AAAAAAAAAAAAAFtDb250ZW50X1R5cGVzXS54bWxQSwECLQAUAAYACAAAACEAWvQsW78AAAAVAQAA&#10;CwAAAAAAAAAAAAAAAAAfAQAAX3JlbHMvLnJlbHNQSwECLQAUAAYACAAAACEAwu5+LcYAAADcAAAA&#10;DwAAAAAAAAAAAAAAAAAHAgAAZHJzL2Rvd25yZXYueG1sUEsFBgAAAAADAAMAtwAAAPoCAAAAAA==&#10;" strokecolor="black [3213]">
                  <o:lock v:ext="edit" shapetype="f"/>
                </v:line>
                <v:line id="Straight Connector 563" o:spid="_x0000_s1325" style="position:absolute;flip:y;visibility:visible;mso-wrap-style:square" from="35807,10056" to="41686,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vCxQAAANwAAAAPAAAAZHJzL2Rvd25yZXYueG1sRI9Ra8Iw&#10;FIXfhf2HcAd703RTy9YZZRMGshex+gMuzV1T1tx0SdTaX78Igo+Hc853OItVb1txIh8axwqeJxkI&#10;4srphmsFh/3X+BVEiMgaW8ek4EIBVsuH0QIL7c68o1MZa5EgHApUYGLsCilDZchimLiOOHk/zluM&#10;Sfpaao/nBLetfMmyXFpsOC0Y7GhtqPotj1ZBO8TD8Pa5NkP2N7vo7TZ3fv6t1NNj//EOIlIf7+Fb&#10;e6MVzPMpXM+kIyCX/wAAAP//AwBQSwECLQAUAAYACAAAACEA2+H2y+4AAACFAQAAEwAAAAAAAAAA&#10;AAAAAAAAAAAAW0NvbnRlbnRfVHlwZXNdLnhtbFBLAQItABQABgAIAAAAIQBa9CxbvwAAABUBAAAL&#10;AAAAAAAAAAAAAAAAAB8BAABfcmVscy8ucmVsc1BLAQItABQABgAIAAAAIQBAUpvCxQAAANwAAAAP&#10;AAAAAAAAAAAAAAAAAAcCAABkcnMvZG93bnJldi54bWxQSwUGAAAAAAMAAwC3AAAA+QIAAAAA&#10;" strokecolor="black [3213]">
                  <o:lock v:ext="edit" shapetype="f"/>
                </v:line>
                <v:line id="Straight Connector 564" o:spid="_x0000_s1326" style="position:absolute;flip:y;visibility:visible;mso-wrap-style:square" from="50537,10055" to="52867,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O2xAAAANwAAAAPAAAAZHJzL2Rvd25yZXYueG1sRI/RagIx&#10;FETfhf5DuIW+adaii26NYoVC8UWqfsBlc7tZ3NysSarrfr0RhD4OM3OGWaw624gL+VA7VjAeZSCI&#10;S6drrhQcD1/DGYgQkTU2jknBjQKsli+DBRbaXfmHLvtYiQThUKACE2NbSBlKQxbDyLXEyft13mJM&#10;0ldSe7wmuG3ke5bl0mLNacFgSxtD5Wn/ZxU0fTz288+N6bPz5KZ3u9z56Vapt9du/QEiUhf/w8/2&#10;t1YwzSfwOJOOgFzeAQAA//8DAFBLAQItABQABgAIAAAAIQDb4fbL7gAAAIUBAAATAAAAAAAAAAAA&#10;AAAAAAAAAABbQ29udGVudF9UeXBlc10ueG1sUEsBAi0AFAAGAAgAAAAhAFr0LFu/AAAAFQEAAAsA&#10;AAAAAAAAAAAAAAAAHwEAAF9yZWxzLy5yZWxzUEsBAi0AFAAGAAgAAAAhAM+7A7bEAAAA3AAAAA8A&#10;AAAAAAAAAAAAAAAABwIAAGRycy9kb3ducmV2LnhtbFBLBQYAAAAAAwADALcAAAD4AgAAAAA=&#10;" strokecolor="black [3213]">
                  <o:lock v:ext="edit" shapetype="f"/>
                </v:line>
                <v:line id="Straight Connector 565" o:spid="_x0000_s1327" style="position:absolute;flip:y;visibility:visible;mso-wrap-style:square" from="35807,12163" to="52879,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YtxAAAANwAAAAPAAAAZHJzL2Rvd25yZXYueG1sRI9Ra8Iw&#10;FIXfB/6HcAXfZuqwZeuMsgmC7EV0/oBLc9eUNTc1ybT21y+C4OPhnPMdzmLV21acyYfGsYLZNANB&#10;XDndcK3g+L15fgURIrLG1jEpuFKA1XL0tMBSuwvv6XyItUgQDiUqMDF2pZShMmQxTF1HnLwf5y3G&#10;JH0ttcdLgttWvmRZIS02nBYMdrQ2VP0e/qyCdojH4e1zbYbsNL/q3a5wPv9SajLuP95BROrjI3xv&#10;b7WCvMjhdiYdAbn8BwAA//8DAFBLAQItABQABgAIAAAAIQDb4fbL7gAAAIUBAAATAAAAAAAAAAAA&#10;AAAAAAAAAABbQ29udGVudF9UeXBlc10ueG1sUEsBAi0AFAAGAAgAAAAhAFr0LFu/AAAAFQEAAAsA&#10;AAAAAAAAAAAAAAAAHwEAAF9yZWxzLy5yZWxzUEsBAi0AFAAGAAgAAAAhAKD3pi3EAAAA3AAAAA8A&#10;AAAAAAAAAAAAAAAABwIAAGRycy9kb3ducmV2LnhtbFBLBQYAAAAAAwADALcAAAD4AgAAAAA=&#10;" strokecolor="black [3213]">
                  <o:lock v:ext="edit" shapetype="f"/>
                </v:line>
                <v:group id="Group 566" o:spid="_x0000_s1328" style="position:absolute;left:40738;top:8115;width:11081;height:4701" coordorigin="40737,8115" coordsize="1387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Rectangle: Rounded Corners 567" o:spid="_x0000_s1329" style="position:absolute;left:41925;top:8115;width:11081;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fwxgAAANwAAAAPAAAAZHJzL2Rvd25yZXYueG1sRI9Ba8JA&#10;FITvBf/D8oReim4s1Eh0FS0UigdBm0O9PbPPJJh9m+5uNf57VxA8DjPzDTNbdKYRZ3K+tqxgNExA&#10;EBdW11wqyH++BhMQPiBrbCyTgit5WMx7LzPMtL3wls67UIoIYZ+hgiqENpPSFxUZ9EPbEkfvaJ3B&#10;EKUrpXZ4iXDTyPckGUuDNceFClv6rKg47f6NgnSzOqx+03y9n7g3HC3tuszbP6Ve+91yCiJQF57h&#10;R/tbK/gYp3A/E4+AnN8AAAD//wMAUEsBAi0AFAAGAAgAAAAhANvh9svuAAAAhQEAABMAAAAAAAAA&#10;AAAAAAAAAAAAAFtDb250ZW50X1R5cGVzXS54bWxQSwECLQAUAAYACAAAACEAWvQsW78AAAAVAQAA&#10;CwAAAAAAAAAAAAAAAAAfAQAAX3JlbHMvLnJlbHNQSwECLQAUAAYACAAAACEAtLLH8MYAAADcAAAA&#10;DwAAAAAAAAAAAAAAAAAHAgAAZHJzL2Rvd25yZXYueG1sUEsFBgAAAAADAAMAtwAAAPoCAAAAAA==&#10;" filled="f" strokecolor="black [3213]"/>
                  <v:shape id="TextBox 62" o:spid="_x0000_s1330" type="#_x0000_t202" style="position:absolute;left:40737;top:8619;width:1387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dGvgAAANwAAAAPAAAAZHJzL2Rvd25yZXYueG1sRE9Ni8Iw&#10;EL0v+B/CCN7WVEGRrlFEV/DgZbV7H5qxKTaT0sza+u/NQdjj432vt4Nv1IO6WAc2MJtmoIjLYGuu&#10;DBTX4+cKVBRki01gMvCkCNvN6GONuQ09/9DjIpVKIRxzNOBE2lzrWDryGKehJU7cLXQeJcGu0rbD&#10;PoX7Rs+zbKk91pwaHLa0d1TeL3/egIjdzZ7Ft4+n3+F86F1WLrAwZjIedl+ghAb5F7/dJ2tgsUxr&#10;05l0BPTmBQAA//8DAFBLAQItABQABgAIAAAAIQDb4fbL7gAAAIUBAAATAAAAAAAAAAAAAAAAAAAA&#10;AABbQ29udGVudF9UeXBlc10ueG1sUEsBAi0AFAAGAAgAAAAhAFr0LFu/AAAAFQEAAAsAAAAAAAAA&#10;AAAAAAAAHwEAAF9yZWxzLy5yZWxzUEsBAi0AFAAGAAgAAAAhAKby90a+AAAA3AAAAA8AAAAAAAAA&#10;AAAAAAAABwIAAGRycy9kb3ducmV2LnhtbFBLBQYAAAAAAwADALcAAADyAgAAAAA=&#10;" filled="f" stroked="f">
                    <v:textbox style="mso-fit-shape-to-text:t">
                      <w:txbxContent>
                        <w:p w14:paraId="3A0F3910" w14:textId="77777777" w:rsidR="00777EE0" w:rsidRDefault="00777EE0" w:rsidP="00E808F1">
                          <w:pPr>
                            <w:jc w:val="center"/>
                            <w:rPr>
                              <w:szCs w:val="24"/>
                            </w:rPr>
                          </w:pPr>
                          <w:r>
                            <w:rPr>
                              <w:color w:val="000000" w:themeColor="text1"/>
                              <w:kern w:val="24"/>
                            </w:rPr>
                            <w:t>Intention</w:t>
                          </w:r>
                        </w:p>
                      </w:txbxContent>
                    </v:textbox>
                  </v:shape>
                </v:group>
                <v:group id="Group 569" o:spid="_x0000_s1331" style="position:absolute;left:25138;top:264;width:10644;height:4609" coordorigin="25138,264" coordsize="11081,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roundrect id="Rectangle: Rounded Corners 570" o:spid="_x0000_s1332" style="position:absolute;left:25138;top:264;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ZwwAAANwAAAAPAAAAZHJzL2Rvd25yZXYueG1sRE/Pa8Iw&#10;FL4L/g/hCbuIpg5mSzWKCoPhYaDrYd6ezVtb1rzUJNP635vDwOPH93u57k0rruR8Y1nBbJqAIC6t&#10;brhSUHy9TzIQPiBrbC2Tgjt5WK+GgyXm2t74QNdjqEQMYZ+jgjqELpfSlzUZ9FPbEUfuxzqDIUJX&#10;Se3wFsNNK1+TZC4NNhwbauxoV1P5e/wzCtLP7Xn7nRb7U+bGONvYfVV0F6VeRv1mASJQH57if/eH&#10;VvCWxvnxTDwCcvUAAAD//wMAUEsBAi0AFAAGAAgAAAAhANvh9svuAAAAhQEAABMAAAAAAAAAAAAA&#10;AAAAAAAAAFtDb250ZW50X1R5cGVzXS54bWxQSwECLQAUAAYACAAAACEAWvQsW78AAAAVAQAACwAA&#10;AAAAAAAAAAAAAAAfAQAAX3JlbHMvLnJlbHNQSwECLQAUAAYACAAAACEAvoLJWcMAAADcAAAADwAA&#10;AAAAAAAAAAAAAAAHAgAAZHJzL2Rvd25yZXYueG1sUEsFBgAAAAADAAMAtwAAAPcCAAAAAA==&#10;" filled="f" strokecolor="black [3213]"/>
                  <v:shape id="TextBox 66" o:spid="_x0000_s1333" type="#_x0000_t202" style="position:absolute;left:26527;top:675;width:8297;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0B7D3CF7" w14:textId="77777777" w:rsidR="00777EE0" w:rsidRDefault="00777EE0" w:rsidP="00E808F1">
                          <w:pPr>
                            <w:jc w:val="center"/>
                            <w:rPr>
                              <w:szCs w:val="24"/>
                            </w:rPr>
                          </w:pPr>
                          <w:r>
                            <w:rPr>
                              <w:color w:val="000000" w:themeColor="text1"/>
                              <w:kern w:val="24"/>
                            </w:rPr>
                            <w:t>Attitude</w:t>
                          </w:r>
                        </w:p>
                      </w:txbxContent>
                    </v:textbox>
                  </v:shape>
                </v:group>
                <v:group id="Group 572" o:spid="_x0000_s1334" style="position:absolute;left:25163;top:7722;width:10644;height:6217" coordorigin="25163,7722"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oundrect id="Rectangle: Rounded Corners 573" o:spid="_x0000_s1335" style="position:absolute;left:25163;top:8109;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uxgAAANwAAAAPAAAAZHJzL2Rvd25yZXYueG1sRI9Ba8JA&#10;FITvBf/D8gQvRTda2kh0FS0UioeCmoPentlnEsy+TXe3Gv+9Wyj0OMzMN8x82ZlGXMn52rKC8SgB&#10;QVxYXXOpIN9/DKcgfEDW2FgmBXfysFz0nuaYaXvjLV13oRQRwj5DBVUIbSalLyoy6Ee2JY7e2TqD&#10;IUpXSu3wFuGmkZMkeZMGa44LFbb0XlFx2f0YBenX+rQ+pPnmOHXPOF7ZTZm330oN+t1qBiJQF/7D&#10;f+1PreA1fYHfM/EIyMUDAAD//wMAUEsBAi0AFAAGAAgAAAAhANvh9svuAAAAhQEAABMAAAAAAAAA&#10;AAAAAAAAAAAAAFtDb250ZW50X1R5cGVzXS54bWxQSwECLQAUAAYACAAAACEAWvQsW78AAAAVAQAA&#10;CwAAAAAAAAAAAAAAAAAfAQAAX3JlbHMvLnJlbHNQSwECLQAUAAYACAAAACEATlBXLsYAAADcAAAA&#10;DwAAAAAAAAAAAAAAAAAHAgAAZHJzL2Rvd25yZXYueG1sUEsFBgAAAAADAAMAtwAAAPoCAAAAAA==&#10;" filled="f" strokecolor="black [3213]"/>
                  <v:shape id="TextBox 69" o:spid="_x0000_s1336" type="#_x0000_t202" style="position:absolute;left:25225;top:7722;width:1064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ewwAAANwAAAAPAAAAZHJzL2Rvd25yZXYueG1sRI9Pa8JA&#10;FMTvhX6H5RW81Y3FPyV1FakKHryo6f2Rfc2GZt+G7KuJ394tFDwOM/MbZrkefKOu1MU6sIHJOANF&#10;XAZbc2WguOxf30FFQbbYBCYDN4qwXj0/LTG3oecTXc9SqQThmKMBJ9LmWsfSkcc4Di1x8r5D51GS&#10;7CptO+wT3Df6Lcvm2mPNacFhS5+Oyp/zrzcgYjeTW7Hz8fA1HLe9y8oZFsaMXobNByihQR7h//bB&#10;GpgtpvB3Jh0BvboDAAD//wMAUEsBAi0AFAAGAAgAAAAhANvh9svuAAAAhQEAABMAAAAAAAAAAAAA&#10;AAAAAAAAAFtDb250ZW50X1R5cGVzXS54bWxQSwECLQAUAAYACAAAACEAWvQsW78AAAAVAQAACwAA&#10;AAAAAAAAAAAAAAAfAQAAX3JlbHMvLnJlbHNQSwECLQAUAAYACAAAACEAomZrnsMAAADcAAAADwAA&#10;AAAAAAAAAAAAAAAHAgAAZHJzL2Rvd25yZXYueG1sUEsFBgAAAAADAAMAtwAAAPcCAAAAAA==&#10;" filled="f" stroked="f">
                    <v:textbox style="mso-fit-shape-to-text:t">
                      <w:txbxContent>
                        <w:p w14:paraId="1BFF9927" w14:textId="77777777" w:rsidR="00777EE0" w:rsidRDefault="00777EE0" w:rsidP="00E808F1">
                          <w:pPr>
                            <w:jc w:val="center"/>
                            <w:rPr>
                              <w:szCs w:val="24"/>
                            </w:rPr>
                          </w:pPr>
                          <w:r>
                            <w:rPr>
                              <w:color w:val="000000" w:themeColor="text1"/>
                              <w:kern w:val="24"/>
                            </w:rPr>
                            <w:t>Subjective norms</w:t>
                          </w:r>
                        </w:p>
                      </w:txbxContent>
                    </v:textbox>
                  </v:shape>
                </v:group>
                <v:group id="Group 575" o:spid="_x0000_s1337" style="position:absolute;left:25136;top:15810;width:10671;height:4892" coordorigin="25136,15810" coordsize="11160,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oundrect id="Rectangle: Rounded Corners 576" o:spid="_x0000_s1338" style="position:absolute;left:25214;top:15810;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2xgAAANwAAAAPAAAAZHJzL2Rvd25yZXYueG1sRI9Ba8JA&#10;FITvBf/D8oReim4s1Eh0FS0UigdBm0O9PbPPJJh9m+5uNf57VxA8DjPzDTNbdKYRZ3K+tqxgNExA&#10;EBdW11wqyH++BhMQPiBrbCyTgit5WMx7LzPMtL3wls67UIoIYZ+hgiqENpPSFxUZ9EPbEkfvaJ3B&#10;EKUrpXZ4iXDTyPckGUuDNceFClv6rKg47f6NgnSzOqx+03y9n7g3HC3tuszbP6Ve+91yCiJQF57h&#10;R/tbK/hIx3A/E4+AnN8AAAD//wMAUEsBAi0AFAAGAAgAAAAhANvh9svuAAAAhQEAABMAAAAAAAAA&#10;AAAAAAAAAAAAAFtDb250ZW50X1R5cGVzXS54bWxQSwECLQAUAAYACAAAACEAWvQsW78AAAAVAQAA&#10;CwAAAAAAAAAAAAAAAAAfAQAAX3JlbHMvLnJlbHNQSwECLQAUAAYACAAAACEAXif0tsYAAADcAAAA&#10;DwAAAAAAAAAAAAAAAAAHAgAAZHJzL2Rvd25yZXYueG1sUEsFBgAAAAADAAMAtwAAAPoCAAAAAA==&#10;" filled="f" strokecolor="black [3213]"/>
                  <v:shape id="TextBox 72" o:spid="_x0000_s1339" type="#_x0000_t202" style="position:absolute;left:25136;top:16505;width:1064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XpwwAAANwAAAAPAAAAZHJzL2Rvd25yZXYueG1sRI9Pa8JA&#10;FMTvBb/D8gRvdWPBKtFVxD/goZdqvD+yr9nQ7NuQfTXx27uFQo/DzPyGWW8H36g7dbEObGA2zUAR&#10;l8HWXBkorqfXJagoyBabwGTgQRG2m9HLGnMbev6k+0UqlSAcczTgRNpc61g68hinoSVO3lfoPEqS&#10;XaVth32C+0a/Zdm79lhzWnDY0t5R+X358QZE7G72KI4+nm/Dx6F3WTnHwpjJeNitQAkN8h/+a5+t&#10;gfliAb9n0hHQmycAAAD//wMAUEsBAi0AFAAGAAgAAAAhANvh9svuAAAAhQEAABMAAAAAAAAAAAAA&#10;AAAAAAAAAFtDb250ZW50X1R5cGVzXS54bWxQSwECLQAUAAYACAAAACEAWvQsW78AAAAVAQAACwAA&#10;AAAAAAAAAAAAAAAfAQAAX3JlbHMvLnJlbHNQSwECLQAUAAYACAAAACEAUrT16cMAAADcAAAADwAA&#10;AAAAAAAAAAAAAAAHAgAAZHJzL2Rvd25yZXYueG1sUEsFBgAAAAADAAMAtwAAAPcCAAAAAA==&#10;" filled="f" stroked="f">
                    <v:textbox style="mso-fit-shape-to-text:t">
                      <w:txbxContent>
                        <w:p w14:paraId="0A2214DB" w14:textId="77777777" w:rsidR="00777EE0" w:rsidRDefault="00777EE0" w:rsidP="00E808F1">
                          <w:pPr>
                            <w:jc w:val="center"/>
                            <w:rPr>
                              <w:szCs w:val="24"/>
                            </w:rPr>
                          </w:pPr>
                          <w:r>
                            <w:rPr>
                              <w:color w:val="000000" w:themeColor="text1"/>
                              <w:kern w:val="24"/>
                            </w:rPr>
                            <w:t xml:space="preserve">PBC </w:t>
                          </w:r>
                        </w:p>
                      </w:txbxContent>
                    </v:textbox>
                  </v:shape>
                </v:group>
                <v:line id="Straight Connector 578" o:spid="_x0000_s1340" style="position:absolute;visibility:visible;mso-wrap-style:square" from="19874,17748" to="25211,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8awgAAANwAAAAPAAAAZHJzL2Rvd25yZXYueG1sRE/LisIw&#10;FN0P+A/hCu7GVEEr1ShFEMaZlS/cXpprW21uSpKpnfl6sxiY5eG8V5veNKIj52vLCibjBARxYXXN&#10;pYLzafe+AOEDssbGMin4IQ+b9eBthZm2Tz5QdwyliCHsM1RQhdBmUvqiIoN+bFviyN2sMxgidKXU&#10;Dp8x3DRymiRzabDm2FBhS9uKisfx2yhYFJ93l6f5fjK7tOlvN/2a766pUqNhny9BBOrDv/jP/aEV&#10;zNK4Np6JR0CuXwAAAP//AwBQSwECLQAUAAYACAAAACEA2+H2y+4AAACFAQAAEwAAAAAAAAAAAAAA&#10;AAAAAAAAW0NvbnRlbnRfVHlwZXNdLnhtbFBLAQItABQABgAIAAAAIQBa9CxbvwAAABUBAAALAAAA&#10;AAAAAAAAAAAAAB8BAABfcmVscy8ucmVsc1BLAQItABQABgAIAAAAIQAm398awgAAANwAAAAPAAAA&#10;AAAAAAAAAAAAAAcCAABkcnMvZG93bnJldi54bWxQSwUGAAAAAAMAAwC3AAAA9gIAAAAA&#10;" strokecolor="black [3213]">
                  <o:lock v:ext="edit" shapetype="f"/>
                </v:line>
                <v:group id="Group 579" o:spid="_x0000_s1341" style="position:absolute;left:11024;top:15431;width:8850;height:6216" coordorigin="11024,15431"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oundrect id="Rectangle: Rounded Corners 580" o:spid="_x0000_s1342" style="position:absolute;left:11024;top:15808;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l+wwAAANwAAAAPAAAAZHJzL2Rvd25yZXYueG1sRE/Pa8Iw&#10;FL4L/g/hCbuIpg5mSzWKCoPhYaDrYd6ezVtb1rzUJNP635vDwOPH93u57k0rruR8Y1nBbJqAIC6t&#10;brhSUHy9TzIQPiBrbC2Tgjt5WK+GgyXm2t74QNdjqEQMYZ+jgjqELpfSlzUZ9FPbEUfuxzqDIUJX&#10;Se3wFsNNK1+TZC4NNhwbauxoV1P5e/wzCtLP7Xn7nRb7U+bGONvYfVV0F6VeRv1mASJQH57if/eH&#10;VvCWxfnxTDwCcvUAAAD//wMAUEsBAi0AFAAGAAgAAAAhANvh9svuAAAAhQEAABMAAAAAAAAAAAAA&#10;AAAAAAAAAFtDb250ZW50X1R5cGVzXS54bWxQSwECLQAUAAYACAAAACEAWvQsW78AAAAVAQAACwAA&#10;AAAAAAAAAAAAAAAfAQAAX3JlbHMvLnJlbHNQSwECLQAUAAYACAAAACEAi1e5fsMAAADcAAAADwAA&#10;AAAAAAAAAAAAAAAHAgAAZHJzL2Rvd25yZXYueG1sUEsFBgAAAAADAAMAtwAAAPcCAAAAAA==&#10;" filled="f" strokecolor="black [3213]"/>
                  <v:shape id="TextBox 78" o:spid="_x0000_s1343" type="#_x0000_t202" style="position:absolute;left:11401;top:15431;width:10241;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14:paraId="4653EA82" w14:textId="77777777" w:rsidR="00777EE0" w:rsidRDefault="00777EE0" w:rsidP="00E808F1">
                          <w:pPr>
                            <w:jc w:val="center"/>
                            <w:rPr>
                              <w:szCs w:val="24"/>
                            </w:rPr>
                          </w:pPr>
                          <w:r>
                            <w:rPr>
                              <w:color w:val="000000" w:themeColor="text1"/>
                              <w:kern w:val="24"/>
                            </w:rPr>
                            <w:t xml:space="preserve"> Reasons against</w:t>
                          </w:r>
                        </w:p>
                      </w:txbxContent>
                    </v:textbox>
                  </v:shape>
                </v:group>
                <v:group id="Group 582" o:spid="_x0000_s1344" style="position:absolute;left:10941;width:8850;height:6216" coordorigin="10941" coordsize="1108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oundrect id="Rectangle: Rounded Corners 583" o:spid="_x0000_s1345" style="position:absolute;left:10941;top:276;width:11082;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cJxgAAANwAAAAPAAAAZHJzL2Rvd25yZXYueG1sRI9Ba8JA&#10;FITvBf/D8gQvRTdaWkN0FS0UioeCmoPentlnEsy+TXe3Gv+9Wyj0OMzMN8x82ZlGXMn52rKC8SgB&#10;QVxYXXOpIN9/DFMQPiBrbCyTgjt5WC56T3PMtL3xlq67UIoIYZ+hgiqENpPSFxUZ9CPbEkfvbJ3B&#10;EKUrpXZ4i3DTyEmSvEmDNceFClt6r6i47H6MgunX+rQ+TPPNMXXPOF7ZTZm330oN+t1qBiJQF/7D&#10;f+1PreA1fYHfM/EIyMUDAAD//wMAUEsBAi0AFAAGAAgAAAAhANvh9svuAAAAhQEAABMAAAAAAAAA&#10;AAAAAAAAAAAAAFtDb250ZW50X1R5cGVzXS54bWxQSwECLQAUAAYACAAAACEAWvQsW78AAAAVAQAA&#10;CwAAAAAAAAAAAAAAAAAfAQAAX3JlbHMvLnJlbHNQSwECLQAUAAYACAAAACEAe4UnCcYAAADcAAAA&#10;DwAAAAAAAAAAAAAAAAAHAgAAZHJzL2Rvd25yZXYueG1sUEsFBgAAAAADAAMAtwAAAPoCAAAAAA==&#10;" filled="f" strokecolor="black [3213]"/>
                  <v:shape id="TextBox 81" o:spid="_x0000_s1346" type="#_x0000_t202" style="position:absolute;left:11511;width:990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u5wwAAANwAAAAPAAAAZHJzL2Rvd25yZXYueG1sRI9Pa8JA&#10;FMTvBb/D8gq91Y2iRaKriH/AQy+16f2RfWZDs29D9mnit+8WBI/DzPyGWW0G36gbdbEObGAyzkAR&#10;l8HWXBkovo/vC1BRkC02gcnAnSJs1qOXFeY29PxFt7NUKkE45mjAibS51rF05DGOQ0ucvEvoPEqS&#10;XaVth32C+0ZPs+xDe6w5LThsaeeo/D1fvQERu53ci4OPp5/hc9+7rJxjYczb67BdghIa5Bl+tE/W&#10;wHwxg/8z6Qjo9R8AAAD//wMAUEsBAi0AFAAGAAgAAAAhANvh9svuAAAAhQEAABMAAAAAAAAAAAAA&#10;AAAAAAAAAFtDb250ZW50X1R5cGVzXS54bWxQSwECLQAUAAYACAAAACEAWvQsW78AAAAVAQAACwAA&#10;AAAAAAAAAAAAAAAfAQAAX3JlbHMvLnJlbHNQSwECLQAUAAYACAAAACEAl7MbucMAAADcAAAADwAA&#10;AAAAAAAAAAAAAAAHAgAAZHJzL2Rvd25yZXYueG1sUEsFBgAAAAADAAMAtwAAAPcCAAAAAA==&#10;" filled="f" stroked="f">
                    <v:textbox style="mso-fit-shape-to-text:t">
                      <w:txbxContent>
                        <w:p w14:paraId="06CE594C" w14:textId="77777777" w:rsidR="00777EE0" w:rsidRDefault="00777EE0" w:rsidP="00E808F1">
                          <w:pPr>
                            <w:jc w:val="center"/>
                            <w:rPr>
                              <w:szCs w:val="24"/>
                            </w:rPr>
                          </w:pPr>
                          <w:r>
                            <w:rPr>
                              <w:color w:val="000000" w:themeColor="text1"/>
                              <w:kern w:val="24"/>
                            </w:rPr>
                            <w:t xml:space="preserve"> Reasons for</w:t>
                          </w:r>
                        </w:p>
                      </w:txbxContent>
                    </v:textbox>
                  </v:shape>
                </v:group>
                <v:line id="Straight Connector 585" o:spid="_x0000_s1347" style="position:absolute;flip:y;visibility:visible;mso-wrap-style:square" from="19791,2205" to="25138,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XxQAAANwAAAAPAAAAZHJzL2Rvd25yZXYueG1sRI9Ra8Iw&#10;FIXfB/6HcAXfZupYxdWmsgkD2YtM/QGX5q4pNjc1ybT21y+DwR4P55zvcMrNYDtxJR9axwoW8wwE&#10;ce10y42C0/H9cQUiRGSNnWNScKcAm2ryUGKh3Y0/6XqIjUgQDgUqMDH2hZShNmQxzF1PnLwv5y3G&#10;JH0jtcdbgttOPmXZUlpsOS0Y7GlrqD4fvq2Cboyn8eVta8bs8nzX+/3S+fxDqdl0eF2DiDTE//Bf&#10;e6cV5Kscfs+kIyCrHwAAAP//AwBQSwECLQAUAAYACAAAACEA2+H2y+4AAACFAQAAEwAAAAAAAAAA&#10;AAAAAAAAAAAAW0NvbnRlbnRfVHlwZXNdLnhtbFBLAQItABQABgAIAAAAIQBa9CxbvwAAABUBAAAL&#10;AAAAAAAAAAAAAAAAAB8BAABfcmVscy8ucmVsc1BLAQItABQABgAIAAAAIQAQ+0DXxQAAANwAAAAP&#10;AAAAAAAAAAAAAAAAAAcCAABkcnMvZG93bnJldi54bWxQSwUGAAAAAAMAAwC3AAAA+QIAAAAA&#10;" strokecolor="black [3213]">
                  <o:lock v:ext="edit" shapetype="f"/>
                </v:line>
                <v:line id="Straight Connector 586" o:spid="_x0000_s1348" style="position:absolute;visibility:visible;mso-wrap-style:square" from="19791,2217" to="25224,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7UxQAAANwAAAAPAAAAZHJzL2Rvd25yZXYueG1sRI9Ba8JA&#10;FITvhf6H5RV6042CSUhdJRSEWk9VS6+P7GuSNvs27K4x+uvdgtDjMDPfMMv1aDoxkPOtZQWzaQKC&#10;uLK65VrB8bCZ5CB8QNbYWSYFF/KwXj0+LLHQ9swfNOxDLSKEfYEKmhD6QkpfNWTQT21PHL1v6wyG&#10;KF0ttcNzhJtOzpMklQZbjgsN9vTaUPW7PxkFefX+48qs3M4Wn312Hea7dPOVKfX8NJYvIAKN4T98&#10;b79pBYs8hb8z8QjI1Q0AAP//AwBQSwECLQAUAAYACAAAACEA2+H2y+4AAACFAQAAEwAAAAAAAAAA&#10;AAAAAAAAAAAAW0NvbnRlbnRfVHlwZXNdLnhtbFBLAQItABQABgAIAAAAIQBa9CxbvwAAABUBAAAL&#10;AAAAAAAAAAAAAAAAAB8BAABfcmVscy8ucmVsc1BLAQItABQABgAIAAAAIQAN2Z7UxQAAANwAAAAP&#10;AAAAAAAAAAAAAAAAAAcCAABkcnMvZG93bnJldi54bWxQSwUGAAAAAAMAAwC3AAAA+QIAAAAA&#10;" strokecolor="black [3213]">
                  <o:lock v:ext="edit" shapetype="f"/>
                </v:line>
                <v:line id="Straight Connector 587" o:spid="_x0000_s1349" style="position:absolute;visibility:visible;mso-wrap-style:square" from="19791,2217" to="25211,1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tPxQAAANwAAAAPAAAAZHJzL2Rvd25yZXYueG1sRI9Ba8JA&#10;FITvBf/D8oTe6kZBE6KrBEHQeqpt6fWRfSZps2/D7hqjv94tFHocZuYbZrUZTCt6cr6xrGA6SUAQ&#10;l1Y3XCn4eN+9ZCB8QNbYWiYFN/KwWY+eVphre+U36k+hEhHCPkcFdQhdLqUvazLoJ7Yjjt7ZOoMh&#10;SldJ7fAa4aaVsyRZSIMNx4UaO9rWVP6cLkZBVr5+uyItDtP5Z5fe+9lxsftKlXoeD8USRKAh/If/&#10;2nutYJ6l8HsmHgG5fgAAAP//AwBQSwECLQAUAAYACAAAACEA2+H2y+4AAACFAQAAEwAAAAAAAAAA&#10;AAAAAAAAAAAAW0NvbnRlbnRfVHlwZXNdLnhtbFBLAQItABQABgAIAAAAIQBa9CxbvwAAABUBAAAL&#10;AAAAAAAAAAAAAAAAAB8BAABfcmVscy8ucmVsc1BLAQItABQABgAIAAAAIQBilTtPxQAAANwAAAAP&#10;AAAAAAAAAAAAAAAAAAcCAABkcnMvZG93bnJldi54bWxQSwUGAAAAAAMAAwC3AAAA+QIAAAAA&#10;" strokecolor="black [3213]">
                  <o:lock v:ext="edit" shapetype="f"/>
                </v:line>
                <v:line id="Straight Connector 588" o:spid="_x0000_s1350" style="position:absolute;flip:y;visibility:visible;mso-wrap-style:square" from="19874,2205" to="25138,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wQAAANwAAAAPAAAAZHJzL2Rvd25yZXYueG1sRE/LisIw&#10;FN0L8w/hDrjTVFHRapRRGBjciI8PuDTXptjcdJKM1n79ZCG4PJz3atPaWtzJh8qxgtEwA0FcOF1x&#10;qeBy/h7MQYSIrLF2TAqeFGCz/uitMNfuwUe6n2IpUgiHHBWYGJtcylAYshiGriFO3NV5izFBX0rt&#10;8ZHCbS3HWTaTFitODQYb2hkqbqc/q6Du4qVbbHemy34nT304zJyf7pXqf7ZfSxCR2vgWv9w/WsF0&#10;ntamM+kIyPU/AAAA//8DAFBLAQItABQABgAIAAAAIQDb4fbL7gAAAIUBAAATAAAAAAAAAAAAAAAA&#10;AAAAAABbQ29udGVudF9UeXBlc10ueG1sUEsBAi0AFAAGAAgAAAAhAFr0LFu/AAAAFQEAAAsAAAAA&#10;AAAAAAAAAAAAHwEAAF9yZWxzLy5yZWxzUEsBAi0AFAAGAAgAAAAhAP7670nBAAAA3AAAAA8AAAAA&#10;AAAAAAAAAAAABwIAAGRycy9kb3ducmV2LnhtbFBLBQYAAAAAAwADALcAAAD1AgAAAAA=&#10;" strokecolor="black [3213]">
                  <o:lock v:ext="edit" shapetype="f"/>
                </v:line>
                <v:line id="Straight Connector 589" o:spid="_x0000_s1351" style="position:absolute;flip:y;visibility:visible;mso-wrap-style:square" from="19874,10031" to="25224,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rSxAAAANwAAAAPAAAAZHJzL2Rvd25yZXYueG1sRI/dagIx&#10;FITvC75DOAXvarZFRbdGaQVBvBF/HuCwOW6Wbk7WJNV1n94IgpfDzHzDzBatrcWFfKgcK/gcZCCI&#10;C6crLhUcD6uPCYgQkTXWjknBjQIs5r23GebaXXlHl30sRYJwyFGBibHJpQyFIYth4Bri5J2ctxiT&#10;9KXUHq8Jbmv5lWVjabHitGCwoaWh4m//bxXUXTx209+l6bLz8Ka327Hzo41S/ff25xtEpDa+ws/2&#10;WisYTabwOJOOgJzfAQAA//8DAFBLAQItABQABgAIAAAAIQDb4fbL7gAAAIUBAAATAAAAAAAAAAAA&#10;AAAAAAAAAABbQ29udGVudF9UeXBlc10ueG1sUEsBAi0AFAAGAAgAAAAhAFr0LFu/AAAAFQEAAAsA&#10;AAAAAAAAAAAAAAAAHwEAAF9yZWxzLy5yZWxzUEsBAi0AFAAGAAgAAAAhAJG2StLEAAAA3AAAAA8A&#10;AAAAAAAAAAAAAAAABwIAAGRycy9kb3ducmV2LnhtbFBLBQYAAAAAAwADALcAAAD4AgAAAAA=&#10;" strokecolor="black [3213]">
                  <o:lock v:ext="edit" shapetype="f"/>
                </v:line>
                <v:line id="Straight Connector 590" o:spid="_x0000_s1352" style="position:absolute;flip:y;visibility:visible;mso-wrap-style:square" from="19874,10056" to="41686,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WSwQAAANwAAAAPAAAAZHJzL2Rvd25yZXYueG1sRE/LisIw&#10;FN0L8w/hDrjTVFHRapRRGBjciI8PuDTXptjcdJKM1n79ZCG4PJz3atPaWtzJh8qxgtEwA0FcOF1x&#10;qeBy/h7MQYSIrLF2TAqeFGCz/uitMNfuwUe6n2IpUgiHHBWYGJtcylAYshiGriFO3NV5izFBX0rt&#10;8ZHCbS3HWTaTFitODQYb2hkqbqc/q6Du4qVbbHemy34nT304zJyf7pXqf7ZfSxCR2vgWv9w/WsF0&#10;keanM+kIyPU/AAAA//8DAFBLAQItABQABgAIAAAAIQDb4fbL7gAAAIUBAAATAAAAAAAAAAAAAAAA&#10;AAAAAABbQ29udGVudF9UeXBlc10ueG1sUEsBAi0AFAAGAAgAAAAhAFr0LFu/AAAAFQEAAAsAAAAA&#10;AAAAAAAAAAAAHwEAAF9yZWxzLy5yZWxzUEsBAi0AFAAGAAgAAAAhAIVVdZLBAAAA3AAAAA8AAAAA&#10;AAAAAAAAAAAABwIAAGRycy9kb3ducmV2LnhtbFBLBQYAAAAAAwADALcAAAD1AgAAAAA=&#10;" strokecolor="black [3213]">
                  <o:lock v:ext="edit" shapetype="f"/>
                </v:line>
                <v:line id="Straight Connector 591" o:spid="_x0000_s1353" style="position:absolute;visibility:visible;mso-wrap-style:square" from="19791,2217" to="41686,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B9xgAAANwAAAAPAAAAZHJzL2Rvd25yZXYueG1sRI9Ba8JA&#10;FITvhf6H5RV6q5sIGo2uEgqCbU+1Fa+P7DOJzb4Nu2tM/fVuoeBxmJlvmOV6MK3oyfnGsoJ0lIAg&#10;Lq1uuFLw/bV5mYHwAVlja5kU/JKH9erxYYm5thf+pH4XKhEh7HNUUIfQ5VL6siaDfmQ74ugdrTMY&#10;onSV1A4vEW5aOU6SqTTYcFyosaPXmsqf3dkomJXvJ1dkxVs62XfZtR9/TDeHTKnnp6FYgAg0hHv4&#10;v73VCibzFP7OxCMgVzcAAAD//wMAUEsBAi0AFAAGAAgAAAAhANvh9svuAAAAhQEAABMAAAAAAAAA&#10;AAAAAAAAAAAAAFtDb250ZW50X1R5cGVzXS54bWxQSwECLQAUAAYACAAAACEAWvQsW78AAAAVAQAA&#10;CwAAAAAAAAAAAAAAAAAfAQAAX3JlbHMvLnJlbHNQSwECLQAUAAYACAAAACEAB+mQfcYAAADcAAAA&#10;DwAAAAAAAAAAAAAAAAAHAgAAZHJzL2Rvd25yZXYueG1sUEsFBgAAAAADAAMAtwAAAPoCAAAAAA==&#10;" strokecolor="black [3213]">
                  <o:lock v:ext="edit" shapetype="f"/>
                </v:line>
                <v:group id="Group 592" o:spid="_x0000_s1354" style="position:absolute;top:8005;width:9142;height:6217" coordorigin=",8005" coordsize="11447,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oundrect id="Rectangle: Rounded Corners 593" o:spid="_x0000_s1355" style="position:absolute;left:365;top:8297;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9DxgAAANwAAAAPAAAAZHJzL2Rvd25yZXYueG1sRI9Ba8JA&#10;FITvBf/D8gpepG6qKDV1lSoIag62Vnp+ZJ9JMPs2ZNck/ntXEHocZuYbZr7sTCkaql1hWcH7MAJB&#10;nFpdcKbg9Lt5+wDhPLLG0jIpuJGD5aL3MsdY25Z/qDn6TAQIuxgV5N5XsZQuzcmgG9qKOHhnWxv0&#10;QdaZ1DW2AW5KOYqiqTRYcFjIsaJ1TunleDUKkmRzmzWDw+5URkWyP7fZbvX3rVT/tfv6BOGp8//h&#10;Z3urFUxmY3icCUdALu4AAAD//wMAUEsBAi0AFAAGAAgAAAAhANvh9svuAAAAhQEAABMAAAAAAAAA&#10;AAAAAAAAAAAAAFtDb250ZW50X1R5cGVzXS54bWxQSwECLQAUAAYACAAAACEAWvQsW78AAAAVAQAA&#10;CwAAAAAAAAAAAAAAAAAfAQAAX3JlbHMvLnJlbHNQSwECLQAUAAYACAAAACEA0U+/Q8YAAADcAAAA&#10;DwAAAAAAAAAAAAAAAAAHAgAAZHJzL2Rvd25yZXYueG1sUEsFBgAAAAADAAMAtwAAAPoCAAAAAA==&#10;" fillcolor="white [3212]" strokecolor="black [3213]"/>
                  <v:shape id="TextBox 126" o:spid="_x0000_s1356" type="#_x0000_t202" style="position:absolute;top:8005;width:1085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1kwwAAANwAAAAPAAAAZHJzL2Rvd25yZXYueG1sRI9Ba8JA&#10;FITvhf6H5RW81Y1FxaauIlXBgxc1vT+yr9nQ7NuQfTXx37uFgsdhZr5hluvBN+pKXawDG5iMM1DE&#10;ZbA1VwaKy/51ASoKssUmMBm4UYT16vlpibkNPZ/oepZKJQjHHA04kTbXOpaOPMZxaImT9x06j5Jk&#10;V2nbYZ/gvtFvWTbXHmtOCw5b+nRU/px/vQERu5ncip2Ph6/huO1dVs6wMGb0Mmw+QAkN8gj/tw/W&#10;wOx9Cn9n0hHQqzsAAAD//wMAUEsBAi0AFAAGAAgAAAAhANvh9svuAAAAhQEAABMAAAAAAAAAAAAA&#10;AAAAAAAAAFtDb250ZW50X1R5cGVzXS54bWxQSwECLQAUAAYACAAAACEAWvQsW78AAAAVAQAACwAA&#10;AAAAAAAAAAAAAAAfAQAAX3JlbHMvLnJlbHNQSwECLQAUAAYACAAAACEAEmqNZMMAAADcAAAADwAA&#10;AAAAAAAAAAAAAAAHAgAAZHJzL2Rvd25yZXYueG1sUEsFBgAAAAADAAMAtwAAAPcCAAAAAA==&#10;" filled="f" stroked="f">
                    <v:textbox style="mso-fit-shape-to-text:t">
                      <w:txbxContent>
                        <w:p w14:paraId="1BABA869" w14:textId="77777777" w:rsidR="00777EE0" w:rsidRDefault="00777EE0" w:rsidP="00E808F1">
                          <w:pPr>
                            <w:jc w:val="center"/>
                            <w:rPr>
                              <w:szCs w:val="24"/>
                            </w:rPr>
                          </w:pPr>
                          <w:r>
                            <w:rPr>
                              <w:color w:val="000000" w:themeColor="text1"/>
                              <w:kern w:val="24"/>
                            </w:rPr>
                            <w:t xml:space="preserve"> Past behaviour</w:t>
                          </w:r>
                        </w:p>
                      </w:txbxContent>
                    </v:textbox>
                  </v:shape>
                </v:group>
                <v:line id="Straight Connector 595" o:spid="_x0000_s1357" style="position:absolute;flip:y;visibility:visible;mso-wrap-style:square" from="6656,2217" to="10941,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YKxQAAANwAAAAPAAAAZHJzL2Rvd25yZXYueG1sRI9Ra8Iw&#10;FIXfB/6HcAXfZupYZdamsgkD2YtM/QGX5q4pNjc1ybT21y+DwR4P55zvcMrNYDtxJR9axwoW8wwE&#10;ce10y42C0/H98QVEiMgaO8ek4E4BNtXkocRCuxt/0vUQG5EgHApUYGLsCylDbchimLueOHlfzluM&#10;SfpGao+3BLedfMqypbTYclow2NPWUH0+fFsF3RhP4+pta8bs8nzX+/3S+fxDqdl0eF2DiDTE//Bf&#10;e6cV5Kscfs+kIyCrHwAAAP//AwBQSwECLQAUAAYACAAAACEA2+H2y+4AAACFAQAAEwAAAAAAAAAA&#10;AAAAAAAAAAAAW0NvbnRlbnRfVHlwZXNdLnhtbFBLAQItABQABgAIAAAAIQBa9CxbvwAAABUBAAAL&#10;AAAAAAAAAAAAAAAAAB8BAABfcmVscy8ucmVsc1BLAQItABQABgAIAAAAIQCVItYKxQAAANwAAAAP&#10;AAAAAAAAAAAAAAAAAAcCAABkcnMvZG93bnJldi54bWxQSwUGAAAAAAMAAwC3AAAA+QIAAAAA&#10;" strokecolor="black [3213]">
                  <o:lock v:ext="edit" shapetype="f"/>
                </v:line>
                <v:line id="Straight Connector 596" o:spid="_x0000_s1358" style="position:absolute;visibility:visible;mso-wrap-style:square" from="6585,12333" to="11024,1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gJxgAAANwAAAAPAAAAZHJzL2Rvd25yZXYueG1sRI9Ba8JA&#10;FITvhf6H5RV6qxsFE42uEgqCrafaitdH9pnEZt+G3TWm/fVdoeBxmJlvmOV6MK3oyfnGsoLxKAFB&#10;XFrdcKXg63PzMgPhA7LG1jIp+CEP69XjwxJzba/8Qf0+VCJC2OeooA6hy6X0ZU0G/ch2xNE7WWcw&#10;ROkqqR1eI9y0cpIkqTTYcFyosaPXmsrv/cUomJXvZ1dkxdt4euiy336ySzfHTKnnp6FYgAg0hHv4&#10;v73VCqbzFG5n4hGQqz8AAAD//wMAUEsBAi0AFAAGAAgAAAAhANvh9svuAAAAhQEAABMAAAAAAAAA&#10;AAAAAAAAAAAAAFtDb250ZW50X1R5cGVzXS54bWxQSwECLQAUAAYACAAAACEAWvQsW78AAAAVAQAA&#10;CwAAAAAAAAAAAAAAAAAfAQAAX3JlbHMvLnJlbHNQSwECLQAUAAYACAAAACEAiAAICcYAAADcAAAA&#10;DwAAAAAAAAAAAAAAAAAHAgAAZHJzL2Rvd25yZXYueG1sUEsFBgAAAAADAAMAtwAAAPoCAAAAAA==&#10;" strokecolor="black [3213]">
                  <o:lock v:ext="edit" shapetype="f"/>
                </v:lin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597" o:spid="_x0000_s1359" type="#_x0000_t35" style="position:absolute;left:2670;top:7776;width:54292;height:3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QRxQAAANwAAAAPAAAAZHJzL2Rvd25yZXYueG1sRI9fa8JA&#10;EMTfhX6HYwt9q5daajR6ihQK1Yrgnxffltw2CWb3Qu4a02/vFQo+DjPzG2a+7LlWHbW+cmLgZZiA&#10;IsmdraQwcDp+PE9A+YBisXZCBn7Jw3LxMJhjZt1V9tQdQqEiRHyGBsoQmkxrn5fE6IeuIYnet2sZ&#10;Q5RtoW2L1wjnWo+SZKwZK4kLJTb0XlJ+OfywgVy+0ppxe3zt1ul5zTy+7PYbY54e+9UMVKA+3MP/&#10;7U9r4G2awt+ZeAT04gYAAP//AwBQSwECLQAUAAYACAAAACEA2+H2y+4AAACFAQAAEwAAAAAAAAAA&#10;AAAAAAAAAAAAW0NvbnRlbnRfVHlwZXNdLnhtbFBLAQItABQABgAIAAAAIQBa9CxbvwAAABUBAAAL&#10;AAAAAAAAAAAAAAAAAB8BAABfcmVscy8ucmVsc1BLAQItABQABgAIAAAAIQCS7dQRxQAAANwAAAAP&#10;AAAAAAAAAAAAAAAAAAcCAABkcnMvZG93bnJldi54bWxQSwUGAAAAAAMAAwC3AAAA+QIAAAAA&#10;" adj="54,805416" strokecolor="black [3213]">
                  <o:lock v:ext="edit" shapetype="f"/>
                </v:shape>
                <v:shape id="Connector: Elbow 598" o:spid="_x0000_s1360" type="#_x0000_t35" style="position:absolute;left:6572;top:264;width:23888;height:79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KmwgAAANwAAAAPAAAAZHJzL2Rvd25yZXYueG1sRE9Na8JA&#10;EL0L/odlhN7MRqFFo6sUQZAGik30PmSnSdrsbMiuJumvdw9Cj4/3vd0PphF36lxtWcEiikEQF1bX&#10;XCq45Mf5CoTzyBoby6RgJAf73XSyxUTbnr/onvlShBB2CSqovG8TKV1RkUEX2ZY4cN+2M+gD7Eqp&#10;O+xDuGnkMo7fpMGaQ0OFLR0qKn6zm1FwSz+vfwX+HNLrqFfpx+WcpflZqZfZ8L4B4Wnw/+Kn+6QV&#10;vK7D2nAmHAG5ewAAAP//AwBQSwECLQAUAAYACAAAACEA2+H2y+4AAACFAQAAEwAAAAAAAAAAAAAA&#10;AAAAAAAAW0NvbnRlbnRfVHlwZXNdLnhtbFBLAQItABQABgAIAAAAIQBa9CxbvwAAABUBAAALAAAA&#10;AAAAAAAAAAAAAB8BAABfcmVscy8ucmVsc1BLAQItABQABgAIAAAAIQD9dKKmwgAAANwAAAAPAAAA&#10;AAAAAAAAAAAAAAcCAABkcnMvZG93bnJldi54bWxQSwUGAAAAAAMAAwC3AAAA9gIAAAAA&#10;" adj="43,25082" strokecolor="black [3213]">
                  <o:lock v:ext="edit" shapetype="f"/>
                </v:shape>
              </v:group>
            </w:pict>
          </mc:Fallback>
        </mc:AlternateContent>
      </w:r>
    </w:p>
    <w:p w14:paraId="747B77D5" w14:textId="77777777" w:rsidR="00E808F1" w:rsidRDefault="00E808F1" w:rsidP="00E808F1">
      <w:pPr>
        <w:spacing w:line="480" w:lineRule="auto"/>
      </w:pPr>
    </w:p>
    <w:p w14:paraId="3FB12588" w14:textId="77777777" w:rsidR="00E808F1" w:rsidRDefault="00E808F1" w:rsidP="00E808F1">
      <w:pPr>
        <w:spacing w:line="480" w:lineRule="auto"/>
      </w:pPr>
    </w:p>
    <w:p w14:paraId="09F9B5B1" w14:textId="77777777" w:rsidR="00E808F1" w:rsidRDefault="00E808F1" w:rsidP="00E808F1">
      <w:pPr>
        <w:spacing w:line="480" w:lineRule="auto"/>
      </w:pPr>
    </w:p>
    <w:p w14:paraId="4BBBEE43" w14:textId="77777777" w:rsidR="00E808F1" w:rsidRDefault="00E808F1" w:rsidP="00E808F1">
      <w:pPr>
        <w:spacing w:line="480" w:lineRule="auto"/>
      </w:pPr>
    </w:p>
    <w:p w14:paraId="03B06B91" w14:textId="77777777" w:rsidR="00E808F1" w:rsidRDefault="00E808F1" w:rsidP="00E808F1">
      <w:pPr>
        <w:spacing w:line="480" w:lineRule="auto"/>
      </w:pPr>
      <w:r w:rsidRPr="00491716">
        <w:rPr>
          <w:noProof/>
          <w:color w:val="000000" w:themeColor="text1"/>
          <w:szCs w:val="24"/>
          <w:lang w:val="en-US" w:eastAsia="en-US"/>
        </w:rPr>
        <mc:AlternateContent>
          <mc:Choice Requires="wps">
            <w:drawing>
              <wp:anchor distT="45720" distB="45720" distL="114300" distR="114300" simplePos="0" relativeHeight="253716480" behindDoc="0" locked="0" layoutInCell="1" allowOverlap="1" wp14:anchorId="6A0375F9" wp14:editId="21D1C66C">
                <wp:simplePos x="0" y="0"/>
                <wp:positionH relativeFrom="column">
                  <wp:posOffset>3528629</wp:posOffset>
                </wp:positionH>
                <wp:positionV relativeFrom="paragraph">
                  <wp:posOffset>19165</wp:posOffset>
                </wp:positionV>
                <wp:extent cx="2505075" cy="428625"/>
                <wp:effectExtent l="0" t="0" r="9525"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28625"/>
                        </a:xfrm>
                        <a:prstGeom prst="rect">
                          <a:avLst/>
                        </a:prstGeom>
                        <a:solidFill>
                          <a:srgbClr val="FFFFFF"/>
                        </a:solidFill>
                        <a:ln w="9525">
                          <a:noFill/>
                          <a:miter lim="800000"/>
                          <a:headEnd/>
                          <a:tailEnd/>
                        </a:ln>
                      </wps:spPr>
                      <wps:txbx>
                        <w:txbxContent>
                          <w:p w14:paraId="7B1AD0E9" w14:textId="77777777" w:rsidR="00777EE0" w:rsidRDefault="00777EE0" w:rsidP="00E808F1">
                            <w:r>
                              <w:t>PBC = Perceived behavioural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375F9" id="_x0000_s1361" type="#_x0000_t202" style="position:absolute;margin-left:277.85pt;margin-top:1.5pt;width:197.25pt;height:33.75pt;z-index:2537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lrJAIAACU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NyUlhmmc&#10;0bMYA3kPIykjPYP1FXo9WfQLIz7jmFOr3j4A/+6JgU3PzE7cOQdDL1iL5RUxMrsInXB8BGmGz9Bi&#10;GrYPkIDGzunIHbJBEB3HdDyPJpbC8bFc5Iv8ekEJR9u8XF6Vi5SCVS/R1vnwUYAmUaipw9EndHZ4&#10;8CFWw6oXl5jMg5LtViqVFLdrNsqRA8M12aZzQv/NTRkyIFELzB2jDMT4tEFaBlxjJXVNl3k8MZxV&#10;kY0Ppk1yYFJNMlaizImeyMjETRibMQ2iKFJrkbwG2iMy5mDaW/xnKPTgflIy4M7W1P/YMycoUZ8M&#10;sn5TzOdxyZMyX1yXqLhLS3NpYYYjVE0DJZO4CeljJELsHU5nKxNxr5WcisZdTHye/k1c9ks9eb3+&#10;7vUvAAAA//8DAFBLAwQUAAYACAAAACEAOzQceN0AAAAIAQAADwAAAGRycy9kb3ducmV2LnhtbEyP&#10;zU7DMBCE70i8g7VI3KhNkWkJ2VQVFRcOSBQkenRjJ47wT2S7aXh7lhMcRzOa+abezN6xyaQ8xIBw&#10;uxDATGijHkKP8PH+fLMGlosKWrkYDMK3ybBpLi9qVel4Dm9m2peeUUnIlUKwpYwV57m1xqu8iKMJ&#10;5HUxeVVIpp7rpM5U7h1fCnHPvRoCLVg1midr2q/9ySN8ejvoXXo9dNpNu5duK8c5jYjXV/P2EVgx&#10;c/kLwy8+oUNDTMd4CjozhyClXFEU4Y4ukf8gxRLYEWElJPCm5v8PND8AAAD//wMAUEsBAi0AFAAG&#10;AAgAAAAhALaDOJL+AAAA4QEAABMAAAAAAAAAAAAAAAAAAAAAAFtDb250ZW50X1R5cGVzXS54bWxQ&#10;SwECLQAUAAYACAAAACEAOP0h/9YAAACUAQAACwAAAAAAAAAAAAAAAAAvAQAAX3JlbHMvLnJlbHNQ&#10;SwECLQAUAAYACAAAACEAj9j5ayQCAAAlBAAADgAAAAAAAAAAAAAAAAAuAgAAZHJzL2Uyb0RvYy54&#10;bWxQSwECLQAUAAYACAAAACEAOzQceN0AAAAIAQAADwAAAAAAAAAAAAAAAAB+BAAAZHJzL2Rvd25y&#10;ZXYueG1sUEsFBgAAAAAEAAQA8wAAAIgFAAAAAA==&#10;" stroked="f">
                <v:textbox style="mso-fit-shape-to-text:t">
                  <w:txbxContent>
                    <w:p w14:paraId="7B1AD0E9" w14:textId="77777777" w:rsidR="00777EE0" w:rsidRDefault="00777EE0" w:rsidP="00E808F1">
                      <w:r>
                        <w:t>PBC = Perceived behavioural control</w:t>
                      </w:r>
                    </w:p>
                  </w:txbxContent>
                </v:textbox>
              </v:shape>
            </w:pict>
          </mc:Fallback>
        </mc:AlternateContent>
      </w:r>
    </w:p>
    <w:p w14:paraId="221B4A62" w14:textId="77777777" w:rsidR="00E808F1" w:rsidRDefault="00E808F1" w:rsidP="00E808F1">
      <w:pPr>
        <w:pStyle w:val="Heading3"/>
      </w:pPr>
      <w:bookmarkStart w:id="367" w:name="_Toc35892647"/>
      <w:r>
        <w:t>Overview of model constructs</w:t>
      </w:r>
      <w:bookmarkEnd w:id="367"/>
      <w:r>
        <w:t xml:space="preserve"> </w:t>
      </w:r>
    </w:p>
    <w:p w14:paraId="0C0147A1" w14:textId="152141B4" w:rsidR="00E808F1" w:rsidRDefault="00E808F1" w:rsidP="00E808F1">
      <w:pPr>
        <w:pStyle w:val="Thesismaintext"/>
        <w:spacing w:before="0" w:line="480" w:lineRule="auto"/>
        <w:rPr>
          <w:b/>
          <w:szCs w:val="24"/>
        </w:rPr>
      </w:pPr>
      <w:r>
        <w:rPr>
          <w:rFonts w:cs="Arial"/>
        </w:rPr>
        <w:t>As the constructs of the five social models show much overlap, a super</w:t>
      </w:r>
      <w:r w:rsidR="004B7856">
        <w:rPr>
          <w:rFonts w:cs="Arial"/>
        </w:rPr>
        <w:t>ordinate</w:t>
      </w:r>
      <w:r>
        <w:rPr>
          <w:rFonts w:cs="Arial"/>
        </w:rPr>
        <w:t xml:space="preserve"> of model constructs was devised to inform the design of this research. By examining the model constructs for similarities and differences, a set of seven</w:t>
      </w:r>
      <w:r w:rsidRPr="00DF2EB6">
        <w:t xml:space="preserve"> </w:t>
      </w:r>
      <w:r>
        <w:t>socio-cognitive</w:t>
      </w:r>
      <w:r>
        <w:rPr>
          <w:rFonts w:cs="Arial"/>
        </w:rPr>
        <w:t xml:space="preserve"> construct categories were created. The model constructs, the model they relate to, how they were grouped, and the construct categories are shown in Table </w:t>
      </w:r>
      <w:r w:rsidR="00117C81">
        <w:rPr>
          <w:rFonts w:cs="Arial"/>
        </w:rPr>
        <w:t>5-</w:t>
      </w:r>
      <w:r>
        <w:rPr>
          <w:rFonts w:cs="Arial"/>
        </w:rPr>
        <w:t>1.</w:t>
      </w:r>
    </w:p>
    <w:p w14:paraId="28259D8B" w14:textId="77777777" w:rsidR="00E808F1" w:rsidRDefault="00E808F1" w:rsidP="00E808F1">
      <w:pPr>
        <w:rPr>
          <w:b/>
          <w:szCs w:val="24"/>
        </w:rPr>
      </w:pPr>
      <w:r>
        <w:rPr>
          <w:b/>
          <w:szCs w:val="24"/>
        </w:rPr>
        <w:br w:type="page"/>
      </w:r>
    </w:p>
    <w:p w14:paraId="46199DDC" w14:textId="64E996A9" w:rsidR="00E808F1" w:rsidRPr="00835A06" w:rsidRDefault="00E808F1" w:rsidP="00835A06">
      <w:pPr>
        <w:pStyle w:val="TableHeader"/>
        <w:rPr>
          <w:b/>
        </w:rPr>
      </w:pPr>
      <w:bookmarkStart w:id="368" w:name="_Toc9509065"/>
      <w:r w:rsidRPr="00835A06">
        <w:rPr>
          <w:b/>
        </w:rPr>
        <w:t xml:space="preserve">Table </w:t>
      </w:r>
      <w:r w:rsidR="00835A06">
        <w:rPr>
          <w:b/>
        </w:rPr>
        <w:t>5-</w:t>
      </w:r>
      <w:r w:rsidRPr="00835A06">
        <w:rPr>
          <w:b/>
        </w:rPr>
        <w:t>1 Health behaviour model constructs grouped by construct category</w:t>
      </w:r>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3118"/>
        <w:gridCol w:w="2268"/>
        <w:gridCol w:w="2127"/>
      </w:tblGrid>
      <w:tr w:rsidR="00E808F1" w:rsidRPr="00326CA6" w14:paraId="7070FB6E" w14:textId="77777777" w:rsidTr="00E808F1">
        <w:tc>
          <w:tcPr>
            <w:tcW w:w="1526" w:type="dxa"/>
            <w:tcBorders>
              <w:top w:val="single" w:sz="4" w:space="0" w:color="auto"/>
              <w:bottom w:val="single" w:sz="4" w:space="0" w:color="auto"/>
            </w:tcBorders>
          </w:tcPr>
          <w:p w14:paraId="5FC9DBE2" w14:textId="77777777" w:rsidR="00E808F1" w:rsidRPr="00326CA6" w:rsidRDefault="00E808F1" w:rsidP="00E808F1">
            <w:pPr>
              <w:spacing w:before="120" w:after="120"/>
              <w:rPr>
                <w:b/>
                <w:szCs w:val="24"/>
              </w:rPr>
            </w:pPr>
            <w:r>
              <w:rPr>
                <w:b/>
                <w:szCs w:val="24"/>
              </w:rPr>
              <w:t xml:space="preserve">Category </w:t>
            </w:r>
            <w:r w:rsidRPr="00326CA6">
              <w:rPr>
                <w:b/>
                <w:szCs w:val="24"/>
              </w:rPr>
              <w:t xml:space="preserve"> </w:t>
            </w:r>
          </w:p>
        </w:tc>
        <w:tc>
          <w:tcPr>
            <w:tcW w:w="3118" w:type="dxa"/>
            <w:tcBorders>
              <w:top w:val="single" w:sz="4" w:space="0" w:color="auto"/>
              <w:bottom w:val="single" w:sz="4" w:space="0" w:color="auto"/>
            </w:tcBorders>
          </w:tcPr>
          <w:p w14:paraId="5E055A92" w14:textId="77777777" w:rsidR="00E808F1" w:rsidRPr="00326CA6" w:rsidRDefault="00E808F1" w:rsidP="00E808F1">
            <w:pPr>
              <w:spacing w:before="120" w:after="120"/>
              <w:rPr>
                <w:b/>
                <w:szCs w:val="24"/>
              </w:rPr>
            </w:pPr>
            <w:r>
              <w:rPr>
                <w:b/>
                <w:szCs w:val="24"/>
              </w:rPr>
              <w:t>Model c</w:t>
            </w:r>
            <w:r w:rsidRPr="00326CA6">
              <w:rPr>
                <w:b/>
                <w:szCs w:val="24"/>
              </w:rPr>
              <w:t>onstruct</w:t>
            </w:r>
          </w:p>
        </w:tc>
        <w:tc>
          <w:tcPr>
            <w:tcW w:w="2268" w:type="dxa"/>
            <w:tcBorders>
              <w:top w:val="single" w:sz="4" w:space="0" w:color="auto"/>
              <w:bottom w:val="single" w:sz="4" w:space="0" w:color="auto"/>
            </w:tcBorders>
          </w:tcPr>
          <w:p w14:paraId="0E707B58" w14:textId="77777777" w:rsidR="00E808F1" w:rsidRPr="00326CA6" w:rsidRDefault="00E808F1" w:rsidP="00E808F1">
            <w:pPr>
              <w:spacing w:before="120" w:after="120"/>
              <w:rPr>
                <w:b/>
                <w:szCs w:val="24"/>
              </w:rPr>
            </w:pPr>
            <w:r w:rsidRPr="00326CA6">
              <w:rPr>
                <w:b/>
                <w:szCs w:val="24"/>
              </w:rPr>
              <w:t>Sub-constructs</w:t>
            </w:r>
          </w:p>
        </w:tc>
        <w:tc>
          <w:tcPr>
            <w:tcW w:w="2127" w:type="dxa"/>
            <w:tcBorders>
              <w:top w:val="single" w:sz="4" w:space="0" w:color="auto"/>
              <w:bottom w:val="single" w:sz="4" w:space="0" w:color="auto"/>
            </w:tcBorders>
          </w:tcPr>
          <w:p w14:paraId="0C388C74" w14:textId="77777777" w:rsidR="00E808F1" w:rsidRPr="00326CA6" w:rsidRDefault="00E808F1" w:rsidP="00E808F1">
            <w:pPr>
              <w:spacing w:before="120" w:after="120"/>
              <w:rPr>
                <w:b/>
                <w:szCs w:val="24"/>
              </w:rPr>
            </w:pPr>
            <w:r w:rsidRPr="00326CA6">
              <w:rPr>
                <w:b/>
                <w:szCs w:val="24"/>
              </w:rPr>
              <w:t>Model</w:t>
            </w:r>
          </w:p>
        </w:tc>
      </w:tr>
      <w:tr w:rsidR="00E808F1" w:rsidRPr="0032381A" w14:paraId="3FA1CB7E" w14:textId="77777777" w:rsidTr="00E808F1">
        <w:tc>
          <w:tcPr>
            <w:tcW w:w="1526" w:type="dxa"/>
            <w:tcBorders>
              <w:top w:val="single" w:sz="4" w:space="0" w:color="auto"/>
              <w:bottom w:val="single" w:sz="4" w:space="0" w:color="auto"/>
            </w:tcBorders>
          </w:tcPr>
          <w:p w14:paraId="396A9B21" w14:textId="77777777" w:rsidR="00E808F1" w:rsidRPr="0032381A" w:rsidRDefault="00E808F1" w:rsidP="00E808F1">
            <w:pPr>
              <w:spacing w:before="120" w:after="120"/>
              <w:rPr>
                <w:b/>
                <w:szCs w:val="24"/>
              </w:rPr>
            </w:pPr>
            <w:r w:rsidRPr="0032381A">
              <w:rPr>
                <w:b/>
                <w:szCs w:val="24"/>
              </w:rPr>
              <w:t>Reasons</w:t>
            </w:r>
          </w:p>
        </w:tc>
        <w:tc>
          <w:tcPr>
            <w:tcW w:w="3118" w:type="dxa"/>
            <w:tcBorders>
              <w:top w:val="single" w:sz="4" w:space="0" w:color="auto"/>
              <w:bottom w:val="single" w:sz="4" w:space="0" w:color="auto"/>
            </w:tcBorders>
          </w:tcPr>
          <w:p w14:paraId="49CE17AE" w14:textId="77777777" w:rsidR="00E808F1" w:rsidRPr="0032381A" w:rsidRDefault="00E808F1" w:rsidP="00E808F1">
            <w:pPr>
              <w:spacing w:before="120" w:after="120"/>
              <w:rPr>
                <w:sz w:val="22"/>
                <w:szCs w:val="24"/>
              </w:rPr>
            </w:pPr>
            <w:r w:rsidRPr="0032381A">
              <w:rPr>
                <w:sz w:val="22"/>
                <w:szCs w:val="24"/>
              </w:rPr>
              <w:t>Reasons</w:t>
            </w:r>
          </w:p>
        </w:tc>
        <w:tc>
          <w:tcPr>
            <w:tcW w:w="2268" w:type="dxa"/>
            <w:tcBorders>
              <w:top w:val="single" w:sz="4" w:space="0" w:color="auto"/>
              <w:bottom w:val="single" w:sz="4" w:space="0" w:color="auto"/>
            </w:tcBorders>
          </w:tcPr>
          <w:p w14:paraId="026F4E20" w14:textId="77777777" w:rsidR="00E808F1" w:rsidRPr="0032381A" w:rsidRDefault="00E808F1" w:rsidP="00E808F1">
            <w:pPr>
              <w:spacing w:before="120" w:after="120"/>
              <w:rPr>
                <w:sz w:val="22"/>
                <w:szCs w:val="24"/>
              </w:rPr>
            </w:pPr>
            <w:r w:rsidRPr="0032381A">
              <w:rPr>
                <w:sz w:val="22"/>
                <w:szCs w:val="24"/>
              </w:rPr>
              <w:t>Reasons for</w:t>
            </w:r>
          </w:p>
          <w:p w14:paraId="0314C1EC" w14:textId="77777777" w:rsidR="00E808F1" w:rsidRPr="0032381A" w:rsidRDefault="00E808F1" w:rsidP="00E808F1">
            <w:pPr>
              <w:spacing w:before="120" w:after="120"/>
              <w:rPr>
                <w:sz w:val="22"/>
                <w:szCs w:val="24"/>
              </w:rPr>
            </w:pPr>
            <w:r w:rsidRPr="0032381A">
              <w:rPr>
                <w:sz w:val="22"/>
                <w:szCs w:val="24"/>
              </w:rPr>
              <w:t>Reasons against</w:t>
            </w:r>
          </w:p>
        </w:tc>
        <w:tc>
          <w:tcPr>
            <w:tcW w:w="2127" w:type="dxa"/>
            <w:tcBorders>
              <w:top w:val="single" w:sz="4" w:space="0" w:color="auto"/>
              <w:bottom w:val="single" w:sz="4" w:space="0" w:color="auto"/>
            </w:tcBorders>
          </w:tcPr>
          <w:p w14:paraId="4E60393A" w14:textId="77777777" w:rsidR="00E808F1" w:rsidRDefault="00E808F1" w:rsidP="00E808F1">
            <w:pPr>
              <w:spacing w:before="120" w:after="120"/>
              <w:rPr>
                <w:sz w:val="22"/>
                <w:szCs w:val="24"/>
              </w:rPr>
            </w:pPr>
            <w:r w:rsidRPr="0032381A">
              <w:rPr>
                <w:sz w:val="22"/>
                <w:szCs w:val="24"/>
              </w:rPr>
              <w:t>BRT</w:t>
            </w:r>
          </w:p>
          <w:p w14:paraId="5C804346" w14:textId="77777777" w:rsidR="00E808F1" w:rsidRPr="0032381A" w:rsidRDefault="00E808F1" w:rsidP="00E808F1">
            <w:pPr>
              <w:spacing w:before="120" w:after="120"/>
              <w:rPr>
                <w:sz w:val="22"/>
                <w:szCs w:val="24"/>
              </w:rPr>
            </w:pPr>
            <w:r w:rsidRPr="0032381A">
              <w:rPr>
                <w:sz w:val="22"/>
                <w:szCs w:val="24"/>
              </w:rPr>
              <w:t>BRT</w:t>
            </w:r>
          </w:p>
        </w:tc>
      </w:tr>
      <w:tr w:rsidR="00E808F1" w:rsidRPr="0032381A" w14:paraId="005C3415" w14:textId="77777777" w:rsidTr="00E808F1">
        <w:tc>
          <w:tcPr>
            <w:tcW w:w="1526" w:type="dxa"/>
            <w:vMerge w:val="restart"/>
            <w:tcBorders>
              <w:top w:val="single" w:sz="4" w:space="0" w:color="auto"/>
            </w:tcBorders>
          </w:tcPr>
          <w:p w14:paraId="3D086C4D" w14:textId="77777777" w:rsidR="00E808F1" w:rsidRPr="0032381A" w:rsidRDefault="00E808F1" w:rsidP="00E808F1">
            <w:pPr>
              <w:spacing w:before="120" w:after="120"/>
              <w:rPr>
                <w:b/>
                <w:szCs w:val="24"/>
              </w:rPr>
            </w:pPr>
            <w:r w:rsidRPr="0032381A">
              <w:rPr>
                <w:b/>
                <w:szCs w:val="24"/>
              </w:rPr>
              <w:t>Risk perceptions</w:t>
            </w:r>
          </w:p>
        </w:tc>
        <w:tc>
          <w:tcPr>
            <w:tcW w:w="3118" w:type="dxa"/>
            <w:tcBorders>
              <w:top w:val="single" w:sz="4" w:space="0" w:color="auto"/>
            </w:tcBorders>
          </w:tcPr>
          <w:p w14:paraId="072FA369" w14:textId="77777777" w:rsidR="00E808F1" w:rsidRPr="0032381A" w:rsidRDefault="00E808F1" w:rsidP="00E808F1">
            <w:pPr>
              <w:spacing w:before="120" w:after="120"/>
              <w:rPr>
                <w:sz w:val="22"/>
                <w:szCs w:val="24"/>
              </w:rPr>
            </w:pPr>
            <w:r w:rsidRPr="0032381A">
              <w:rPr>
                <w:sz w:val="22"/>
                <w:szCs w:val="24"/>
              </w:rPr>
              <w:t>Personal vulnerability</w:t>
            </w:r>
          </w:p>
        </w:tc>
        <w:tc>
          <w:tcPr>
            <w:tcW w:w="2268" w:type="dxa"/>
            <w:tcBorders>
              <w:top w:val="single" w:sz="4" w:space="0" w:color="auto"/>
            </w:tcBorders>
          </w:tcPr>
          <w:p w14:paraId="499CBA07" w14:textId="77777777" w:rsidR="00E808F1" w:rsidRPr="0032381A" w:rsidRDefault="00E808F1" w:rsidP="00E808F1">
            <w:pPr>
              <w:spacing w:before="120" w:after="120"/>
              <w:rPr>
                <w:sz w:val="22"/>
                <w:szCs w:val="24"/>
              </w:rPr>
            </w:pPr>
            <w:r w:rsidRPr="0032381A">
              <w:rPr>
                <w:sz w:val="22"/>
                <w:szCs w:val="24"/>
              </w:rPr>
              <w:t>Conditional risk</w:t>
            </w:r>
          </w:p>
          <w:p w14:paraId="1C9971F1" w14:textId="77777777" w:rsidR="00E808F1" w:rsidRPr="0032381A" w:rsidRDefault="00E808F1" w:rsidP="00E808F1">
            <w:pPr>
              <w:spacing w:before="120" w:after="120"/>
              <w:rPr>
                <w:sz w:val="22"/>
                <w:szCs w:val="24"/>
              </w:rPr>
            </w:pPr>
            <w:r w:rsidRPr="0032381A">
              <w:rPr>
                <w:sz w:val="22"/>
                <w:szCs w:val="24"/>
              </w:rPr>
              <w:t>Unconditional risk</w:t>
            </w:r>
          </w:p>
        </w:tc>
        <w:tc>
          <w:tcPr>
            <w:tcW w:w="2127" w:type="dxa"/>
            <w:tcBorders>
              <w:top w:val="single" w:sz="4" w:space="0" w:color="auto"/>
            </w:tcBorders>
          </w:tcPr>
          <w:p w14:paraId="45B4E465" w14:textId="77777777" w:rsidR="00E808F1" w:rsidRDefault="00E808F1" w:rsidP="00E808F1">
            <w:pPr>
              <w:spacing w:before="120" w:after="120"/>
              <w:rPr>
                <w:sz w:val="22"/>
                <w:szCs w:val="24"/>
              </w:rPr>
            </w:pPr>
            <w:r w:rsidRPr="0032381A">
              <w:rPr>
                <w:sz w:val="22"/>
                <w:szCs w:val="24"/>
              </w:rPr>
              <w:t>PWM</w:t>
            </w:r>
          </w:p>
          <w:p w14:paraId="47AAD939" w14:textId="77777777" w:rsidR="00E808F1" w:rsidRPr="0032381A" w:rsidRDefault="00E808F1" w:rsidP="00E808F1">
            <w:pPr>
              <w:spacing w:before="120" w:after="120"/>
              <w:rPr>
                <w:sz w:val="22"/>
                <w:szCs w:val="24"/>
              </w:rPr>
            </w:pPr>
            <w:r w:rsidRPr="0032381A">
              <w:rPr>
                <w:sz w:val="22"/>
                <w:szCs w:val="24"/>
              </w:rPr>
              <w:t>PWM</w:t>
            </w:r>
          </w:p>
        </w:tc>
      </w:tr>
      <w:tr w:rsidR="00E808F1" w:rsidRPr="0032381A" w14:paraId="0BFF0B73" w14:textId="77777777" w:rsidTr="00E808F1">
        <w:tc>
          <w:tcPr>
            <w:tcW w:w="1526" w:type="dxa"/>
            <w:vMerge/>
            <w:tcBorders>
              <w:bottom w:val="single" w:sz="4" w:space="0" w:color="auto"/>
            </w:tcBorders>
          </w:tcPr>
          <w:p w14:paraId="6C46AAF8" w14:textId="77777777" w:rsidR="00E808F1" w:rsidRPr="0032381A" w:rsidRDefault="00E808F1" w:rsidP="00E808F1">
            <w:pPr>
              <w:spacing w:before="120" w:after="120"/>
              <w:rPr>
                <w:b/>
                <w:szCs w:val="24"/>
              </w:rPr>
            </w:pPr>
          </w:p>
        </w:tc>
        <w:tc>
          <w:tcPr>
            <w:tcW w:w="3118" w:type="dxa"/>
            <w:tcBorders>
              <w:bottom w:val="single" w:sz="4" w:space="0" w:color="auto"/>
            </w:tcBorders>
          </w:tcPr>
          <w:p w14:paraId="6E19E5C7" w14:textId="77777777" w:rsidR="00E808F1" w:rsidRPr="0032381A" w:rsidRDefault="00E808F1" w:rsidP="00E808F1">
            <w:pPr>
              <w:spacing w:before="120" w:after="120"/>
              <w:rPr>
                <w:sz w:val="22"/>
                <w:szCs w:val="24"/>
              </w:rPr>
            </w:pPr>
            <w:r w:rsidRPr="0032381A">
              <w:rPr>
                <w:sz w:val="22"/>
                <w:szCs w:val="24"/>
              </w:rPr>
              <w:t>Perceived threat</w:t>
            </w:r>
          </w:p>
        </w:tc>
        <w:tc>
          <w:tcPr>
            <w:tcW w:w="2268" w:type="dxa"/>
            <w:tcBorders>
              <w:bottom w:val="single" w:sz="4" w:space="0" w:color="auto"/>
            </w:tcBorders>
          </w:tcPr>
          <w:p w14:paraId="7290EAEB" w14:textId="77777777" w:rsidR="00E808F1" w:rsidRPr="0032381A" w:rsidRDefault="00E808F1" w:rsidP="00E808F1">
            <w:pPr>
              <w:spacing w:before="120" w:after="120"/>
              <w:rPr>
                <w:sz w:val="22"/>
                <w:szCs w:val="24"/>
              </w:rPr>
            </w:pPr>
            <w:r w:rsidRPr="0032381A">
              <w:rPr>
                <w:sz w:val="22"/>
                <w:szCs w:val="24"/>
              </w:rPr>
              <w:t>Seriousness</w:t>
            </w:r>
          </w:p>
          <w:p w14:paraId="3C911B4E" w14:textId="77777777" w:rsidR="00E808F1" w:rsidRPr="0032381A" w:rsidRDefault="00E808F1" w:rsidP="00E808F1">
            <w:pPr>
              <w:spacing w:before="120" w:after="120"/>
              <w:rPr>
                <w:sz w:val="22"/>
                <w:szCs w:val="24"/>
              </w:rPr>
            </w:pPr>
            <w:r w:rsidRPr="0032381A">
              <w:rPr>
                <w:sz w:val="22"/>
                <w:szCs w:val="24"/>
              </w:rPr>
              <w:t>Susceptibility</w:t>
            </w:r>
          </w:p>
        </w:tc>
        <w:tc>
          <w:tcPr>
            <w:tcW w:w="2127" w:type="dxa"/>
            <w:tcBorders>
              <w:bottom w:val="single" w:sz="4" w:space="0" w:color="auto"/>
            </w:tcBorders>
          </w:tcPr>
          <w:p w14:paraId="25D14266" w14:textId="77777777" w:rsidR="00E808F1" w:rsidRDefault="00E808F1" w:rsidP="00E808F1">
            <w:pPr>
              <w:spacing w:before="120" w:after="120"/>
              <w:rPr>
                <w:sz w:val="22"/>
                <w:szCs w:val="24"/>
              </w:rPr>
            </w:pPr>
            <w:r w:rsidRPr="0032381A">
              <w:rPr>
                <w:sz w:val="22"/>
                <w:szCs w:val="24"/>
              </w:rPr>
              <w:t>HBM</w:t>
            </w:r>
          </w:p>
          <w:p w14:paraId="67ED0C55" w14:textId="77777777" w:rsidR="00E808F1" w:rsidRPr="0032381A" w:rsidRDefault="00E808F1" w:rsidP="00E808F1">
            <w:pPr>
              <w:spacing w:before="120" w:after="120"/>
              <w:rPr>
                <w:sz w:val="22"/>
                <w:szCs w:val="24"/>
              </w:rPr>
            </w:pPr>
            <w:r w:rsidRPr="0032381A">
              <w:rPr>
                <w:sz w:val="22"/>
                <w:szCs w:val="24"/>
              </w:rPr>
              <w:t>HBM</w:t>
            </w:r>
          </w:p>
        </w:tc>
      </w:tr>
      <w:tr w:rsidR="00E808F1" w:rsidRPr="0032381A" w14:paraId="18F5C720" w14:textId="77777777" w:rsidTr="00E808F1">
        <w:tc>
          <w:tcPr>
            <w:tcW w:w="1526" w:type="dxa"/>
            <w:vMerge w:val="restart"/>
            <w:tcBorders>
              <w:top w:val="single" w:sz="4" w:space="0" w:color="auto"/>
            </w:tcBorders>
          </w:tcPr>
          <w:p w14:paraId="5266E3D6" w14:textId="77777777" w:rsidR="00E808F1" w:rsidRPr="0032381A" w:rsidRDefault="00E808F1" w:rsidP="00E808F1">
            <w:pPr>
              <w:spacing w:before="120" w:after="120"/>
              <w:rPr>
                <w:b/>
                <w:szCs w:val="24"/>
              </w:rPr>
            </w:pPr>
            <w:r w:rsidRPr="0032381A">
              <w:rPr>
                <w:b/>
                <w:szCs w:val="24"/>
              </w:rPr>
              <w:t xml:space="preserve">Behavioural beliefs </w:t>
            </w:r>
          </w:p>
        </w:tc>
        <w:tc>
          <w:tcPr>
            <w:tcW w:w="3118" w:type="dxa"/>
            <w:tcBorders>
              <w:top w:val="single" w:sz="4" w:space="0" w:color="auto"/>
            </w:tcBorders>
          </w:tcPr>
          <w:p w14:paraId="503F7743" w14:textId="77777777" w:rsidR="00E808F1" w:rsidRPr="0032381A" w:rsidRDefault="00E808F1" w:rsidP="00E808F1">
            <w:pPr>
              <w:spacing w:before="120" w:after="120"/>
              <w:rPr>
                <w:sz w:val="22"/>
                <w:szCs w:val="24"/>
              </w:rPr>
            </w:pPr>
            <w:r w:rsidRPr="0032381A">
              <w:rPr>
                <w:sz w:val="22"/>
                <w:szCs w:val="24"/>
              </w:rPr>
              <w:t>Attitudes</w:t>
            </w:r>
          </w:p>
        </w:tc>
        <w:tc>
          <w:tcPr>
            <w:tcW w:w="2268" w:type="dxa"/>
            <w:tcBorders>
              <w:top w:val="single" w:sz="4" w:space="0" w:color="auto"/>
            </w:tcBorders>
          </w:tcPr>
          <w:p w14:paraId="2DCF1C1C" w14:textId="77777777" w:rsidR="00E808F1" w:rsidRPr="0032381A" w:rsidRDefault="00E808F1" w:rsidP="00E808F1">
            <w:pPr>
              <w:spacing w:before="120" w:after="120"/>
              <w:rPr>
                <w:sz w:val="22"/>
                <w:szCs w:val="24"/>
              </w:rPr>
            </w:pPr>
            <w:r w:rsidRPr="0032381A">
              <w:rPr>
                <w:sz w:val="22"/>
                <w:szCs w:val="24"/>
              </w:rPr>
              <w:t>Positive attitudes</w:t>
            </w:r>
          </w:p>
          <w:p w14:paraId="7D761EAF" w14:textId="77777777" w:rsidR="00E808F1" w:rsidRPr="0032381A" w:rsidRDefault="00E808F1" w:rsidP="00E808F1">
            <w:pPr>
              <w:spacing w:before="120" w:after="120"/>
              <w:rPr>
                <w:sz w:val="22"/>
                <w:szCs w:val="24"/>
              </w:rPr>
            </w:pPr>
            <w:r w:rsidRPr="0032381A">
              <w:rPr>
                <w:sz w:val="22"/>
                <w:szCs w:val="24"/>
              </w:rPr>
              <w:t>Negative attitudes</w:t>
            </w:r>
          </w:p>
        </w:tc>
        <w:tc>
          <w:tcPr>
            <w:tcW w:w="2127" w:type="dxa"/>
            <w:tcBorders>
              <w:top w:val="single" w:sz="4" w:space="0" w:color="auto"/>
            </w:tcBorders>
          </w:tcPr>
          <w:p w14:paraId="3784087A" w14:textId="77777777" w:rsidR="00E808F1" w:rsidRDefault="00E808F1" w:rsidP="00E808F1">
            <w:pPr>
              <w:spacing w:before="120" w:after="120"/>
              <w:rPr>
                <w:sz w:val="22"/>
                <w:szCs w:val="24"/>
              </w:rPr>
            </w:pPr>
            <w:r w:rsidRPr="0032381A">
              <w:rPr>
                <w:sz w:val="22"/>
                <w:szCs w:val="24"/>
              </w:rPr>
              <w:t>PWM</w:t>
            </w:r>
          </w:p>
          <w:p w14:paraId="5F45EF2F" w14:textId="77777777" w:rsidR="00E808F1" w:rsidRPr="0032381A" w:rsidRDefault="00E808F1" w:rsidP="00E808F1">
            <w:pPr>
              <w:spacing w:before="120" w:after="120"/>
              <w:rPr>
                <w:sz w:val="22"/>
                <w:szCs w:val="24"/>
              </w:rPr>
            </w:pPr>
            <w:r w:rsidRPr="0032381A">
              <w:rPr>
                <w:sz w:val="22"/>
                <w:szCs w:val="24"/>
              </w:rPr>
              <w:t>PWM</w:t>
            </w:r>
          </w:p>
        </w:tc>
      </w:tr>
      <w:tr w:rsidR="00E808F1" w:rsidRPr="0032381A" w14:paraId="2598283E" w14:textId="77777777" w:rsidTr="00E808F1">
        <w:tc>
          <w:tcPr>
            <w:tcW w:w="1526" w:type="dxa"/>
            <w:vMerge/>
          </w:tcPr>
          <w:p w14:paraId="27E4E36E" w14:textId="77777777" w:rsidR="00E808F1" w:rsidRPr="0032381A" w:rsidRDefault="00E808F1" w:rsidP="00E808F1">
            <w:pPr>
              <w:spacing w:before="120" w:after="120"/>
              <w:rPr>
                <w:b/>
                <w:szCs w:val="24"/>
              </w:rPr>
            </w:pPr>
          </w:p>
        </w:tc>
        <w:tc>
          <w:tcPr>
            <w:tcW w:w="3118" w:type="dxa"/>
          </w:tcPr>
          <w:p w14:paraId="12F5AD68" w14:textId="77777777" w:rsidR="00E808F1" w:rsidRPr="0032381A" w:rsidRDefault="00E808F1" w:rsidP="00E808F1">
            <w:pPr>
              <w:spacing w:before="120" w:after="120"/>
              <w:rPr>
                <w:sz w:val="22"/>
                <w:szCs w:val="24"/>
              </w:rPr>
            </w:pPr>
            <w:r w:rsidRPr="0032381A">
              <w:rPr>
                <w:sz w:val="22"/>
                <w:szCs w:val="24"/>
              </w:rPr>
              <w:t>Cognitive attitude</w:t>
            </w:r>
          </w:p>
        </w:tc>
        <w:tc>
          <w:tcPr>
            <w:tcW w:w="2268" w:type="dxa"/>
          </w:tcPr>
          <w:p w14:paraId="760A3C54" w14:textId="77777777" w:rsidR="00E808F1" w:rsidRPr="0032381A" w:rsidRDefault="00E808F1" w:rsidP="00E808F1">
            <w:pPr>
              <w:spacing w:before="120" w:after="120"/>
              <w:rPr>
                <w:sz w:val="22"/>
                <w:szCs w:val="24"/>
              </w:rPr>
            </w:pPr>
            <w:r w:rsidRPr="0032381A">
              <w:rPr>
                <w:sz w:val="22"/>
                <w:szCs w:val="24"/>
              </w:rPr>
              <w:t>Advantages</w:t>
            </w:r>
          </w:p>
          <w:p w14:paraId="01B962A6" w14:textId="77777777" w:rsidR="00E808F1" w:rsidRDefault="00E808F1" w:rsidP="00E808F1">
            <w:pPr>
              <w:spacing w:before="120" w:after="120"/>
              <w:rPr>
                <w:sz w:val="22"/>
                <w:szCs w:val="24"/>
              </w:rPr>
            </w:pPr>
            <w:r w:rsidRPr="0032381A">
              <w:rPr>
                <w:sz w:val="22"/>
                <w:szCs w:val="24"/>
              </w:rPr>
              <w:t>Disadvantages</w:t>
            </w:r>
          </w:p>
          <w:p w14:paraId="400A1ECC" w14:textId="77777777" w:rsidR="00E808F1" w:rsidRDefault="00E808F1" w:rsidP="00E808F1">
            <w:pPr>
              <w:spacing w:before="120" w:after="120"/>
              <w:rPr>
                <w:sz w:val="22"/>
                <w:szCs w:val="24"/>
              </w:rPr>
            </w:pPr>
            <w:r>
              <w:rPr>
                <w:sz w:val="22"/>
                <w:szCs w:val="24"/>
              </w:rPr>
              <w:t>Harmful</w:t>
            </w:r>
          </w:p>
          <w:p w14:paraId="5F4C3D32" w14:textId="77777777" w:rsidR="00E808F1" w:rsidRPr="0032381A" w:rsidRDefault="00E808F1" w:rsidP="00E808F1">
            <w:pPr>
              <w:spacing w:before="120" w:after="120"/>
              <w:rPr>
                <w:sz w:val="22"/>
                <w:szCs w:val="24"/>
              </w:rPr>
            </w:pPr>
            <w:r>
              <w:rPr>
                <w:sz w:val="22"/>
                <w:szCs w:val="24"/>
              </w:rPr>
              <w:t>Beneficial</w:t>
            </w:r>
          </w:p>
        </w:tc>
        <w:tc>
          <w:tcPr>
            <w:tcW w:w="2127" w:type="dxa"/>
          </w:tcPr>
          <w:p w14:paraId="0AD483C7" w14:textId="77777777" w:rsidR="00E808F1" w:rsidRPr="0032381A" w:rsidRDefault="00E808F1" w:rsidP="00E808F1">
            <w:pPr>
              <w:spacing w:before="120" w:after="120"/>
              <w:rPr>
                <w:sz w:val="22"/>
                <w:szCs w:val="24"/>
              </w:rPr>
            </w:pPr>
            <w:r w:rsidRPr="0032381A">
              <w:rPr>
                <w:sz w:val="22"/>
                <w:szCs w:val="24"/>
              </w:rPr>
              <w:t>TPB / BRT</w:t>
            </w:r>
          </w:p>
          <w:p w14:paraId="15D03041" w14:textId="77777777" w:rsidR="00E808F1" w:rsidRDefault="00E808F1" w:rsidP="00E808F1">
            <w:pPr>
              <w:spacing w:before="120" w:after="120"/>
              <w:rPr>
                <w:sz w:val="22"/>
                <w:szCs w:val="24"/>
              </w:rPr>
            </w:pPr>
            <w:r w:rsidRPr="0032381A">
              <w:rPr>
                <w:sz w:val="22"/>
                <w:szCs w:val="24"/>
              </w:rPr>
              <w:t>TPB / BRT</w:t>
            </w:r>
          </w:p>
          <w:p w14:paraId="6ED7E19C" w14:textId="77777777" w:rsidR="00E808F1" w:rsidRDefault="00E808F1" w:rsidP="00E808F1">
            <w:pPr>
              <w:spacing w:before="120" w:after="120"/>
              <w:rPr>
                <w:sz w:val="22"/>
                <w:szCs w:val="24"/>
              </w:rPr>
            </w:pPr>
            <w:r w:rsidRPr="0032381A">
              <w:rPr>
                <w:sz w:val="22"/>
                <w:szCs w:val="24"/>
              </w:rPr>
              <w:t>TPB / BRT</w:t>
            </w:r>
          </w:p>
          <w:p w14:paraId="6AF7201F" w14:textId="77777777" w:rsidR="00E808F1" w:rsidRPr="0032381A" w:rsidRDefault="00E808F1" w:rsidP="00E808F1">
            <w:pPr>
              <w:spacing w:before="120" w:after="120"/>
              <w:rPr>
                <w:sz w:val="22"/>
                <w:szCs w:val="24"/>
              </w:rPr>
            </w:pPr>
            <w:r w:rsidRPr="0032381A">
              <w:rPr>
                <w:sz w:val="22"/>
                <w:szCs w:val="24"/>
              </w:rPr>
              <w:t>TPB / BRT</w:t>
            </w:r>
          </w:p>
        </w:tc>
      </w:tr>
      <w:tr w:rsidR="00E808F1" w:rsidRPr="0032381A" w14:paraId="66C2E6BE" w14:textId="77777777" w:rsidTr="00E808F1">
        <w:tc>
          <w:tcPr>
            <w:tcW w:w="1526" w:type="dxa"/>
            <w:vMerge/>
          </w:tcPr>
          <w:p w14:paraId="594CAA6A" w14:textId="77777777" w:rsidR="00E808F1" w:rsidRPr="0032381A" w:rsidRDefault="00E808F1" w:rsidP="00E808F1">
            <w:pPr>
              <w:spacing w:before="120" w:after="120"/>
              <w:rPr>
                <w:b/>
                <w:szCs w:val="24"/>
              </w:rPr>
            </w:pPr>
          </w:p>
        </w:tc>
        <w:tc>
          <w:tcPr>
            <w:tcW w:w="3118" w:type="dxa"/>
          </w:tcPr>
          <w:p w14:paraId="6D3280D1" w14:textId="77777777" w:rsidR="00E808F1" w:rsidRPr="0032381A" w:rsidRDefault="00E808F1" w:rsidP="00E808F1">
            <w:pPr>
              <w:spacing w:before="120" w:after="120"/>
              <w:rPr>
                <w:sz w:val="22"/>
                <w:szCs w:val="24"/>
              </w:rPr>
            </w:pPr>
            <w:r w:rsidRPr="0032381A">
              <w:rPr>
                <w:sz w:val="22"/>
                <w:szCs w:val="24"/>
              </w:rPr>
              <w:t>Affective attitude</w:t>
            </w:r>
          </w:p>
        </w:tc>
        <w:tc>
          <w:tcPr>
            <w:tcW w:w="2268" w:type="dxa"/>
          </w:tcPr>
          <w:p w14:paraId="4584C9BC" w14:textId="77777777" w:rsidR="00E808F1" w:rsidRPr="0032381A" w:rsidRDefault="00E808F1" w:rsidP="00E808F1">
            <w:pPr>
              <w:spacing w:before="120" w:after="120"/>
              <w:rPr>
                <w:sz w:val="22"/>
                <w:szCs w:val="24"/>
              </w:rPr>
            </w:pPr>
            <w:r w:rsidRPr="0032381A">
              <w:rPr>
                <w:sz w:val="22"/>
                <w:szCs w:val="24"/>
              </w:rPr>
              <w:t>Pleasant</w:t>
            </w:r>
          </w:p>
          <w:p w14:paraId="123C1C39" w14:textId="77777777" w:rsidR="00E808F1" w:rsidRPr="0032381A" w:rsidRDefault="00E808F1" w:rsidP="00E808F1">
            <w:pPr>
              <w:spacing w:before="120" w:after="120"/>
              <w:rPr>
                <w:sz w:val="22"/>
                <w:szCs w:val="24"/>
              </w:rPr>
            </w:pPr>
            <w:r w:rsidRPr="0032381A">
              <w:rPr>
                <w:sz w:val="22"/>
                <w:szCs w:val="24"/>
              </w:rPr>
              <w:t>Unpleasant</w:t>
            </w:r>
          </w:p>
          <w:p w14:paraId="271371E7" w14:textId="77777777" w:rsidR="00E808F1" w:rsidRPr="0032381A" w:rsidRDefault="00E808F1" w:rsidP="00E808F1">
            <w:pPr>
              <w:spacing w:before="120" w:after="120"/>
              <w:rPr>
                <w:sz w:val="22"/>
                <w:szCs w:val="24"/>
              </w:rPr>
            </w:pPr>
            <w:r w:rsidRPr="0032381A">
              <w:rPr>
                <w:sz w:val="22"/>
                <w:szCs w:val="24"/>
              </w:rPr>
              <w:t>Enjoyable</w:t>
            </w:r>
          </w:p>
          <w:p w14:paraId="3005716D" w14:textId="77777777" w:rsidR="00E808F1" w:rsidRPr="0032381A" w:rsidRDefault="00E808F1" w:rsidP="00E808F1">
            <w:pPr>
              <w:spacing w:before="120" w:after="120"/>
              <w:rPr>
                <w:sz w:val="22"/>
                <w:szCs w:val="24"/>
              </w:rPr>
            </w:pPr>
            <w:r w:rsidRPr="0032381A">
              <w:rPr>
                <w:sz w:val="22"/>
                <w:szCs w:val="24"/>
              </w:rPr>
              <w:t>Unenjoyable</w:t>
            </w:r>
          </w:p>
        </w:tc>
        <w:tc>
          <w:tcPr>
            <w:tcW w:w="2127" w:type="dxa"/>
          </w:tcPr>
          <w:p w14:paraId="5BDD3983" w14:textId="77777777" w:rsidR="00E808F1" w:rsidRDefault="00E808F1" w:rsidP="00E808F1">
            <w:pPr>
              <w:spacing w:before="120" w:after="120"/>
              <w:rPr>
                <w:sz w:val="22"/>
                <w:szCs w:val="24"/>
              </w:rPr>
            </w:pPr>
            <w:r w:rsidRPr="0032381A">
              <w:rPr>
                <w:sz w:val="22"/>
                <w:szCs w:val="24"/>
              </w:rPr>
              <w:t xml:space="preserve">TPB / BRT </w:t>
            </w:r>
          </w:p>
          <w:p w14:paraId="50F44B67" w14:textId="77777777" w:rsidR="00E808F1" w:rsidRDefault="00E808F1" w:rsidP="00E808F1">
            <w:pPr>
              <w:spacing w:before="120" w:after="120"/>
              <w:rPr>
                <w:sz w:val="22"/>
                <w:szCs w:val="24"/>
              </w:rPr>
            </w:pPr>
            <w:r w:rsidRPr="0032381A">
              <w:rPr>
                <w:sz w:val="22"/>
                <w:szCs w:val="24"/>
              </w:rPr>
              <w:t>TPB / BRT</w:t>
            </w:r>
          </w:p>
          <w:p w14:paraId="46FD8F13" w14:textId="77777777" w:rsidR="00E808F1" w:rsidRDefault="00E808F1" w:rsidP="00E808F1">
            <w:pPr>
              <w:spacing w:before="120" w:after="120"/>
              <w:rPr>
                <w:sz w:val="22"/>
                <w:szCs w:val="24"/>
              </w:rPr>
            </w:pPr>
            <w:r w:rsidRPr="0032381A">
              <w:rPr>
                <w:sz w:val="22"/>
                <w:szCs w:val="24"/>
              </w:rPr>
              <w:t>TPB / BRT</w:t>
            </w:r>
          </w:p>
          <w:p w14:paraId="0866B1E2" w14:textId="77777777" w:rsidR="00E808F1" w:rsidRPr="0032381A" w:rsidRDefault="00E808F1" w:rsidP="00E808F1">
            <w:pPr>
              <w:spacing w:before="120" w:after="120"/>
              <w:rPr>
                <w:sz w:val="22"/>
                <w:szCs w:val="24"/>
              </w:rPr>
            </w:pPr>
            <w:r w:rsidRPr="0032381A">
              <w:rPr>
                <w:sz w:val="22"/>
                <w:szCs w:val="24"/>
              </w:rPr>
              <w:t>TPB / BRT</w:t>
            </w:r>
          </w:p>
        </w:tc>
      </w:tr>
      <w:tr w:rsidR="00E808F1" w:rsidRPr="0032381A" w14:paraId="4B5B30D2" w14:textId="77777777" w:rsidTr="00E808F1">
        <w:tc>
          <w:tcPr>
            <w:tcW w:w="1526" w:type="dxa"/>
            <w:vMerge/>
            <w:tcBorders>
              <w:bottom w:val="single" w:sz="4" w:space="0" w:color="auto"/>
            </w:tcBorders>
          </w:tcPr>
          <w:p w14:paraId="5E1AF757" w14:textId="77777777" w:rsidR="00E808F1" w:rsidRPr="0032381A" w:rsidRDefault="00E808F1" w:rsidP="00E808F1">
            <w:pPr>
              <w:spacing w:before="120" w:after="120"/>
              <w:rPr>
                <w:b/>
                <w:szCs w:val="24"/>
              </w:rPr>
            </w:pPr>
          </w:p>
        </w:tc>
        <w:tc>
          <w:tcPr>
            <w:tcW w:w="3118" w:type="dxa"/>
            <w:tcBorders>
              <w:bottom w:val="single" w:sz="4" w:space="0" w:color="auto"/>
            </w:tcBorders>
          </w:tcPr>
          <w:p w14:paraId="4B8FA929" w14:textId="77777777" w:rsidR="00E808F1" w:rsidRPr="0032381A" w:rsidRDefault="00E808F1" w:rsidP="00E808F1">
            <w:pPr>
              <w:spacing w:before="120" w:after="120"/>
              <w:rPr>
                <w:sz w:val="22"/>
                <w:szCs w:val="24"/>
              </w:rPr>
            </w:pPr>
            <w:r w:rsidRPr="0032381A">
              <w:rPr>
                <w:sz w:val="22"/>
                <w:szCs w:val="24"/>
              </w:rPr>
              <w:t>Behavioural willingness</w:t>
            </w:r>
          </w:p>
        </w:tc>
        <w:tc>
          <w:tcPr>
            <w:tcW w:w="2268" w:type="dxa"/>
            <w:tcBorders>
              <w:bottom w:val="single" w:sz="4" w:space="0" w:color="auto"/>
            </w:tcBorders>
          </w:tcPr>
          <w:p w14:paraId="61595A97" w14:textId="77777777" w:rsidR="00E808F1" w:rsidRPr="0032381A" w:rsidRDefault="00E808F1" w:rsidP="00E808F1">
            <w:pPr>
              <w:spacing w:before="120" w:after="120"/>
              <w:rPr>
                <w:sz w:val="22"/>
                <w:szCs w:val="24"/>
              </w:rPr>
            </w:pPr>
            <w:r w:rsidRPr="0032381A">
              <w:rPr>
                <w:sz w:val="22"/>
                <w:szCs w:val="24"/>
              </w:rPr>
              <w:t xml:space="preserve">Openness to risk </w:t>
            </w:r>
          </w:p>
        </w:tc>
        <w:tc>
          <w:tcPr>
            <w:tcW w:w="2127" w:type="dxa"/>
            <w:tcBorders>
              <w:bottom w:val="single" w:sz="4" w:space="0" w:color="auto"/>
            </w:tcBorders>
          </w:tcPr>
          <w:p w14:paraId="3BF544BF" w14:textId="77777777" w:rsidR="00E808F1" w:rsidRPr="0032381A" w:rsidRDefault="00E808F1" w:rsidP="00E808F1">
            <w:pPr>
              <w:spacing w:before="120" w:after="120"/>
              <w:rPr>
                <w:sz w:val="22"/>
                <w:szCs w:val="24"/>
              </w:rPr>
            </w:pPr>
            <w:r w:rsidRPr="0032381A">
              <w:rPr>
                <w:sz w:val="22"/>
                <w:szCs w:val="24"/>
              </w:rPr>
              <w:t>PWM</w:t>
            </w:r>
          </w:p>
        </w:tc>
      </w:tr>
      <w:tr w:rsidR="00E808F1" w:rsidRPr="0032381A" w14:paraId="25503579" w14:textId="77777777" w:rsidTr="00E808F1">
        <w:tc>
          <w:tcPr>
            <w:tcW w:w="1526" w:type="dxa"/>
            <w:vMerge w:val="restart"/>
            <w:tcBorders>
              <w:top w:val="single" w:sz="4" w:space="0" w:color="auto"/>
            </w:tcBorders>
          </w:tcPr>
          <w:p w14:paraId="046CD58A" w14:textId="77777777" w:rsidR="00E808F1" w:rsidRPr="0032381A" w:rsidRDefault="00E808F1" w:rsidP="00E808F1">
            <w:pPr>
              <w:spacing w:before="120" w:after="120"/>
              <w:rPr>
                <w:b/>
                <w:szCs w:val="24"/>
              </w:rPr>
            </w:pPr>
            <w:r w:rsidRPr="0032381A">
              <w:rPr>
                <w:b/>
                <w:szCs w:val="24"/>
              </w:rPr>
              <w:t xml:space="preserve">Normative beliefs </w:t>
            </w:r>
          </w:p>
        </w:tc>
        <w:tc>
          <w:tcPr>
            <w:tcW w:w="3118" w:type="dxa"/>
            <w:tcBorders>
              <w:top w:val="single" w:sz="4" w:space="0" w:color="auto"/>
            </w:tcBorders>
          </w:tcPr>
          <w:p w14:paraId="5E48BC2A" w14:textId="77777777" w:rsidR="00E808F1" w:rsidRPr="0032381A" w:rsidRDefault="00E808F1" w:rsidP="00E808F1">
            <w:pPr>
              <w:spacing w:before="120" w:after="120"/>
              <w:rPr>
                <w:sz w:val="22"/>
                <w:szCs w:val="24"/>
              </w:rPr>
            </w:pPr>
            <w:r w:rsidRPr="0032381A">
              <w:rPr>
                <w:sz w:val="22"/>
                <w:szCs w:val="24"/>
              </w:rPr>
              <w:t>Subjective norm</w:t>
            </w:r>
          </w:p>
        </w:tc>
        <w:tc>
          <w:tcPr>
            <w:tcW w:w="2268" w:type="dxa"/>
            <w:tcBorders>
              <w:top w:val="single" w:sz="4" w:space="0" w:color="auto"/>
            </w:tcBorders>
          </w:tcPr>
          <w:p w14:paraId="27677778" w14:textId="77777777" w:rsidR="00E808F1" w:rsidRPr="0032381A" w:rsidRDefault="00E808F1" w:rsidP="00E808F1">
            <w:pPr>
              <w:spacing w:before="120" w:after="120"/>
              <w:rPr>
                <w:sz w:val="22"/>
                <w:szCs w:val="24"/>
              </w:rPr>
            </w:pPr>
            <w:r w:rsidRPr="0032381A">
              <w:rPr>
                <w:sz w:val="22"/>
                <w:szCs w:val="24"/>
              </w:rPr>
              <w:t>Approval</w:t>
            </w:r>
          </w:p>
          <w:p w14:paraId="475EF2C3" w14:textId="77777777" w:rsidR="00E808F1" w:rsidRPr="0032381A" w:rsidRDefault="00E808F1" w:rsidP="00E808F1">
            <w:pPr>
              <w:spacing w:before="120" w:after="120"/>
              <w:rPr>
                <w:sz w:val="22"/>
                <w:szCs w:val="24"/>
              </w:rPr>
            </w:pPr>
            <w:r w:rsidRPr="0032381A">
              <w:rPr>
                <w:sz w:val="22"/>
                <w:szCs w:val="24"/>
              </w:rPr>
              <w:t xml:space="preserve">Disapproval </w:t>
            </w:r>
          </w:p>
        </w:tc>
        <w:tc>
          <w:tcPr>
            <w:tcW w:w="2127" w:type="dxa"/>
            <w:tcBorders>
              <w:top w:val="single" w:sz="4" w:space="0" w:color="auto"/>
            </w:tcBorders>
          </w:tcPr>
          <w:p w14:paraId="2093F736" w14:textId="77777777" w:rsidR="00E808F1" w:rsidRPr="0032381A" w:rsidRDefault="00E808F1" w:rsidP="00E808F1">
            <w:pPr>
              <w:spacing w:before="120" w:after="120"/>
              <w:rPr>
                <w:sz w:val="22"/>
                <w:szCs w:val="24"/>
              </w:rPr>
            </w:pPr>
            <w:r w:rsidRPr="0032381A">
              <w:rPr>
                <w:sz w:val="22"/>
                <w:szCs w:val="24"/>
              </w:rPr>
              <w:t>TPB / BRT / PWM</w:t>
            </w:r>
          </w:p>
          <w:p w14:paraId="677F9A52" w14:textId="77777777" w:rsidR="00E808F1" w:rsidRPr="0032381A" w:rsidRDefault="00E808F1" w:rsidP="00E808F1">
            <w:pPr>
              <w:spacing w:before="120" w:after="120"/>
              <w:rPr>
                <w:sz w:val="22"/>
                <w:szCs w:val="24"/>
              </w:rPr>
            </w:pPr>
            <w:r w:rsidRPr="0032381A">
              <w:rPr>
                <w:sz w:val="22"/>
                <w:szCs w:val="24"/>
              </w:rPr>
              <w:t>TPB / BRT / PWM</w:t>
            </w:r>
          </w:p>
        </w:tc>
      </w:tr>
      <w:tr w:rsidR="00E808F1" w:rsidRPr="0032381A" w14:paraId="56B796E0" w14:textId="77777777" w:rsidTr="00E808F1">
        <w:tc>
          <w:tcPr>
            <w:tcW w:w="1526" w:type="dxa"/>
            <w:vMerge/>
          </w:tcPr>
          <w:p w14:paraId="11203C33" w14:textId="77777777" w:rsidR="00E808F1" w:rsidRPr="0032381A" w:rsidRDefault="00E808F1" w:rsidP="00E808F1">
            <w:pPr>
              <w:spacing w:before="120" w:after="120"/>
              <w:rPr>
                <w:b/>
                <w:szCs w:val="24"/>
              </w:rPr>
            </w:pPr>
          </w:p>
        </w:tc>
        <w:tc>
          <w:tcPr>
            <w:tcW w:w="3118" w:type="dxa"/>
          </w:tcPr>
          <w:p w14:paraId="1CB230D1" w14:textId="77777777" w:rsidR="00E808F1" w:rsidRPr="0032381A" w:rsidRDefault="00E808F1" w:rsidP="00E808F1">
            <w:pPr>
              <w:spacing w:before="120" w:after="120"/>
              <w:rPr>
                <w:sz w:val="22"/>
                <w:szCs w:val="24"/>
              </w:rPr>
            </w:pPr>
            <w:r w:rsidRPr="0032381A">
              <w:rPr>
                <w:sz w:val="22"/>
                <w:szCs w:val="24"/>
              </w:rPr>
              <w:t>User prototypes</w:t>
            </w:r>
          </w:p>
        </w:tc>
        <w:tc>
          <w:tcPr>
            <w:tcW w:w="2268" w:type="dxa"/>
          </w:tcPr>
          <w:p w14:paraId="7B0795EB" w14:textId="77777777" w:rsidR="00E808F1" w:rsidRPr="0032381A" w:rsidRDefault="00E808F1" w:rsidP="00E808F1">
            <w:pPr>
              <w:spacing w:before="120" w:after="120"/>
              <w:rPr>
                <w:sz w:val="22"/>
                <w:szCs w:val="24"/>
              </w:rPr>
            </w:pPr>
            <w:r w:rsidRPr="0032381A">
              <w:rPr>
                <w:sz w:val="22"/>
                <w:szCs w:val="24"/>
              </w:rPr>
              <w:t xml:space="preserve">Positive images </w:t>
            </w:r>
          </w:p>
          <w:p w14:paraId="6D0F49F6" w14:textId="77777777" w:rsidR="00E808F1" w:rsidRPr="0032381A" w:rsidRDefault="00E808F1" w:rsidP="00E808F1">
            <w:pPr>
              <w:spacing w:before="120" w:after="120"/>
              <w:rPr>
                <w:sz w:val="22"/>
                <w:szCs w:val="24"/>
              </w:rPr>
            </w:pPr>
            <w:r w:rsidRPr="0032381A">
              <w:rPr>
                <w:sz w:val="22"/>
                <w:szCs w:val="24"/>
              </w:rPr>
              <w:t>Negative images</w:t>
            </w:r>
          </w:p>
        </w:tc>
        <w:tc>
          <w:tcPr>
            <w:tcW w:w="2127" w:type="dxa"/>
          </w:tcPr>
          <w:p w14:paraId="7E954A4A" w14:textId="77777777" w:rsidR="00E808F1" w:rsidRPr="0032381A" w:rsidRDefault="00E808F1" w:rsidP="00E808F1">
            <w:pPr>
              <w:spacing w:before="120" w:after="120"/>
              <w:rPr>
                <w:sz w:val="22"/>
                <w:szCs w:val="24"/>
              </w:rPr>
            </w:pPr>
            <w:r w:rsidRPr="0032381A">
              <w:rPr>
                <w:sz w:val="22"/>
                <w:szCs w:val="24"/>
              </w:rPr>
              <w:t>PWM</w:t>
            </w:r>
          </w:p>
          <w:p w14:paraId="404FF6B0" w14:textId="77777777" w:rsidR="00E808F1" w:rsidRPr="0032381A" w:rsidRDefault="00E808F1" w:rsidP="00E808F1">
            <w:pPr>
              <w:spacing w:before="120" w:after="120"/>
              <w:rPr>
                <w:sz w:val="22"/>
                <w:szCs w:val="24"/>
              </w:rPr>
            </w:pPr>
            <w:r w:rsidRPr="0032381A">
              <w:rPr>
                <w:sz w:val="22"/>
                <w:szCs w:val="24"/>
              </w:rPr>
              <w:t>PWM</w:t>
            </w:r>
          </w:p>
        </w:tc>
      </w:tr>
      <w:tr w:rsidR="00E808F1" w:rsidRPr="0032381A" w14:paraId="5C9FAE65" w14:textId="77777777" w:rsidTr="00E808F1">
        <w:tc>
          <w:tcPr>
            <w:tcW w:w="1526" w:type="dxa"/>
            <w:vMerge/>
            <w:tcBorders>
              <w:bottom w:val="single" w:sz="4" w:space="0" w:color="auto"/>
            </w:tcBorders>
          </w:tcPr>
          <w:p w14:paraId="5C240084" w14:textId="77777777" w:rsidR="00E808F1" w:rsidRPr="0032381A" w:rsidRDefault="00E808F1" w:rsidP="00E808F1">
            <w:pPr>
              <w:spacing w:before="120" w:after="120"/>
              <w:rPr>
                <w:b/>
                <w:szCs w:val="24"/>
              </w:rPr>
            </w:pPr>
          </w:p>
        </w:tc>
        <w:tc>
          <w:tcPr>
            <w:tcW w:w="3118" w:type="dxa"/>
            <w:tcBorders>
              <w:bottom w:val="single" w:sz="4" w:space="0" w:color="auto"/>
            </w:tcBorders>
          </w:tcPr>
          <w:p w14:paraId="6C34AC6E" w14:textId="77777777" w:rsidR="00E808F1" w:rsidRPr="0032381A" w:rsidRDefault="00E808F1" w:rsidP="00E808F1">
            <w:pPr>
              <w:spacing w:before="120" w:after="120"/>
              <w:rPr>
                <w:sz w:val="22"/>
                <w:szCs w:val="24"/>
              </w:rPr>
            </w:pPr>
            <w:r w:rsidRPr="0032381A">
              <w:rPr>
                <w:sz w:val="22"/>
                <w:szCs w:val="24"/>
              </w:rPr>
              <w:t>Non-user prototypes</w:t>
            </w:r>
          </w:p>
        </w:tc>
        <w:tc>
          <w:tcPr>
            <w:tcW w:w="2268" w:type="dxa"/>
            <w:tcBorders>
              <w:bottom w:val="single" w:sz="4" w:space="0" w:color="auto"/>
            </w:tcBorders>
          </w:tcPr>
          <w:p w14:paraId="3BC7E80E" w14:textId="77777777" w:rsidR="00E808F1" w:rsidRPr="0032381A" w:rsidRDefault="00E808F1" w:rsidP="00E808F1">
            <w:pPr>
              <w:spacing w:before="120" w:after="120"/>
              <w:rPr>
                <w:sz w:val="22"/>
                <w:szCs w:val="24"/>
              </w:rPr>
            </w:pPr>
            <w:r w:rsidRPr="0032381A">
              <w:rPr>
                <w:sz w:val="22"/>
                <w:szCs w:val="24"/>
              </w:rPr>
              <w:t xml:space="preserve">Positive images </w:t>
            </w:r>
          </w:p>
          <w:p w14:paraId="7F1E30BB" w14:textId="77777777" w:rsidR="00E808F1" w:rsidRPr="0032381A" w:rsidRDefault="00E808F1" w:rsidP="00E808F1">
            <w:pPr>
              <w:spacing w:before="120" w:after="120"/>
              <w:rPr>
                <w:sz w:val="22"/>
                <w:szCs w:val="24"/>
              </w:rPr>
            </w:pPr>
            <w:r w:rsidRPr="0032381A">
              <w:rPr>
                <w:sz w:val="22"/>
                <w:szCs w:val="24"/>
              </w:rPr>
              <w:t>Negative images</w:t>
            </w:r>
          </w:p>
        </w:tc>
        <w:tc>
          <w:tcPr>
            <w:tcW w:w="2127" w:type="dxa"/>
            <w:tcBorders>
              <w:bottom w:val="single" w:sz="4" w:space="0" w:color="auto"/>
            </w:tcBorders>
          </w:tcPr>
          <w:p w14:paraId="4440795C" w14:textId="77777777" w:rsidR="00E808F1" w:rsidRPr="0032381A" w:rsidRDefault="00E808F1" w:rsidP="00E808F1">
            <w:pPr>
              <w:spacing w:before="120" w:after="120"/>
              <w:rPr>
                <w:sz w:val="22"/>
                <w:szCs w:val="24"/>
              </w:rPr>
            </w:pPr>
            <w:r w:rsidRPr="0032381A">
              <w:rPr>
                <w:sz w:val="22"/>
                <w:szCs w:val="24"/>
              </w:rPr>
              <w:t>PWM</w:t>
            </w:r>
          </w:p>
          <w:p w14:paraId="787C88F9" w14:textId="77777777" w:rsidR="00E808F1" w:rsidRPr="0032381A" w:rsidRDefault="00E808F1" w:rsidP="00E808F1">
            <w:pPr>
              <w:spacing w:before="120" w:after="120"/>
              <w:rPr>
                <w:sz w:val="22"/>
                <w:szCs w:val="24"/>
              </w:rPr>
            </w:pPr>
            <w:r w:rsidRPr="0032381A">
              <w:rPr>
                <w:sz w:val="22"/>
                <w:szCs w:val="24"/>
              </w:rPr>
              <w:t>PWM</w:t>
            </w:r>
          </w:p>
        </w:tc>
      </w:tr>
      <w:tr w:rsidR="00E808F1" w:rsidRPr="0032381A" w14:paraId="7A8E1ED9" w14:textId="77777777" w:rsidTr="00E808F1">
        <w:tc>
          <w:tcPr>
            <w:tcW w:w="1526" w:type="dxa"/>
            <w:vMerge w:val="restart"/>
            <w:tcBorders>
              <w:top w:val="single" w:sz="4" w:space="0" w:color="auto"/>
            </w:tcBorders>
          </w:tcPr>
          <w:p w14:paraId="74F22EEE" w14:textId="77777777" w:rsidR="00E808F1" w:rsidRPr="0032381A" w:rsidRDefault="00E808F1" w:rsidP="00E808F1">
            <w:pPr>
              <w:spacing w:before="120" w:after="120"/>
              <w:rPr>
                <w:b/>
                <w:szCs w:val="24"/>
              </w:rPr>
            </w:pPr>
            <w:r w:rsidRPr="0032381A">
              <w:rPr>
                <w:b/>
                <w:szCs w:val="24"/>
              </w:rPr>
              <w:t>Control beliefs</w:t>
            </w:r>
          </w:p>
        </w:tc>
        <w:tc>
          <w:tcPr>
            <w:tcW w:w="3118" w:type="dxa"/>
            <w:tcBorders>
              <w:top w:val="single" w:sz="4" w:space="0" w:color="auto"/>
            </w:tcBorders>
          </w:tcPr>
          <w:p w14:paraId="09FF634A" w14:textId="77777777" w:rsidR="00E808F1" w:rsidRPr="0032381A" w:rsidRDefault="00E808F1" w:rsidP="00E808F1">
            <w:pPr>
              <w:spacing w:before="120" w:after="120"/>
              <w:rPr>
                <w:sz w:val="22"/>
                <w:szCs w:val="24"/>
              </w:rPr>
            </w:pPr>
            <w:r w:rsidRPr="0032381A">
              <w:rPr>
                <w:sz w:val="22"/>
                <w:szCs w:val="24"/>
              </w:rPr>
              <w:t>Perceived behavioural control</w:t>
            </w:r>
          </w:p>
        </w:tc>
        <w:tc>
          <w:tcPr>
            <w:tcW w:w="2268" w:type="dxa"/>
            <w:tcBorders>
              <w:top w:val="single" w:sz="4" w:space="0" w:color="auto"/>
            </w:tcBorders>
          </w:tcPr>
          <w:p w14:paraId="2590C70E" w14:textId="77777777" w:rsidR="00E808F1" w:rsidRPr="0032381A" w:rsidRDefault="00E808F1" w:rsidP="00E808F1">
            <w:pPr>
              <w:spacing w:before="120" w:after="120"/>
              <w:rPr>
                <w:sz w:val="22"/>
                <w:szCs w:val="24"/>
              </w:rPr>
            </w:pPr>
            <w:r w:rsidRPr="0032381A">
              <w:rPr>
                <w:sz w:val="22"/>
                <w:szCs w:val="24"/>
              </w:rPr>
              <w:t>Easy</w:t>
            </w:r>
          </w:p>
          <w:p w14:paraId="3E312E44" w14:textId="77777777" w:rsidR="00E808F1" w:rsidRPr="0032381A" w:rsidRDefault="00E808F1" w:rsidP="00E808F1">
            <w:pPr>
              <w:spacing w:before="120" w:after="120"/>
              <w:rPr>
                <w:sz w:val="22"/>
                <w:szCs w:val="24"/>
              </w:rPr>
            </w:pPr>
            <w:r w:rsidRPr="0032381A">
              <w:rPr>
                <w:sz w:val="22"/>
                <w:szCs w:val="24"/>
              </w:rPr>
              <w:t>Difficult</w:t>
            </w:r>
          </w:p>
        </w:tc>
        <w:tc>
          <w:tcPr>
            <w:tcW w:w="2127" w:type="dxa"/>
            <w:tcBorders>
              <w:top w:val="single" w:sz="4" w:space="0" w:color="auto"/>
            </w:tcBorders>
          </w:tcPr>
          <w:p w14:paraId="7FC8B9CC" w14:textId="77777777" w:rsidR="00E808F1" w:rsidRPr="0032381A" w:rsidRDefault="00E808F1" w:rsidP="00E808F1">
            <w:pPr>
              <w:spacing w:before="120" w:after="120"/>
              <w:rPr>
                <w:sz w:val="22"/>
                <w:szCs w:val="24"/>
              </w:rPr>
            </w:pPr>
            <w:r w:rsidRPr="0032381A">
              <w:rPr>
                <w:sz w:val="22"/>
                <w:szCs w:val="24"/>
              </w:rPr>
              <w:t>TPB / BRT</w:t>
            </w:r>
          </w:p>
          <w:p w14:paraId="528CB1CE" w14:textId="77777777" w:rsidR="00E808F1" w:rsidRPr="0032381A" w:rsidRDefault="00E808F1" w:rsidP="00E808F1">
            <w:pPr>
              <w:spacing w:before="120" w:after="120"/>
              <w:rPr>
                <w:sz w:val="22"/>
                <w:szCs w:val="24"/>
              </w:rPr>
            </w:pPr>
            <w:r w:rsidRPr="0032381A">
              <w:rPr>
                <w:sz w:val="22"/>
                <w:szCs w:val="24"/>
              </w:rPr>
              <w:t>TPB / BRT</w:t>
            </w:r>
          </w:p>
        </w:tc>
      </w:tr>
      <w:tr w:rsidR="00E808F1" w:rsidRPr="0032381A" w14:paraId="5C3683A5" w14:textId="77777777" w:rsidTr="00E808F1">
        <w:tc>
          <w:tcPr>
            <w:tcW w:w="1526" w:type="dxa"/>
            <w:vMerge/>
          </w:tcPr>
          <w:p w14:paraId="39426411" w14:textId="77777777" w:rsidR="00E808F1" w:rsidRPr="0032381A" w:rsidRDefault="00E808F1" w:rsidP="00E808F1">
            <w:pPr>
              <w:spacing w:before="120" w:after="120"/>
              <w:rPr>
                <w:b/>
                <w:sz w:val="22"/>
                <w:szCs w:val="24"/>
              </w:rPr>
            </w:pPr>
          </w:p>
        </w:tc>
        <w:tc>
          <w:tcPr>
            <w:tcW w:w="3118" w:type="dxa"/>
          </w:tcPr>
          <w:p w14:paraId="4305B61E" w14:textId="77777777" w:rsidR="00E808F1" w:rsidRPr="0032381A" w:rsidRDefault="00E808F1" w:rsidP="00E808F1">
            <w:pPr>
              <w:spacing w:before="120" w:after="120"/>
              <w:rPr>
                <w:sz w:val="22"/>
                <w:szCs w:val="24"/>
              </w:rPr>
            </w:pPr>
            <w:r w:rsidRPr="0032381A">
              <w:rPr>
                <w:sz w:val="22"/>
                <w:szCs w:val="24"/>
              </w:rPr>
              <w:t xml:space="preserve">Self-efficacy </w:t>
            </w:r>
          </w:p>
        </w:tc>
        <w:tc>
          <w:tcPr>
            <w:tcW w:w="2268" w:type="dxa"/>
          </w:tcPr>
          <w:p w14:paraId="4D2883D9" w14:textId="77777777" w:rsidR="00E808F1" w:rsidRPr="0032381A" w:rsidRDefault="00E808F1" w:rsidP="00E808F1">
            <w:pPr>
              <w:spacing w:before="120" w:after="120"/>
              <w:rPr>
                <w:sz w:val="22"/>
                <w:szCs w:val="24"/>
              </w:rPr>
            </w:pPr>
            <w:r w:rsidRPr="0032381A">
              <w:rPr>
                <w:sz w:val="22"/>
                <w:szCs w:val="24"/>
              </w:rPr>
              <w:t>High</w:t>
            </w:r>
          </w:p>
          <w:p w14:paraId="26570BB4" w14:textId="77777777" w:rsidR="00E808F1" w:rsidRPr="0032381A" w:rsidRDefault="00E808F1" w:rsidP="00E808F1">
            <w:pPr>
              <w:spacing w:before="120" w:after="120"/>
              <w:rPr>
                <w:sz w:val="22"/>
                <w:szCs w:val="24"/>
              </w:rPr>
            </w:pPr>
            <w:r w:rsidRPr="0032381A">
              <w:rPr>
                <w:sz w:val="22"/>
                <w:szCs w:val="24"/>
              </w:rPr>
              <w:t>Low</w:t>
            </w:r>
          </w:p>
        </w:tc>
        <w:tc>
          <w:tcPr>
            <w:tcW w:w="2127" w:type="dxa"/>
          </w:tcPr>
          <w:p w14:paraId="7468B322" w14:textId="77777777" w:rsidR="00E808F1" w:rsidRDefault="00E808F1" w:rsidP="00E808F1">
            <w:pPr>
              <w:spacing w:before="120" w:after="120"/>
              <w:rPr>
                <w:sz w:val="22"/>
                <w:szCs w:val="24"/>
              </w:rPr>
            </w:pPr>
            <w:r w:rsidRPr="0032381A">
              <w:rPr>
                <w:sz w:val="22"/>
                <w:szCs w:val="24"/>
              </w:rPr>
              <w:t>HBM</w:t>
            </w:r>
          </w:p>
          <w:p w14:paraId="6FAD08C6" w14:textId="77777777" w:rsidR="00E808F1" w:rsidRPr="0032381A" w:rsidRDefault="00E808F1" w:rsidP="00E808F1">
            <w:pPr>
              <w:spacing w:before="120" w:after="120"/>
              <w:rPr>
                <w:sz w:val="22"/>
                <w:szCs w:val="24"/>
              </w:rPr>
            </w:pPr>
            <w:r w:rsidRPr="0032381A">
              <w:rPr>
                <w:sz w:val="22"/>
                <w:szCs w:val="24"/>
              </w:rPr>
              <w:t>HBM</w:t>
            </w:r>
          </w:p>
        </w:tc>
      </w:tr>
      <w:tr w:rsidR="00E808F1" w:rsidRPr="0032381A" w14:paraId="4209478B" w14:textId="77777777" w:rsidTr="00E808F1">
        <w:tc>
          <w:tcPr>
            <w:tcW w:w="1526" w:type="dxa"/>
            <w:vMerge/>
          </w:tcPr>
          <w:p w14:paraId="32654A8D" w14:textId="77777777" w:rsidR="00E808F1" w:rsidRPr="0032381A" w:rsidRDefault="00E808F1" w:rsidP="00E808F1">
            <w:pPr>
              <w:spacing w:before="120" w:after="120"/>
              <w:rPr>
                <w:b/>
                <w:sz w:val="22"/>
                <w:szCs w:val="24"/>
              </w:rPr>
            </w:pPr>
          </w:p>
        </w:tc>
        <w:tc>
          <w:tcPr>
            <w:tcW w:w="3118" w:type="dxa"/>
          </w:tcPr>
          <w:p w14:paraId="72E9D57E" w14:textId="77777777" w:rsidR="00E808F1" w:rsidRPr="0032381A" w:rsidRDefault="00E808F1" w:rsidP="00E808F1">
            <w:pPr>
              <w:spacing w:before="120" w:after="120"/>
              <w:rPr>
                <w:sz w:val="22"/>
                <w:szCs w:val="24"/>
              </w:rPr>
            </w:pPr>
            <w:r w:rsidRPr="0032381A">
              <w:rPr>
                <w:sz w:val="22"/>
                <w:szCs w:val="24"/>
              </w:rPr>
              <w:t>Perceived barriers</w:t>
            </w:r>
          </w:p>
        </w:tc>
        <w:tc>
          <w:tcPr>
            <w:tcW w:w="2268" w:type="dxa"/>
          </w:tcPr>
          <w:p w14:paraId="0FB02D8D" w14:textId="77777777" w:rsidR="00E808F1" w:rsidRPr="0032381A" w:rsidRDefault="00E808F1" w:rsidP="00E808F1">
            <w:pPr>
              <w:spacing w:before="120" w:after="120"/>
              <w:rPr>
                <w:sz w:val="22"/>
                <w:szCs w:val="24"/>
              </w:rPr>
            </w:pPr>
            <w:r w:rsidRPr="0032381A">
              <w:rPr>
                <w:sz w:val="22"/>
                <w:szCs w:val="24"/>
              </w:rPr>
              <w:t>Present</w:t>
            </w:r>
          </w:p>
          <w:p w14:paraId="74D0278D" w14:textId="77777777" w:rsidR="00E808F1" w:rsidRPr="0032381A" w:rsidRDefault="00E808F1" w:rsidP="00E808F1">
            <w:pPr>
              <w:spacing w:before="120" w:after="120"/>
              <w:rPr>
                <w:sz w:val="22"/>
                <w:szCs w:val="24"/>
              </w:rPr>
            </w:pPr>
            <w:r w:rsidRPr="0032381A">
              <w:rPr>
                <w:sz w:val="22"/>
                <w:szCs w:val="24"/>
              </w:rPr>
              <w:t>Not present</w:t>
            </w:r>
          </w:p>
        </w:tc>
        <w:tc>
          <w:tcPr>
            <w:tcW w:w="2127" w:type="dxa"/>
          </w:tcPr>
          <w:p w14:paraId="708A484D" w14:textId="77777777" w:rsidR="00E808F1" w:rsidRDefault="00E808F1" w:rsidP="00E808F1">
            <w:pPr>
              <w:spacing w:before="120" w:after="120"/>
              <w:rPr>
                <w:sz w:val="22"/>
                <w:szCs w:val="24"/>
              </w:rPr>
            </w:pPr>
            <w:r w:rsidRPr="0032381A">
              <w:rPr>
                <w:sz w:val="22"/>
                <w:szCs w:val="24"/>
              </w:rPr>
              <w:t>HBM</w:t>
            </w:r>
          </w:p>
          <w:p w14:paraId="0404AA63" w14:textId="77777777" w:rsidR="00E808F1" w:rsidRPr="0032381A" w:rsidRDefault="00E808F1" w:rsidP="00E808F1">
            <w:pPr>
              <w:spacing w:before="120" w:after="120"/>
              <w:rPr>
                <w:sz w:val="22"/>
                <w:szCs w:val="24"/>
              </w:rPr>
            </w:pPr>
            <w:r w:rsidRPr="0032381A">
              <w:rPr>
                <w:sz w:val="22"/>
                <w:szCs w:val="24"/>
              </w:rPr>
              <w:t>HBM</w:t>
            </w:r>
          </w:p>
        </w:tc>
      </w:tr>
      <w:tr w:rsidR="00E808F1" w:rsidRPr="0032381A" w14:paraId="04AC9B61" w14:textId="77777777" w:rsidTr="00DB2611">
        <w:trPr>
          <w:trHeight w:val="217"/>
        </w:trPr>
        <w:tc>
          <w:tcPr>
            <w:tcW w:w="1526" w:type="dxa"/>
            <w:vMerge/>
            <w:tcBorders>
              <w:bottom w:val="single" w:sz="4" w:space="0" w:color="auto"/>
            </w:tcBorders>
          </w:tcPr>
          <w:p w14:paraId="790A8672" w14:textId="77777777" w:rsidR="00E808F1" w:rsidRPr="0032381A" w:rsidRDefault="00E808F1" w:rsidP="00E808F1">
            <w:pPr>
              <w:spacing w:before="120" w:after="120"/>
              <w:rPr>
                <w:b/>
                <w:sz w:val="22"/>
                <w:szCs w:val="24"/>
              </w:rPr>
            </w:pPr>
          </w:p>
        </w:tc>
        <w:tc>
          <w:tcPr>
            <w:tcW w:w="3118" w:type="dxa"/>
            <w:tcBorders>
              <w:bottom w:val="single" w:sz="4" w:space="0" w:color="auto"/>
            </w:tcBorders>
          </w:tcPr>
          <w:p w14:paraId="23D4B349" w14:textId="77777777" w:rsidR="00E808F1" w:rsidRPr="0032381A" w:rsidRDefault="00E808F1" w:rsidP="00E808F1">
            <w:pPr>
              <w:spacing w:before="120" w:after="120"/>
              <w:rPr>
                <w:sz w:val="22"/>
                <w:szCs w:val="24"/>
              </w:rPr>
            </w:pPr>
            <w:r w:rsidRPr="0032381A">
              <w:rPr>
                <w:sz w:val="22"/>
                <w:szCs w:val="24"/>
              </w:rPr>
              <w:t>Cues to action</w:t>
            </w:r>
          </w:p>
        </w:tc>
        <w:tc>
          <w:tcPr>
            <w:tcW w:w="2268" w:type="dxa"/>
            <w:tcBorders>
              <w:bottom w:val="single" w:sz="4" w:space="0" w:color="auto"/>
            </w:tcBorders>
          </w:tcPr>
          <w:p w14:paraId="31EEB257" w14:textId="77777777" w:rsidR="00E808F1" w:rsidRPr="0032381A" w:rsidRDefault="00E808F1" w:rsidP="00E808F1">
            <w:pPr>
              <w:spacing w:before="120" w:after="120"/>
              <w:rPr>
                <w:sz w:val="22"/>
                <w:szCs w:val="24"/>
              </w:rPr>
            </w:pPr>
          </w:p>
        </w:tc>
        <w:tc>
          <w:tcPr>
            <w:tcW w:w="2127" w:type="dxa"/>
            <w:tcBorders>
              <w:bottom w:val="single" w:sz="4" w:space="0" w:color="auto"/>
            </w:tcBorders>
          </w:tcPr>
          <w:p w14:paraId="2D3C7DA3" w14:textId="77777777" w:rsidR="00E808F1" w:rsidRPr="0032381A" w:rsidRDefault="00E808F1" w:rsidP="00E808F1">
            <w:pPr>
              <w:spacing w:before="120" w:after="120"/>
              <w:rPr>
                <w:sz w:val="22"/>
                <w:szCs w:val="24"/>
              </w:rPr>
            </w:pPr>
            <w:r w:rsidRPr="0032381A">
              <w:rPr>
                <w:sz w:val="22"/>
                <w:szCs w:val="24"/>
              </w:rPr>
              <w:t>HBM</w:t>
            </w:r>
          </w:p>
        </w:tc>
      </w:tr>
      <w:tr w:rsidR="00DB2611" w:rsidRPr="00326CA6" w14:paraId="1186FCC8" w14:textId="77777777" w:rsidTr="00DB2611">
        <w:tc>
          <w:tcPr>
            <w:tcW w:w="1526" w:type="dxa"/>
            <w:tcBorders>
              <w:top w:val="single" w:sz="4" w:space="0" w:color="auto"/>
            </w:tcBorders>
          </w:tcPr>
          <w:p w14:paraId="67D6342C" w14:textId="71B5E132" w:rsidR="00DB2611" w:rsidRPr="00326CA6" w:rsidRDefault="00DB2611" w:rsidP="00DB2611">
            <w:pPr>
              <w:spacing w:before="120" w:after="120"/>
              <w:rPr>
                <w:b/>
                <w:szCs w:val="24"/>
              </w:rPr>
            </w:pPr>
          </w:p>
        </w:tc>
        <w:tc>
          <w:tcPr>
            <w:tcW w:w="3118" w:type="dxa"/>
            <w:tcBorders>
              <w:top w:val="single" w:sz="4" w:space="0" w:color="auto"/>
            </w:tcBorders>
          </w:tcPr>
          <w:p w14:paraId="1F9C77D8" w14:textId="4E92D302" w:rsidR="00DB2611" w:rsidRPr="00326CA6" w:rsidRDefault="00DB2611" w:rsidP="00DB2611">
            <w:pPr>
              <w:spacing w:before="120" w:after="120"/>
              <w:rPr>
                <w:b/>
                <w:szCs w:val="24"/>
              </w:rPr>
            </w:pPr>
          </w:p>
        </w:tc>
        <w:tc>
          <w:tcPr>
            <w:tcW w:w="2268" w:type="dxa"/>
            <w:tcBorders>
              <w:top w:val="single" w:sz="4" w:space="0" w:color="auto"/>
            </w:tcBorders>
          </w:tcPr>
          <w:p w14:paraId="50AE569C" w14:textId="3198D0E6" w:rsidR="00DB2611" w:rsidRPr="00326CA6" w:rsidRDefault="00DB2611" w:rsidP="00DB2611">
            <w:pPr>
              <w:spacing w:before="120" w:after="120"/>
              <w:rPr>
                <w:b/>
                <w:szCs w:val="24"/>
              </w:rPr>
            </w:pPr>
          </w:p>
        </w:tc>
        <w:tc>
          <w:tcPr>
            <w:tcW w:w="2127" w:type="dxa"/>
            <w:tcBorders>
              <w:top w:val="single" w:sz="4" w:space="0" w:color="auto"/>
            </w:tcBorders>
          </w:tcPr>
          <w:p w14:paraId="4B3D80E7" w14:textId="02D146E1" w:rsidR="00DB2611" w:rsidRPr="00326CA6" w:rsidRDefault="00DB2611" w:rsidP="00DB2611">
            <w:pPr>
              <w:spacing w:before="120" w:after="120"/>
              <w:rPr>
                <w:b/>
                <w:szCs w:val="24"/>
              </w:rPr>
            </w:pPr>
          </w:p>
        </w:tc>
      </w:tr>
      <w:tr w:rsidR="00DB2611" w:rsidRPr="00326CA6" w14:paraId="6BDA6DBA" w14:textId="77777777" w:rsidTr="00DB2611">
        <w:tc>
          <w:tcPr>
            <w:tcW w:w="1526" w:type="dxa"/>
            <w:tcBorders>
              <w:bottom w:val="single" w:sz="4" w:space="0" w:color="auto"/>
            </w:tcBorders>
          </w:tcPr>
          <w:p w14:paraId="4C4F93A5" w14:textId="77777777" w:rsidR="00DB2611" w:rsidRDefault="00DB2611" w:rsidP="00DB2611">
            <w:pPr>
              <w:spacing w:before="120" w:after="120"/>
              <w:rPr>
                <w:b/>
                <w:szCs w:val="24"/>
              </w:rPr>
            </w:pPr>
          </w:p>
        </w:tc>
        <w:tc>
          <w:tcPr>
            <w:tcW w:w="3118" w:type="dxa"/>
            <w:tcBorders>
              <w:bottom w:val="single" w:sz="4" w:space="0" w:color="auto"/>
            </w:tcBorders>
          </w:tcPr>
          <w:p w14:paraId="23E01109" w14:textId="77777777" w:rsidR="00DB2611" w:rsidRDefault="00DB2611" w:rsidP="00DB2611">
            <w:pPr>
              <w:spacing w:before="120" w:after="120"/>
              <w:rPr>
                <w:b/>
                <w:szCs w:val="24"/>
              </w:rPr>
            </w:pPr>
          </w:p>
        </w:tc>
        <w:tc>
          <w:tcPr>
            <w:tcW w:w="2268" w:type="dxa"/>
            <w:tcBorders>
              <w:bottom w:val="single" w:sz="4" w:space="0" w:color="auto"/>
            </w:tcBorders>
          </w:tcPr>
          <w:p w14:paraId="65FA55EB" w14:textId="77777777" w:rsidR="00DB2611" w:rsidRPr="00326CA6" w:rsidRDefault="00DB2611" w:rsidP="00DB2611">
            <w:pPr>
              <w:spacing w:before="120" w:after="120"/>
              <w:rPr>
                <w:b/>
                <w:szCs w:val="24"/>
              </w:rPr>
            </w:pPr>
          </w:p>
        </w:tc>
        <w:tc>
          <w:tcPr>
            <w:tcW w:w="2127" w:type="dxa"/>
            <w:tcBorders>
              <w:bottom w:val="single" w:sz="4" w:space="0" w:color="auto"/>
            </w:tcBorders>
          </w:tcPr>
          <w:p w14:paraId="4FBEF56E" w14:textId="77777777" w:rsidR="00DB2611" w:rsidRPr="00326CA6" w:rsidRDefault="00DB2611" w:rsidP="00DB2611">
            <w:pPr>
              <w:spacing w:before="120" w:after="120"/>
              <w:rPr>
                <w:b/>
                <w:szCs w:val="24"/>
              </w:rPr>
            </w:pPr>
          </w:p>
        </w:tc>
      </w:tr>
      <w:tr w:rsidR="00DB2611" w:rsidRPr="00326CA6" w14:paraId="491D4447" w14:textId="77777777" w:rsidTr="00DB2611">
        <w:tc>
          <w:tcPr>
            <w:tcW w:w="1526" w:type="dxa"/>
            <w:tcBorders>
              <w:bottom w:val="single" w:sz="4" w:space="0" w:color="auto"/>
            </w:tcBorders>
          </w:tcPr>
          <w:p w14:paraId="67CB669E" w14:textId="77777777" w:rsidR="00DB2611" w:rsidRPr="00326CA6" w:rsidRDefault="00DB2611" w:rsidP="00DB2611">
            <w:pPr>
              <w:spacing w:before="120" w:after="120"/>
              <w:rPr>
                <w:b/>
                <w:szCs w:val="24"/>
              </w:rPr>
            </w:pPr>
            <w:r>
              <w:rPr>
                <w:b/>
                <w:szCs w:val="24"/>
              </w:rPr>
              <w:t xml:space="preserve">Category </w:t>
            </w:r>
            <w:r w:rsidRPr="00326CA6">
              <w:rPr>
                <w:b/>
                <w:szCs w:val="24"/>
              </w:rPr>
              <w:t xml:space="preserve"> </w:t>
            </w:r>
          </w:p>
        </w:tc>
        <w:tc>
          <w:tcPr>
            <w:tcW w:w="3118" w:type="dxa"/>
            <w:tcBorders>
              <w:bottom w:val="single" w:sz="4" w:space="0" w:color="auto"/>
            </w:tcBorders>
          </w:tcPr>
          <w:p w14:paraId="012CA520" w14:textId="77777777" w:rsidR="00DB2611" w:rsidRPr="00326CA6" w:rsidRDefault="00DB2611" w:rsidP="00DB2611">
            <w:pPr>
              <w:spacing w:before="120" w:after="120"/>
              <w:rPr>
                <w:b/>
                <w:szCs w:val="24"/>
              </w:rPr>
            </w:pPr>
            <w:r>
              <w:rPr>
                <w:b/>
                <w:szCs w:val="24"/>
              </w:rPr>
              <w:t>Model c</w:t>
            </w:r>
            <w:r w:rsidRPr="00326CA6">
              <w:rPr>
                <w:b/>
                <w:szCs w:val="24"/>
              </w:rPr>
              <w:t>onstruct</w:t>
            </w:r>
          </w:p>
        </w:tc>
        <w:tc>
          <w:tcPr>
            <w:tcW w:w="2268" w:type="dxa"/>
            <w:tcBorders>
              <w:bottom w:val="single" w:sz="4" w:space="0" w:color="auto"/>
            </w:tcBorders>
          </w:tcPr>
          <w:p w14:paraId="28C77B6B" w14:textId="77777777" w:rsidR="00DB2611" w:rsidRPr="00326CA6" w:rsidRDefault="00DB2611" w:rsidP="00DB2611">
            <w:pPr>
              <w:spacing w:before="120" w:after="120"/>
              <w:rPr>
                <w:b/>
                <w:szCs w:val="24"/>
              </w:rPr>
            </w:pPr>
            <w:r w:rsidRPr="00326CA6">
              <w:rPr>
                <w:b/>
                <w:szCs w:val="24"/>
              </w:rPr>
              <w:t>Sub-constructs</w:t>
            </w:r>
          </w:p>
        </w:tc>
        <w:tc>
          <w:tcPr>
            <w:tcW w:w="2127" w:type="dxa"/>
            <w:tcBorders>
              <w:bottom w:val="single" w:sz="4" w:space="0" w:color="auto"/>
            </w:tcBorders>
          </w:tcPr>
          <w:p w14:paraId="07D67398" w14:textId="77777777" w:rsidR="00DB2611" w:rsidRPr="00326CA6" w:rsidRDefault="00DB2611" w:rsidP="00DB2611">
            <w:pPr>
              <w:spacing w:before="120" w:after="120"/>
              <w:rPr>
                <w:b/>
                <w:szCs w:val="24"/>
              </w:rPr>
            </w:pPr>
            <w:r w:rsidRPr="00326CA6">
              <w:rPr>
                <w:b/>
                <w:szCs w:val="24"/>
              </w:rPr>
              <w:t>Model</w:t>
            </w:r>
          </w:p>
        </w:tc>
      </w:tr>
      <w:tr w:rsidR="00DB2611" w:rsidRPr="00326CA6" w14:paraId="7C903AF6" w14:textId="77777777" w:rsidTr="00DB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4" w:space="0" w:color="auto"/>
              <w:left w:val="nil"/>
              <w:bottom w:val="single" w:sz="4" w:space="0" w:color="auto"/>
              <w:right w:val="nil"/>
            </w:tcBorders>
          </w:tcPr>
          <w:p w14:paraId="029C367D" w14:textId="77777777" w:rsidR="00DB2611" w:rsidRPr="00326CA6" w:rsidRDefault="00DB2611" w:rsidP="00DB2611">
            <w:pPr>
              <w:spacing w:before="120" w:after="120"/>
              <w:rPr>
                <w:b/>
                <w:szCs w:val="24"/>
              </w:rPr>
            </w:pPr>
            <w:r w:rsidRPr="00326CA6">
              <w:rPr>
                <w:b/>
                <w:szCs w:val="24"/>
              </w:rPr>
              <w:t xml:space="preserve">Modifying variables </w:t>
            </w:r>
          </w:p>
        </w:tc>
        <w:tc>
          <w:tcPr>
            <w:tcW w:w="3118" w:type="dxa"/>
            <w:tcBorders>
              <w:top w:val="single" w:sz="4" w:space="0" w:color="auto"/>
              <w:left w:val="nil"/>
              <w:bottom w:val="single" w:sz="4" w:space="0" w:color="auto"/>
              <w:right w:val="nil"/>
            </w:tcBorders>
          </w:tcPr>
          <w:p w14:paraId="3DE304DE" w14:textId="77777777" w:rsidR="00DB2611" w:rsidRPr="006A0525" w:rsidRDefault="00DB2611" w:rsidP="00DB2611">
            <w:pPr>
              <w:spacing w:before="120" w:after="120"/>
              <w:rPr>
                <w:sz w:val="22"/>
                <w:szCs w:val="24"/>
              </w:rPr>
            </w:pPr>
            <w:r w:rsidRPr="006A0525">
              <w:rPr>
                <w:sz w:val="22"/>
                <w:szCs w:val="24"/>
              </w:rPr>
              <w:t xml:space="preserve">Demographic variables </w:t>
            </w:r>
          </w:p>
        </w:tc>
        <w:tc>
          <w:tcPr>
            <w:tcW w:w="2268" w:type="dxa"/>
            <w:tcBorders>
              <w:top w:val="single" w:sz="4" w:space="0" w:color="auto"/>
              <w:left w:val="nil"/>
              <w:bottom w:val="single" w:sz="4" w:space="0" w:color="auto"/>
              <w:right w:val="nil"/>
            </w:tcBorders>
          </w:tcPr>
          <w:p w14:paraId="493E9FFA" w14:textId="77777777" w:rsidR="00DB2611" w:rsidRPr="006A0525" w:rsidRDefault="00DB2611" w:rsidP="00DB2611">
            <w:pPr>
              <w:spacing w:before="120" w:after="120"/>
              <w:rPr>
                <w:sz w:val="22"/>
                <w:szCs w:val="24"/>
              </w:rPr>
            </w:pPr>
            <w:r w:rsidRPr="006A0525">
              <w:rPr>
                <w:sz w:val="22"/>
                <w:szCs w:val="24"/>
              </w:rPr>
              <w:t>Age</w:t>
            </w:r>
          </w:p>
          <w:p w14:paraId="028C16CF" w14:textId="77777777" w:rsidR="00DB2611" w:rsidRPr="006A0525" w:rsidRDefault="00DB2611" w:rsidP="00DB2611">
            <w:pPr>
              <w:spacing w:before="120" w:after="120"/>
              <w:rPr>
                <w:sz w:val="22"/>
                <w:szCs w:val="24"/>
              </w:rPr>
            </w:pPr>
            <w:r w:rsidRPr="006A0525">
              <w:rPr>
                <w:sz w:val="22"/>
                <w:szCs w:val="24"/>
              </w:rPr>
              <w:t>Gender</w:t>
            </w:r>
          </w:p>
          <w:p w14:paraId="5353C6A2" w14:textId="77777777" w:rsidR="00DB2611" w:rsidRPr="006A0525" w:rsidRDefault="00DB2611" w:rsidP="00DB2611">
            <w:pPr>
              <w:spacing w:before="120" w:after="120"/>
              <w:rPr>
                <w:sz w:val="22"/>
                <w:szCs w:val="24"/>
              </w:rPr>
            </w:pPr>
            <w:r w:rsidRPr="006A0525">
              <w:rPr>
                <w:sz w:val="22"/>
                <w:szCs w:val="24"/>
              </w:rPr>
              <w:t>Socio-economic status</w:t>
            </w:r>
          </w:p>
        </w:tc>
        <w:tc>
          <w:tcPr>
            <w:tcW w:w="2127" w:type="dxa"/>
            <w:tcBorders>
              <w:top w:val="single" w:sz="4" w:space="0" w:color="auto"/>
              <w:left w:val="nil"/>
              <w:bottom w:val="single" w:sz="4" w:space="0" w:color="auto"/>
              <w:right w:val="nil"/>
            </w:tcBorders>
          </w:tcPr>
          <w:p w14:paraId="4FF820FA" w14:textId="77777777" w:rsidR="00DB2611" w:rsidRDefault="00DB2611" w:rsidP="00DB2611">
            <w:pPr>
              <w:spacing w:before="120" w:after="120"/>
              <w:rPr>
                <w:sz w:val="22"/>
                <w:szCs w:val="24"/>
              </w:rPr>
            </w:pPr>
            <w:r w:rsidRPr="006A0525">
              <w:rPr>
                <w:sz w:val="22"/>
                <w:szCs w:val="24"/>
              </w:rPr>
              <w:t>HBM</w:t>
            </w:r>
          </w:p>
          <w:p w14:paraId="7D15E56B" w14:textId="77777777" w:rsidR="00DB2611" w:rsidRDefault="00DB2611" w:rsidP="00DB2611">
            <w:pPr>
              <w:spacing w:before="120" w:after="120"/>
              <w:rPr>
                <w:sz w:val="22"/>
                <w:szCs w:val="24"/>
              </w:rPr>
            </w:pPr>
            <w:r w:rsidRPr="0032381A">
              <w:rPr>
                <w:sz w:val="22"/>
                <w:szCs w:val="24"/>
              </w:rPr>
              <w:t>HBM</w:t>
            </w:r>
          </w:p>
          <w:p w14:paraId="4C0F2877" w14:textId="77777777" w:rsidR="00DB2611" w:rsidRPr="006A0525" w:rsidRDefault="00DB2611" w:rsidP="00DB2611">
            <w:pPr>
              <w:spacing w:before="120" w:after="120"/>
              <w:rPr>
                <w:sz w:val="22"/>
                <w:szCs w:val="24"/>
              </w:rPr>
            </w:pPr>
            <w:r w:rsidRPr="0032381A">
              <w:rPr>
                <w:sz w:val="22"/>
                <w:szCs w:val="24"/>
              </w:rPr>
              <w:t>HBM</w:t>
            </w:r>
          </w:p>
        </w:tc>
      </w:tr>
      <w:tr w:rsidR="00DB2611" w:rsidRPr="00326CA6" w14:paraId="5457861A" w14:textId="77777777" w:rsidTr="00DB26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4" w:space="0" w:color="auto"/>
              <w:left w:val="nil"/>
              <w:bottom w:val="single" w:sz="4" w:space="0" w:color="auto"/>
              <w:right w:val="nil"/>
            </w:tcBorders>
          </w:tcPr>
          <w:p w14:paraId="4432F87C" w14:textId="77777777" w:rsidR="00DB2611" w:rsidRPr="00326CA6" w:rsidRDefault="00DB2611" w:rsidP="00DB2611">
            <w:pPr>
              <w:spacing w:before="120" w:after="120"/>
              <w:rPr>
                <w:b/>
                <w:szCs w:val="24"/>
              </w:rPr>
            </w:pPr>
            <w:r w:rsidRPr="00326CA6">
              <w:rPr>
                <w:b/>
                <w:szCs w:val="24"/>
              </w:rPr>
              <w:t xml:space="preserve">Past behaviour </w:t>
            </w:r>
          </w:p>
        </w:tc>
        <w:tc>
          <w:tcPr>
            <w:tcW w:w="3118" w:type="dxa"/>
            <w:tcBorders>
              <w:top w:val="single" w:sz="4" w:space="0" w:color="auto"/>
              <w:left w:val="nil"/>
              <w:bottom w:val="single" w:sz="4" w:space="0" w:color="auto"/>
              <w:right w:val="nil"/>
            </w:tcBorders>
          </w:tcPr>
          <w:p w14:paraId="72739678" w14:textId="77777777" w:rsidR="00DB2611" w:rsidRPr="006A0525" w:rsidRDefault="00DB2611" w:rsidP="00DB2611">
            <w:pPr>
              <w:spacing w:before="120" w:after="120"/>
              <w:rPr>
                <w:sz w:val="22"/>
                <w:szCs w:val="24"/>
                <w:highlight w:val="yellow"/>
              </w:rPr>
            </w:pPr>
            <w:r w:rsidRPr="006A0525">
              <w:rPr>
                <w:sz w:val="22"/>
                <w:szCs w:val="24"/>
              </w:rPr>
              <w:t>Past behaviour</w:t>
            </w:r>
          </w:p>
        </w:tc>
        <w:tc>
          <w:tcPr>
            <w:tcW w:w="2268" w:type="dxa"/>
            <w:tcBorders>
              <w:top w:val="single" w:sz="4" w:space="0" w:color="auto"/>
              <w:left w:val="nil"/>
              <w:bottom w:val="single" w:sz="4" w:space="0" w:color="auto"/>
              <w:right w:val="nil"/>
            </w:tcBorders>
          </w:tcPr>
          <w:p w14:paraId="5760693C" w14:textId="77777777" w:rsidR="00DB2611" w:rsidRPr="006A0525" w:rsidRDefault="00DB2611" w:rsidP="00DB2611">
            <w:pPr>
              <w:spacing w:before="120" w:after="120"/>
              <w:rPr>
                <w:sz w:val="22"/>
                <w:szCs w:val="24"/>
              </w:rPr>
            </w:pPr>
            <w:r w:rsidRPr="006A0525">
              <w:rPr>
                <w:sz w:val="22"/>
                <w:szCs w:val="24"/>
              </w:rPr>
              <w:t>Ever engaged in behaviour</w:t>
            </w:r>
          </w:p>
          <w:p w14:paraId="28B21584" w14:textId="77777777" w:rsidR="00DB2611" w:rsidRPr="006A0525" w:rsidRDefault="00DB2611" w:rsidP="00DB2611">
            <w:pPr>
              <w:spacing w:before="120" w:after="120"/>
              <w:rPr>
                <w:sz w:val="22"/>
                <w:szCs w:val="24"/>
              </w:rPr>
            </w:pPr>
            <w:r w:rsidRPr="006A0525">
              <w:rPr>
                <w:sz w:val="22"/>
                <w:szCs w:val="24"/>
              </w:rPr>
              <w:t>Never engaged in behaviour</w:t>
            </w:r>
          </w:p>
        </w:tc>
        <w:tc>
          <w:tcPr>
            <w:tcW w:w="2127" w:type="dxa"/>
            <w:tcBorders>
              <w:top w:val="single" w:sz="4" w:space="0" w:color="auto"/>
              <w:left w:val="nil"/>
              <w:bottom w:val="single" w:sz="4" w:space="0" w:color="auto"/>
              <w:right w:val="nil"/>
            </w:tcBorders>
          </w:tcPr>
          <w:p w14:paraId="52F01FF3" w14:textId="77777777" w:rsidR="00DB2611" w:rsidRPr="006A0525" w:rsidRDefault="00DB2611" w:rsidP="00DB2611">
            <w:pPr>
              <w:spacing w:before="120" w:after="120"/>
              <w:rPr>
                <w:sz w:val="22"/>
                <w:szCs w:val="24"/>
              </w:rPr>
            </w:pPr>
            <w:r w:rsidRPr="006A0525">
              <w:rPr>
                <w:sz w:val="22"/>
                <w:szCs w:val="24"/>
              </w:rPr>
              <w:t>PWT / BRT</w:t>
            </w:r>
          </w:p>
          <w:p w14:paraId="6106938E" w14:textId="77777777" w:rsidR="00DB2611" w:rsidRPr="006A0525" w:rsidRDefault="00DB2611" w:rsidP="00DB2611">
            <w:pPr>
              <w:spacing w:before="120" w:after="120"/>
              <w:rPr>
                <w:sz w:val="22"/>
                <w:szCs w:val="24"/>
              </w:rPr>
            </w:pPr>
            <w:r w:rsidRPr="006A0525">
              <w:rPr>
                <w:sz w:val="22"/>
                <w:szCs w:val="24"/>
              </w:rPr>
              <w:br/>
              <w:t>PWT / BRT</w:t>
            </w:r>
          </w:p>
        </w:tc>
      </w:tr>
    </w:tbl>
    <w:p w14:paraId="3CC07347" w14:textId="77777777" w:rsidR="00DB2611" w:rsidRDefault="00DB2611" w:rsidP="00DB2611">
      <w:pPr>
        <w:pStyle w:val="Heading2"/>
        <w:numPr>
          <w:ilvl w:val="0"/>
          <w:numId w:val="0"/>
        </w:numPr>
      </w:pPr>
    </w:p>
    <w:p w14:paraId="6FA194A4" w14:textId="062A1D88" w:rsidR="00E808F1" w:rsidRDefault="00E808F1" w:rsidP="00E808F1">
      <w:pPr>
        <w:pStyle w:val="Heading2"/>
      </w:pPr>
      <w:bookmarkStart w:id="369" w:name="_Toc35892648"/>
      <w:r>
        <w:t>Design and implementation</w:t>
      </w:r>
      <w:bookmarkEnd w:id="369"/>
      <w:r>
        <w:t xml:space="preserve"> </w:t>
      </w:r>
    </w:p>
    <w:p w14:paraId="24D03E28" w14:textId="2FF14916" w:rsidR="00E808F1" w:rsidRDefault="00E808F1" w:rsidP="00E808F1">
      <w:pPr>
        <w:spacing w:line="480" w:lineRule="auto"/>
      </w:pPr>
      <w:r>
        <w:t xml:space="preserve">A qualitative approach was chosen as qualitative methods are well suited for investigating </w:t>
      </w:r>
      <w:r w:rsidRPr="00326950">
        <w:t>newly developing social phenomena</w:t>
      </w:r>
      <w:r>
        <w:t xml:space="preserve"> and </w:t>
      </w:r>
      <w:r w:rsidRPr="002D2244">
        <w:t xml:space="preserve">subject matter </w:t>
      </w:r>
      <w:r>
        <w:t xml:space="preserve">that is </w:t>
      </w:r>
      <w:r w:rsidRPr="002D2244">
        <w:t>underdeveloped</w:t>
      </w:r>
      <w:r>
        <w:t xml:space="preserve"> or ill-defined (Ritchie &amp; Lewis, 2003). Qualitative methods have long been used as a prelude to quantitative studies, particularly where </w:t>
      </w:r>
      <w:r w:rsidR="00FB0389">
        <w:t xml:space="preserve">the </w:t>
      </w:r>
      <w:r w:rsidRPr="002D2244">
        <w:t xml:space="preserve">subject matter is complex, and some identification of underlying constructs is needed </w:t>
      </w:r>
      <w:r>
        <w:t xml:space="preserve">to guide the choice or development of explanatory theory around which </w:t>
      </w:r>
      <w:r w:rsidRPr="002D2244">
        <w:t xml:space="preserve">relevant questions can be structured. </w:t>
      </w:r>
      <w:r>
        <w:t xml:space="preserve">It is within this context that this research sits. In aiming to inform interventions, a primary objective of this work is to link NPS behaviour with a suitable explanatory theory. </w:t>
      </w:r>
      <w:r w:rsidRPr="008354F5">
        <w:t xml:space="preserve">The role of qualitative methods in identifying the important influences and in generating explanatory hypotheses </w:t>
      </w:r>
      <w:r>
        <w:t xml:space="preserve">is </w:t>
      </w:r>
      <w:r w:rsidRPr="008354F5">
        <w:t xml:space="preserve">widely recognised (Giddens, 1984; Layder, 1993; Lofland </w:t>
      </w:r>
      <w:r>
        <w:t>&amp;</w:t>
      </w:r>
      <w:r w:rsidRPr="008354F5">
        <w:t xml:space="preserve"> Lofland, 1995; Miles </w:t>
      </w:r>
      <w:r>
        <w:t>&amp;</w:t>
      </w:r>
      <w:r w:rsidRPr="008354F5">
        <w:t xml:space="preserve"> Huberman, 1994</w:t>
      </w:r>
      <w:r>
        <w:t>; Richards &amp; Richards, 1994</w:t>
      </w:r>
      <w:r w:rsidRPr="008354F5">
        <w:t>).</w:t>
      </w:r>
      <w:r w:rsidRPr="00326950">
        <w:t xml:space="preserve"> </w:t>
      </w:r>
      <w:r>
        <w:t xml:space="preserve">It is intended that once potential influences (model constructs) have been identified, the extent of their influence (i.e. predictive power) would be further interrogated at a later date, a task typically achieved though statistical analysis of surveys. Therefore, within the present work, a premium is placed on the diversity, rather than the generalisability, of potential influences, for which the </w:t>
      </w:r>
      <w:r w:rsidRPr="00326950">
        <w:t xml:space="preserve">open and generative nature of qualitative methods </w:t>
      </w:r>
      <w:r>
        <w:t xml:space="preserve">is ideally suited. </w:t>
      </w:r>
    </w:p>
    <w:p w14:paraId="26780B3C" w14:textId="77777777" w:rsidR="004E094E" w:rsidRDefault="004E094E">
      <w:pPr>
        <w:rPr>
          <w:b/>
          <w:bCs/>
          <w:color w:val="000000"/>
        </w:rPr>
      </w:pPr>
      <w:r>
        <w:br w:type="page"/>
      </w:r>
    </w:p>
    <w:p w14:paraId="70CC1F66" w14:textId="375FC683" w:rsidR="004E094E" w:rsidRPr="007309DC" w:rsidRDefault="004E094E" w:rsidP="004E094E">
      <w:pPr>
        <w:spacing w:after="160" w:line="480" w:lineRule="auto"/>
      </w:pPr>
      <w:r w:rsidRPr="007309DC">
        <w:t>However, the small sample sizes typical of qualitative research can lead to non-representative samples that are not a good reflection of the general population. Non-proportional representation can lead to a skewed sample and consequently create bias within the data. In particular, with a limited number of participants</w:t>
      </w:r>
      <w:r w:rsidR="00FB0389" w:rsidRPr="007309DC">
        <w:t>,</w:t>
      </w:r>
      <w:r w:rsidRPr="007309DC">
        <w:t xml:space="preserve"> it can be challenging to ensure adequate representation of people from diverse and underrepresented groups. To mitigate these issues as far as possible</w:t>
      </w:r>
      <w:r w:rsidR="00FB0389" w:rsidRPr="007309DC">
        <w:t>,</w:t>
      </w:r>
      <w:r w:rsidRPr="007309DC">
        <w:t xml:space="preserve"> whilst retaining a pragmatic approach, multiple focus groups were organised together with several community groups. </w:t>
      </w:r>
      <w:r w:rsidR="00FB0389" w:rsidRPr="007309DC">
        <w:t>R</w:t>
      </w:r>
      <w:r w:rsidRPr="007309DC">
        <w:t>ecruitment through a single channel might</w:t>
      </w:r>
      <w:r w:rsidR="00FB0389" w:rsidRPr="007309DC">
        <w:t xml:space="preserve"> have</w:t>
      </w:r>
      <w:r w:rsidRPr="007309DC">
        <w:t xml:space="preserve"> reduce</w:t>
      </w:r>
      <w:r w:rsidR="00FB0389" w:rsidRPr="007309DC">
        <w:t>d</w:t>
      </w:r>
      <w:r w:rsidRPr="007309DC">
        <w:t xml:space="preserve"> the heterogeneity of the sample</w:t>
      </w:r>
      <w:r w:rsidR="00FB0389" w:rsidRPr="007309DC">
        <w:t>,</w:t>
      </w:r>
      <w:r w:rsidRPr="007309DC">
        <w:t xml:space="preserve"> it was intended that collaboration with several groups with a variety of membership and core interests would improve the diversity and representativeness of the sample. The community groups involved in the research engaged young people from a range of demographics including those from high and low SES backgrounds, those in employment and the unemployed, young people from secondary colleges, tertiary colleges and universities as well as a range of ethnicities. Each study incorporated three focus groups and participant recruitment aimed to encourage as many young people to attend as was practical for each group in order to account for participant drop out.   </w:t>
      </w:r>
    </w:p>
    <w:p w14:paraId="33C0BD8D" w14:textId="77777777" w:rsidR="004E094E" w:rsidRDefault="004E094E">
      <w:pPr>
        <w:rPr>
          <w:b/>
          <w:bCs/>
          <w:color w:val="000000"/>
        </w:rPr>
      </w:pPr>
      <w:r>
        <w:br w:type="page"/>
      </w:r>
    </w:p>
    <w:p w14:paraId="63ED51A1" w14:textId="2F676B56" w:rsidR="00E808F1" w:rsidRPr="001C4671" w:rsidRDefault="00E808F1" w:rsidP="00E808F1">
      <w:pPr>
        <w:pStyle w:val="Heading3"/>
      </w:pPr>
      <w:bookmarkStart w:id="370" w:name="_Toc35892649"/>
      <w:r w:rsidRPr="001C4671">
        <w:t>Community</w:t>
      </w:r>
      <w:r w:rsidR="00FB0389">
        <w:t>-</w:t>
      </w:r>
      <w:r w:rsidRPr="001C4671">
        <w:t>focused research</w:t>
      </w:r>
      <w:bookmarkEnd w:id="370"/>
    </w:p>
    <w:p w14:paraId="27967CD9" w14:textId="759A5DE9" w:rsidR="002A3071" w:rsidRPr="007309DC" w:rsidRDefault="002A3071" w:rsidP="002A3071">
      <w:pPr>
        <w:spacing w:after="160" w:line="480" w:lineRule="auto"/>
        <w:rPr>
          <w:b/>
          <w:bCs/>
        </w:rPr>
      </w:pPr>
      <w:bookmarkStart w:id="371" w:name="_Hlk35770741"/>
      <w:r w:rsidRPr="007309DC">
        <w:t>The target population of interest was young people in the general population. However, recruiting a representative sample of young people for a small scale study on a sensitive topic presents a number of practical issues. Due</w:t>
      </w:r>
      <w:r w:rsidR="00FB0389" w:rsidRPr="007309DC">
        <w:t xml:space="preserve"> to</w:t>
      </w:r>
      <w:r w:rsidRPr="007309DC">
        <w:t xml:space="preserve"> the age of the participants and potential sensitivity of the research topic</w:t>
      </w:r>
      <w:r w:rsidR="00FB0389" w:rsidRPr="007309DC">
        <w:t>,</w:t>
      </w:r>
      <w:r w:rsidRPr="007309DC">
        <w:t xml:space="preserve"> it was deemed necessary to recruit participants in collaboration with organisations capable of safeguarding the young people taking part. However, recruitment via </w:t>
      </w:r>
      <w:bookmarkStart w:id="372" w:name="_Hlk35771187"/>
      <w:r w:rsidRPr="007309DC">
        <w:t xml:space="preserve">a single organisation such as a University department is likely to result in samples that are not a good representation of the general population (Barry, 2011; Hart et al., 2016). Consequently, the decision was made to work with a variety of local Yorkshire-based community youth groups. </w:t>
      </w:r>
    </w:p>
    <w:p w14:paraId="53405D68" w14:textId="49892DDB" w:rsidR="002A3071" w:rsidRPr="007309DC" w:rsidRDefault="002A3071" w:rsidP="002A3071">
      <w:pPr>
        <w:pStyle w:val="Thesismaintext"/>
        <w:spacing w:line="480" w:lineRule="auto"/>
        <w:rPr>
          <w:szCs w:val="24"/>
        </w:rPr>
      </w:pPr>
      <w:r w:rsidRPr="007309DC">
        <w:rPr>
          <w:szCs w:val="24"/>
        </w:rPr>
        <w:t>The project engaged with local community groups from the outset, in recognition of the importance of involving communities in research and encouraging participants to take an active role in the research process (Hart et al., 2016). Engaging with young people from the target population in the present research not only improved the relevance of the research but also ensured that the design and materials were suitable and well</w:t>
      </w:r>
      <w:r w:rsidR="00FB0389" w:rsidRPr="007309DC">
        <w:rPr>
          <w:szCs w:val="24"/>
        </w:rPr>
        <w:t>-</w:t>
      </w:r>
      <w:r w:rsidRPr="007309DC">
        <w:rPr>
          <w:szCs w:val="24"/>
        </w:rPr>
        <w:t xml:space="preserve">targeted. </w:t>
      </w:r>
    </w:p>
    <w:p w14:paraId="674C510B" w14:textId="2EB10406" w:rsidR="002A3071" w:rsidRPr="007309DC" w:rsidRDefault="002A3071" w:rsidP="002A3071">
      <w:pPr>
        <w:spacing w:after="160" w:line="480" w:lineRule="auto"/>
      </w:pPr>
      <w:r w:rsidRPr="007309DC">
        <w:t>The groups that took part in the research were chosen on the basis of both practical and methodological considerations. As community groups typically develop around set of shared values</w:t>
      </w:r>
      <w:r w:rsidR="00FB0389" w:rsidRPr="007309DC">
        <w:t>,</w:t>
      </w:r>
      <w:r w:rsidRPr="007309DC">
        <w:t xml:space="preserve"> each group is likely to represent a biased sample in some way. By working with several different groups drawing on slightly different populations, the intention was to reduce bias and increase the overall diversity of the sample population. However, recruitment of the groups was also dependant on their willingness to engage with the project which inevitably skewed the sample towards community groups with a vested interest in the research topic.      </w:t>
      </w:r>
    </w:p>
    <w:p w14:paraId="3A37A70E" w14:textId="77777777" w:rsidR="002A3071" w:rsidRPr="007309DC" w:rsidRDefault="002A3071" w:rsidP="002A3071">
      <w:pPr>
        <w:spacing w:after="160" w:line="480" w:lineRule="auto"/>
        <w:rPr>
          <w:szCs w:val="24"/>
        </w:rPr>
      </w:pPr>
      <w:r w:rsidRPr="007309DC">
        <w:rPr>
          <w:szCs w:val="24"/>
        </w:rPr>
        <w:t xml:space="preserve">Sheffield Young Advisors were the first group invited to take part. The group was approached following discussion with Sheffield Futures, a local youth charity with links to one of the supervisors of the present research. Following an initial introduction, a meeting was organised </w:t>
      </w:r>
    </w:p>
    <w:p w14:paraId="0A8D7589" w14:textId="77777777" w:rsidR="002A3071" w:rsidRPr="007309DC" w:rsidRDefault="002A3071">
      <w:pPr>
        <w:rPr>
          <w:szCs w:val="24"/>
        </w:rPr>
      </w:pPr>
      <w:r w:rsidRPr="007309DC">
        <w:rPr>
          <w:szCs w:val="24"/>
        </w:rPr>
        <w:br w:type="page"/>
      </w:r>
    </w:p>
    <w:p w14:paraId="75CE1345" w14:textId="041090BE" w:rsidR="002A3071" w:rsidRPr="007309DC" w:rsidRDefault="002A3071" w:rsidP="002A3071">
      <w:pPr>
        <w:spacing w:after="160" w:line="480" w:lineRule="auto"/>
        <w:rPr>
          <w:szCs w:val="24"/>
        </w:rPr>
      </w:pPr>
      <w:r w:rsidRPr="007309DC">
        <w:rPr>
          <w:szCs w:val="24"/>
        </w:rPr>
        <w:t xml:space="preserve">between the researcher and the Sheffield Futures Youth Involvement Team. The Youth Involvement Team agreed to help with recruitment and identified the Sheffield Young Advisors, Young Healthwatch Sheffield and Sheffield Interchange as appropriate groups to invite onto the project. Initial introductions were made by email, following which all three groups accepted an invitation to take part. </w:t>
      </w:r>
    </w:p>
    <w:p w14:paraId="7DC63D11" w14:textId="4DCA3D82" w:rsidR="002A3071" w:rsidRPr="007309DC" w:rsidRDefault="002A3071" w:rsidP="002A3071">
      <w:pPr>
        <w:spacing w:after="160" w:line="480" w:lineRule="auto"/>
        <w:rPr>
          <w:szCs w:val="24"/>
        </w:rPr>
      </w:pPr>
      <w:r w:rsidRPr="007309DC">
        <w:rPr>
          <w:szCs w:val="24"/>
        </w:rPr>
        <w:t>Additional groups were identified through a combination of web searches, telephone queries with a local volunteering agency, a local drug support service, Sheffield council and discussions with contacts at the existing groups. Potential groups were targeted if they were thought likely to have an interest in drug</w:t>
      </w:r>
      <w:r w:rsidR="00FB0389" w:rsidRPr="007309DC">
        <w:rPr>
          <w:szCs w:val="24"/>
        </w:rPr>
        <w:t>-</w:t>
      </w:r>
      <w:r w:rsidRPr="007309DC">
        <w:rPr>
          <w:szCs w:val="24"/>
        </w:rPr>
        <w:t xml:space="preserve">related issues but did not specialise in offering drug services (e.g. youth groups with a focus on social, health, or mental health issues, sexuality, advocacy, justice or empowerment). </w:t>
      </w:r>
    </w:p>
    <w:p w14:paraId="3921B0E2" w14:textId="77777777" w:rsidR="002A3071" w:rsidRPr="007309DC" w:rsidRDefault="002A3071" w:rsidP="002A3071">
      <w:pPr>
        <w:spacing w:after="160" w:line="480" w:lineRule="auto"/>
        <w:rPr>
          <w:szCs w:val="24"/>
        </w:rPr>
      </w:pPr>
      <w:r w:rsidRPr="007309DC">
        <w:rPr>
          <w:szCs w:val="24"/>
        </w:rPr>
        <w:t xml:space="preserve">Each group was contacted by email and invited to take part in the project. Five group facilitators responded with interest, two groups dropped out in the early stages due to difficulties with funding and three groups agreed to take part. Once an agreement was made and any questions were answered, focus group participants were recruited in collaboration with the group facilitators following the procedure outlined in section 5.6.4. It is recognised that several groups had a particular focus on young people from disadvantaged backgrounds, however, this was not considered to present a problem for the research as young people facing disadvantage may be at greater risk of NPS use (ACMD, 2011). </w:t>
      </w:r>
    </w:p>
    <w:p w14:paraId="1CAF3ED6" w14:textId="6FE2B832" w:rsidR="002A3071" w:rsidRPr="007309DC" w:rsidRDefault="002A3071" w:rsidP="00E808F1">
      <w:pPr>
        <w:pStyle w:val="Thesismaintext"/>
        <w:spacing w:line="480" w:lineRule="auto"/>
        <w:rPr>
          <w:szCs w:val="24"/>
        </w:rPr>
      </w:pPr>
      <w:r w:rsidRPr="007309DC">
        <w:rPr>
          <w:szCs w:val="24"/>
        </w:rPr>
        <w:t xml:space="preserve">Six community groups took part in the research: </w:t>
      </w:r>
      <w:bookmarkEnd w:id="372"/>
    </w:p>
    <w:bookmarkEnd w:id="371"/>
    <w:p w14:paraId="12FE770E" w14:textId="77777777" w:rsidR="00E808F1" w:rsidRDefault="00E808F1" w:rsidP="00C92BD2">
      <w:pPr>
        <w:pStyle w:val="Thesismaintext"/>
        <w:numPr>
          <w:ilvl w:val="0"/>
          <w:numId w:val="39"/>
        </w:numPr>
        <w:spacing w:line="480" w:lineRule="auto"/>
        <w:rPr>
          <w:szCs w:val="24"/>
        </w:rPr>
      </w:pPr>
      <w:r w:rsidRPr="00F652B6">
        <w:rPr>
          <w:b/>
          <w:sz w:val="22"/>
          <w:szCs w:val="24"/>
        </w:rPr>
        <w:t>Sheffield Young Advisors (SYA)</w:t>
      </w:r>
      <w:r w:rsidRPr="00F652B6">
        <w:rPr>
          <w:i/>
          <w:sz w:val="22"/>
          <w:szCs w:val="24"/>
        </w:rPr>
        <w:t xml:space="preserve"> </w:t>
      </w:r>
      <w:r w:rsidRPr="00AA6830">
        <w:rPr>
          <w:i/>
          <w:szCs w:val="24"/>
        </w:rPr>
        <w:br/>
      </w:r>
      <w:r>
        <w:rPr>
          <w:szCs w:val="24"/>
        </w:rPr>
        <w:t xml:space="preserve">A youth consultancy and advocacy group </w:t>
      </w:r>
      <w:r>
        <w:rPr>
          <w:color w:val="000000"/>
          <w:szCs w:val="24"/>
        </w:rPr>
        <w:t>run by Sheffield Futures, a local independent charity that supports young people with personal development</w:t>
      </w:r>
      <w:r>
        <w:rPr>
          <w:szCs w:val="24"/>
        </w:rPr>
        <w:t>.</w:t>
      </w:r>
    </w:p>
    <w:p w14:paraId="20C82220" w14:textId="77777777" w:rsidR="002A3071" w:rsidRDefault="002A3071">
      <w:pPr>
        <w:rPr>
          <w:b/>
          <w:sz w:val="22"/>
          <w:szCs w:val="24"/>
        </w:rPr>
      </w:pPr>
      <w:r>
        <w:rPr>
          <w:b/>
          <w:sz w:val="22"/>
          <w:szCs w:val="24"/>
        </w:rPr>
        <w:br w:type="page"/>
      </w:r>
    </w:p>
    <w:p w14:paraId="472A08FC" w14:textId="5B9FE95B" w:rsidR="00E808F1" w:rsidRDefault="00E808F1" w:rsidP="00C92BD2">
      <w:pPr>
        <w:pStyle w:val="Thesismaintext"/>
        <w:numPr>
          <w:ilvl w:val="0"/>
          <w:numId w:val="39"/>
        </w:numPr>
        <w:spacing w:line="480" w:lineRule="auto"/>
        <w:rPr>
          <w:szCs w:val="24"/>
        </w:rPr>
      </w:pPr>
      <w:r w:rsidRPr="00F652B6">
        <w:rPr>
          <w:b/>
          <w:sz w:val="22"/>
          <w:szCs w:val="24"/>
        </w:rPr>
        <w:t>Sheffield Interchange (SIC)</w:t>
      </w:r>
      <w:r w:rsidRPr="00F652B6">
        <w:rPr>
          <w:i/>
          <w:sz w:val="22"/>
          <w:szCs w:val="24"/>
        </w:rPr>
        <w:t xml:space="preserve"> </w:t>
      </w:r>
      <w:r w:rsidRPr="00AA6830">
        <w:rPr>
          <w:i/>
          <w:szCs w:val="24"/>
        </w:rPr>
        <w:br/>
      </w:r>
      <w:r>
        <w:rPr>
          <w:szCs w:val="24"/>
        </w:rPr>
        <w:t xml:space="preserve">A </w:t>
      </w:r>
      <w:r>
        <w:rPr>
          <w:color w:val="000000"/>
          <w:szCs w:val="24"/>
        </w:rPr>
        <w:t>group supporting young people with mental health issues</w:t>
      </w:r>
      <w:r>
        <w:rPr>
          <w:szCs w:val="24"/>
        </w:rPr>
        <w:t>.</w:t>
      </w:r>
    </w:p>
    <w:p w14:paraId="32A78E87" w14:textId="77777777" w:rsidR="00E808F1" w:rsidRDefault="00E808F1" w:rsidP="00C92BD2">
      <w:pPr>
        <w:pStyle w:val="Thesismaintext"/>
        <w:numPr>
          <w:ilvl w:val="0"/>
          <w:numId w:val="39"/>
        </w:numPr>
        <w:spacing w:line="480" w:lineRule="auto"/>
        <w:rPr>
          <w:szCs w:val="24"/>
        </w:rPr>
      </w:pPr>
      <w:r w:rsidRPr="00F652B6">
        <w:rPr>
          <w:b/>
          <w:sz w:val="22"/>
          <w:szCs w:val="24"/>
        </w:rPr>
        <w:t>Young Healthwatch Sheffield (YHS)</w:t>
      </w:r>
      <w:r w:rsidRPr="00F652B6">
        <w:rPr>
          <w:i/>
          <w:sz w:val="22"/>
          <w:szCs w:val="24"/>
        </w:rPr>
        <w:t xml:space="preserve"> </w:t>
      </w:r>
      <w:r w:rsidRPr="00AA6830">
        <w:rPr>
          <w:i/>
          <w:szCs w:val="24"/>
        </w:rPr>
        <w:br/>
      </w:r>
      <w:r>
        <w:rPr>
          <w:szCs w:val="24"/>
        </w:rPr>
        <w:t xml:space="preserve">An advocacy group for children and young people’s health in Sheffield. </w:t>
      </w:r>
    </w:p>
    <w:p w14:paraId="6113A8DB" w14:textId="77777777" w:rsidR="00E808F1" w:rsidRDefault="00E808F1" w:rsidP="00C92BD2">
      <w:pPr>
        <w:pStyle w:val="Thesismaintext"/>
        <w:numPr>
          <w:ilvl w:val="0"/>
          <w:numId w:val="39"/>
        </w:numPr>
        <w:spacing w:line="480" w:lineRule="auto"/>
        <w:rPr>
          <w:szCs w:val="24"/>
        </w:rPr>
      </w:pPr>
      <w:r w:rsidRPr="00F652B6">
        <w:rPr>
          <w:b/>
          <w:sz w:val="22"/>
          <w:szCs w:val="24"/>
        </w:rPr>
        <w:t>Young Healthwatch Leeds (YHL)</w:t>
      </w:r>
      <w:r w:rsidRPr="00F652B6">
        <w:rPr>
          <w:i/>
          <w:sz w:val="22"/>
          <w:szCs w:val="24"/>
        </w:rPr>
        <w:t xml:space="preserve"> </w:t>
      </w:r>
      <w:r w:rsidRPr="00AA6830">
        <w:rPr>
          <w:i/>
          <w:szCs w:val="24"/>
        </w:rPr>
        <w:br/>
      </w:r>
      <w:r>
        <w:rPr>
          <w:szCs w:val="24"/>
        </w:rPr>
        <w:t>An advocacy group for children and young people’s health in Leeds.</w:t>
      </w:r>
    </w:p>
    <w:p w14:paraId="4A41D544" w14:textId="77777777" w:rsidR="00E808F1" w:rsidRDefault="00E808F1" w:rsidP="00C92BD2">
      <w:pPr>
        <w:pStyle w:val="Thesismaintext"/>
        <w:numPr>
          <w:ilvl w:val="0"/>
          <w:numId w:val="39"/>
        </w:numPr>
        <w:spacing w:line="480" w:lineRule="auto"/>
        <w:rPr>
          <w:szCs w:val="24"/>
        </w:rPr>
      </w:pPr>
      <w:r w:rsidRPr="00F652B6">
        <w:rPr>
          <w:b/>
          <w:sz w:val="22"/>
          <w:szCs w:val="24"/>
        </w:rPr>
        <w:t>Chilypep Sheffield (CPS</w:t>
      </w:r>
      <w:r w:rsidRPr="00F652B6">
        <w:rPr>
          <w:i/>
          <w:sz w:val="22"/>
          <w:szCs w:val="24"/>
        </w:rPr>
        <w:t xml:space="preserve">) </w:t>
      </w:r>
      <w:r w:rsidRPr="00AA6830">
        <w:rPr>
          <w:i/>
          <w:szCs w:val="24"/>
        </w:rPr>
        <w:br/>
      </w:r>
      <w:r>
        <w:rPr>
          <w:szCs w:val="24"/>
        </w:rPr>
        <w:t xml:space="preserve">An empowerment project supporting </w:t>
      </w:r>
      <w:r>
        <w:rPr>
          <w:color w:val="000000"/>
          <w:szCs w:val="24"/>
        </w:rPr>
        <w:t>disadvantaged young people</w:t>
      </w:r>
      <w:r>
        <w:rPr>
          <w:szCs w:val="24"/>
        </w:rPr>
        <w:t xml:space="preserve">.  </w:t>
      </w:r>
    </w:p>
    <w:p w14:paraId="5A9F6745" w14:textId="77777777" w:rsidR="00E808F1" w:rsidRDefault="00E808F1" w:rsidP="00C92BD2">
      <w:pPr>
        <w:pStyle w:val="Thesismaintext"/>
        <w:numPr>
          <w:ilvl w:val="0"/>
          <w:numId w:val="39"/>
        </w:numPr>
        <w:spacing w:line="480" w:lineRule="auto"/>
        <w:rPr>
          <w:szCs w:val="24"/>
        </w:rPr>
      </w:pPr>
      <w:r w:rsidRPr="00F652B6">
        <w:rPr>
          <w:b/>
          <w:sz w:val="22"/>
          <w:szCs w:val="24"/>
        </w:rPr>
        <w:t>Doncaster Housing for Young people (DHY)</w:t>
      </w:r>
      <w:r w:rsidRPr="00F652B6">
        <w:rPr>
          <w:i/>
          <w:sz w:val="22"/>
          <w:szCs w:val="24"/>
        </w:rPr>
        <w:t xml:space="preserve"> </w:t>
      </w:r>
      <w:r w:rsidRPr="00AA6830">
        <w:rPr>
          <w:i/>
          <w:szCs w:val="24"/>
        </w:rPr>
        <w:br/>
      </w:r>
      <w:r>
        <w:rPr>
          <w:szCs w:val="24"/>
        </w:rPr>
        <w:t xml:space="preserve">A group supporting young people at risk of homelessness. </w:t>
      </w:r>
    </w:p>
    <w:p w14:paraId="7BC16C23" w14:textId="77777777" w:rsidR="003D4E79" w:rsidRDefault="00E808F1" w:rsidP="00E808F1">
      <w:pPr>
        <w:pStyle w:val="Thesismaintext"/>
        <w:spacing w:line="480" w:lineRule="auto"/>
        <w:rPr>
          <w:szCs w:val="24"/>
        </w:rPr>
      </w:pPr>
      <w:r w:rsidRPr="00F652B6">
        <w:rPr>
          <w:color w:val="000000"/>
          <w:szCs w:val="24"/>
        </w:rPr>
        <w:t>In addition, Sheffield Futures Young People's Involvement Team agreed to host an advisory group of young people (n=15) for consultation purposes.</w:t>
      </w:r>
      <w:r w:rsidRPr="00F652B6">
        <w:rPr>
          <w:szCs w:val="24"/>
        </w:rPr>
        <w:t xml:space="preserve"> Working with community groups facilitated engagement with a more diverse range of young people than would have been </w:t>
      </w:r>
    </w:p>
    <w:p w14:paraId="3049AC8A" w14:textId="62A67094" w:rsidR="00E808F1" w:rsidRPr="00F652B6" w:rsidRDefault="00E808F1" w:rsidP="00E808F1">
      <w:pPr>
        <w:pStyle w:val="Thesismaintext"/>
        <w:spacing w:line="480" w:lineRule="auto"/>
        <w:rPr>
          <w:szCs w:val="24"/>
        </w:rPr>
      </w:pPr>
      <w:r w:rsidRPr="00F652B6">
        <w:rPr>
          <w:szCs w:val="24"/>
        </w:rPr>
        <w:t>recruited th</w:t>
      </w:r>
      <w:r w:rsidR="00FB0389">
        <w:rPr>
          <w:szCs w:val="24"/>
        </w:rPr>
        <w:t>r</w:t>
      </w:r>
      <w:r w:rsidRPr="00F652B6">
        <w:rPr>
          <w:szCs w:val="24"/>
        </w:rPr>
        <w:t xml:space="preserve">ough university channels (Barry, 2011). In particular, collaborating with the community groups for recruitment ensured the inclusion of young people from low SES backgrounds, ethnic minorities and with experience of mental health issues which was considered important in the light of the apparent neglect of inequalities issues in the drug-intervention evidence base (Jepson et. al., 2010). Including a diverse range of young people with insight into the everyday health concerns of young people in the city was an important driver of the research, and it was through consultation with Sheffield Young Advisors that the focus on NPS was determined. The group of 15 young people ranging in age from 16 to 26 identified ‘legal highs’ as an important issue which they and their friends were facing. </w:t>
      </w:r>
    </w:p>
    <w:p w14:paraId="156D083F" w14:textId="77777777" w:rsidR="00E808F1" w:rsidRDefault="00E808F1" w:rsidP="00E808F1">
      <w:pPr>
        <w:pStyle w:val="Heading3"/>
      </w:pPr>
      <w:bookmarkStart w:id="373" w:name="_Toc35892650"/>
      <w:bookmarkStart w:id="374" w:name="_Hlk3534127"/>
      <w:r>
        <w:t>Focus groups</w:t>
      </w:r>
      <w:bookmarkEnd w:id="373"/>
      <w:r w:rsidRPr="00A85E79">
        <w:t xml:space="preserve"> </w:t>
      </w:r>
    </w:p>
    <w:p w14:paraId="12E211C3" w14:textId="2639BB21" w:rsidR="00E808F1" w:rsidRPr="00D34DFB" w:rsidRDefault="00E808F1" w:rsidP="00E808F1">
      <w:pPr>
        <w:pStyle w:val="Thesismaintext"/>
        <w:spacing w:line="480" w:lineRule="auto"/>
      </w:pPr>
      <w:r w:rsidRPr="00CF3D93">
        <w:rPr>
          <w:szCs w:val="24"/>
        </w:rPr>
        <w:t xml:space="preserve">All three studies </w:t>
      </w:r>
      <w:r>
        <w:rPr>
          <w:szCs w:val="24"/>
        </w:rPr>
        <w:t xml:space="preserve">used a focus group methodology. </w:t>
      </w:r>
      <w:r>
        <w:t xml:space="preserve">Given the age of the participants and potential inexperience of some, focus groups </w:t>
      </w:r>
      <w:r>
        <w:rPr>
          <w:szCs w:val="24"/>
        </w:rPr>
        <w:t xml:space="preserve">located within familiar community group spaces offered an appropriate way to explore sensitive issues in a safe and encouraging environment. Furthermore, the social processes within a group setting can encourage deeper reflection as participants ask questions of each other, seek clarification and consider their own standpoint further (Finch &amp; Lewis, 2003). This deeper reflection is important for helping participants develop and express their insights into their own and others’ attitudes and behaviour, helping the group move beyond standard responses. Another advantage of focus groups is that </w:t>
      </w:r>
      <w:r>
        <w:t xml:space="preserve">the synergy created by a group dynamic can encourage contributions from people who might be reluctant to talk on their own or feel they have nothing to say (Ashar &amp; Lane, 1993; Catterall &amp; Maclaran, 1997; </w:t>
      </w:r>
      <w:r>
        <w:rPr>
          <w:szCs w:val="24"/>
        </w:rPr>
        <w:t xml:space="preserve">Finch &amp; Lewis, 2003; </w:t>
      </w:r>
      <w:r>
        <w:t xml:space="preserve">van Teijlingen &amp; Pitchforth, 2006). Thus, social processes may encourage a greater diversity of responses and reveal a broader range of influences on young people’s behaviour. </w:t>
      </w:r>
      <w:bookmarkEnd w:id="374"/>
    </w:p>
    <w:p w14:paraId="05D01426" w14:textId="0ACFDEEF" w:rsidR="00E808F1" w:rsidRPr="0014136B" w:rsidRDefault="00E808F1" w:rsidP="00E808F1">
      <w:pPr>
        <w:pStyle w:val="Thesismaintext"/>
        <w:spacing w:line="480" w:lineRule="auto"/>
      </w:pPr>
      <w:r w:rsidRPr="00D34DFB">
        <w:t>The target sample size and number of focus groups was based on the likelihood of reaching</w:t>
      </w:r>
      <w:r w:rsidR="002A3071">
        <w:t xml:space="preserve"> </w:t>
      </w:r>
      <w:r w:rsidRPr="00D34DFB">
        <w:t>data saturation, that is the point when additional focus group data produces little new information in the coding analysis (Guest et al</w:t>
      </w:r>
      <w:r w:rsidR="004C4795">
        <w:t>.</w:t>
      </w:r>
      <w:r w:rsidRPr="00D34DFB">
        <w:t xml:space="preserve">, 2006). The modal size for focus groups is recommended as eight participants, and the recommended minimum number of focus groups required to achieve identification of at least 90% of the most prevalent themes using inductive thematic analysis is three (Guest et al., 2016). Accordingly, </w:t>
      </w:r>
      <w:r>
        <w:t>each</w:t>
      </w:r>
      <w:r w:rsidRPr="00D34DFB">
        <w:t xml:space="preserve"> study used three focus groups with a target of ten participants per group</w:t>
      </w:r>
      <w:r>
        <w:t xml:space="preserve"> (to allow for drop-out).</w:t>
      </w:r>
    </w:p>
    <w:p w14:paraId="4501426E" w14:textId="77777777" w:rsidR="002A3071" w:rsidRDefault="002A3071">
      <w:pPr>
        <w:rPr>
          <w:b/>
          <w:bCs/>
          <w:color w:val="000000"/>
        </w:rPr>
      </w:pPr>
      <w:r>
        <w:br w:type="page"/>
      </w:r>
    </w:p>
    <w:p w14:paraId="1AA1B306" w14:textId="63A82787" w:rsidR="00E808F1" w:rsidRPr="00B85D7F" w:rsidRDefault="00E808F1" w:rsidP="00E808F1">
      <w:pPr>
        <w:pStyle w:val="Heading3"/>
      </w:pPr>
      <w:bookmarkStart w:id="375" w:name="_Toc35892651"/>
      <w:r w:rsidRPr="00B85D7F">
        <w:t>Participants</w:t>
      </w:r>
      <w:bookmarkEnd w:id="375"/>
      <w:r w:rsidRPr="00B85D7F">
        <w:t xml:space="preserve"> </w:t>
      </w:r>
    </w:p>
    <w:p w14:paraId="485DB004" w14:textId="3845956F" w:rsidR="00E808F1" w:rsidRDefault="00E808F1" w:rsidP="00E808F1">
      <w:pPr>
        <w:spacing w:line="480" w:lineRule="auto"/>
        <w:rPr>
          <w:color w:val="000000"/>
          <w:szCs w:val="24"/>
          <w:lang w:eastAsia="en-GB"/>
        </w:rPr>
      </w:pPr>
      <w:r>
        <w:rPr>
          <w:color w:val="000000"/>
          <w:szCs w:val="24"/>
        </w:rPr>
        <w:t>The target demographic was young people from the general population. The intention was to include users and non-users of NPS and traditional drugs, ideally with rates of use comparable with the wider population of young people in the UK. The study did not target groups with specific drug</w:t>
      </w:r>
      <w:r w:rsidR="00FB0389">
        <w:rPr>
          <w:color w:val="000000"/>
          <w:szCs w:val="24"/>
        </w:rPr>
        <w:t>-</w:t>
      </w:r>
      <w:r>
        <w:rPr>
          <w:color w:val="000000"/>
          <w:szCs w:val="24"/>
        </w:rPr>
        <w:t xml:space="preserve">related issues or problem drug use as other types of intervention such as one-to-one therapeutic approaches would be more suitable for people with substance dependency (NICE, 2017). Study participants were a diverse group of young people aged 16–25 from a variety of postcode areas in Sheffield, Leeds and Doncaster. This age group falls into a range identified as most likely to initiate use of psychoactive substances and use recreational drugs more frequently than other age groups (CSEW, 2015), and is potentially at higher risk of acute harms associated with NPS use (EMCDDA, 2018). </w:t>
      </w:r>
      <w:r w:rsidR="002A3071" w:rsidRPr="00083CFD">
        <w:rPr>
          <w:color w:val="0070C0"/>
        </w:rPr>
        <w:t xml:space="preserve">Diversity in this instance refers to young people from a range of social, ethnic and economic groups with various levels of education and employment as well as the inclusion of diverse sexual orientations and young people with a variety of mental health issues. </w:t>
      </w:r>
      <w:r>
        <w:rPr>
          <w:color w:val="000000"/>
          <w:szCs w:val="24"/>
        </w:rPr>
        <w:t xml:space="preserve">The specific age range used for the study reflected the classification of young people by the community groups.  </w:t>
      </w:r>
      <w:r w:rsidRPr="00700EA6">
        <w:rPr>
          <w:color w:val="000000"/>
          <w:szCs w:val="24"/>
          <w:lang w:eastAsia="en-GB"/>
        </w:rPr>
        <w:t>The diversity of the sample was intended on the one hand to draw attention to the perspectives of groups who might be missed had the work been restricted to a sample of university students</w:t>
      </w:r>
      <w:r>
        <w:rPr>
          <w:color w:val="000000"/>
          <w:szCs w:val="24"/>
          <w:lang w:eastAsia="en-GB"/>
        </w:rPr>
        <w:t>,</w:t>
      </w:r>
      <w:r w:rsidRPr="00700EA6">
        <w:rPr>
          <w:color w:val="000000"/>
          <w:szCs w:val="24"/>
          <w:lang w:eastAsia="en-GB"/>
        </w:rPr>
        <w:t xml:space="preserve"> as is typical in much psychological inquiry in non-clinical settings, and on the other to triangulate upon the most commonly held beliefs across</w:t>
      </w:r>
      <w:r>
        <w:rPr>
          <w:color w:val="000000"/>
          <w:szCs w:val="24"/>
          <w:lang w:eastAsia="en-GB"/>
        </w:rPr>
        <w:t xml:space="preserve"> several</w:t>
      </w:r>
      <w:r w:rsidRPr="00700EA6">
        <w:rPr>
          <w:color w:val="000000"/>
          <w:szCs w:val="24"/>
          <w:lang w:eastAsia="en-GB"/>
        </w:rPr>
        <w:t xml:space="preserve"> contexts.</w:t>
      </w:r>
    </w:p>
    <w:p w14:paraId="2FFA4B65" w14:textId="77777777" w:rsidR="003D4E79" w:rsidRPr="00A050A1" w:rsidRDefault="003D4E79" w:rsidP="00E808F1">
      <w:pPr>
        <w:spacing w:line="480" w:lineRule="auto"/>
      </w:pPr>
    </w:p>
    <w:p w14:paraId="7F72D282" w14:textId="77777777" w:rsidR="002A3071" w:rsidRDefault="002A3071">
      <w:pPr>
        <w:rPr>
          <w:b/>
          <w:bCs/>
          <w:color w:val="000000"/>
        </w:rPr>
      </w:pPr>
      <w:r>
        <w:br w:type="page"/>
      </w:r>
    </w:p>
    <w:p w14:paraId="4D366431" w14:textId="7302BFE2" w:rsidR="00E808F1" w:rsidRDefault="00E808F1" w:rsidP="00E808F1">
      <w:pPr>
        <w:pStyle w:val="Heading3"/>
      </w:pPr>
      <w:bookmarkStart w:id="376" w:name="_Toc35892652"/>
      <w:r w:rsidRPr="00EB0610">
        <w:t>Recruitment</w:t>
      </w:r>
      <w:bookmarkEnd w:id="376"/>
    </w:p>
    <w:p w14:paraId="3AAE845E" w14:textId="0EBA1B96" w:rsidR="00E808F1" w:rsidRDefault="00E808F1" w:rsidP="00E808F1">
      <w:pPr>
        <w:spacing w:line="480" w:lineRule="auto"/>
        <w:rPr>
          <w:color w:val="000000"/>
          <w:szCs w:val="24"/>
        </w:rPr>
      </w:pPr>
      <w:r>
        <w:rPr>
          <w:color w:val="000000"/>
          <w:szCs w:val="24"/>
        </w:rPr>
        <w:t>Following receipt of ethical clearance, community group facilitators were contacted, and the groups invited to take part in the study. Once interest was confirmed, the researcher liaised with group facilitators to organise session dates, recruitment procedures and risk-assessment. To address the potential for inadvertent coercion to take part in the study, recruitment was done together with community group facilitators in a two-step process. Firstly, young people steering the community groups were approached by their facilitator to establish whether the group would be interested in taking part in the research. Once the steering group gave the go</w:t>
      </w:r>
      <w:r w:rsidR="00FB0389">
        <w:rPr>
          <w:color w:val="000000"/>
          <w:szCs w:val="24"/>
        </w:rPr>
        <w:t>-</w:t>
      </w:r>
      <w:r>
        <w:rPr>
          <w:color w:val="000000"/>
          <w:szCs w:val="24"/>
        </w:rPr>
        <w:t xml:space="preserve">ahead, the researcher attended one of the regular sessions of the community group to introduce the project to group members, after which potential participants were invited to take part. During the introduction salient points regarding risk and confidentiality were emphasised. Introductory sessions were held on the same day as the focus group, during the first 20-30 minutes of regular community group sessions. During this time the project was explained to participants and they were provided with an information sheet, consent form and opportunities for questions and discussion. Once potential participants read the information sheet and their questions were answered satisfactorily, they were given an additional five to ten minutes to consider their decision. It was emphasised that there was no obligation to take part in the research and they could withdraw at any time. It was stressed to group members that the research was a distinct activity and an alternative activity was available for those not wishing to take part. Written consent was obtained for each participant. For those under the age of 16, written consent of a senior staff member of their organisation was also obtained. Participants were given a £10 voucher in recognition of their time which were provided regardless of individual contributions, and even if they chose to withdraw. </w:t>
      </w:r>
    </w:p>
    <w:p w14:paraId="05F39DF2" w14:textId="77777777" w:rsidR="003D4E79" w:rsidRDefault="003D4E79" w:rsidP="00E808F1">
      <w:pPr>
        <w:spacing w:line="480" w:lineRule="auto"/>
        <w:rPr>
          <w:color w:val="000000"/>
          <w:szCs w:val="24"/>
        </w:rPr>
      </w:pPr>
    </w:p>
    <w:p w14:paraId="5418D873" w14:textId="77777777" w:rsidR="00E808F1" w:rsidRDefault="00E808F1" w:rsidP="00E808F1">
      <w:pPr>
        <w:pStyle w:val="Heading3"/>
      </w:pPr>
      <w:bookmarkStart w:id="377" w:name="_Toc35892653"/>
      <w:r>
        <w:t>Procedure</w:t>
      </w:r>
      <w:bookmarkEnd w:id="377"/>
    </w:p>
    <w:p w14:paraId="5834867F" w14:textId="14C10C1B" w:rsidR="00E808F1" w:rsidRPr="00AD657D" w:rsidRDefault="00E808F1" w:rsidP="00E808F1">
      <w:pPr>
        <w:spacing w:line="480" w:lineRule="auto"/>
        <w:rPr>
          <w:b/>
          <w:sz w:val="22"/>
          <w:szCs w:val="24"/>
        </w:rPr>
      </w:pPr>
      <w:r>
        <w:rPr>
          <w:color w:val="000000"/>
          <w:szCs w:val="24"/>
        </w:rPr>
        <w:t>After deciding to take part, participants filled in the consent form and a background information questionnaire (see Appendi</w:t>
      </w:r>
      <w:r w:rsidR="00603E9F">
        <w:rPr>
          <w:color w:val="000000"/>
          <w:szCs w:val="24"/>
        </w:rPr>
        <w:t>ces</w:t>
      </w:r>
      <w:r>
        <w:rPr>
          <w:color w:val="000000"/>
          <w:szCs w:val="24"/>
        </w:rPr>
        <w:t xml:space="preserve"> </w:t>
      </w:r>
      <w:r w:rsidR="00603E9F">
        <w:rPr>
          <w:color w:val="000000"/>
          <w:szCs w:val="24"/>
        </w:rPr>
        <w:t>B, C and D for Studies 1, 2 and 3 respectively)</w:t>
      </w:r>
      <w:r>
        <w:rPr>
          <w:color w:val="000000"/>
          <w:szCs w:val="24"/>
        </w:rPr>
        <w:t xml:space="preserve"> for consent form). To ensure confidentiality, questionnaires contained no identifying information. Completed questionnaires were placed in blank envelopes, collected and stored securely. Prior to the start of the focus group discussion, ground rules were run through and confidentiality guidelines reiterated. Participants were then asked a series of semi-structured questions with prompts. Group discussion took between about 40 to 60 minutes and was recorded using a digital voice recorder. A short break was offered to participants approximately halfway through the group discussion. At the end of the session, facilitators checked in with group members and any additional support needs were identified and handled appropriately with the help of a qualified youth worker. </w:t>
      </w:r>
    </w:p>
    <w:p w14:paraId="7218A45A" w14:textId="77777777" w:rsidR="00E808F1" w:rsidRPr="00B736D3" w:rsidRDefault="00E808F1" w:rsidP="00E808F1">
      <w:pPr>
        <w:pStyle w:val="Heading3"/>
      </w:pPr>
      <w:bookmarkStart w:id="378" w:name="_Toc35892654"/>
      <w:r w:rsidRPr="00B736D3">
        <w:t xml:space="preserve">Defining the </w:t>
      </w:r>
      <w:r>
        <w:t xml:space="preserve">target </w:t>
      </w:r>
      <w:r w:rsidRPr="00B736D3">
        <w:t>behaviour</w:t>
      </w:r>
      <w:bookmarkEnd w:id="378"/>
    </w:p>
    <w:p w14:paraId="40524EEB" w14:textId="4CFA2DA4" w:rsidR="003D4E79" w:rsidRDefault="00E808F1" w:rsidP="00E808F1">
      <w:pPr>
        <w:spacing w:line="480" w:lineRule="auto"/>
        <w:rPr>
          <w:szCs w:val="24"/>
        </w:rPr>
      </w:pPr>
      <w:r w:rsidRPr="00B736D3">
        <w:rPr>
          <w:szCs w:val="24"/>
        </w:rPr>
        <w:t>Effective interventions depend on clear behavioural definitions (Ajzen, 2006). The particular challenge posed by NPS is the lack of clarity in what actually constitutes</w:t>
      </w:r>
      <w:r>
        <w:rPr>
          <w:szCs w:val="24"/>
        </w:rPr>
        <w:t xml:space="preserve"> a</w:t>
      </w:r>
      <w:r w:rsidRPr="00B736D3">
        <w:rPr>
          <w:szCs w:val="24"/>
        </w:rPr>
        <w:t xml:space="preserve"> ‘legal high’ from both a formal and informal perspective. With hundreds of available products ranging widely in psychoactive effects</w:t>
      </w:r>
      <w:r w:rsidR="00FB0389">
        <w:rPr>
          <w:szCs w:val="24"/>
        </w:rPr>
        <w:t>,</w:t>
      </w:r>
      <w:r w:rsidRPr="00B736D3">
        <w:rPr>
          <w:szCs w:val="24"/>
        </w:rPr>
        <w:t xml:space="preserve"> there was concern about the effectiveness of using an approach depend</w:t>
      </w:r>
      <w:r>
        <w:rPr>
          <w:szCs w:val="24"/>
        </w:rPr>
        <w:t>e</w:t>
      </w:r>
      <w:r w:rsidRPr="00B736D3">
        <w:rPr>
          <w:szCs w:val="24"/>
        </w:rPr>
        <w:t xml:space="preserve">nt on precise definitions of behavioural targets. However, the core issue </w:t>
      </w:r>
      <w:r>
        <w:rPr>
          <w:szCs w:val="24"/>
        </w:rPr>
        <w:t xml:space="preserve">here </w:t>
      </w:r>
      <w:r w:rsidRPr="00B736D3">
        <w:rPr>
          <w:szCs w:val="24"/>
        </w:rPr>
        <w:t>was whether young people themselves viewed legal highs as a distinct category of drugs about which meaningful conversations could be had. To confirm this</w:t>
      </w:r>
      <w:r>
        <w:rPr>
          <w:szCs w:val="24"/>
        </w:rPr>
        <w:t>,</w:t>
      </w:r>
      <w:r w:rsidRPr="00B736D3">
        <w:rPr>
          <w:szCs w:val="24"/>
        </w:rPr>
        <w:t xml:space="preserve"> young people were asked about what the term ‘legal highs’ meant to them during one of two consultation sessions with Sheffield Young Advisors. Although levels of knowledge around NPS varied a great deal within the group of 1</w:t>
      </w:r>
      <w:r>
        <w:rPr>
          <w:szCs w:val="24"/>
        </w:rPr>
        <w:t>5</w:t>
      </w:r>
      <w:r w:rsidRPr="00B736D3">
        <w:rPr>
          <w:szCs w:val="24"/>
        </w:rPr>
        <w:t xml:space="preserve"> young people, the majority were familiar with the term and the group agreed unanimously that ‘legal highs’ was an appropriate term to use. The young people </w:t>
      </w:r>
      <w:r>
        <w:rPr>
          <w:szCs w:val="24"/>
        </w:rPr>
        <w:t xml:space="preserve">in </w:t>
      </w:r>
    </w:p>
    <w:p w14:paraId="12D0A51B" w14:textId="77777777" w:rsidR="003D4E79" w:rsidRDefault="003D4E79" w:rsidP="00E808F1">
      <w:pPr>
        <w:spacing w:line="480" w:lineRule="auto"/>
        <w:rPr>
          <w:szCs w:val="24"/>
        </w:rPr>
      </w:pPr>
    </w:p>
    <w:p w14:paraId="36661851" w14:textId="30AA5D78" w:rsidR="00E808F1" w:rsidRDefault="00E808F1" w:rsidP="00E808F1">
      <w:pPr>
        <w:spacing w:line="480" w:lineRule="auto"/>
        <w:rPr>
          <w:color w:val="000000"/>
          <w:szCs w:val="24"/>
        </w:rPr>
      </w:pPr>
      <w:r>
        <w:rPr>
          <w:szCs w:val="24"/>
        </w:rPr>
        <w:t xml:space="preserve">the advisory group </w:t>
      </w:r>
      <w:r w:rsidRPr="00B736D3">
        <w:rPr>
          <w:szCs w:val="24"/>
        </w:rPr>
        <w:t xml:space="preserve">were able to distinguish between NPS and traditional drugs due to the branded packaging in which they were sold, as well the ways peers talked about them. Young people agreed that ‘taking legal highs’ was an appropriate way to describe the behavioural action, demonstrating a clear understanding that ‘taking’ referred to the recreational use of NPS by smoking, snorting or consumption. </w:t>
      </w:r>
    </w:p>
    <w:p w14:paraId="05BFAC94" w14:textId="77777777" w:rsidR="00E808F1" w:rsidRPr="0038359F" w:rsidRDefault="00E808F1" w:rsidP="00E808F1">
      <w:pPr>
        <w:spacing w:line="480" w:lineRule="auto"/>
      </w:pPr>
      <w:r>
        <w:rPr>
          <w:color w:val="000000"/>
          <w:szCs w:val="24"/>
        </w:rPr>
        <w:t>The definition of NPS was adapted from materials created by the ACMD (2015) in consultation with the advisory group of young people.</w:t>
      </w:r>
      <w:r>
        <w:rPr>
          <w:szCs w:val="24"/>
        </w:rPr>
        <w:t xml:space="preserve"> </w:t>
      </w:r>
      <w:r>
        <w:rPr>
          <w:color w:val="000000" w:themeColor="text1"/>
          <w:szCs w:val="24"/>
          <w:shd w:val="clear" w:color="auto" w:fill="FFFFFF"/>
        </w:rPr>
        <w:t xml:space="preserve">Prior to the introduction of the PS Act </w:t>
      </w:r>
      <w:r w:rsidRPr="00B736D3">
        <w:rPr>
          <w:color w:val="000000" w:themeColor="text1"/>
          <w:szCs w:val="24"/>
          <w:shd w:val="clear" w:color="auto" w:fill="FFFFFF"/>
        </w:rPr>
        <w:t>Legal Highs were defined as:</w:t>
      </w:r>
    </w:p>
    <w:p w14:paraId="254C5261" w14:textId="77777777" w:rsidR="00E808F1" w:rsidRDefault="00E808F1" w:rsidP="00E808F1">
      <w:pPr>
        <w:pStyle w:val="Thesismaintext"/>
        <w:spacing w:line="480" w:lineRule="auto"/>
        <w:ind w:left="720"/>
        <w:rPr>
          <w:color w:val="000000" w:themeColor="text1"/>
          <w:szCs w:val="24"/>
        </w:rPr>
      </w:pPr>
      <w:r w:rsidRPr="00B736D3">
        <w:rPr>
          <w:color w:val="000000" w:themeColor="text1"/>
          <w:szCs w:val="24"/>
          <w:shd w:val="clear" w:color="auto" w:fill="FFFFFF"/>
        </w:rPr>
        <w:t xml:space="preserve"> ‘</w:t>
      </w:r>
      <w:r>
        <w:rPr>
          <w:color w:val="000000" w:themeColor="text1"/>
          <w:szCs w:val="24"/>
        </w:rPr>
        <w:t>T</w:t>
      </w:r>
      <w:r w:rsidRPr="00B736D3">
        <w:rPr>
          <w:color w:val="000000" w:themeColor="text1"/>
          <w:szCs w:val="24"/>
        </w:rPr>
        <w:t>he common name for N</w:t>
      </w:r>
      <w:r>
        <w:rPr>
          <w:color w:val="000000" w:themeColor="text1"/>
          <w:szCs w:val="24"/>
        </w:rPr>
        <w:t>ew</w:t>
      </w:r>
      <w:r w:rsidRPr="00B736D3">
        <w:rPr>
          <w:color w:val="000000" w:themeColor="text1"/>
          <w:szCs w:val="24"/>
        </w:rPr>
        <w:t xml:space="preserve"> Psychoactive Substances (NPS), also known as club drugs, designer drugs or research chemicals. These are chemical substances that are sold legally but produce the same, or similar effects, to illegal drugs such as cannabis, cocaine, ecstasy and heroin. They are psychoactive which means they have mood-altering properties and can act as stimulants, sedatives, hallucinogens and psychedelics.’</w:t>
      </w:r>
    </w:p>
    <w:p w14:paraId="7C0117F2" w14:textId="77777777" w:rsidR="00E808F1" w:rsidRDefault="00E808F1" w:rsidP="00E808F1">
      <w:pPr>
        <w:pStyle w:val="Thesismaintext"/>
        <w:spacing w:line="480" w:lineRule="auto"/>
        <w:rPr>
          <w:color w:val="000000" w:themeColor="text1"/>
          <w:szCs w:val="24"/>
          <w:shd w:val="clear" w:color="auto" w:fill="FFFFFF"/>
        </w:rPr>
      </w:pPr>
      <w:r>
        <w:rPr>
          <w:color w:val="000000" w:themeColor="text1"/>
          <w:szCs w:val="24"/>
          <w:shd w:val="clear" w:color="auto" w:fill="FFFFFF"/>
        </w:rPr>
        <w:t xml:space="preserve">After the introduction of the PS Act </w:t>
      </w:r>
      <w:r w:rsidRPr="00B736D3">
        <w:rPr>
          <w:color w:val="000000" w:themeColor="text1"/>
          <w:szCs w:val="24"/>
          <w:shd w:val="clear" w:color="auto" w:fill="FFFFFF"/>
        </w:rPr>
        <w:t>Legal Highs were defined as:</w:t>
      </w:r>
    </w:p>
    <w:p w14:paraId="51008E68" w14:textId="77777777" w:rsidR="00E808F1" w:rsidRPr="00AA6830" w:rsidRDefault="00E808F1" w:rsidP="00E808F1">
      <w:pPr>
        <w:pStyle w:val="Thesismaintext"/>
        <w:spacing w:line="480" w:lineRule="auto"/>
        <w:ind w:left="720"/>
        <w:rPr>
          <w:color w:val="000000" w:themeColor="text1"/>
          <w:szCs w:val="24"/>
        </w:rPr>
      </w:pPr>
      <w:r w:rsidRPr="00B736D3">
        <w:rPr>
          <w:color w:val="000000" w:themeColor="text1"/>
          <w:szCs w:val="24"/>
          <w:shd w:val="clear" w:color="auto" w:fill="FFFFFF"/>
        </w:rPr>
        <w:t>‘</w:t>
      </w:r>
      <w:r>
        <w:rPr>
          <w:color w:val="000000" w:themeColor="text1"/>
          <w:szCs w:val="24"/>
        </w:rPr>
        <w:t>T</w:t>
      </w:r>
      <w:r w:rsidRPr="00B736D3">
        <w:rPr>
          <w:color w:val="000000" w:themeColor="text1"/>
          <w:szCs w:val="24"/>
        </w:rPr>
        <w:t>he common name for N</w:t>
      </w:r>
      <w:r>
        <w:rPr>
          <w:color w:val="000000" w:themeColor="text1"/>
          <w:szCs w:val="24"/>
        </w:rPr>
        <w:t>ew</w:t>
      </w:r>
      <w:r w:rsidRPr="00B736D3">
        <w:rPr>
          <w:color w:val="000000" w:themeColor="text1"/>
          <w:szCs w:val="24"/>
        </w:rPr>
        <w:t xml:space="preserve"> Psychoactive Substances (NPS), also known as club drugs, designer drugs or research chemicals. These are chemical substances that produce the same, or similar effects, to illegal drugs such as cannabis, cocaine, ecstasy and heroin. </w:t>
      </w:r>
      <w:r>
        <w:rPr>
          <w:color w:val="000000" w:themeColor="text1"/>
          <w:szCs w:val="24"/>
        </w:rPr>
        <w:t xml:space="preserve">Until recently they were </w:t>
      </w:r>
      <w:r w:rsidRPr="00B736D3">
        <w:rPr>
          <w:color w:val="000000" w:themeColor="text1"/>
          <w:szCs w:val="24"/>
        </w:rPr>
        <w:t>sold legally but</w:t>
      </w:r>
      <w:r>
        <w:rPr>
          <w:color w:val="000000" w:themeColor="text1"/>
          <w:szCs w:val="24"/>
        </w:rPr>
        <w:t xml:space="preserve"> are now banned.</w:t>
      </w:r>
      <w:r w:rsidRPr="00B736D3">
        <w:rPr>
          <w:color w:val="000000" w:themeColor="text1"/>
          <w:szCs w:val="24"/>
        </w:rPr>
        <w:t xml:space="preserve"> They are psychoactive which means they have mood-altering properties and can act as stimulants, sedatives, hallucinogens and psychedelics.</w:t>
      </w:r>
    </w:p>
    <w:p w14:paraId="1D64106A" w14:textId="77777777" w:rsidR="00E808F1" w:rsidRPr="00B736D3" w:rsidRDefault="00E808F1" w:rsidP="00E808F1">
      <w:pPr>
        <w:pStyle w:val="Heading3"/>
      </w:pPr>
      <w:bookmarkStart w:id="379" w:name="_Toc35892655"/>
      <w:r w:rsidRPr="00B736D3">
        <w:t>Action orientation</w:t>
      </w:r>
      <w:bookmarkEnd w:id="379"/>
    </w:p>
    <w:p w14:paraId="2DFEA616" w14:textId="77777777" w:rsidR="00FA6445" w:rsidRDefault="00E808F1" w:rsidP="00E808F1">
      <w:pPr>
        <w:pStyle w:val="Thesismaintext"/>
        <w:spacing w:line="480" w:lineRule="auto"/>
        <w:rPr>
          <w:szCs w:val="24"/>
        </w:rPr>
      </w:pPr>
      <w:r>
        <w:rPr>
          <w:szCs w:val="24"/>
        </w:rPr>
        <w:t xml:space="preserve">Although NPS use is the behaviour targeted in the research, the desired outcome of </w:t>
      </w:r>
    </w:p>
    <w:p w14:paraId="22D663D0" w14:textId="6CD7CDCA" w:rsidR="00E808F1" w:rsidRDefault="00E808F1" w:rsidP="00E808F1">
      <w:pPr>
        <w:pStyle w:val="Thesismaintext"/>
        <w:spacing w:line="480" w:lineRule="auto"/>
        <w:rPr>
          <w:szCs w:val="24"/>
        </w:rPr>
      </w:pPr>
      <w:r>
        <w:rPr>
          <w:szCs w:val="24"/>
        </w:rPr>
        <w:t>intervention would be non-performance of the target behaviour. However, the motivational systems underpinning acting and not acting may not be the same, as each outcome may be linked with different goals, supported by different beliefs and reasons (</w:t>
      </w:r>
      <w:bookmarkStart w:id="380" w:name="_Hlk7615836"/>
      <w:r>
        <w:rPr>
          <w:szCs w:val="24"/>
        </w:rPr>
        <w:t>Richetin, Conner &amp; Perugini, 2011</w:t>
      </w:r>
      <w:bookmarkEnd w:id="380"/>
      <w:r>
        <w:rPr>
          <w:szCs w:val="24"/>
        </w:rPr>
        <w:t xml:space="preserve">). For example, while a young person might choose to take NPS for social reasons, they might choose not to take NPS for health reasons. In other words, each behaviour, (taking and not taking) may be motivated by different, separate, goals, not opposite orientations toward the same goal. In the review of the NPS literature reported in Chapter 3, it was noted that NPS focused studies examining people’s reasons mostly focused on their reasons for using NPS and comparatively few considered reasons why they did not take NPS. </w:t>
      </w:r>
    </w:p>
    <w:p w14:paraId="15BFE9F9" w14:textId="77777777" w:rsidR="00E808F1" w:rsidRDefault="00E808F1" w:rsidP="00E808F1">
      <w:pPr>
        <w:pStyle w:val="Thesismaintext"/>
        <w:spacing w:line="480" w:lineRule="auto"/>
        <w:rPr>
          <w:szCs w:val="24"/>
        </w:rPr>
      </w:pPr>
      <w:r w:rsidRPr="00B736D3">
        <w:rPr>
          <w:szCs w:val="24"/>
        </w:rPr>
        <w:t xml:space="preserve">To ensure </w:t>
      </w:r>
      <w:r>
        <w:rPr>
          <w:szCs w:val="24"/>
        </w:rPr>
        <w:t>this</w:t>
      </w:r>
      <w:r w:rsidRPr="00B736D3">
        <w:rPr>
          <w:szCs w:val="24"/>
        </w:rPr>
        <w:t xml:space="preserve"> research captured motives for why young people may decline to use NPS in addition to why they use them, an alternative target behaviour ‘not taking legal highs’ was also defined. Although the young advisors agreed that ‘not taking legal highs’ was an appropriate term for the purposes of the research</w:t>
      </w:r>
      <w:r>
        <w:rPr>
          <w:szCs w:val="24"/>
        </w:rPr>
        <w:t>,</w:t>
      </w:r>
      <w:r w:rsidRPr="00B736D3">
        <w:rPr>
          <w:szCs w:val="24"/>
        </w:rPr>
        <w:t xml:space="preserve"> more than one of the </w:t>
      </w:r>
      <w:r>
        <w:rPr>
          <w:szCs w:val="24"/>
        </w:rPr>
        <w:t>young advisors</w:t>
      </w:r>
      <w:r w:rsidRPr="00B736D3">
        <w:rPr>
          <w:szCs w:val="24"/>
        </w:rPr>
        <w:t xml:space="preserve"> said that they had some difficulty visualising the behaviour. To address this</w:t>
      </w:r>
      <w:r>
        <w:rPr>
          <w:szCs w:val="24"/>
        </w:rPr>
        <w:t>,</w:t>
      </w:r>
      <w:r w:rsidRPr="00B736D3">
        <w:rPr>
          <w:szCs w:val="24"/>
        </w:rPr>
        <w:t xml:space="preserve"> a prompt was developed which asked participants to imagine a young person being offered a legal high but choosing not to use it.</w:t>
      </w:r>
    </w:p>
    <w:p w14:paraId="7E7FACE7" w14:textId="77777777" w:rsidR="00E808F1" w:rsidRPr="00B736D3" w:rsidRDefault="00E808F1" w:rsidP="00E808F1">
      <w:pPr>
        <w:pStyle w:val="Heading3"/>
      </w:pPr>
      <w:bookmarkStart w:id="381" w:name="_Toc35892656"/>
      <w:r>
        <w:t>Measures and materials</w:t>
      </w:r>
      <w:bookmarkEnd w:id="381"/>
    </w:p>
    <w:p w14:paraId="4985AC66" w14:textId="77777777" w:rsidR="00FA6445" w:rsidRDefault="00E808F1" w:rsidP="00E808F1">
      <w:pPr>
        <w:spacing w:line="480" w:lineRule="auto"/>
        <w:rPr>
          <w:color w:val="000000"/>
          <w:szCs w:val="24"/>
        </w:rPr>
      </w:pPr>
      <w:r>
        <w:rPr>
          <w:color w:val="000000"/>
          <w:szCs w:val="24"/>
        </w:rPr>
        <w:t>A basic background questionnaire (modified for Study 2, see Chapter 6), consent forms (updated later in accordance with general data protection regulations) and participant information sheets were used in all three studies (</w:t>
      </w:r>
      <w:r w:rsidR="00603E9F">
        <w:rPr>
          <w:color w:val="000000"/>
          <w:szCs w:val="24"/>
        </w:rPr>
        <w:t>see Appendices B, C and D for Studies 1, 2 and 3 respectively</w:t>
      </w:r>
      <w:r>
        <w:rPr>
          <w:color w:val="000000"/>
          <w:szCs w:val="24"/>
        </w:rPr>
        <w:t>). These were created in consultation with the young people’s advisory group who provided guidance on the use of language and the suitability of procedures.</w:t>
      </w:r>
    </w:p>
    <w:p w14:paraId="031903A5" w14:textId="1D365C75" w:rsidR="00E808F1" w:rsidRPr="00AA6830" w:rsidRDefault="00E808F1" w:rsidP="00E808F1">
      <w:pPr>
        <w:spacing w:line="480" w:lineRule="auto"/>
        <w:rPr>
          <w:color w:val="000000"/>
          <w:szCs w:val="24"/>
        </w:rPr>
      </w:pPr>
      <w:r>
        <w:rPr>
          <w:color w:val="000000"/>
          <w:szCs w:val="24"/>
        </w:rPr>
        <w:t xml:space="preserve"> </w:t>
      </w:r>
    </w:p>
    <w:p w14:paraId="71AD8FCE" w14:textId="13B6BAB8" w:rsidR="00E808F1" w:rsidRDefault="00E808F1" w:rsidP="00E808F1">
      <w:pPr>
        <w:spacing w:line="480" w:lineRule="auto"/>
        <w:rPr>
          <w:szCs w:val="24"/>
        </w:rPr>
      </w:pPr>
      <w:bookmarkStart w:id="382" w:name="_Hlk7624024"/>
      <w:r>
        <w:t>The background questionnaire collected the following socio-demographic information: age; gender; ethnicity; postcode and occupation. In addition, the questionnaire also asked about participants’ use of legal highs. As NPS use is more likely for young people who use illicit drugs (</w:t>
      </w:r>
      <w:r w:rsidR="00015283" w:rsidRPr="009A02B7">
        <w:t>Barnard et al., 2014; Bonar, 2014; Carhart-Harris et al., 2011; Freeman et al., 2012</w:t>
      </w:r>
      <w:r w:rsidR="00015283">
        <w:t>;</w:t>
      </w:r>
      <w:r w:rsidR="00015283" w:rsidRPr="00EA3555">
        <w:t xml:space="preserve"> </w:t>
      </w:r>
      <w:r w:rsidR="00015283" w:rsidRPr="002666BC">
        <w:t>Kelleher et al., 2011</w:t>
      </w:r>
      <w:r w:rsidR="00015283" w:rsidRPr="009A02B7">
        <w:t xml:space="preserve">; </w:t>
      </w:r>
      <w:r w:rsidRPr="002666BC">
        <w:t>NAW, 2015</w:t>
      </w:r>
      <w:r>
        <w:t>;</w:t>
      </w:r>
      <w:r w:rsidRPr="00094648">
        <w:t xml:space="preserve"> </w:t>
      </w:r>
      <w:r w:rsidRPr="009A02B7">
        <w:t>Schifano et al., 2012; Van Hout, 2014</w:t>
      </w:r>
      <w:r w:rsidR="00015283">
        <w:t>; Winstock et al., 2010</w:t>
      </w:r>
      <w:r>
        <w:t xml:space="preserve">), and drug use is more likely for young people whose friends use psychoactive substances (Dinges &amp; Oetting, 1993; Mason et al., 2017), participants were also asked about their use of illicit psychoactive substances and whether or not they believed their friends used NPS or illicit drugs. </w:t>
      </w:r>
      <w:r>
        <w:rPr>
          <w:szCs w:val="24"/>
        </w:rPr>
        <w:t>The participant information sheet provided information about the study including confidentiality procedures, contact details for further information or complaints, safety information and a description of legal highs.</w:t>
      </w:r>
    </w:p>
    <w:p w14:paraId="64BEAD73" w14:textId="72D60B98" w:rsidR="00CC3FED" w:rsidRPr="00CC3FED" w:rsidRDefault="00E808F1" w:rsidP="00B11F7B">
      <w:pPr>
        <w:pStyle w:val="Heading2"/>
      </w:pPr>
      <w:bookmarkStart w:id="383" w:name="_Toc35892657"/>
      <w:bookmarkEnd w:id="365"/>
      <w:bookmarkEnd w:id="382"/>
      <w:r>
        <w:t>Analytical approach</w:t>
      </w:r>
      <w:bookmarkEnd w:id="383"/>
    </w:p>
    <w:p w14:paraId="0E787A59" w14:textId="5D4687A6" w:rsidR="00E808F1" w:rsidRDefault="00E808F1" w:rsidP="00E808F1">
      <w:pPr>
        <w:spacing w:line="480" w:lineRule="auto"/>
      </w:pPr>
      <w:r>
        <w:rPr>
          <w:szCs w:val="24"/>
        </w:rPr>
        <w:t xml:space="preserve">The choice of analytical approach was not straightforward as there are </w:t>
      </w:r>
      <w:r>
        <w:t>few</w:t>
      </w:r>
      <w:r w:rsidRPr="002D2244">
        <w:t xml:space="preserve"> clearly agreed rules or procedures for analysing qualitative data</w:t>
      </w:r>
      <w:r>
        <w:t xml:space="preserve"> (Spencer, Ritchie &amp; O’Conner, 2003). </w:t>
      </w:r>
      <w:r w:rsidR="00165B8F">
        <w:t>Also</w:t>
      </w:r>
      <w:r>
        <w:t>, there is a tension within the needs of the study because</w:t>
      </w:r>
      <w:r w:rsidR="00165B8F">
        <w:t>,</w:t>
      </w:r>
      <w:r>
        <w:t xml:space="preserve"> on the one hand</w:t>
      </w:r>
      <w:r w:rsidR="00165B8F">
        <w:t>,</w:t>
      </w:r>
      <w:r>
        <w:t xml:space="preserve"> there is a need to relate NPS behaviour to prescriptive structures in existing theoretical models, while on the other hand there is a need to explore in an unconstrained way what is a new topic for investigation. </w:t>
      </w:r>
    </w:p>
    <w:p w14:paraId="3EFA60AE" w14:textId="77777777" w:rsidR="00E808F1" w:rsidRPr="0045306E" w:rsidRDefault="00E808F1" w:rsidP="00E808F1">
      <w:pPr>
        <w:spacing w:line="480" w:lineRule="auto"/>
        <w:rPr>
          <w:szCs w:val="24"/>
        </w:rPr>
      </w:pPr>
      <w:r w:rsidRPr="00B736D3">
        <w:rPr>
          <w:szCs w:val="24"/>
        </w:rPr>
        <w:t xml:space="preserve">While the use of a theory-driven approach was preferable from an intervention perspective, </w:t>
      </w:r>
      <w:r w:rsidRPr="00882D7A">
        <w:rPr>
          <w:szCs w:val="24"/>
        </w:rPr>
        <w:t>there are dangers inherent in attempting to apply existing theor</w:t>
      </w:r>
      <w:r>
        <w:rPr>
          <w:szCs w:val="24"/>
        </w:rPr>
        <w:t xml:space="preserve">y </w:t>
      </w:r>
      <w:r w:rsidRPr="00882D7A">
        <w:rPr>
          <w:szCs w:val="24"/>
        </w:rPr>
        <w:t xml:space="preserve">to a novel </w:t>
      </w:r>
      <w:r>
        <w:rPr>
          <w:szCs w:val="24"/>
        </w:rPr>
        <w:t xml:space="preserve">behaviour, </w:t>
      </w:r>
      <w:r w:rsidRPr="00882D7A">
        <w:rPr>
          <w:szCs w:val="24"/>
        </w:rPr>
        <w:t xml:space="preserve">as </w:t>
      </w:r>
      <w:r w:rsidRPr="00B736D3">
        <w:rPr>
          <w:szCs w:val="24"/>
        </w:rPr>
        <w:t xml:space="preserve">uniquely important aspects of </w:t>
      </w:r>
      <w:r>
        <w:rPr>
          <w:szCs w:val="24"/>
        </w:rPr>
        <w:t xml:space="preserve">the </w:t>
      </w:r>
      <w:r w:rsidRPr="00B736D3">
        <w:rPr>
          <w:szCs w:val="24"/>
        </w:rPr>
        <w:t>behaviour</w:t>
      </w:r>
      <w:r>
        <w:rPr>
          <w:szCs w:val="24"/>
        </w:rPr>
        <w:t xml:space="preserve"> or context</w:t>
      </w:r>
      <w:r w:rsidRPr="00B736D3">
        <w:rPr>
          <w:szCs w:val="24"/>
        </w:rPr>
        <w:t xml:space="preserve"> </w:t>
      </w:r>
      <w:r>
        <w:rPr>
          <w:szCs w:val="24"/>
        </w:rPr>
        <w:t>can</w:t>
      </w:r>
      <w:r w:rsidRPr="00B736D3">
        <w:rPr>
          <w:szCs w:val="24"/>
        </w:rPr>
        <w:t xml:space="preserve"> </w:t>
      </w:r>
      <w:r>
        <w:rPr>
          <w:szCs w:val="24"/>
        </w:rPr>
        <w:t xml:space="preserve">become </w:t>
      </w:r>
      <w:r w:rsidRPr="00B736D3">
        <w:rPr>
          <w:szCs w:val="24"/>
        </w:rPr>
        <w:t>obscured</w:t>
      </w:r>
      <w:r>
        <w:rPr>
          <w:szCs w:val="24"/>
        </w:rPr>
        <w:t>, which can then impact intervention efficacy. While the exploratory perspective favoured the use of bottom-up inductive methods that aim to generate theoretical constructs from the data, the theory-driven intervention approach favoured top-down a priori methods that aim to fit data to existing theoretical models and their constructs.</w:t>
      </w:r>
    </w:p>
    <w:p w14:paraId="265BBD77" w14:textId="75CED6D3" w:rsidR="00E808F1" w:rsidRDefault="00E808F1" w:rsidP="00E808F1">
      <w:pPr>
        <w:spacing w:line="480" w:lineRule="auto"/>
      </w:pPr>
      <w:r>
        <w:t>In relation to the philosophy and practice of analysing qualitative data, existing schools of thought and their methods and tools were reviewed for suitability. The focus on explanatory theory brought the research into alignment with some qualitative approaches more than others. Much of the compatibility of approaches rests on the philosophical underpinnings of the various schools of thought, and in this instance</w:t>
      </w:r>
      <w:r w:rsidR="00165B8F">
        <w:t>,</w:t>
      </w:r>
      <w:r>
        <w:t xml:space="preserve"> the natural alignment of explanatory theory with a positivist tradition was seen as less compatible with </w:t>
      </w:r>
      <w:r w:rsidRPr="00E10B0B">
        <w:t xml:space="preserve">the more interpretivist and constructivist stances that typically underpin qualitative methods such as discourse analysis and phenomenological </w:t>
      </w:r>
      <w:r w:rsidRPr="0085485E">
        <w:t>analysis (Bryman, 1988; Silverman, 1993; Snape &amp; S</w:t>
      </w:r>
      <w:r w:rsidRPr="00E10B0B">
        <w:t>pencer, 2003).</w:t>
      </w:r>
      <w:r>
        <w:t xml:space="preserve"> While grounded theory is an approach that offers a clearly described methodology for the generation of explanatory theory from qualitative data, the focus placed on existing theory within this research violates one of the core principles of grounded theory. To challenge the bias introduced by existing theoretical accounts, grounded theory requires that data is produced and analysed, as far possible, without reference to existing theory. </w:t>
      </w:r>
    </w:p>
    <w:p w14:paraId="2880584C" w14:textId="77777777" w:rsidR="00E808F1" w:rsidRDefault="00E808F1" w:rsidP="00E808F1">
      <w:pPr>
        <w:spacing w:line="480" w:lineRule="auto"/>
      </w:pPr>
      <w:r>
        <w:t xml:space="preserve">In the absence of a well-established and validated analytical method suitable for application to this research a method based on thematic network analysis </w:t>
      </w:r>
      <w:r w:rsidRPr="00CB1F21">
        <w:t>(Attride-Stirling, 2001</w:t>
      </w:r>
      <w:r>
        <w:t xml:space="preserve">) was used. It is intended that the method will be applied with as much transparency as practicable to maintain </w:t>
      </w:r>
      <w:r w:rsidRPr="00CB1F21">
        <w:t xml:space="preserve">credibility </w:t>
      </w:r>
      <w:r>
        <w:t xml:space="preserve">and therefore enhance the validity of the approach </w:t>
      </w:r>
      <w:r w:rsidRPr="00CB1F21">
        <w:t xml:space="preserve">(Attride-Stirling, 2001; </w:t>
      </w:r>
      <w:r w:rsidRPr="00856358">
        <w:t>Maggs-Rapport 2001</w:t>
      </w:r>
      <w:r>
        <w:t xml:space="preserve">; </w:t>
      </w:r>
      <w:r w:rsidRPr="00CB1F21">
        <w:t>Snape &amp; Spencer, 2003).</w:t>
      </w:r>
    </w:p>
    <w:p w14:paraId="5EC81BD2" w14:textId="5C17D4E6" w:rsidR="00E808F1" w:rsidRDefault="00E808F1" w:rsidP="00E808F1">
      <w:pPr>
        <w:pStyle w:val="Thesismaintext"/>
        <w:spacing w:line="480" w:lineRule="auto"/>
      </w:pPr>
      <w:r>
        <w:t>To balance the tension between the aim of connecting NPS behaviour with existing theory and the exploratory aims of the study, Studies 1 and 2 used a theory-based approach to focus group question development with an inductive approach to data analysis. In this way, the data produced captured the types of data most relevant for assessing model fit, but interpretation of the data was not constrained by the model constructs and novel themes and concepts were free to emerge during analysis.</w:t>
      </w:r>
    </w:p>
    <w:p w14:paraId="2583D127" w14:textId="77777777" w:rsidR="006237D7" w:rsidRDefault="006237D7">
      <w:pPr>
        <w:rPr>
          <w:b/>
          <w:bCs/>
          <w:color w:val="000000"/>
        </w:rPr>
      </w:pPr>
      <w:r>
        <w:br w:type="page"/>
      </w:r>
    </w:p>
    <w:p w14:paraId="194F5027" w14:textId="76939C37" w:rsidR="006237D7" w:rsidRPr="007309DC" w:rsidRDefault="006237D7" w:rsidP="006237D7">
      <w:pPr>
        <w:pStyle w:val="Heading3"/>
        <w:rPr>
          <w:color w:val="auto"/>
        </w:rPr>
      </w:pPr>
      <w:bookmarkStart w:id="384" w:name="_Toc35892658"/>
      <w:r w:rsidRPr="007309DC">
        <w:rPr>
          <w:color w:val="auto"/>
        </w:rPr>
        <w:t>Analytical approach: Study 1</w:t>
      </w:r>
      <w:bookmarkEnd w:id="384"/>
    </w:p>
    <w:p w14:paraId="727EA22A" w14:textId="0123D92A" w:rsidR="006237D7" w:rsidRPr="007309DC" w:rsidRDefault="006237D7" w:rsidP="006237D7">
      <w:pPr>
        <w:spacing w:before="240" w:after="160" w:line="480" w:lineRule="auto"/>
      </w:pPr>
      <w:r w:rsidRPr="007309DC">
        <w:t>For study 1, data was analysed using thematic network analysis (Attride-Stirling, 2001). Thematic network analysis is an analytical tool that draws upon well-known techniques to systematically organise qualitative data in a step-by-step process that aids the identification and presentation of concepts inherent within rich textual data and the relationships between them. The thematic network approach draws upon guiding principles and methodological steps used in other well-known analytic techniques such as grounded theory (Corbin and Strauss, 1990; Glaser and Strauss, 1967) and framework analysis (Ritchie and Spencer, 1994)</w:t>
      </w:r>
      <w:r w:rsidR="0012086A" w:rsidRPr="007309DC">
        <w:t>;</w:t>
      </w:r>
      <w:r w:rsidRPr="007309DC">
        <w:t xml:space="preserve"> </w:t>
      </w:r>
      <w:r w:rsidR="0012086A" w:rsidRPr="007309DC">
        <w:t>it</w:t>
      </w:r>
      <w:r w:rsidRPr="007309DC">
        <w:t xml:space="preserve"> brings these together with the principles of argumentation theory (Toulmin, 1958). The thematic network approach sets out a series of steps for breaking up text, identifying the explicit rationalisations that people make and the implications signified by those rationalisations. Data is analysed inductively with three levels of abstraction: 1) lowest-order premises evident in the text (Basic Themes)</w:t>
      </w:r>
      <w:r w:rsidR="0012086A" w:rsidRPr="007309DC">
        <w:t>;</w:t>
      </w:r>
      <w:r w:rsidRPr="007309DC">
        <w:t xml:space="preserve"> 2) categories of basic themes grouped together to summarize more abstract principles (Organising Themes)</w:t>
      </w:r>
      <w:r w:rsidR="0012086A" w:rsidRPr="007309DC">
        <w:t>;</w:t>
      </w:r>
      <w:r w:rsidRPr="007309DC">
        <w:t xml:space="preserve"> 3) super-ordinate themes encapsulating the principal metaphors in the text as a whole (Global Themes). To aid interpretation</w:t>
      </w:r>
      <w:r w:rsidR="0012086A" w:rsidRPr="007309DC">
        <w:t>,</w:t>
      </w:r>
      <w:r w:rsidRPr="007309DC">
        <w:t xml:space="preserve"> the three levels of theme</w:t>
      </w:r>
      <w:r w:rsidR="0012086A" w:rsidRPr="007309DC">
        <w:t>s</w:t>
      </w:r>
      <w:r w:rsidRPr="007309DC">
        <w:t xml:space="preserve"> can then be represented as a network depicting the salient themes at each of the three levels and illustrating the relationships between them. </w:t>
      </w:r>
    </w:p>
    <w:p w14:paraId="31DFD1C1" w14:textId="77777777" w:rsidR="006237D7" w:rsidRPr="000B7330" w:rsidRDefault="006237D7" w:rsidP="00E808F1">
      <w:pPr>
        <w:pStyle w:val="Thesismaintext"/>
        <w:spacing w:line="480" w:lineRule="auto"/>
      </w:pPr>
    </w:p>
    <w:p w14:paraId="1D9A33F1" w14:textId="77777777" w:rsidR="00CC3FED" w:rsidRDefault="00CC3FED">
      <w:pPr>
        <w:rPr>
          <w:b/>
          <w:bCs/>
          <w:color w:val="000000"/>
        </w:rPr>
      </w:pPr>
      <w:r>
        <w:br w:type="page"/>
      </w:r>
    </w:p>
    <w:p w14:paraId="3DE03AAE" w14:textId="3FC77639" w:rsidR="00E808F1" w:rsidRPr="00F32144" w:rsidRDefault="00E808F1" w:rsidP="006237D7">
      <w:pPr>
        <w:pStyle w:val="Heading4"/>
      </w:pPr>
      <w:r>
        <w:t>Development of the focus group questions</w:t>
      </w:r>
    </w:p>
    <w:p w14:paraId="5E37F48F" w14:textId="4BAEB226" w:rsidR="00E808F1" w:rsidRDefault="00E808F1" w:rsidP="00E808F1">
      <w:pPr>
        <w:pStyle w:val="Thesismaintext"/>
        <w:spacing w:line="480" w:lineRule="auto"/>
      </w:pPr>
      <w:r>
        <w:rPr>
          <w:rFonts w:cs="Arial"/>
        </w:rPr>
        <w:t xml:space="preserve">The </w:t>
      </w:r>
      <w:r w:rsidR="0012086A">
        <w:t xml:space="preserve">categories of the </w:t>
      </w:r>
      <w:r>
        <w:t xml:space="preserve">social cognitive model construct </w:t>
      </w:r>
      <w:r>
        <w:rPr>
          <w:rFonts w:cs="Arial"/>
        </w:rPr>
        <w:t>used in the focus group question development were:</w:t>
      </w:r>
      <w:r>
        <w:t xml:space="preserve"> (i) reasons, (ii) risk perceptions, (iii) behavioural beliefs, (iv) normative beliefs, (v) identity and (vi) control beliefs (see Section 4.5.7 for development of the model construct categories).</w:t>
      </w:r>
    </w:p>
    <w:p w14:paraId="23ADF981" w14:textId="62F2C550" w:rsidR="00E808F1" w:rsidRPr="00631471" w:rsidRDefault="00E808F1" w:rsidP="00E808F1">
      <w:pPr>
        <w:spacing w:line="480" w:lineRule="auto"/>
        <w:rPr>
          <w:b/>
          <w:szCs w:val="24"/>
        </w:rPr>
      </w:pPr>
      <w:r>
        <w:t>To facilitate the expression of unconstrained responses, the focus group questions also included general non</w:t>
      </w:r>
      <w:r w:rsidR="0012086A">
        <w:t>-</w:t>
      </w:r>
      <w:r>
        <w:t xml:space="preserve">theory-based questions </w:t>
      </w:r>
      <w:r>
        <w:rPr>
          <w:szCs w:val="24"/>
        </w:rPr>
        <w:t>with</w:t>
      </w:r>
      <w:r w:rsidRPr="001A5085">
        <w:rPr>
          <w:szCs w:val="24"/>
        </w:rPr>
        <w:t xml:space="preserve"> </w:t>
      </w:r>
      <w:r w:rsidRPr="00B736D3">
        <w:rPr>
          <w:szCs w:val="24"/>
        </w:rPr>
        <w:t xml:space="preserve">young people invited to express their own thoughts </w:t>
      </w:r>
      <w:r>
        <w:rPr>
          <w:szCs w:val="24"/>
        </w:rPr>
        <w:t>and perspectives</w:t>
      </w:r>
      <w:r w:rsidRPr="001A5085">
        <w:rPr>
          <w:szCs w:val="24"/>
        </w:rPr>
        <w:t xml:space="preserve"> </w:t>
      </w:r>
      <w:r>
        <w:rPr>
          <w:szCs w:val="24"/>
        </w:rPr>
        <w:t>p</w:t>
      </w:r>
      <w:r w:rsidRPr="00B736D3">
        <w:rPr>
          <w:szCs w:val="24"/>
        </w:rPr>
        <w:t xml:space="preserve">rior to being asked </w:t>
      </w:r>
      <w:r>
        <w:rPr>
          <w:szCs w:val="24"/>
        </w:rPr>
        <w:t xml:space="preserve">the </w:t>
      </w:r>
      <w:r w:rsidRPr="00B736D3">
        <w:rPr>
          <w:szCs w:val="24"/>
        </w:rPr>
        <w:t>theory-based questions</w:t>
      </w:r>
      <w:r>
        <w:rPr>
          <w:szCs w:val="24"/>
        </w:rPr>
        <w:t xml:space="preserve">. In addition, </w:t>
      </w:r>
      <w:r>
        <w:t xml:space="preserve">questions were semi-structured and open-ended so that their </w:t>
      </w:r>
      <w:r w:rsidRPr="00856358">
        <w:rPr>
          <w:szCs w:val="24"/>
        </w:rPr>
        <w:t xml:space="preserve">choice of </w:t>
      </w:r>
      <w:r>
        <w:rPr>
          <w:szCs w:val="24"/>
        </w:rPr>
        <w:t>responses</w:t>
      </w:r>
      <w:r>
        <w:t xml:space="preserve"> </w:t>
      </w:r>
      <w:r>
        <w:rPr>
          <w:szCs w:val="24"/>
        </w:rPr>
        <w:t xml:space="preserve">was </w:t>
      </w:r>
      <w:r w:rsidRPr="00856358">
        <w:rPr>
          <w:szCs w:val="24"/>
        </w:rPr>
        <w:t>not limit</w:t>
      </w:r>
      <w:r>
        <w:rPr>
          <w:szCs w:val="24"/>
        </w:rPr>
        <w:t xml:space="preserve">ed </w:t>
      </w:r>
      <w:r w:rsidRPr="00856358">
        <w:rPr>
          <w:szCs w:val="24"/>
        </w:rPr>
        <w:t xml:space="preserve">(Gubrium &amp; Holstein, 2002, McCracken, 1988). </w:t>
      </w:r>
      <w:r>
        <w:rPr>
          <w:szCs w:val="24"/>
        </w:rPr>
        <w:t xml:space="preserve">In this way </w:t>
      </w:r>
      <w:r w:rsidRPr="00B736D3">
        <w:rPr>
          <w:szCs w:val="24"/>
        </w:rPr>
        <w:t xml:space="preserve">young people participating in the study </w:t>
      </w:r>
      <w:r w:rsidRPr="004823EA">
        <w:rPr>
          <w:szCs w:val="24"/>
        </w:rPr>
        <w:t>were not limited to responses that focus on, and therefore reinforce, existing model constructs and the data produced was more contextually grounded data and sensitive to young people’s own perspectives.</w:t>
      </w:r>
      <w:r>
        <w:rPr>
          <w:szCs w:val="24"/>
        </w:rPr>
        <w:t xml:space="preserve"> The questions devised for Studies 1 and 2 are included within each study report presented in Chapters 5 and 6 respectively.  </w:t>
      </w:r>
    </w:p>
    <w:p w14:paraId="64497E63" w14:textId="1E46F70D" w:rsidR="00E808F1" w:rsidRDefault="00E808F1" w:rsidP="00E808F1">
      <w:pPr>
        <w:pStyle w:val="Heading3"/>
      </w:pPr>
      <w:bookmarkStart w:id="385" w:name="_Toc35892659"/>
      <w:r w:rsidRPr="00EB0610">
        <w:t>Data analysis</w:t>
      </w:r>
      <w:bookmarkEnd w:id="385"/>
      <w:r w:rsidRPr="00EB0610">
        <w:t xml:space="preserve"> </w:t>
      </w:r>
    </w:p>
    <w:p w14:paraId="72828277" w14:textId="7392903C" w:rsidR="00E808F1" w:rsidRDefault="00E808F1" w:rsidP="00E808F1">
      <w:pPr>
        <w:spacing w:line="480" w:lineRule="auto"/>
        <w:rPr>
          <w:rStyle w:val="ThesismaintextChar"/>
        </w:rPr>
      </w:pPr>
      <w:r w:rsidRPr="00D34DFB">
        <w:rPr>
          <w:rStyle w:val="ThesismaintextChar"/>
        </w:rPr>
        <w:t>Focus group session recordings were transcribed verbatim into digital form using the transcription software Express Scribe Pro (NCH Pty Ltd., Version 5, 2015). Transcripts were</w:t>
      </w:r>
      <w:r>
        <w:rPr>
          <w:rStyle w:val="ThesismaintextChar"/>
        </w:rPr>
        <w:t xml:space="preserve"> then</w:t>
      </w:r>
      <w:r w:rsidRPr="00D34DFB">
        <w:rPr>
          <w:rStyle w:val="ThesismaintextChar"/>
        </w:rPr>
        <w:t xml:space="preserve"> imported as Microsoft Word files into Nvivo qualitative software analysis program (QSR International Pty Ltd., Versions 10, 2012 </w:t>
      </w:r>
      <w:r w:rsidR="00C421A5">
        <w:rPr>
          <w:rStyle w:val="ThesismaintextChar"/>
        </w:rPr>
        <w:t>&amp;</w:t>
      </w:r>
      <w:r w:rsidRPr="00D34DFB">
        <w:rPr>
          <w:rStyle w:val="ThesismaintextChar"/>
        </w:rPr>
        <w:t xml:space="preserve"> 11, 2017) for analysis. </w:t>
      </w:r>
      <w:r>
        <w:rPr>
          <w:rStyle w:val="ThesismaintextChar"/>
        </w:rPr>
        <w:t xml:space="preserve">Transcripts were analysed using a three-step procedure, as described in Section 4.7.4 blow, similar to that described in thematic network analysis by </w:t>
      </w:r>
      <w:r w:rsidRPr="00D34DFB">
        <w:rPr>
          <w:rStyle w:val="ThesismaintextChar"/>
        </w:rPr>
        <w:t xml:space="preserve">Attride-Stirling </w:t>
      </w:r>
      <w:r>
        <w:rPr>
          <w:rStyle w:val="ThesismaintextChar"/>
        </w:rPr>
        <w:t>(</w:t>
      </w:r>
      <w:r w:rsidRPr="00D34DFB">
        <w:rPr>
          <w:rStyle w:val="ThesismaintextChar"/>
        </w:rPr>
        <w:t xml:space="preserve">2001). </w:t>
      </w:r>
      <w:r>
        <w:rPr>
          <w:rStyle w:val="ThesismaintextChar"/>
        </w:rPr>
        <w:t xml:space="preserve">For the sake of clarity, we set out below our working definitions of the concepts and categories used in the analysis. </w:t>
      </w:r>
    </w:p>
    <w:p w14:paraId="2B5946A8" w14:textId="77777777" w:rsidR="00682B0E" w:rsidRDefault="00682B0E" w:rsidP="00E808F1">
      <w:pPr>
        <w:spacing w:line="480" w:lineRule="auto"/>
        <w:rPr>
          <w:rStyle w:val="ThesismaintextChar"/>
        </w:rPr>
      </w:pPr>
    </w:p>
    <w:p w14:paraId="10EBDBCA" w14:textId="77777777" w:rsidR="00CC3FED" w:rsidRDefault="00CC3FED">
      <w:pPr>
        <w:rPr>
          <w:b/>
          <w:bCs/>
          <w:color w:val="000000"/>
        </w:rPr>
      </w:pPr>
      <w:r>
        <w:br w:type="page"/>
      </w:r>
    </w:p>
    <w:p w14:paraId="13D3FBA8" w14:textId="435B9E0A" w:rsidR="00E808F1" w:rsidRDefault="00E808F1" w:rsidP="00E808F1">
      <w:pPr>
        <w:pStyle w:val="Heading3"/>
      </w:pPr>
      <w:bookmarkStart w:id="386" w:name="_Toc35892660"/>
      <w:r>
        <w:t>Terminology</w:t>
      </w:r>
      <w:bookmarkEnd w:id="386"/>
    </w:p>
    <w:p w14:paraId="466A0937" w14:textId="77777777" w:rsidR="00E808F1" w:rsidRPr="00A309C4" w:rsidRDefault="00E808F1" w:rsidP="00E808F1">
      <w:pPr>
        <w:pStyle w:val="Heading4"/>
      </w:pPr>
      <w:r w:rsidRPr="00A309C4">
        <w:rPr>
          <w:rStyle w:val="Heading4Char"/>
          <w:b/>
          <w:bCs/>
          <w:iCs/>
        </w:rPr>
        <w:t xml:space="preserve">Meaningful utterances </w:t>
      </w:r>
    </w:p>
    <w:p w14:paraId="6CF04AC2" w14:textId="23F5EA27" w:rsidR="00E808F1" w:rsidRDefault="00E808F1" w:rsidP="00E808F1">
      <w:pPr>
        <w:pStyle w:val="Thesismaintext"/>
        <w:spacing w:line="480" w:lineRule="auto"/>
        <w:rPr>
          <w:rStyle w:val="ThesismaintextChar"/>
        </w:rPr>
      </w:pPr>
      <w:r>
        <w:t>Meaningful utterances are defined here as an</w:t>
      </w:r>
      <w:r w:rsidR="003A7F20">
        <w:t>y</w:t>
      </w:r>
      <w:r>
        <w:t xml:space="preserve"> extract from the transcripts </w:t>
      </w:r>
      <w:r w:rsidR="003A7F20">
        <w:t>from</w:t>
      </w:r>
      <w:r>
        <w:t xml:space="preserve"> all participants’ statements that </w:t>
      </w:r>
      <w:r w:rsidR="003A7F20">
        <w:t>encapsulated a single point of interest relevant to the area of study</w:t>
      </w:r>
      <w:r>
        <w:t xml:space="preserve">. These </w:t>
      </w:r>
      <w:r w:rsidRPr="00D34DFB">
        <w:rPr>
          <w:rStyle w:val="ThesismaintextChar"/>
        </w:rPr>
        <w:t>lowest-order meaning units</w:t>
      </w:r>
      <w:r>
        <w:rPr>
          <w:rStyle w:val="ThesismaintextChar"/>
        </w:rPr>
        <w:t xml:space="preserve"> can vary from a single word to a few sentences but encompass a concept, belief or meaningful idea. The set of meaningful utterances contains many duplicates (having the same words with the same meaning) and near duplicates (having different words but the same meaning). Meaningful utterances include an undifferentiated, heterogeneous mixture of beliefs, reasons, motivations and other statements.</w:t>
      </w:r>
    </w:p>
    <w:p w14:paraId="5970F521" w14:textId="77777777" w:rsidR="00E808F1" w:rsidRPr="006D0F36" w:rsidRDefault="00E808F1" w:rsidP="00E808F1">
      <w:pPr>
        <w:pStyle w:val="Heading4"/>
        <w:rPr>
          <w:rStyle w:val="ThesismaintextChar"/>
        </w:rPr>
      </w:pPr>
      <w:r w:rsidRPr="006D0F36">
        <w:rPr>
          <w:rStyle w:val="ThesismaintextChar"/>
        </w:rPr>
        <w:t xml:space="preserve">Basic theme </w:t>
      </w:r>
    </w:p>
    <w:p w14:paraId="5D78C82E" w14:textId="77777777" w:rsidR="00E808F1" w:rsidRDefault="00E808F1" w:rsidP="00E808F1">
      <w:pPr>
        <w:pStyle w:val="Thesismaintext"/>
        <w:spacing w:line="480" w:lineRule="auto"/>
        <w:rPr>
          <w:rStyle w:val="ThesismaintextChar"/>
        </w:rPr>
      </w:pPr>
      <w:r>
        <w:rPr>
          <w:rStyle w:val="ThesismaintextChar"/>
        </w:rPr>
        <w:t xml:space="preserve">According to Attride-Stirling (2001) basic themes are </w:t>
      </w:r>
      <w:r w:rsidRPr="00480713">
        <w:rPr>
          <w:rStyle w:val="ThesismaintextChar"/>
        </w:rPr>
        <w:t>lowest-order premises evident in the text</w:t>
      </w:r>
      <w:r>
        <w:rPr>
          <w:rStyle w:val="ThesismaintextChar"/>
        </w:rPr>
        <w:t xml:space="preserve">. The term is used here to refer to the set of meaningful utterances after duplicates have been removed and near duplicates consolidated. </w:t>
      </w:r>
      <w:r w:rsidRPr="00D34DFB">
        <w:rPr>
          <w:rStyle w:val="ThesismaintextChar"/>
        </w:rPr>
        <w:t>They remain close to the text and offer little explanatory meaning when viewed in isolation</w:t>
      </w:r>
      <w:r>
        <w:rPr>
          <w:rStyle w:val="ThesismaintextChar"/>
        </w:rPr>
        <w:t>.</w:t>
      </w:r>
      <w:r w:rsidRPr="00925FCD">
        <w:rPr>
          <w:rStyle w:val="ThesismaintextChar"/>
        </w:rPr>
        <w:t xml:space="preserve"> </w:t>
      </w:r>
      <w:r>
        <w:rPr>
          <w:rStyle w:val="ThesismaintextChar"/>
        </w:rPr>
        <w:t>Basic themes comprise an undifferentiated, heterogeneous mixture of beliefs, reasons, motivations and other statements.</w:t>
      </w:r>
    </w:p>
    <w:p w14:paraId="7DA47AB4" w14:textId="77777777" w:rsidR="00E808F1" w:rsidRPr="006D0F36" w:rsidRDefault="00E808F1" w:rsidP="00E808F1">
      <w:pPr>
        <w:pStyle w:val="Heading4"/>
        <w:rPr>
          <w:rStyle w:val="ThesismaintextChar"/>
        </w:rPr>
      </w:pPr>
      <w:r w:rsidRPr="006D0F36">
        <w:rPr>
          <w:rStyle w:val="ThesismaintextChar"/>
        </w:rPr>
        <w:t xml:space="preserve">Organising theme </w:t>
      </w:r>
    </w:p>
    <w:p w14:paraId="2A043E1C" w14:textId="46F7179A" w:rsidR="00E808F1" w:rsidRDefault="00E808F1" w:rsidP="00E808F1">
      <w:pPr>
        <w:pStyle w:val="Thesismaintext"/>
        <w:spacing w:line="480" w:lineRule="auto"/>
        <w:rPr>
          <w:rStyle w:val="ThesismaintextChar"/>
        </w:rPr>
      </w:pPr>
      <w:r>
        <w:t>Organising themes are clusters</w:t>
      </w:r>
      <w:r w:rsidRPr="00CC143C">
        <w:t xml:space="preserve"> of basic themes grouped</w:t>
      </w:r>
      <w:r w:rsidR="0012086A">
        <w:t xml:space="preserve"> together</w:t>
      </w:r>
      <w:r w:rsidRPr="00CC143C">
        <w:t xml:space="preserve"> to summari</w:t>
      </w:r>
      <w:r>
        <w:t>s</w:t>
      </w:r>
      <w:r w:rsidRPr="00CC143C">
        <w:t>e more abstract principles</w:t>
      </w:r>
      <w:r>
        <w:t xml:space="preserve"> (</w:t>
      </w:r>
      <w:r>
        <w:rPr>
          <w:rStyle w:val="ThesismaintextChar"/>
        </w:rPr>
        <w:t xml:space="preserve">Attride-Stirling, 2001). An organising theme groups together basic themes which are closely related in meaning or sentiment. These represent a consolidation of the basic themes into a comprehensive set of unique statements. Although they are more abstract interpretations of the basic themes they remain closely rooted to the data. Organising themes create a manageable set of statements which retain the fundamental ideas embedded in the basic themes, without over-consolidating to the point where unique meaning is lost. Organising themes are made up of a mixture of beliefs, reasons and motivations. </w:t>
      </w:r>
    </w:p>
    <w:p w14:paraId="7FCF6F3E" w14:textId="77777777" w:rsidR="00E808F1" w:rsidRPr="006D0F36" w:rsidRDefault="00E808F1" w:rsidP="00E808F1">
      <w:pPr>
        <w:pStyle w:val="Heading4"/>
        <w:rPr>
          <w:rStyle w:val="ThesismaintextChar"/>
        </w:rPr>
      </w:pPr>
      <w:r w:rsidRPr="006D0F36">
        <w:rPr>
          <w:rStyle w:val="ThesismaintextChar"/>
        </w:rPr>
        <w:t>Global theme</w:t>
      </w:r>
    </w:p>
    <w:p w14:paraId="53EB8AC5" w14:textId="77777777" w:rsidR="00E808F1" w:rsidRDefault="00E808F1" w:rsidP="00E808F1">
      <w:pPr>
        <w:pStyle w:val="Thesismaintext"/>
        <w:spacing w:line="480" w:lineRule="auto"/>
      </w:pPr>
      <w:r>
        <w:rPr>
          <w:rStyle w:val="ThesismaintextChar"/>
        </w:rPr>
        <w:t xml:space="preserve">Global themes are </w:t>
      </w:r>
      <w:r w:rsidRPr="000A38EF">
        <w:rPr>
          <w:rStyle w:val="ThesismaintextChar"/>
        </w:rPr>
        <w:t xml:space="preserve">super-ordinate themes encapsulating the principal metaphors in the text as a whole </w:t>
      </w:r>
      <w:r>
        <w:t>(</w:t>
      </w:r>
      <w:r>
        <w:rPr>
          <w:rStyle w:val="ThesismaintextChar"/>
        </w:rPr>
        <w:t xml:space="preserve">Attride-Stirling, 2001). Each global theme encompasses a unique set of organising themes to provide the next level of abstraction. Global themes result from scrutiny and interpretation of the organising themes and are selected to provide the most suitable summary of the core domains of meaning, influence and/or issues. Global themes represent reasons and motivations. </w:t>
      </w:r>
    </w:p>
    <w:p w14:paraId="0E377B1D" w14:textId="5EEE4D4A" w:rsidR="00E808F1" w:rsidRPr="008E0F54" w:rsidRDefault="00E808F1" w:rsidP="00E808F1">
      <w:pPr>
        <w:pStyle w:val="Heading3"/>
      </w:pPr>
      <w:bookmarkStart w:id="387" w:name="_Toc35892661"/>
      <w:r>
        <w:t>Process</w:t>
      </w:r>
      <w:bookmarkEnd w:id="387"/>
    </w:p>
    <w:p w14:paraId="017ACF52" w14:textId="10513A40" w:rsidR="00E808F1" w:rsidRDefault="00E808F1" w:rsidP="00E808F1">
      <w:pPr>
        <w:spacing w:line="480" w:lineRule="auto"/>
        <w:rPr>
          <w:rStyle w:val="ThesismaintextChar"/>
        </w:rPr>
      </w:pPr>
      <w:r>
        <w:rPr>
          <w:rStyle w:val="ThesismaintextChar"/>
        </w:rPr>
        <w:t xml:space="preserve">The data were analysed in three stages. Firstly, a comprehensive analysis of the content of the transcripts was undertaken to develop and populate an analytic framework to aid further analysis of the data. Secondly, data from the analytic framework was interrogated to identify the motivations underlying young people’s use of NPS and avoidance of use. Thirdly, constructs from the social cognition models were assessed against the motives to determine </w:t>
      </w:r>
      <w:r w:rsidR="0012086A">
        <w:rPr>
          <w:rStyle w:val="ThesismaintextChar"/>
        </w:rPr>
        <w:t xml:space="preserve">the </w:t>
      </w:r>
      <w:r>
        <w:rPr>
          <w:rStyle w:val="ThesismaintextChar"/>
        </w:rPr>
        <w:t>goodness of fit, and the selected model constructs were then used to organise a set of behavioural beliefs suggested for use in interventions.</w:t>
      </w:r>
    </w:p>
    <w:p w14:paraId="5F7030B6" w14:textId="6D547970" w:rsidR="00E808F1" w:rsidRPr="00B7211C" w:rsidRDefault="00E808F1" w:rsidP="00E808F1">
      <w:pPr>
        <w:pStyle w:val="Heading3"/>
        <w:rPr>
          <w:rStyle w:val="ThesismaintextChar"/>
        </w:rPr>
      </w:pPr>
      <w:bookmarkStart w:id="388" w:name="_Toc35892662"/>
      <w:r>
        <w:rPr>
          <w:rStyle w:val="ThesismaintextChar"/>
        </w:rPr>
        <w:t>Stage 1: Development of the analytic framework</w:t>
      </w:r>
      <w:bookmarkEnd w:id="388"/>
      <w:r>
        <w:rPr>
          <w:rStyle w:val="ThesismaintextChar"/>
        </w:rPr>
        <w:t xml:space="preserve">  </w:t>
      </w:r>
    </w:p>
    <w:p w14:paraId="198BA8F3" w14:textId="173471C9" w:rsidR="00FA6445" w:rsidRDefault="00E808F1" w:rsidP="00E808F1">
      <w:pPr>
        <w:pStyle w:val="Thesismaintext"/>
        <w:spacing w:line="480" w:lineRule="auto"/>
        <w:rPr>
          <w:color w:val="000000"/>
        </w:rPr>
      </w:pPr>
      <w:r>
        <w:rPr>
          <w:rStyle w:val="ThesismaintextChar"/>
        </w:rPr>
        <w:t>A four-step process was used which incorporated the three-step process described by Attride-Stirling following an initial coding step. The first step involved the identification of all meaningful utterances within all three transcripts which were each coded under</w:t>
      </w:r>
      <w:r>
        <w:rPr>
          <w:color w:val="000000"/>
        </w:rPr>
        <w:t xml:space="preserve"> a label that captured the main sentiment of the statement.</w:t>
      </w:r>
      <w:r>
        <w:rPr>
          <w:rStyle w:val="ThesismaintextChar"/>
        </w:rPr>
        <w:t xml:space="preserve"> At this stage</w:t>
      </w:r>
      <w:r w:rsidR="0012086A">
        <w:rPr>
          <w:rStyle w:val="ThesismaintextChar"/>
        </w:rPr>
        <w:t>,</w:t>
      </w:r>
      <w:r>
        <w:rPr>
          <w:rStyle w:val="ThesismaintextChar"/>
        </w:rPr>
        <w:t xml:space="preserve"> there was a large number of codes with many near duplicates. Statements with the same meaning were consolidated during initial coding. The second step was the further consolidation of statements to form the set of basic themes.</w:t>
      </w:r>
      <w:r w:rsidRPr="00DF2228">
        <w:rPr>
          <w:color w:val="000000"/>
        </w:rPr>
        <w:t xml:space="preserve"> </w:t>
      </w:r>
      <w:r>
        <w:rPr>
          <w:color w:val="000000"/>
        </w:rPr>
        <w:t xml:space="preserve">Once the initial coding pass was completed, the transcripts were re-read, and </w:t>
      </w:r>
    </w:p>
    <w:p w14:paraId="47C7913E" w14:textId="77777777" w:rsidR="00FA6445" w:rsidRDefault="00FA6445" w:rsidP="00E808F1">
      <w:pPr>
        <w:pStyle w:val="Thesismaintext"/>
        <w:spacing w:line="480" w:lineRule="auto"/>
        <w:rPr>
          <w:color w:val="000000"/>
        </w:rPr>
      </w:pPr>
    </w:p>
    <w:p w14:paraId="1C66CC85" w14:textId="77777777" w:rsidR="00FA6445" w:rsidRDefault="00FA6445" w:rsidP="00E808F1">
      <w:pPr>
        <w:pStyle w:val="Thesismaintext"/>
        <w:spacing w:line="480" w:lineRule="auto"/>
        <w:rPr>
          <w:color w:val="000000"/>
        </w:rPr>
      </w:pPr>
    </w:p>
    <w:p w14:paraId="6E09B199" w14:textId="3568AD76" w:rsidR="00E808F1" w:rsidRPr="00FA6445" w:rsidRDefault="00E808F1" w:rsidP="00E808F1">
      <w:pPr>
        <w:pStyle w:val="Thesismaintext"/>
        <w:spacing w:line="480" w:lineRule="auto"/>
        <w:rPr>
          <w:rStyle w:val="ThesismaintextChar"/>
          <w:color w:val="000000"/>
        </w:rPr>
      </w:pPr>
      <w:r>
        <w:rPr>
          <w:color w:val="000000"/>
        </w:rPr>
        <w:t>coding refined to produce a set of codes which collated together statements with high semantic relatedness but retained as much distinctiveness as was feasible.</w:t>
      </w:r>
    </w:p>
    <w:p w14:paraId="04EF2D14" w14:textId="77777777" w:rsidR="00E808F1" w:rsidRDefault="00E808F1" w:rsidP="00E808F1">
      <w:pPr>
        <w:pStyle w:val="Thesismaintext"/>
        <w:spacing w:line="480" w:lineRule="auto"/>
        <w:rPr>
          <w:color w:val="000000"/>
        </w:rPr>
      </w:pPr>
      <w:r>
        <w:rPr>
          <w:color w:val="000000"/>
        </w:rPr>
        <w:t>In the third step, these basic themes were reduced into a smaller number of organising themes to make the data more manageable for analysis and interpretation. The basic themes were reviewed and grouped into clusters with similar meaning which were then assigned to an organising theme. At this stage, a second coder read samples from the transcripts and assessed the grouping of basic themes into organising themes. Both coders then discussed the differences in coding until a consensus was reached. The organising themes represented the core of the analytical framework.</w:t>
      </w:r>
      <w:r w:rsidRPr="00AC0000">
        <w:rPr>
          <w:color w:val="000000"/>
        </w:rPr>
        <w:t xml:space="preserve"> </w:t>
      </w:r>
      <w:r>
        <w:rPr>
          <w:color w:val="000000"/>
        </w:rPr>
        <w:t xml:space="preserve">Each organising theme was then assessed as either encouraging, or discouraging, the use of NPS. For the fourth step, global themes were created which aimed to bring together conceptually related organising themes whilst maintaining important distinctions within the data. After a first pass, an initial set of global themes were assessed by the second coder. The global themes were reviewed and discussed until a consensus was reached and the thematic framework was finalised. </w:t>
      </w:r>
    </w:p>
    <w:p w14:paraId="66A0FA5B" w14:textId="0FCE2F92" w:rsidR="00E808F1" w:rsidRDefault="00E808F1" w:rsidP="00E808F1">
      <w:pPr>
        <w:pStyle w:val="Heading3"/>
        <w:rPr>
          <w:rStyle w:val="ThesismaintextChar"/>
        </w:rPr>
      </w:pPr>
      <w:bookmarkStart w:id="389" w:name="_Toc35892663"/>
      <w:r>
        <w:rPr>
          <w:rStyle w:val="ThesismaintextChar"/>
        </w:rPr>
        <w:t>Stage 2: Identification of underlying motivations</w:t>
      </w:r>
      <w:bookmarkEnd w:id="389"/>
      <w:r>
        <w:rPr>
          <w:rStyle w:val="ThesismaintextChar"/>
        </w:rPr>
        <w:t xml:space="preserve">   </w:t>
      </w:r>
    </w:p>
    <w:p w14:paraId="48B167B3" w14:textId="77777777" w:rsidR="00E808F1" w:rsidRDefault="00E808F1" w:rsidP="00E808F1">
      <w:pPr>
        <w:pStyle w:val="Thesismaintext"/>
        <w:spacing w:line="480" w:lineRule="auto"/>
      </w:pPr>
      <w:r w:rsidRPr="005041BE">
        <w:t xml:space="preserve">Motivations were identified using a two-step process. </w:t>
      </w:r>
      <w:r>
        <w:t xml:space="preserve">Firstly, based on the definition of motivation as the </w:t>
      </w:r>
      <w:r w:rsidRPr="00980A4E">
        <w:t>processes whereby goal-directed activities are energised, directed and sustained</w:t>
      </w:r>
      <w:r w:rsidRPr="002466FE">
        <w:t xml:space="preserve"> </w:t>
      </w:r>
      <w:r>
        <w:t>(</w:t>
      </w:r>
      <w:r w:rsidRPr="007A45C3">
        <w:t xml:space="preserve">Schunk, Pintrich, </w:t>
      </w:r>
      <w:r>
        <w:t>&amp;</w:t>
      </w:r>
      <w:r w:rsidRPr="007A45C3">
        <w:t xml:space="preserve"> Meece</w:t>
      </w:r>
      <w:r>
        <w:t xml:space="preserve">, </w:t>
      </w:r>
      <w:r w:rsidRPr="007A45C3">
        <w:t>2008)</w:t>
      </w:r>
      <w:r>
        <w:t>, the content of the organisational themes was assessed to establish whether they were behavioural beliefs oriented towards discernible goals. A belief was considered as goal-directed when it explicitly or implicitly incorporated an outcome expectancy. Once a subset of goal-directed beliefs was identified, their relevant outcome expectancies were specified (e.g. no harm will result from use / less harm will result from use / harm will result from use). Outcome expectancies were then grouped into themes (e.g. health) and these themes then formed the basis of the motivational domains identified as relevant to NPS related behaviour</w:t>
      </w:r>
      <w:r w:rsidRPr="00A34EB6">
        <w:t xml:space="preserve"> </w:t>
      </w:r>
      <w:r>
        <w:t>(e.g. health motives).</w:t>
      </w:r>
    </w:p>
    <w:p w14:paraId="58E4146B" w14:textId="38FC657C" w:rsidR="00E808F1" w:rsidRPr="00B7211C" w:rsidRDefault="00E808F1" w:rsidP="00E808F1">
      <w:pPr>
        <w:pStyle w:val="Heading3"/>
        <w:rPr>
          <w:rStyle w:val="ThesismaintextChar"/>
        </w:rPr>
      </w:pPr>
      <w:bookmarkStart w:id="390" w:name="_Toc35892664"/>
      <w:r>
        <w:rPr>
          <w:rStyle w:val="ThesismaintextChar"/>
        </w:rPr>
        <w:t>Stage 3: Mapping salient beliefs to model constructs</w:t>
      </w:r>
      <w:bookmarkEnd w:id="390"/>
      <w:r>
        <w:rPr>
          <w:rStyle w:val="ThesismaintextChar"/>
        </w:rPr>
        <w:t xml:space="preserve">   </w:t>
      </w:r>
    </w:p>
    <w:p w14:paraId="40F03745" w14:textId="77777777" w:rsidR="00E808F1" w:rsidRDefault="00E808F1" w:rsidP="00E808F1">
      <w:pPr>
        <w:pStyle w:val="Thesismaintext"/>
        <w:spacing w:line="480" w:lineRule="auto"/>
      </w:pPr>
      <w:r>
        <w:t xml:space="preserve">The motivation domains identified were assessed for likeness against the full set of model constructs derived from the five social cognition models used in the development of the study (see Table 4.1 for an overview of the model constructs). The model constructs with the greatest similarity to the motivational domains were selected for use. </w:t>
      </w:r>
    </w:p>
    <w:p w14:paraId="5A852935" w14:textId="77777777" w:rsidR="00E808F1" w:rsidRDefault="00E808F1" w:rsidP="00E808F1">
      <w:pPr>
        <w:pStyle w:val="Thesismaintext"/>
        <w:spacing w:line="480" w:lineRule="auto"/>
      </w:pPr>
      <w:r>
        <w:t xml:space="preserve">The behavioural beliefs identified in stage 2 were then mapped onto the selected model constructs to provide a set of beliefs associated with each construct. The set of behavioural beliefs were evaluated for frequency and commonality to create a final set of salient beliefs to complement each model construct. The included beliefs were those expressed by participants in all three focus groups and mentioned on at least three separate occasions. </w:t>
      </w:r>
    </w:p>
    <w:p w14:paraId="418AB99C" w14:textId="4B048648" w:rsidR="00E808F1" w:rsidRDefault="00E808F1" w:rsidP="00835A06">
      <w:pPr>
        <w:pStyle w:val="Heading2"/>
      </w:pPr>
      <w:bookmarkStart w:id="391" w:name="_Toc35892665"/>
      <w:r>
        <w:t>Analytical approach: Study 2</w:t>
      </w:r>
      <w:bookmarkEnd w:id="391"/>
      <w:r>
        <w:t xml:space="preserve"> </w:t>
      </w:r>
    </w:p>
    <w:p w14:paraId="01FF69F8" w14:textId="77777777" w:rsidR="00E808F1" w:rsidRDefault="00E808F1" w:rsidP="00E808F1">
      <w:pPr>
        <w:spacing w:line="480" w:lineRule="auto"/>
      </w:pPr>
      <w:r>
        <w:t xml:space="preserve">Study 2 followed the same general approach and analytical framework as Study 1 but with several variations. Firstly, the transcripts were coded using the organising themes identified in Study 1. Where new statements were identified, which did not demonstrate a good fit with the existing coding categories, new codes were created. The frequency with which each statement was expressed within the three focus groups was recorded. The coded statements were then grouped into global themes using two methods, one open sorting task and one closed sorting task. The purpose of the tasks was to provide a reliability check to ensure the data was not inappropriately fitted to the pre-existing global themes developed to describe the Study 1 data. The open sorting task was undertaken first and placed no constraints on the development of themes. This was then followed by a closed sorting task in which the coded statements were organised into the global themes identified in Study 1. The two sorting tasks were repeated by a second coder and the results compared and discussed until a consensus was reached. </w:t>
      </w:r>
    </w:p>
    <w:p w14:paraId="3E910FD5" w14:textId="01D60A8B" w:rsidR="00E808F1" w:rsidRDefault="00E808F1" w:rsidP="00E808F1">
      <w:pPr>
        <w:pStyle w:val="Heading3"/>
      </w:pPr>
      <w:bookmarkStart w:id="392" w:name="_Toc35892666"/>
      <w:r>
        <w:t>Pre- and post-ban comparison</w:t>
      </w:r>
      <w:bookmarkEnd w:id="392"/>
      <w:r>
        <w:t xml:space="preserve"> </w:t>
      </w:r>
    </w:p>
    <w:p w14:paraId="5E1935D2" w14:textId="5C95A95E" w:rsidR="00E808F1" w:rsidRPr="00D354DB" w:rsidRDefault="00E808F1" w:rsidP="00E808F1">
      <w:pPr>
        <w:spacing w:line="480" w:lineRule="auto"/>
      </w:pPr>
      <w:r>
        <w:t xml:space="preserve">Differences in the pre- and post-ban data were assessed in relation to organising and global themes to obtain a sense of differences in the overall emphasis of the global themes, the extent to which the types of reasons elicited differed and the frequency of with which each </w:t>
      </w:r>
      <w:r w:rsidRPr="00D354DB">
        <w:t xml:space="preserve">specific reason was expressed. To aid interpretation of the differences between the pre-ban and post-ban data a set of change </w:t>
      </w:r>
      <w:r w:rsidR="004B7856">
        <w:t>indices</w:t>
      </w:r>
      <w:r w:rsidRPr="00D354DB">
        <w:t xml:space="preserve"> were created.</w:t>
      </w:r>
      <w:r>
        <w:t xml:space="preserve"> It should be noted that the difference scores were not intended as a rigorous statistical measure of differences but merely an indicator of where the differences exist between the two data sets to guide discussion.  </w:t>
      </w:r>
      <w:r w:rsidRPr="00D354DB">
        <w:t xml:space="preserve"> </w:t>
      </w:r>
    </w:p>
    <w:p w14:paraId="0832A929" w14:textId="77777777" w:rsidR="00E808F1" w:rsidRPr="00D354DB" w:rsidRDefault="00E808F1" w:rsidP="00E808F1">
      <w:pPr>
        <w:pStyle w:val="Heading4"/>
        <w:rPr>
          <w:rStyle w:val="Heading3Char"/>
          <w:b/>
          <w:bCs/>
          <w:color w:val="auto"/>
        </w:rPr>
      </w:pPr>
      <w:r w:rsidRPr="00D354DB">
        <w:t>Raw reference difference score</w:t>
      </w:r>
      <w:r w:rsidRPr="00D354DB">
        <w:rPr>
          <w:rStyle w:val="Heading3Char"/>
          <w:b/>
          <w:bCs/>
          <w:color w:val="auto"/>
        </w:rPr>
        <w:t xml:space="preserve"> </w:t>
      </w:r>
    </w:p>
    <w:p w14:paraId="1A9044A4" w14:textId="77777777" w:rsidR="00E808F1" w:rsidRPr="00D354DB" w:rsidRDefault="00E808F1" w:rsidP="00E808F1">
      <w:pPr>
        <w:spacing w:line="480" w:lineRule="auto"/>
      </w:pPr>
      <w:r w:rsidRPr="00D354DB">
        <w:t xml:space="preserve">The difference in the number of statements referring to each global theme in the pre- and post-ban data was calculated to create a raw reference difference score. Each global theme was then assigned a rank based on its </w:t>
      </w:r>
      <w:bookmarkStart w:id="393" w:name="_Hlk8290802"/>
      <w:r w:rsidRPr="00D354DB">
        <w:t>raw reference difference score</w:t>
      </w:r>
      <w:bookmarkEnd w:id="393"/>
      <w:r w:rsidRPr="00D354DB">
        <w:t>.</w:t>
      </w:r>
    </w:p>
    <w:p w14:paraId="2BA60AA4" w14:textId="77777777" w:rsidR="00E808F1" w:rsidRPr="00D354DB" w:rsidRDefault="00E808F1" w:rsidP="00E808F1">
      <w:pPr>
        <w:pStyle w:val="Heading4"/>
        <w:rPr>
          <w:rStyle w:val="Heading3Char"/>
          <w:b/>
          <w:bCs/>
          <w:color w:val="auto"/>
        </w:rPr>
      </w:pPr>
      <w:r w:rsidRPr="00D354DB">
        <w:t>Percentage coverage difference score</w:t>
      </w:r>
    </w:p>
    <w:p w14:paraId="1BF2FEDC" w14:textId="77777777" w:rsidR="00E808F1" w:rsidRPr="00D354DB" w:rsidRDefault="00E808F1" w:rsidP="00E808F1">
      <w:pPr>
        <w:spacing w:line="480" w:lineRule="auto"/>
      </w:pPr>
      <w:r w:rsidRPr="00D354DB">
        <w:t xml:space="preserve">The overall emphasis of each global theme was represented by the total number of statements referencing that theme as a proportion of all statements extracted from the full set of transcripts. The use of a percentage coverage measure in addition to a raw reference count was to account for the difference in the total number of statements extracted in the two studies. To compare variation in overall emphasis of each global theme, the differences between the percentage coverage for each global theme in Study 1 and 2 were calculated to create a difference measure for the percentage coverage. The global themes were then assigned a rank according to the percentage coverage difference score. </w:t>
      </w:r>
    </w:p>
    <w:p w14:paraId="54280A1F" w14:textId="77777777" w:rsidR="00E808F1" w:rsidRPr="00D354DB" w:rsidRDefault="00E808F1" w:rsidP="00E808F1">
      <w:pPr>
        <w:pStyle w:val="Heading4"/>
      </w:pPr>
      <w:r w:rsidRPr="00D354DB">
        <w:t>Relative emphasis difference score</w:t>
      </w:r>
    </w:p>
    <w:p w14:paraId="4310FFB3" w14:textId="77777777" w:rsidR="00FA6445" w:rsidRDefault="00E808F1" w:rsidP="00E808F1">
      <w:pPr>
        <w:spacing w:line="480" w:lineRule="auto"/>
      </w:pPr>
      <w:r w:rsidRPr="00D354DB">
        <w:t xml:space="preserve">Each global theme in both the pre-ban and post-ban data was ranked according to the number of statements referring to that theme. A relative emphasis difference score was then created to </w:t>
      </w:r>
    </w:p>
    <w:p w14:paraId="1F193D0D" w14:textId="0BD34529" w:rsidR="00E808F1" w:rsidRPr="00D354DB" w:rsidRDefault="00E808F1" w:rsidP="00E808F1">
      <w:pPr>
        <w:spacing w:line="480" w:lineRule="auto"/>
      </w:pPr>
      <w:r w:rsidRPr="00D354DB">
        <w:t>show the difference in rank for each global theme between the two sets of data. Each global theme was assigned a rank based on the relative emphasis difference score.</w:t>
      </w:r>
    </w:p>
    <w:p w14:paraId="2647E3E1" w14:textId="77777777" w:rsidR="00E808F1" w:rsidRPr="00D354DB" w:rsidRDefault="00E808F1" w:rsidP="00E808F1">
      <w:pPr>
        <w:pStyle w:val="Heading4"/>
      </w:pPr>
      <w:r w:rsidRPr="00D354DB">
        <w:t>Organising theme difference score</w:t>
      </w:r>
    </w:p>
    <w:p w14:paraId="2EFE0582" w14:textId="77777777" w:rsidR="00E808F1" w:rsidRPr="00D354DB" w:rsidRDefault="00E808F1" w:rsidP="00E808F1">
      <w:pPr>
        <w:spacing w:line="480" w:lineRule="auto"/>
      </w:pPr>
      <w:r w:rsidRPr="00D354DB">
        <w:t xml:space="preserve">The organising themes within each global theme were compared for the pre- and post-ban data. The number of novel and absent organising themes were totalled to create an organising theme difference measure. The global themes were then assigned a rank according to the organising theme difference score. </w:t>
      </w:r>
    </w:p>
    <w:p w14:paraId="62260CBD" w14:textId="77777777" w:rsidR="00E808F1" w:rsidRPr="00D354DB" w:rsidRDefault="00E808F1" w:rsidP="00E808F1">
      <w:pPr>
        <w:pStyle w:val="Heading4"/>
      </w:pPr>
      <w:r w:rsidRPr="00D354DB">
        <w:t>Overall difference score</w:t>
      </w:r>
    </w:p>
    <w:p w14:paraId="68C3978F" w14:textId="51FDD8E7" w:rsidR="00E808F1" w:rsidRPr="000B24C7" w:rsidRDefault="00E808F1" w:rsidP="00E808F1">
      <w:pPr>
        <w:spacing w:line="480" w:lineRule="auto"/>
      </w:pPr>
      <w:r w:rsidRPr="00D354DB">
        <w:t>An overall difference score was calculated for each global theme by creating a sum of its rank for each of the difference scores, i.e. it</w:t>
      </w:r>
      <w:r w:rsidR="0012086A">
        <w:t>'</w:t>
      </w:r>
      <w:r w:rsidRPr="00D354DB">
        <w:t>s rank for the raw references difference score; the percentage coverage difference score; the relative emphasis difference score; and the organising theme difference score.</w:t>
      </w:r>
    </w:p>
    <w:p w14:paraId="329A2E2E" w14:textId="14CD3772" w:rsidR="00E808F1" w:rsidRPr="00F32144" w:rsidRDefault="00E808F1" w:rsidP="00835A06">
      <w:pPr>
        <w:pStyle w:val="Heading2"/>
      </w:pPr>
      <w:bookmarkStart w:id="394" w:name="_Toc35892667"/>
      <w:r>
        <w:t>Analytical approach: Study 3</w:t>
      </w:r>
      <w:bookmarkEnd w:id="394"/>
    </w:p>
    <w:p w14:paraId="0F37DD9E" w14:textId="77777777" w:rsidR="0012086A" w:rsidRPr="007309DC" w:rsidRDefault="003F69C4" w:rsidP="0012086A">
      <w:pPr>
        <w:spacing w:after="160" w:line="480" w:lineRule="auto"/>
      </w:pPr>
      <w:r>
        <w:rPr>
          <w:bCs/>
          <w:szCs w:val="26"/>
        </w:rPr>
        <w:t>For</w:t>
      </w:r>
      <w:r w:rsidRPr="00930FFA">
        <w:rPr>
          <w:bCs/>
          <w:szCs w:val="26"/>
        </w:rPr>
        <w:t xml:space="preserve"> </w:t>
      </w:r>
      <w:r>
        <w:rPr>
          <w:bCs/>
          <w:szCs w:val="26"/>
        </w:rPr>
        <w:t>S</w:t>
      </w:r>
      <w:r w:rsidRPr="00930FFA">
        <w:rPr>
          <w:bCs/>
          <w:szCs w:val="26"/>
        </w:rPr>
        <w:t>tudy 3</w:t>
      </w:r>
      <w:r>
        <w:rPr>
          <w:bCs/>
          <w:szCs w:val="26"/>
        </w:rPr>
        <w:t>,</w:t>
      </w:r>
      <w:r w:rsidRPr="00930FFA">
        <w:rPr>
          <w:bCs/>
          <w:szCs w:val="26"/>
        </w:rPr>
        <w:t xml:space="preserve"> data was analysed using framework analysis</w:t>
      </w:r>
      <w:r>
        <w:rPr>
          <w:bCs/>
          <w:szCs w:val="26"/>
        </w:rPr>
        <w:t xml:space="preserve"> (Ritchie &amp; Spencer, 1994</w:t>
      </w:r>
      <w:r w:rsidRPr="007309DC">
        <w:rPr>
          <w:bCs/>
          <w:szCs w:val="26"/>
        </w:rPr>
        <w:t xml:space="preserve">). </w:t>
      </w:r>
      <w:r w:rsidRPr="007309DC">
        <w:t xml:space="preserve">For </w:t>
      </w:r>
      <w:r w:rsidR="00ED0E44" w:rsidRPr="007309DC">
        <w:t>this study</w:t>
      </w:r>
      <w:r w:rsidR="0012086A" w:rsidRPr="007309DC">
        <w:t>,</w:t>
      </w:r>
      <w:r w:rsidRPr="007309DC">
        <w:t xml:space="preserve"> a different analytical approach was chosen </w:t>
      </w:r>
      <w:r w:rsidR="00ED0E44" w:rsidRPr="007309DC">
        <w:t>than</w:t>
      </w:r>
      <w:r w:rsidR="0012086A" w:rsidRPr="007309DC">
        <w:t xml:space="preserve"> in</w:t>
      </w:r>
      <w:r w:rsidRPr="007309DC">
        <w:t xml:space="preserve"> the first two studies. For Studies 1 and 2 an analytical approach was chosen that was best suited to inductive exploratory analysis. Thematic network analysis had been chosen as the three-step coding process which starts with the smallest unit of meaning and works up to the highest level of abstraction was ideal for the bottom-up development of a model as was desired for those studies. However, the third study was not designed as an exploratory study and is less well suited to an approach optimised for identification of emergent themes and iterative development of theory. </w:t>
      </w:r>
      <w:r w:rsidR="00ED0E44" w:rsidRPr="007309DC">
        <w:t xml:space="preserve"> </w:t>
      </w:r>
      <w:r w:rsidRPr="007309DC">
        <w:t xml:space="preserve">Instead, framework analysis (Ritche &amp; Spencer, 1994) was selected as it was determined to be better suited to the aims of Study 3. </w:t>
      </w:r>
    </w:p>
    <w:p w14:paraId="70DBD15B" w14:textId="77777777" w:rsidR="0012086A" w:rsidRPr="007309DC" w:rsidRDefault="0012086A" w:rsidP="0012086A">
      <w:pPr>
        <w:spacing w:after="160" w:line="480" w:lineRule="auto"/>
      </w:pPr>
    </w:p>
    <w:p w14:paraId="34EBEA12" w14:textId="3BFB85C6" w:rsidR="003F69C4" w:rsidRPr="007309DC" w:rsidRDefault="003F69C4" w:rsidP="0012086A">
      <w:pPr>
        <w:spacing w:after="160" w:line="480" w:lineRule="auto"/>
      </w:pPr>
      <w:r w:rsidRPr="007309DC">
        <w:t xml:space="preserve">The focus of Study 3 is to provide answers to specific questions and identification of a-priori themes based on concepts drawn from the earlier studies and existing literature. Framework analysis (Ritche &amp; Spencer, 1994) is best suited to </w:t>
      </w:r>
      <w:r w:rsidR="0012086A" w:rsidRPr="007309DC">
        <w:t xml:space="preserve">the </w:t>
      </w:r>
      <w:r w:rsidRPr="007309DC">
        <w:t xml:space="preserve">case-wise analysis of data and initial organisation usually starts out with relatively broad high-level themes. Thus, the categorical, case-wise charting methodology of framework analysis offers an efficient way to organise the data into answers to specific questions as well as identifying reoccurring themes within and across the answers of each focus group.     </w:t>
      </w:r>
    </w:p>
    <w:p w14:paraId="5FEA5D65" w14:textId="49FF6103" w:rsidR="00E808F1" w:rsidRDefault="00E808F1" w:rsidP="00E808F1">
      <w:pPr>
        <w:spacing w:line="480" w:lineRule="auto"/>
        <w:rPr>
          <w:bCs/>
          <w:szCs w:val="26"/>
        </w:rPr>
      </w:pPr>
      <w:r>
        <w:rPr>
          <w:bCs/>
          <w:szCs w:val="26"/>
        </w:rPr>
        <w:t xml:space="preserve">Framework analysis is a qualitative data analysis approach that is becoming increasingly popular within social sciences and has been used effectively with health and policy related research </w:t>
      </w:r>
      <w:r w:rsidRPr="00060757">
        <w:rPr>
          <w:bCs/>
          <w:szCs w:val="26"/>
        </w:rPr>
        <w:t>(Furber 2010</w:t>
      </w:r>
      <w:r>
        <w:rPr>
          <w:bCs/>
          <w:szCs w:val="26"/>
        </w:rPr>
        <w:t xml:space="preserve">; </w:t>
      </w:r>
      <w:r w:rsidRPr="00060757">
        <w:rPr>
          <w:bCs/>
          <w:szCs w:val="26"/>
        </w:rPr>
        <w:t>Gale et al.</w:t>
      </w:r>
      <w:r w:rsidR="004C4795">
        <w:rPr>
          <w:bCs/>
          <w:szCs w:val="26"/>
        </w:rPr>
        <w:t xml:space="preserve">, </w:t>
      </w:r>
      <w:r w:rsidRPr="00060757">
        <w:rPr>
          <w:bCs/>
          <w:szCs w:val="26"/>
        </w:rPr>
        <w:t>2013; Ritchie &amp; Spencer 1994</w:t>
      </w:r>
      <w:r>
        <w:rPr>
          <w:bCs/>
          <w:szCs w:val="26"/>
        </w:rPr>
        <w:t xml:space="preserve">; </w:t>
      </w:r>
      <w:r w:rsidRPr="00060757">
        <w:rPr>
          <w:bCs/>
          <w:szCs w:val="26"/>
        </w:rPr>
        <w:t>Smith &amp; Firth 2011</w:t>
      </w:r>
      <w:r>
        <w:rPr>
          <w:bCs/>
          <w:szCs w:val="26"/>
        </w:rPr>
        <w:t>;</w:t>
      </w:r>
      <w:r w:rsidRPr="004B6C2E">
        <w:rPr>
          <w:bCs/>
          <w:szCs w:val="26"/>
        </w:rPr>
        <w:t xml:space="preserve"> </w:t>
      </w:r>
      <w:r w:rsidRPr="00060757">
        <w:rPr>
          <w:bCs/>
          <w:szCs w:val="26"/>
        </w:rPr>
        <w:t>Srivastava &amp; Thomson 2009; Swallow, Newton &amp; Van Lottum 2003)</w:t>
      </w:r>
      <w:r>
        <w:rPr>
          <w:bCs/>
          <w:szCs w:val="26"/>
        </w:rPr>
        <w:t xml:space="preserve"> and more recently has been applied within the field of qualitative psychology (Parkinson, Eatouch &amp; Holmes, 2016). Framework analysis is well suited for research that has specific research questions or a priori issues but it is not limited to pre-defined categories. As the focus of Study 3 was to consider young people’s perspectives on possible interventions, the parameters of analysis were explicitly focused on specific attributes of interventions, but nevertheless, we did not want to constrain the creativity of participants’ own interpretation of the problem and potential</w:t>
      </w:r>
      <w:r w:rsidR="00972A95">
        <w:rPr>
          <w:bCs/>
          <w:szCs w:val="26"/>
        </w:rPr>
        <w:t xml:space="preserve"> </w:t>
      </w:r>
      <w:r>
        <w:rPr>
          <w:bCs/>
          <w:szCs w:val="26"/>
        </w:rPr>
        <w:t xml:space="preserve">solutions. The flexibility of framework analysis to emphasise both predefined and emergent themes provided balance between the predefined elements of the study whilst allowing the emergence of the unexpected (Parkinson, Eatouch &amp; Holmes, 2016). </w:t>
      </w:r>
    </w:p>
    <w:p w14:paraId="2F0FF8D3" w14:textId="24F692F1" w:rsidR="00ED0E44" w:rsidRDefault="00E808F1" w:rsidP="0012086A">
      <w:pPr>
        <w:spacing w:line="480" w:lineRule="auto"/>
        <w:rPr>
          <w:bCs/>
          <w:szCs w:val="26"/>
        </w:rPr>
      </w:pPr>
      <w:r w:rsidRPr="008734FB">
        <w:rPr>
          <w:bCs/>
          <w:szCs w:val="26"/>
        </w:rPr>
        <w:t xml:space="preserve">There are five stages </w:t>
      </w:r>
      <w:r w:rsidRPr="00856358">
        <w:rPr>
          <w:bCs/>
          <w:szCs w:val="26"/>
        </w:rPr>
        <w:t xml:space="preserve">within the framework approach </w:t>
      </w:r>
      <w:r w:rsidRPr="008734FB">
        <w:rPr>
          <w:bCs/>
          <w:szCs w:val="26"/>
        </w:rPr>
        <w:t xml:space="preserve">outlined by Ritchie and Spencer (1994) </w:t>
      </w:r>
      <w:r>
        <w:rPr>
          <w:bCs/>
          <w:szCs w:val="26"/>
        </w:rPr>
        <w:t xml:space="preserve">that </w:t>
      </w:r>
      <w:r w:rsidRPr="00856358">
        <w:rPr>
          <w:bCs/>
          <w:szCs w:val="26"/>
        </w:rPr>
        <w:t xml:space="preserve">describe the processes </w:t>
      </w:r>
      <w:r>
        <w:rPr>
          <w:bCs/>
          <w:szCs w:val="26"/>
        </w:rPr>
        <w:t>which</w:t>
      </w:r>
      <w:r w:rsidRPr="00856358">
        <w:rPr>
          <w:bCs/>
          <w:szCs w:val="26"/>
        </w:rPr>
        <w:t xml:space="preserve"> guide the systematic analysis of </w:t>
      </w:r>
      <w:r>
        <w:rPr>
          <w:bCs/>
          <w:szCs w:val="26"/>
        </w:rPr>
        <w:t xml:space="preserve">the </w:t>
      </w:r>
      <w:r w:rsidRPr="00856358">
        <w:rPr>
          <w:bCs/>
          <w:szCs w:val="26"/>
        </w:rPr>
        <w:t>data</w:t>
      </w:r>
      <w:r w:rsidRPr="008734FB">
        <w:rPr>
          <w:bCs/>
          <w:szCs w:val="26"/>
        </w:rPr>
        <w:t>: familiarization</w:t>
      </w:r>
      <w:r>
        <w:rPr>
          <w:bCs/>
          <w:szCs w:val="26"/>
        </w:rPr>
        <w:t>;</w:t>
      </w:r>
      <w:r w:rsidRPr="008734FB">
        <w:rPr>
          <w:bCs/>
          <w:szCs w:val="26"/>
        </w:rPr>
        <w:t xml:space="preserve"> identifying a framework</w:t>
      </w:r>
      <w:r>
        <w:rPr>
          <w:bCs/>
          <w:szCs w:val="26"/>
        </w:rPr>
        <w:t>;</w:t>
      </w:r>
      <w:r w:rsidRPr="008734FB">
        <w:rPr>
          <w:bCs/>
          <w:szCs w:val="26"/>
        </w:rPr>
        <w:t xml:space="preserve"> indexing</w:t>
      </w:r>
      <w:r>
        <w:rPr>
          <w:bCs/>
          <w:szCs w:val="26"/>
        </w:rPr>
        <w:t>;</w:t>
      </w:r>
      <w:r w:rsidRPr="008734FB">
        <w:rPr>
          <w:bCs/>
          <w:szCs w:val="26"/>
        </w:rPr>
        <w:t xml:space="preserve"> charting</w:t>
      </w:r>
      <w:r>
        <w:rPr>
          <w:bCs/>
          <w:szCs w:val="26"/>
        </w:rPr>
        <w:t>;</w:t>
      </w:r>
      <w:r w:rsidRPr="008734FB">
        <w:rPr>
          <w:bCs/>
          <w:szCs w:val="26"/>
        </w:rPr>
        <w:t xml:space="preserve"> and mapping and interpretation. </w:t>
      </w:r>
      <w:r w:rsidRPr="009F0303">
        <w:rPr>
          <w:bCs/>
          <w:szCs w:val="26"/>
        </w:rPr>
        <w:t xml:space="preserve">The </w:t>
      </w:r>
      <w:r w:rsidR="0012086A">
        <w:rPr>
          <w:bCs/>
          <w:szCs w:val="26"/>
        </w:rPr>
        <w:t>familiarisation stage aimed</w:t>
      </w:r>
      <w:r>
        <w:rPr>
          <w:bCs/>
          <w:szCs w:val="26"/>
        </w:rPr>
        <w:t xml:space="preserve"> to get a holistic sense of what is going on within the data set and develop an awareness of the key issues and common concerns of the participants. In this stage the transcripts were reviewed several times and notes made based on initial impressions. These thoughts were then used together with the specific research objectives in the second </w:t>
      </w:r>
    </w:p>
    <w:p w14:paraId="3D0DDEDB" w14:textId="3219DED3" w:rsidR="00E808F1" w:rsidRDefault="00E808F1" w:rsidP="00E808F1">
      <w:pPr>
        <w:spacing w:line="480" w:lineRule="auto"/>
        <w:rPr>
          <w:bCs/>
          <w:szCs w:val="26"/>
        </w:rPr>
      </w:pPr>
      <w:r>
        <w:rPr>
          <w:bCs/>
          <w:szCs w:val="26"/>
        </w:rPr>
        <w:t xml:space="preserve">stage to guide the identification of a suitable analytic framework. </w:t>
      </w:r>
      <w:r w:rsidRPr="00F4503C">
        <w:rPr>
          <w:bCs/>
          <w:szCs w:val="26"/>
        </w:rPr>
        <w:t xml:space="preserve">The aim of </w:t>
      </w:r>
      <w:r>
        <w:rPr>
          <w:bCs/>
          <w:szCs w:val="26"/>
        </w:rPr>
        <w:t xml:space="preserve">the analytic </w:t>
      </w:r>
      <w:r w:rsidRPr="00F4503C">
        <w:rPr>
          <w:bCs/>
          <w:szCs w:val="26"/>
        </w:rPr>
        <w:t xml:space="preserve">framework </w:t>
      </w:r>
      <w:r>
        <w:rPr>
          <w:bCs/>
          <w:szCs w:val="26"/>
        </w:rPr>
        <w:t>was</w:t>
      </w:r>
      <w:r w:rsidRPr="00F4503C">
        <w:rPr>
          <w:bCs/>
          <w:szCs w:val="26"/>
        </w:rPr>
        <w:t xml:space="preserve"> to organi</w:t>
      </w:r>
      <w:r>
        <w:rPr>
          <w:bCs/>
          <w:szCs w:val="26"/>
        </w:rPr>
        <w:t>s</w:t>
      </w:r>
      <w:r w:rsidRPr="00F4503C">
        <w:rPr>
          <w:bCs/>
          <w:szCs w:val="26"/>
        </w:rPr>
        <w:t>e</w:t>
      </w:r>
      <w:r>
        <w:rPr>
          <w:bCs/>
          <w:szCs w:val="26"/>
        </w:rPr>
        <w:t xml:space="preserve"> the</w:t>
      </w:r>
      <w:r w:rsidRPr="00F4503C">
        <w:rPr>
          <w:bCs/>
          <w:szCs w:val="26"/>
        </w:rPr>
        <w:t xml:space="preserve"> data </w:t>
      </w:r>
      <w:r w:rsidR="0012086A">
        <w:rPr>
          <w:bCs/>
          <w:szCs w:val="26"/>
        </w:rPr>
        <w:t>systematicall</w:t>
      </w:r>
      <w:r w:rsidRPr="00F4503C">
        <w:rPr>
          <w:bCs/>
          <w:szCs w:val="26"/>
        </w:rPr>
        <w:t xml:space="preserve">y for </w:t>
      </w:r>
      <w:r>
        <w:rPr>
          <w:bCs/>
          <w:szCs w:val="26"/>
        </w:rPr>
        <w:t>later</w:t>
      </w:r>
      <w:r w:rsidRPr="00F4503C">
        <w:rPr>
          <w:bCs/>
          <w:szCs w:val="26"/>
        </w:rPr>
        <w:t xml:space="preserve"> retrieval, exploration, and </w:t>
      </w:r>
      <w:r>
        <w:rPr>
          <w:bCs/>
          <w:szCs w:val="26"/>
        </w:rPr>
        <w:t>analysis</w:t>
      </w:r>
      <w:r w:rsidRPr="00F4503C">
        <w:rPr>
          <w:bCs/>
          <w:szCs w:val="26"/>
        </w:rPr>
        <w:t xml:space="preserve"> during the final mapping and interpretation stage. </w:t>
      </w:r>
      <w:r w:rsidRPr="00DC5DF5">
        <w:rPr>
          <w:bCs/>
          <w:szCs w:val="26"/>
        </w:rPr>
        <w:t xml:space="preserve">In the third and fourth phases, indexing and charting, </w:t>
      </w:r>
      <w:r>
        <w:rPr>
          <w:bCs/>
          <w:szCs w:val="26"/>
        </w:rPr>
        <w:t xml:space="preserve">transcripts were indexed using codes developed to represent the analytic framework, and the coded sections extracted and organised into a matrix charting the content of each focus group against each code. At this stage a second coder </w:t>
      </w:r>
      <w:r w:rsidRPr="00BC101D">
        <w:rPr>
          <w:bCs/>
          <w:szCs w:val="26"/>
        </w:rPr>
        <w:t>independently indexed and</w:t>
      </w:r>
      <w:r>
        <w:rPr>
          <w:bCs/>
          <w:szCs w:val="26"/>
        </w:rPr>
        <w:t xml:space="preserve"> </w:t>
      </w:r>
      <w:r w:rsidRPr="00BC101D">
        <w:rPr>
          <w:bCs/>
          <w:szCs w:val="26"/>
        </w:rPr>
        <w:t xml:space="preserve">charted </w:t>
      </w:r>
      <w:r>
        <w:rPr>
          <w:bCs/>
          <w:szCs w:val="26"/>
        </w:rPr>
        <w:t xml:space="preserve">samples of each transcript, the results were compared, and </w:t>
      </w:r>
      <w:r w:rsidRPr="00BC101D">
        <w:rPr>
          <w:bCs/>
          <w:szCs w:val="26"/>
        </w:rPr>
        <w:t>discrepancies were discussed until consensus was reached</w:t>
      </w:r>
      <w:r>
        <w:rPr>
          <w:bCs/>
          <w:szCs w:val="26"/>
        </w:rPr>
        <w:t xml:space="preserve">. Once </w:t>
      </w:r>
      <w:r w:rsidR="0012086A">
        <w:rPr>
          <w:bCs/>
          <w:szCs w:val="26"/>
        </w:rPr>
        <w:t xml:space="preserve">a </w:t>
      </w:r>
      <w:r>
        <w:rPr>
          <w:bCs/>
          <w:szCs w:val="26"/>
        </w:rPr>
        <w:t xml:space="preserve">consensus was reached, and the data was </w:t>
      </w:r>
      <w:r w:rsidRPr="00274845">
        <w:rPr>
          <w:bCs/>
          <w:szCs w:val="26"/>
        </w:rPr>
        <w:t>organi</w:t>
      </w:r>
      <w:r>
        <w:rPr>
          <w:bCs/>
          <w:szCs w:val="26"/>
        </w:rPr>
        <w:t>s</w:t>
      </w:r>
      <w:r w:rsidRPr="00274845">
        <w:rPr>
          <w:bCs/>
          <w:szCs w:val="26"/>
        </w:rPr>
        <w:t>e</w:t>
      </w:r>
      <w:r>
        <w:rPr>
          <w:bCs/>
          <w:szCs w:val="26"/>
        </w:rPr>
        <w:t>d</w:t>
      </w:r>
      <w:r w:rsidRPr="00274845">
        <w:rPr>
          <w:bCs/>
          <w:szCs w:val="26"/>
        </w:rPr>
        <w:t xml:space="preserve"> into a more manageable format</w:t>
      </w:r>
      <w:r>
        <w:rPr>
          <w:bCs/>
          <w:szCs w:val="26"/>
        </w:rPr>
        <w:t xml:space="preserve">, the </w:t>
      </w:r>
      <w:r w:rsidRPr="00274845">
        <w:rPr>
          <w:bCs/>
          <w:szCs w:val="26"/>
        </w:rPr>
        <w:t>indexed data for each c</w:t>
      </w:r>
      <w:r>
        <w:rPr>
          <w:bCs/>
          <w:szCs w:val="26"/>
        </w:rPr>
        <w:t>hart c</w:t>
      </w:r>
      <w:r w:rsidRPr="00274845">
        <w:rPr>
          <w:bCs/>
          <w:szCs w:val="26"/>
        </w:rPr>
        <w:t xml:space="preserve">ategory </w:t>
      </w:r>
      <w:r>
        <w:rPr>
          <w:bCs/>
          <w:szCs w:val="26"/>
        </w:rPr>
        <w:t xml:space="preserve">was </w:t>
      </w:r>
      <w:r w:rsidRPr="00274845">
        <w:rPr>
          <w:bCs/>
          <w:szCs w:val="26"/>
        </w:rPr>
        <w:t>summar</w:t>
      </w:r>
      <w:r>
        <w:rPr>
          <w:bCs/>
          <w:szCs w:val="26"/>
        </w:rPr>
        <w:t>ised</w:t>
      </w:r>
      <w:r w:rsidRPr="00BC101D">
        <w:rPr>
          <w:bCs/>
          <w:szCs w:val="26"/>
        </w:rPr>
        <w:t xml:space="preserve">. In the fifth and final phase, mapping and interpretation, </w:t>
      </w:r>
      <w:r>
        <w:rPr>
          <w:bCs/>
          <w:szCs w:val="26"/>
        </w:rPr>
        <w:t>the summarised sections of the framework</w:t>
      </w:r>
      <w:r w:rsidRPr="00BC101D">
        <w:rPr>
          <w:bCs/>
          <w:szCs w:val="26"/>
        </w:rPr>
        <w:t xml:space="preserve"> matrix were analysed to develop </w:t>
      </w:r>
      <w:r>
        <w:rPr>
          <w:bCs/>
          <w:szCs w:val="26"/>
        </w:rPr>
        <w:t xml:space="preserve">a set of </w:t>
      </w:r>
      <w:r w:rsidRPr="00BC101D">
        <w:rPr>
          <w:bCs/>
          <w:szCs w:val="26"/>
        </w:rPr>
        <w:t>overarching themes</w:t>
      </w:r>
      <w:r>
        <w:rPr>
          <w:bCs/>
          <w:szCs w:val="26"/>
        </w:rPr>
        <w:t>.</w:t>
      </w:r>
    </w:p>
    <w:p w14:paraId="14D78560" w14:textId="03CEF3B2" w:rsidR="00DB07FE" w:rsidRDefault="00DB07FE" w:rsidP="00E808F1">
      <w:pPr>
        <w:spacing w:line="480" w:lineRule="auto"/>
        <w:rPr>
          <w:bCs/>
          <w:szCs w:val="26"/>
        </w:rPr>
      </w:pPr>
    </w:p>
    <w:p w14:paraId="35679BAD" w14:textId="62CC1589" w:rsidR="00DB07FE" w:rsidRDefault="00DB07FE">
      <w:pPr>
        <w:rPr>
          <w:bCs/>
          <w:szCs w:val="26"/>
        </w:rPr>
      </w:pPr>
      <w:r>
        <w:rPr>
          <w:bCs/>
          <w:szCs w:val="26"/>
        </w:rPr>
        <w:br w:type="page"/>
      </w:r>
    </w:p>
    <w:p w14:paraId="77FDFEEC" w14:textId="77777777" w:rsidR="002A0CCA" w:rsidRDefault="002A0CCA" w:rsidP="00E808F1">
      <w:pPr>
        <w:spacing w:line="480" w:lineRule="auto"/>
        <w:sectPr w:rsidR="002A0CCA" w:rsidSect="0054216C">
          <w:pgSz w:w="11900" w:h="16840"/>
          <w:pgMar w:top="1418" w:right="1418" w:bottom="426" w:left="1418" w:header="709" w:footer="709" w:gutter="0"/>
          <w:cols w:space="708"/>
          <w:docGrid w:linePitch="360"/>
        </w:sectPr>
      </w:pPr>
    </w:p>
    <w:p w14:paraId="0F9CE8CE" w14:textId="07506B2F" w:rsidR="008B27A0" w:rsidRPr="0033479F" w:rsidRDefault="008B27A0" w:rsidP="008B27A0">
      <w:pPr>
        <w:pStyle w:val="Heading1"/>
        <w:ind w:left="432"/>
      </w:pPr>
      <w:bookmarkStart w:id="395" w:name="_Toc35892668"/>
      <w:r w:rsidRPr="0033479F">
        <w:t>Study 1</w:t>
      </w:r>
      <w:r>
        <w:t>: Young people’s motivations for NPS use and non-use prior to the introduction of the Psychoactive Substances Act 2016</w:t>
      </w:r>
      <w:bookmarkEnd w:id="395"/>
    </w:p>
    <w:p w14:paraId="119BD4D8" w14:textId="71F0A6E5" w:rsidR="008B27A0" w:rsidRPr="004B3AED" w:rsidRDefault="008B27A0" w:rsidP="004B3AED">
      <w:pPr>
        <w:pStyle w:val="Heading2"/>
      </w:pPr>
      <w:bookmarkStart w:id="396" w:name="_Toc35892669"/>
      <w:r w:rsidRPr="004B3AED">
        <w:t>Introduction</w:t>
      </w:r>
      <w:bookmarkEnd w:id="396"/>
    </w:p>
    <w:p w14:paraId="22412A2D" w14:textId="77777777" w:rsidR="008B27A0" w:rsidRDefault="008B27A0" w:rsidP="00735864">
      <w:pPr>
        <w:spacing w:line="480" w:lineRule="auto"/>
      </w:pPr>
      <w:r>
        <w:t>This chapter documents the methods and findings of a study designed to explore young people’s motivations for NPS use and non-use. The study was designed and carried out prior to the implementation of the Psychoactive Substances Act 2016.</w:t>
      </w:r>
    </w:p>
    <w:p w14:paraId="38FBD3AB" w14:textId="79479DB2" w:rsidR="008B27A0" w:rsidRDefault="008B27A0" w:rsidP="00735864">
      <w:pPr>
        <w:spacing w:line="480" w:lineRule="auto"/>
      </w:pPr>
      <w:r>
        <w:t>Young people are thought to be particularly vulnerable to acute harms and fatal toxic reactions resulting from NPS consumption (ONS, 2015; EMCDDA, 2018) as not only are they twice as likely to use NPS than adults (CSEW, 2015), but evidence suggests they are also more likely to misjudge the risks associated with use</w:t>
      </w:r>
      <w:r w:rsidR="005C05C1">
        <w:t xml:space="preserve"> (Sheridan &amp; Butler, 2010; Rees et al., 2015)</w:t>
      </w:r>
      <w:r>
        <w:t>. Underestimation of the risks of NPS use by this age group is thought to be because they have a more reckless attitude (Van Hout &amp; Brennan, 2011), greater drug naivety (Barnard et al., 2014) and a tendency to associate the legal status of NPS with low potency</w:t>
      </w:r>
      <w:r w:rsidRPr="00AD743F">
        <w:t xml:space="preserve"> </w:t>
      </w:r>
      <w:r>
        <w:t>and perceptions of safety (Barnard et al.</w:t>
      </w:r>
      <w:r w:rsidR="004C4795">
        <w:t xml:space="preserve">, </w:t>
      </w:r>
      <w:r>
        <w:t>2014;</w:t>
      </w:r>
      <w:r w:rsidRPr="005B172B">
        <w:t xml:space="preserve"> </w:t>
      </w:r>
      <w:r w:rsidRPr="00824DF3">
        <w:t>Every-Palmer, 2011</w:t>
      </w:r>
      <w:r>
        <w:t xml:space="preserve">; Rees et. al., 2015; </w:t>
      </w:r>
      <w:r w:rsidRPr="00824DF3">
        <w:t>Sheridan &amp; Butler, 2010</w:t>
      </w:r>
      <w:r>
        <w:t xml:space="preserve">). However, the NPS-related beliefs of young people in the UK have not previously been specifically investigated, </w:t>
      </w:r>
      <w:bookmarkStart w:id="397" w:name="_Hlk1208547"/>
      <w:r>
        <w:t xml:space="preserve">and no studies report on young people’s motives for using NPS in the UK that are not predominantly focused on experienced drug users (see Chapter 3). </w:t>
      </w:r>
      <w:bookmarkEnd w:id="397"/>
    </w:p>
    <w:p w14:paraId="2FF4205D" w14:textId="710207F3" w:rsidR="008B27A0" w:rsidRDefault="008B27A0" w:rsidP="00735864">
      <w:pPr>
        <w:spacing w:line="480" w:lineRule="auto"/>
      </w:pPr>
      <w:r>
        <w:t>Understanding young people’s motivations for using or not using NPS, and the beliefs and reasons that impact those motivations, can be used inform the development of interventions to prevent or reduce NPS use in that age group (The Lancet, 2010). Therefore, this study aims to elicit the NPS-related beliefs, reasons and motivations of a sample of young people in the UK. Since avoidance of NPS use may be motivated by different goals than use of NPS (</w:t>
      </w:r>
      <w:r w:rsidRPr="00735864">
        <w:t>Richetin, Conner &amp; Perugini, 2011)</w:t>
      </w:r>
      <w:r>
        <w:t xml:space="preserve">, the study also aims to explore differences in the beliefs, reasons and motivations supporting use and non-use. In addition, a further aim of the study is to link young people’s beliefs, reasons and motivations with relevant social cognition theories, as intervention effectiveness can be further enhanced by the use of theory in intervention development (Brotherhood et al., 2013; </w:t>
      </w:r>
      <w:r w:rsidRPr="00735864">
        <w:t xml:space="preserve">Conner </w:t>
      </w:r>
      <w:r w:rsidR="00C421A5">
        <w:t>&amp;</w:t>
      </w:r>
      <w:r w:rsidRPr="00735864">
        <w:t xml:space="preserve"> Norman, 2005;</w:t>
      </w:r>
      <w:r>
        <w:t xml:space="preserve"> </w:t>
      </w:r>
      <w:r w:rsidRPr="00735864">
        <w:t xml:space="preserve">Noar et al., 2007; Prestwich, Webb </w:t>
      </w:r>
      <w:r w:rsidR="00C421A5">
        <w:t>&amp;</w:t>
      </w:r>
      <w:r w:rsidRPr="00735864">
        <w:t xml:space="preserve"> Conner, 2015; </w:t>
      </w:r>
      <w:r>
        <w:t xml:space="preserve">UNODC, 2018; </w:t>
      </w:r>
      <w:r w:rsidRPr="00735864">
        <w:t>Webb et al., 2010</w:t>
      </w:r>
      <w:r>
        <w:t>).</w:t>
      </w:r>
    </w:p>
    <w:p w14:paraId="438A5013" w14:textId="7BB6E005" w:rsidR="008B27A0" w:rsidRPr="004B3AED" w:rsidRDefault="008B27A0" w:rsidP="004B3AED">
      <w:pPr>
        <w:pStyle w:val="Heading2"/>
      </w:pPr>
      <w:bookmarkStart w:id="398" w:name="_Toc35892670"/>
      <w:r w:rsidRPr="004B3AED">
        <w:t>Research aims and objectives:</w:t>
      </w:r>
      <w:bookmarkEnd w:id="398"/>
    </w:p>
    <w:p w14:paraId="2C2EBCE6" w14:textId="77777777" w:rsidR="008B27A0" w:rsidRPr="00887319" w:rsidRDefault="008B27A0" w:rsidP="008B27A0">
      <w:pPr>
        <w:spacing w:line="480" w:lineRule="auto"/>
      </w:pPr>
      <w:r>
        <w:t>The specific research aims of this study were to investigate why young people do, or do not, use NPS for the purpose of identifying which theoretical framework/s are appropriate for use in NPS-related behaviour change interventions. The objectives of the study were to:</w:t>
      </w:r>
    </w:p>
    <w:p w14:paraId="18118EC9" w14:textId="77777777" w:rsidR="008B27A0" w:rsidRDefault="008B27A0" w:rsidP="00C92BD2">
      <w:pPr>
        <w:pStyle w:val="ListParagraph"/>
        <w:numPr>
          <w:ilvl w:val="0"/>
          <w:numId w:val="38"/>
        </w:numPr>
        <w:spacing w:line="480" w:lineRule="auto"/>
      </w:pPr>
      <w:r>
        <w:t>Elicit and analyse young people’s beliefs, reasons and motivations for NPS use and non-use</w:t>
      </w:r>
    </w:p>
    <w:p w14:paraId="749F7694" w14:textId="77777777" w:rsidR="008B27A0" w:rsidRDefault="008B27A0" w:rsidP="00C92BD2">
      <w:pPr>
        <w:pStyle w:val="ListParagraph"/>
        <w:numPr>
          <w:ilvl w:val="0"/>
          <w:numId w:val="38"/>
        </w:numPr>
        <w:spacing w:line="480" w:lineRule="auto"/>
      </w:pPr>
      <w:r>
        <w:t xml:space="preserve">Identify motivations underlying young people’s NPS use and non- use </w:t>
      </w:r>
    </w:p>
    <w:p w14:paraId="2495097F" w14:textId="77777777" w:rsidR="008B27A0" w:rsidRDefault="008B27A0" w:rsidP="00C92BD2">
      <w:pPr>
        <w:pStyle w:val="ListParagraph"/>
        <w:numPr>
          <w:ilvl w:val="0"/>
          <w:numId w:val="38"/>
        </w:numPr>
        <w:spacing w:line="480" w:lineRule="auto"/>
      </w:pPr>
      <w:r>
        <w:t>Identify salient behavioural beliefs encouraging and discouraging NPS use and non-use</w:t>
      </w:r>
    </w:p>
    <w:p w14:paraId="049A1F30" w14:textId="1E9379E9" w:rsidR="008B27A0" w:rsidRPr="00657AE3" w:rsidRDefault="008B27A0" w:rsidP="00C92BD2">
      <w:pPr>
        <w:pStyle w:val="ListParagraph"/>
        <w:numPr>
          <w:ilvl w:val="0"/>
          <w:numId w:val="38"/>
        </w:numPr>
        <w:spacing w:line="480" w:lineRule="auto"/>
      </w:pPr>
      <w:r>
        <w:rPr>
          <w:szCs w:val="24"/>
        </w:rPr>
        <w:t>Assess the</w:t>
      </w:r>
      <w:r w:rsidRPr="00657AE3">
        <w:rPr>
          <w:szCs w:val="24"/>
        </w:rPr>
        <w:t xml:space="preserve"> </w:t>
      </w:r>
      <w:r>
        <w:rPr>
          <w:szCs w:val="24"/>
        </w:rPr>
        <w:t xml:space="preserve">suitability and </w:t>
      </w:r>
      <w:r w:rsidR="005C05C1">
        <w:rPr>
          <w:szCs w:val="24"/>
        </w:rPr>
        <w:t>applicability o</w:t>
      </w:r>
      <w:r>
        <w:rPr>
          <w:szCs w:val="24"/>
        </w:rPr>
        <w:t xml:space="preserve">f a variety of social cognition models of behaviour </w:t>
      </w:r>
    </w:p>
    <w:p w14:paraId="27AB23F2" w14:textId="058F7C95" w:rsidR="008B27A0" w:rsidRPr="004B3AED" w:rsidRDefault="008B27A0" w:rsidP="004B3AED">
      <w:pPr>
        <w:pStyle w:val="Heading2"/>
      </w:pPr>
      <w:bookmarkStart w:id="399" w:name="_Toc35892671"/>
      <w:r w:rsidRPr="004B3AED">
        <w:t>Method overview</w:t>
      </w:r>
      <w:bookmarkEnd w:id="399"/>
    </w:p>
    <w:p w14:paraId="6B8EB488" w14:textId="4A5B2671" w:rsidR="008B27A0" w:rsidRPr="00735864" w:rsidRDefault="008B27A0" w:rsidP="00735864">
      <w:pPr>
        <w:spacing w:line="480" w:lineRule="auto"/>
      </w:pPr>
      <w:r>
        <w:t xml:space="preserve">The recommendations of </w:t>
      </w:r>
      <w:r w:rsidRPr="00D34DFB">
        <w:t xml:space="preserve">Epton </w:t>
      </w:r>
      <w:r>
        <w:t>et al.</w:t>
      </w:r>
      <w:r w:rsidR="004C4795">
        <w:t>,</w:t>
      </w:r>
      <w:r>
        <w:t xml:space="preserve"> (2014) were followed to develop a belief elicitation study in line with the first stage of their three-stage method for the development of theory-based health messages. A focus group methodology was used for collecting data from a diverse sample of young people (aged 15-25) in collaboration with community groups in Sheffield. A set of focus group questions were devised that incorporated use of theory-based questions grounded in the theoretical constructs of t</w:t>
      </w:r>
      <w:r w:rsidRPr="00735864">
        <w:t>he health belief model (HBM; Rosenstock, 1966; Becker, 1974), protection motivation theory (PMT; Rogers, 1975), theory of planned behaviour (TPB; Ajzen, 1991) prototype/willingness model (PWM; Gibbons, Gerrard, Blanton, &amp; Russell, 1998) and behavioural reasoning theory (BRT; Westaby, 2005; see Chapter 4 Section 4.5 for a description of each model). The qualitative data collected was analysed using thematic analysis techniques complemented by an analysis of the frequency of belief expression. The method is described in full detail in Chapter 4.</w:t>
      </w:r>
    </w:p>
    <w:p w14:paraId="5CB0B965" w14:textId="77777777" w:rsidR="008B27A0" w:rsidRPr="00E55960" w:rsidRDefault="008B27A0" w:rsidP="00735864">
      <w:pPr>
        <w:spacing w:line="480" w:lineRule="auto"/>
      </w:pPr>
      <w:r>
        <w:t xml:space="preserve">Ethical approval </w:t>
      </w:r>
      <w:r w:rsidRPr="00735864">
        <w:t>was granted by the Department of Psychology</w:t>
      </w:r>
      <w:r w:rsidRPr="007B6CD6">
        <w:rPr>
          <w:color w:val="000000"/>
          <w:szCs w:val="24"/>
          <w:lang w:val="en-US"/>
        </w:rPr>
        <w:t xml:space="preserve"> Research Ethics Committee</w:t>
      </w:r>
      <w:r>
        <w:rPr>
          <w:color w:val="000000"/>
          <w:szCs w:val="24"/>
          <w:lang w:val="en-US"/>
        </w:rPr>
        <w:t xml:space="preserve"> at the</w:t>
      </w:r>
      <w:r w:rsidRPr="007B6CD6">
        <w:rPr>
          <w:color w:val="000000"/>
          <w:szCs w:val="24"/>
          <w:lang w:val="en-US"/>
        </w:rPr>
        <w:t xml:space="preserve"> University of Sheffield.</w:t>
      </w:r>
      <w:r>
        <w:rPr>
          <w:color w:val="000000"/>
          <w:szCs w:val="24"/>
          <w:lang w:val="en-US"/>
        </w:rPr>
        <w:t xml:space="preserve"> </w:t>
      </w:r>
    </w:p>
    <w:p w14:paraId="02C5386E" w14:textId="63CEDBC8" w:rsidR="008B27A0" w:rsidRPr="004B3AED" w:rsidRDefault="008B27A0" w:rsidP="004B3AED">
      <w:pPr>
        <w:pStyle w:val="Heading3"/>
      </w:pPr>
      <w:bookmarkStart w:id="400" w:name="_Toc35892672"/>
      <w:r w:rsidRPr="004B3AED">
        <w:t>Participants and procedure</w:t>
      </w:r>
      <w:bookmarkEnd w:id="400"/>
    </w:p>
    <w:p w14:paraId="6312742E" w14:textId="77777777" w:rsidR="008B27A0" w:rsidRDefault="008B27A0" w:rsidP="008B27A0">
      <w:pPr>
        <w:widowControl w:val="0"/>
        <w:autoSpaceDE w:val="0"/>
        <w:autoSpaceDN w:val="0"/>
        <w:adjustRightInd w:val="0"/>
        <w:spacing w:line="480" w:lineRule="auto"/>
        <w:rPr>
          <w:color w:val="000000"/>
          <w:szCs w:val="24"/>
        </w:rPr>
      </w:pPr>
      <w:r>
        <w:t xml:space="preserve">Three focus groups were conducted between April 2015 and February 2016. </w:t>
      </w:r>
      <w:r>
        <w:rPr>
          <w:color w:val="000000"/>
          <w:szCs w:val="24"/>
        </w:rPr>
        <w:t>Thirty participants were recruited from three community groups</w:t>
      </w:r>
      <w:r w:rsidRPr="00133505">
        <w:rPr>
          <w:color w:val="000000"/>
          <w:szCs w:val="24"/>
        </w:rPr>
        <w:t xml:space="preserve"> </w:t>
      </w:r>
      <w:r>
        <w:rPr>
          <w:color w:val="000000"/>
          <w:szCs w:val="24"/>
        </w:rPr>
        <w:t xml:space="preserve">based in Sheffield city centre: Sheffield Young Advisors (SYA), Young Healthwatch Sheffield (YHS) and Sheffield Interchange (SIC). A more in-depth description of the community groups, their role in the research and the focus group methodology is provided in Chapter 4 Section 4.6.1. </w:t>
      </w:r>
    </w:p>
    <w:p w14:paraId="55FFE699" w14:textId="21E5A0A2" w:rsidR="008B27A0" w:rsidRPr="008757F1" w:rsidRDefault="008B27A0" w:rsidP="008B27A0">
      <w:pPr>
        <w:widowControl w:val="0"/>
        <w:autoSpaceDE w:val="0"/>
        <w:autoSpaceDN w:val="0"/>
        <w:adjustRightInd w:val="0"/>
        <w:spacing w:line="480" w:lineRule="auto"/>
        <w:rPr>
          <w:color w:val="000000"/>
          <w:szCs w:val="24"/>
        </w:rPr>
      </w:pPr>
      <w:r>
        <w:rPr>
          <w:color w:val="000000"/>
          <w:szCs w:val="24"/>
        </w:rPr>
        <w:t>Participants were a diverse set of young people aged 15 to 25 from a range of postcode areas of Sheffield. Participants were recruited in collaboration with community group facilitators and asked if they (and the community group manager if they were under 16) would consent to tak</w:t>
      </w:r>
      <w:r w:rsidR="0012086A">
        <w:rPr>
          <w:color w:val="000000"/>
          <w:szCs w:val="24"/>
        </w:rPr>
        <w:t>e</w:t>
      </w:r>
      <w:r>
        <w:rPr>
          <w:color w:val="000000"/>
          <w:szCs w:val="24"/>
        </w:rPr>
        <w:t xml:space="preserve"> part.</w:t>
      </w:r>
      <w:bookmarkStart w:id="401" w:name="_Hlk7623250"/>
      <w:r>
        <w:rPr>
          <w:color w:val="000000"/>
          <w:szCs w:val="24"/>
        </w:rPr>
        <w:t xml:space="preserve"> After deciding to take part, participants filled in the consent and a background information questionnaire and were provided with a participant information sheet form (</w:t>
      </w:r>
      <w:r w:rsidR="00603E9F">
        <w:rPr>
          <w:color w:val="000000"/>
          <w:szCs w:val="24"/>
        </w:rPr>
        <w:t>see Appendices B, C and D for Studies 1, 2 and 3 respectively</w:t>
      </w:r>
      <w:r>
        <w:rPr>
          <w:color w:val="000000"/>
          <w:szCs w:val="24"/>
        </w:rPr>
        <w:t xml:space="preserve">). Participants were then asked a series of semi-structured questions with prompts. Group discussion took between about 40 to 60 minutes and was recorded using a digital voice recorder. </w:t>
      </w:r>
    </w:p>
    <w:p w14:paraId="553E5CEA" w14:textId="61175E23" w:rsidR="008B27A0" w:rsidRDefault="008B27A0" w:rsidP="004B3AED">
      <w:pPr>
        <w:pStyle w:val="Heading3"/>
      </w:pPr>
      <w:bookmarkStart w:id="402" w:name="_Toc35892673"/>
      <w:bookmarkEnd w:id="401"/>
      <w:r>
        <w:t>Target behaviour</w:t>
      </w:r>
      <w:bookmarkEnd w:id="402"/>
    </w:p>
    <w:p w14:paraId="547F54F9" w14:textId="77777777" w:rsidR="008B27A0" w:rsidRPr="00A57675" w:rsidRDefault="008B27A0" w:rsidP="008B27A0">
      <w:pPr>
        <w:spacing w:line="480" w:lineRule="auto"/>
      </w:pPr>
      <w:r>
        <w:rPr>
          <w:color w:val="000000"/>
          <w:szCs w:val="24"/>
        </w:rPr>
        <w:t xml:space="preserve">Throughout the focus group sessions NPS were referred to by the colloquial term 'legal highs' which was defined as: </w:t>
      </w:r>
    </w:p>
    <w:p w14:paraId="33EBB7BD" w14:textId="77777777" w:rsidR="008B27A0" w:rsidRPr="001A0B4D" w:rsidRDefault="008B27A0" w:rsidP="008B27A0">
      <w:pPr>
        <w:spacing w:line="480" w:lineRule="auto"/>
        <w:ind w:left="720"/>
        <w:rPr>
          <w:color w:val="000000"/>
          <w:szCs w:val="24"/>
        </w:rPr>
      </w:pPr>
      <w:r>
        <w:rPr>
          <w:color w:val="000000"/>
          <w:szCs w:val="24"/>
        </w:rPr>
        <w:t xml:space="preserve">'the common name for Novel Psychoactive Substances. These are chemical substances that are sold legally but produce the same, or similar effects, to illegal drugs such as cannabis, cocaine, ecstasy and heroin. They are psychoactive which means they have mood-altering properties and can act as stimulants, sedatives, hallucinogens and psychedelics.' </w:t>
      </w:r>
    </w:p>
    <w:p w14:paraId="74F49AFC" w14:textId="77777777" w:rsidR="008B27A0" w:rsidRDefault="008B27A0" w:rsidP="008B27A0">
      <w:pPr>
        <w:spacing w:line="480" w:lineRule="auto"/>
      </w:pPr>
      <w:r>
        <w:rPr>
          <w:color w:val="000000"/>
          <w:szCs w:val="24"/>
        </w:rPr>
        <w:t>Performance of the target behaviour was defined as 'taking legal highs' while non-performance was defined as 'not taking legal highs'.</w:t>
      </w:r>
      <w:r>
        <w:t xml:space="preserve"> </w:t>
      </w:r>
    </w:p>
    <w:p w14:paraId="66EAA0C4" w14:textId="3301D5B8" w:rsidR="008B27A0" w:rsidRDefault="008B27A0" w:rsidP="008B27A0">
      <w:pPr>
        <w:pStyle w:val="Heading3"/>
      </w:pPr>
      <w:bookmarkStart w:id="403" w:name="_Toc35892674"/>
      <w:r w:rsidRPr="0033479F">
        <w:t>Measures</w:t>
      </w:r>
      <w:bookmarkEnd w:id="403"/>
      <w:r w:rsidRPr="0033479F">
        <w:t xml:space="preserve"> </w:t>
      </w:r>
    </w:p>
    <w:p w14:paraId="52267CB5" w14:textId="01502EF0" w:rsidR="008B27A0" w:rsidRPr="00C006D2" w:rsidRDefault="008B27A0" w:rsidP="008B27A0">
      <w:pPr>
        <w:spacing w:line="480" w:lineRule="auto"/>
        <w:rPr>
          <w:szCs w:val="24"/>
        </w:rPr>
      </w:pPr>
      <w:r>
        <w:t xml:space="preserve">The background questionnaire collected the following socio-demographic information: age; gender; ethnicity; postcode and occupation. In addition, the questionnaire also asked about participants’ use of legal highs and illicit drugs in addition to whether they believed their friends used NPS or illicit drugs. </w:t>
      </w:r>
      <w:r>
        <w:rPr>
          <w:szCs w:val="24"/>
        </w:rPr>
        <w:t xml:space="preserve">The participant information sheet provided information about the study including confidentiality procedures, contact details for further information or complaints, safety information and a description of legal highs (see Chapter 4 Section 4.6.8 for more information about the development of the background questionnaire and information sheet and </w:t>
      </w:r>
      <w:r w:rsidR="00603E9F">
        <w:rPr>
          <w:color w:val="000000"/>
          <w:szCs w:val="24"/>
        </w:rPr>
        <w:t>see Appendices B, C and D for Studies 1, 2 and 3 respectively</w:t>
      </w:r>
      <w:r>
        <w:rPr>
          <w:szCs w:val="24"/>
        </w:rPr>
        <w:t>).</w:t>
      </w:r>
    </w:p>
    <w:p w14:paraId="298B0F1C" w14:textId="12EEB749" w:rsidR="008B27A0" w:rsidRDefault="008B27A0" w:rsidP="008B27A0">
      <w:pPr>
        <w:pStyle w:val="Heading3"/>
      </w:pPr>
      <w:bookmarkStart w:id="404" w:name="_Toc35892675"/>
      <w:r w:rsidRPr="00D07EAB">
        <w:t>Focus group questions</w:t>
      </w:r>
      <w:bookmarkEnd w:id="404"/>
    </w:p>
    <w:p w14:paraId="56CF7977" w14:textId="3F78FCC3" w:rsidR="008B27A0" w:rsidRPr="00825614" w:rsidRDefault="008B27A0" w:rsidP="008B27A0">
      <w:pPr>
        <w:spacing w:line="480" w:lineRule="auto"/>
      </w:pPr>
      <w:bookmarkStart w:id="405" w:name="_Hlk3537657"/>
      <w:r>
        <w:t xml:space="preserve">Open-ended questions were used to elicit young people's beliefs about NPS. To encourage </w:t>
      </w:r>
      <w:r w:rsidR="0012086A">
        <w:t xml:space="preserve">the </w:t>
      </w:r>
      <w:r>
        <w:t>inclusion of young people's own perspectives and spontaneous beliefs, general non theory-based questions were included at the outset and the conclusion of each focus group discussion. In addition to the general questions, a series of theory-based questions were developed around the constructs of the five social cognition models selected for use in this study.</w:t>
      </w:r>
      <w:r w:rsidRPr="00825614">
        <w:t xml:space="preserve"> </w:t>
      </w:r>
      <w:r>
        <w:t xml:space="preserve">A description of the models and </w:t>
      </w:r>
      <w:r w:rsidR="0012086A">
        <w:t xml:space="preserve">a </w:t>
      </w:r>
      <w:r>
        <w:t>detailed description of the development of a set of model construct categories used to inform the theory-based questions is provided in Chapter 4 (see Sections 4.5.7 and 4.7.1).</w:t>
      </w:r>
      <w:r w:rsidRPr="00825614">
        <w:t xml:space="preserve"> </w:t>
      </w:r>
      <w:r>
        <w:t xml:space="preserve">Constructs from the models were grouped according to relatedness, producing six categories of construct type in addition to demographic factors and past behaviour. The socio-cognitive construct categories used as a guide for question development were; (i) reasons, (ii) risk perceptions (iii) behavioural beliefs (iv) normative beliefs (v) identity and (vi) control beliefs. The focus group questions and their relationship to the model construct categories are shown in </w:t>
      </w:r>
      <w:r w:rsidRPr="00735864">
        <w:t xml:space="preserve">Table </w:t>
      </w:r>
      <w:r w:rsidR="00735864" w:rsidRPr="00735864">
        <w:t>6-</w:t>
      </w:r>
      <w:r>
        <w:t xml:space="preserve">1. The order in which the theory-based questions were presented to participants was varied for each focus group. </w:t>
      </w:r>
    </w:p>
    <w:p w14:paraId="7073B154" w14:textId="77777777" w:rsidR="008B27A0" w:rsidRDefault="008B27A0" w:rsidP="008B27A0">
      <w:pPr>
        <w:rPr>
          <w:b/>
          <w:szCs w:val="24"/>
        </w:rPr>
      </w:pPr>
      <w:bookmarkStart w:id="406" w:name="_Hlk3300751"/>
      <w:bookmarkEnd w:id="405"/>
      <w:r>
        <w:rPr>
          <w:b/>
          <w:szCs w:val="24"/>
        </w:rPr>
        <w:br w:type="page"/>
      </w:r>
    </w:p>
    <w:p w14:paraId="2166E153" w14:textId="1DA3296F" w:rsidR="008B27A0" w:rsidRPr="004B3AED" w:rsidRDefault="008B27A0" w:rsidP="00FA6445">
      <w:pPr>
        <w:pStyle w:val="TableHeader"/>
        <w:spacing w:line="240" w:lineRule="auto"/>
        <w:rPr>
          <w:b/>
        </w:rPr>
      </w:pPr>
      <w:bookmarkStart w:id="407" w:name="_Toc9509066"/>
      <w:r w:rsidRPr="004B3AED">
        <w:rPr>
          <w:b/>
        </w:rPr>
        <w:t xml:space="preserve">Table </w:t>
      </w:r>
      <w:r w:rsidR="00735864">
        <w:rPr>
          <w:b/>
        </w:rPr>
        <w:t>6-</w:t>
      </w:r>
      <w:r w:rsidRPr="004B3AED">
        <w:rPr>
          <w:b/>
        </w:rPr>
        <w:t>1. Focus group questions and their relationship to model constructs</w:t>
      </w:r>
      <w:bookmarkEnd w:id="407"/>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tblCellMar>
        <w:tblLook w:val="04A0" w:firstRow="1" w:lastRow="0" w:firstColumn="1" w:lastColumn="0" w:noHBand="0" w:noVBand="1"/>
      </w:tblPr>
      <w:tblGrid>
        <w:gridCol w:w="817"/>
        <w:gridCol w:w="8363"/>
      </w:tblGrid>
      <w:tr w:rsidR="008B27A0" w:rsidRPr="00DB25D6" w14:paraId="347BD199" w14:textId="77777777" w:rsidTr="006419B7">
        <w:trPr>
          <w:trHeight w:val="431"/>
        </w:trPr>
        <w:tc>
          <w:tcPr>
            <w:tcW w:w="9180" w:type="dxa"/>
            <w:gridSpan w:val="2"/>
            <w:tcBorders>
              <w:top w:val="single" w:sz="4" w:space="0" w:color="auto"/>
              <w:bottom w:val="single" w:sz="4" w:space="0" w:color="auto"/>
            </w:tcBorders>
            <w:hideMark/>
          </w:tcPr>
          <w:bookmarkEnd w:id="406"/>
          <w:p w14:paraId="02DEDFBC" w14:textId="77777777" w:rsidR="008B27A0" w:rsidRDefault="008B27A0" w:rsidP="004B3AED">
            <w:pPr>
              <w:spacing w:before="60" w:after="120"/>
              <w:rPr>
                <w:rFonts w:cs="Arial"/>
                <w:b/>
              </w:rPr>
            </w:pPr>
            <w:r>
              <w:rPr>
                <w:rFonts w:cs="Arial"/>
                <w:b/>
              </w:rPr>
              <w:t>Model c</w:t>
            </w:r>
            <w:r w:rsidRPr="00DB25D6">
              <w:rPr>
                <w:rFonts w:cs="Arial"/>
                <w:b/>
              </w:rPr>
              <w:t xml:space="preserve">onstruct </w:t>
            </w:r>
          </w:p>
          <w:p w14:paraId="3B39D3B6" w14:textId="77777777" w:rsidR="008B27A0" w:rsidRPr="00714C19" w:rsidRDefault="008B27A0" w:rsidP="004B3AED">
            <w:pPr>
              <w:spacing w:before="60" w:after="120"/>
              <w:rPr>
                <w:rFonts w:cs="Arial"/>
              </w:rPr>
            </w:pPr>
            <w:r>
              <w:rPr>
                <w:rFonts w:cs="Arial"/>
              </w:rPr>
              <w:t xml:space="preserve">     </w:t>
            </w:r>
            <w:r w:rsidRPr="00714C19">
              <w:rPr>
                <w:rFonts w:cs="Arial"/>
              </w:rPr>
              <w:t>Questions and prompt</w:t>
            </w:r>
          </w:p>
        </w:tc>
      </w:tr>
      <w:tr w:rsidR="008B27A0" w:rsidRPr="00DB25D6" w14:paraId="5532D902" w14:textId="77777777" w:rsidTr="006419B7">
        <w:trPr>
          <w:trHeight w:val="327"/>
        </w:trPr>
        <w:tc>
          <w:tcPr>
            <w:tcW w:w="9180" w:type="dxa"/>
            <w:gridSpan w:val="2"/>
            <w:tcBorders>
              <w:top w:val="single" w:sz="4" w:space="0" w:color="auto"/>
            </w:tcBorders>
          </w:tcPr>
          <w:p w14:paraId="0D24BB51" w14:textId="77777777" w:rsidR="008B27A0" w:rsidRPr="00DB25D6" w:rsidRDefault="008B27A0" w:rsidP="004B3AED">
            <w:pPr>
              <w:spacing w:before="60" w:after="120"/>
              <w:rPr>
                <w:rFonts w:cs="Arial"/>
              </w:rPr>
            </w:pPr>
            <w:r w:rsidRPr="00DB25D6">
              <w:rPr>
                <w:rFonts w:cs="Arial"/>
                <w:b/>
              </w:rPr>
              <w:t>General context</w:t>
            </w:r>
          </w:p>
        </w:tc>
      </w:tr>
      <w:tr w:rsidR="008B27A0" w:rsidRPr="00DB25D6" w14:paraId="3949F45D" w14:textId="77777777" w:rsidTr="006419B7">
        <w:trPr>
          <w:trHeight w:val="327"/>
        </w:trPr>
        <w:tc>
          <w:tcPr>
            <w:tcW w:w="9180" w:type="dxa"/>
            <w:gridSpan w:val="2"/>
            <w:hideMark/>
          </w:tcPr>
          <w:p w14:paraId="1ABBFF9D" w14:textId="77777777" w:rsidR="008B27A0" w:rsidRPr="00DB25D6" w:rsidRDefault="008B27A0" w:rsidP="00C92BD2">
            <w:pPr>
              <w:pStyle w:val="ListParagraph"/>
              <w:numPr>
                <w:ilvl w:val="0"/>
                <w:numId w:val="37"/>
              </w:numPr>
              <w:spacing w:before="60" w:after="120"/>
              <w:rPr>
                <w:rFonts w:cs="Arial"/>
              </w:rPr>
            </w:pPr>
            <w:r w:rsidRPr="00DB25D6">
              <w:rPr>
                <w:rFonts w:cs="Arial"/>
              </w:rPr>
              <w:t xml:space="preserve">Why is the issue of Legal Highs important to you/young people? </w:t>
            </w:r>
          </w:p>
        </w:tc>
      </w:tr>
      <w:tr w:rsidR="008B27A0" w:rsidRPr="003F767A" w14:paraId="4E917500" w14:textId="77777777" w:rsidTr="006419B7">
        <w:trPr>
          <w:trHeight w:val="327"/>
        </w:trPr>
        <w:tc>
          <w:tcPr>
            <w:tcW w:w="817" w:type="dxa"/>
            <w:tcBorders>
              <w:bottom w:val="single" w:sz="4" w:space="0" w:color="auto"/>
            </w:tcBorders>
          </w:tcPr>
          <w:p w14:paraId="653074D1" w14:textId="77777777" w:rsidR="008B27A0" w:rsidRPr="003F767A" w:rsidRDefault="008B27A0" w:rsidP="004B3AED">
            <w:pPr>
              <w:spacing w:before="60" w:after="240"/>
              <w:rPr>
                <w:rFonts w:cs="Arial"/>
                <w:sz w:val="22"/>
              </w:rPr>
            </w:pPr>
          </w:p>
        </w:tc>
        <w:tc>
          <w:tcPr>
            <w:tcW w:w="8363" w:type="dxa"/>
            <w:tcBorders>
              <w:bottom w:val="single" w:sz="4" w:space="0" w:color="auto"/>
            </w:tcBorders>
          </w:tcPr>
          <w:p w14:paraId="0EFE5863" w14:textId="77777777" w:rsidR="008B27A0" w:rsidRPr="003F767A" w:rsidRDefault="008B27A0" w:rsidP="004B3AED">
            <w:pPr>
              <w:spacing w:before="60" w:after="240"/>
              <w:rPr>
                <w:rFonts w:cs="Arial"/>
                <w:sz w:val="22"/>
              </w:rPr>
            </w:pPr>
            <w:r w:rsidRPr="003F767A">
              <w:rPr>
                <w:rFonts w:cs="Arial"/>
                <w:sz w:val="22"/>
              </w:rPr>
              <w:t>What makes it an important issue to tackle?</w:t>
            </w:r>
          </w:p>
        </w:tc>
      </w:tr>
      <w:tr w:rsidR="008B27A0" w:rsidRPr="00DB25D6" w14:paraId="3949F1BF" w14:textId="77777777" w:rsidTr="006419B7">
        <w:trPr>
          <w:trHeight w:val="327"/>
        </w:trPr>
        <w:tc>
          <w:tcPr>
            <w:tcW w:w="9180" w:type="dxa"/>
            <w:gridSpan w:val="2"/>
            <w:tcBorders>
              <w:top w:val="single" w:sz="4" w:space="0" w:color="auto"/>
            </w:tcBorders>
          </w:tcPr>
          <w:p w14:paraId="3D427331" w14:textId="77777777" w:rsidR="008B27A0" w:rsidRPr="00DB25D6" w:rsidRDefault="008B27A0" w:rsidP="004B3AED">
            <w:pPr>
              <w:spacing w:before="60" w:after="120"/>
              <w:rPr>
                <w:rFonts w:cs="Arial"/>
              </w:rPr>
            </w:pPr>
            <w:r w:rsidRPr="00DB25D6">
              <w:rPr>
                <w:rFonts w:cs="Arial"/>
                <w:b/>
              </w:rPr>
              <w:t>Reasons</w:t>
            </w:r>
          </w:p>
        </w:tc>
      </w:tr>
      <w:tr w:rsidR="008B27A0" w:rsidRPr="00DB25D6" w14:paraId="2E9E6426" w14:textId="77777777" w:rsidTr="006419B7">
        <w:trPr>
          <w:trHeight w:val="327"/>
        </w:trPr>
        <w:tc>
          <w:tcPr>
            <w:tcW w:w="9180" w:type="dxa"/>
            <w:gridSpan w:val="2"/>
            <w:shd w:val="clear" w:color="auto" w:fill="auto"/>
            <w:hideMark/>
          </w:tcPr>
          <w:p w14:paraId="64CC0925" w14:textId="77777777" w:rsidR="008B27A0" w:rsidRPr="00DB25D6" w:rsidRDefault="008B27A0" w:rsidP="00C92BD2">
            <w:pPr>
              <w:pStyle w:val="ListParagraph"/>
              <w:numPr>
                <w:ilvl w:val="0"/>
                <w:numId w:val="37"/>
              </w:numPr>
              <w:spacing w:before="60" w:after="120"/>
              <w:rPr>
                <w:rFonts w:cs="Arial"/>
              </w:rPr>
            </w:pPr>
            <w:r w:rsidRPr="00DB25D6">
              <w:rPr>
                <w:rFonts w:cs="Arial"/>
              </w:rPr>
              <w:t xml:space="preserve">What are the main reasons for why young people take Legal Highs? </w:t>
            </w:r>
          </w:p>
          <w:p w14:paraId="0287CBB4" w14:textId="77777777" w:rsidR="008B27A0" w:rsidRPr="00DB25D6" w:rsidRDefault="008B27A0" w:rsidP="004B3AED">
            <w:pPr>
              <w:spacing w:before="60" w:after="120"/>
              <w:rPr>
                <w:rFonts w:cs="Arial"/>
              </w:rPr>
            </w:pPr>
          </w:p>
        </w:tc>
      </w:tr>
      <w:tr w:rsidR="008B27A0" w:rsidRPr="003F767A" w14:paraId="0342FA5A" w14:textId="77777777" w:rsidTr="006419B7">
        <w:trPr>
          <w:trHeight w:val="327"/>
        </w:trPr>
        <w:tc>
          <w:tcPr>
            <w:tcW w:w="817" w:type="dxa"/>
            <w:shd w:val="clear" w:color="auto" w:fill="auto"/>
          </w:tcPr>
          <w:p w14:paraId="0D74E2A6" w14:textId="77777777" w:rsidR="008B27A0" w:rsidRPr="003F767A" w:rsidRDefault="008B27A0" w:rsidP="004B3AED">
            <w:pPr>
              <w:spacing w:before="60" w:after="120"/>
              <w:rPr>
                <w:rFonts w:cs="Arial"/>
                <w:sz w:val="22"/>
              </w:rPr>
            </w:pPr>
          </w:p>
        </w:tc>
        <w:tc>
          <w:tcPr>
            <w:tcW w:w="8363" w:type="dxa"/>
            <w:shd w:val="clear" w:color="auto" w:fill="auto"/>
          </w:tcPr>
          <w:p w14:paraId="5827A071" w14:textId="77777777" w:rsidR="008B27A0" w:rsidRPr="003F767A" w:rsidRDefault="008B27A0" w:rsidP="004B3AED">
            <w:pPr>
              <w:spacing w:before="60" w:after="120"/>
              <w:rPr>
                <w:rFonts w:cs="Arial"/>
                <w:sz w:val="22"/>
              </w:rPr>
            </w:pPr>
            <w:r w:rsidRPr="003F767A">
              <w:rPr>
                <w:rFonts w:cs="Arial"/>
                <w:sz w:val="22"/>
              </w:rPr>
              <w:t>Why do they do it?</w:t>
            </w:r>
          </w:p>
        </w:tc>
      </w:tr>
      <w:tr w:rsidR="008B27A0" w:rsidRPr="00DB25D6" w14:paraId="5F801C6A" w14:textId="77777777" w:rsidTr="006419B7">
        <w:trPr>
          <w:trHeight w:val="327"/>
        </w:trPr>
        <w:tc>
          <w:tcPr>
            <w:tcW w:w="9180" w:type="dxa"/>
            <w:gridSpan w:val="2"/>
            <w:shd w:val="clear" w:color="auto" w:fill="auto"/>
          </w:tcPr>
          <w:p w14:paraId="3B8B065E" w14:textId="77777777" w:rsidR="008B27A0" w:rsidRPr="00DB25D6" w:rsidRDefault="008B27A0" w:rsidP="00C92BD2">
            <w:pPr>
              <w:pStyle w:val="ListParagraph"/>
              <w:numPr>
                <w:ilvl w:val="0"/>
                <w:numId w:val="37"/>
              </w:numPr>
              <w:spacing w:before="60" w:after="120"/>
              <w:rPr>
                <w:rFonts w:cs="Arial"/>
              </w:rPr>
            </w:pPr>
            <w:r w:rsidRPr="00DB25D6">
              <w:rPr>
                <w:rFonts w:cs="Arial"/>
              </w:rPr>
              <w:t>What are the main reasons for young people deciding not to take Legal Highs?</w:t>
            </w:r>
          </w:p>
        </w:tc>
      </w:tr>
      <w:tr w:rsidR="008B27A0" w:rsidRPr="003F767A" w14:paraId="57D0E1B7" w14:textId="77777777" w:rsidTr="006419B7">
        <w:trPr>
          <w:trHeight w:val="327"/>
        </w:trPr>
        <w:tc>
          <w:tcPr>
            <w:tcW w:w="817" w:type="dxa"/>
            <w:tcBorders>
              <w:bottom w:val="single" w:sz="4" w:space="0" w:color="auto"/>
            </w:tcBorders>
            <w:shd w:val="clear" w:color="auto" w:fill="auto"/>
          </w:tcPr>
          <w:p w14:paraId="50CEFE4D" w14:textId="77777777" w:rsidR="008B27A0" w:rsidRPr="003F767A" w:rsidRDefault="008B27A0" w:rsidP="004B3AED">
            <w:pPr>
              <w:spacing w:before="60" w:after="240"/>
              <w:rPr>
                <w:rFonts w:cs="Arial"/>
                <w:sz w:val="22"/>
              </w:rPr>
            </w:pPr>
          </w:p>
        </w:tc>
        <w:tc>
          <w:tcPr>
            <w:tcW w:w="8363" w:type="dxa"/>
            <w:tcBorders>
              <w:bottom w:val="single" w:sz="4" w:space="0" w:color="auto"/>
            </w:tcBorders>
            <w:shd w:val="clear" w:color="auto" w:fill="auto"/>
          </w:tcPr>
          <w:p w14:paraId="2FFEAA1D" w14:textId="77777777" w:rsidR="008B27A0" w:rsidRPr="003F767A" w:rsidRDefault="008B27A0" w:rsidP="004B3AED">
            <w:pPr>
              <w:spacing w:before="60" w:after="240"/>
              <w:rPr>
                <w:rFonts w:cs="Arial"/>
                <w:sz w:val="22"/>
              </w:rPr>
            </w:pPr>
            <w:r w:rsidRPr="003F767A">
              <w:rPr>
                <w:rFonts w:cs="Arial"/>
                <w:sz w:val="22"/>
              </w:rPr>
              <w:t>Why do they decide not to?</w:t>
            </w:r>
          </w:p>
        </w:tc>
      </w:tr>
      <w:tr w:rsidR="008B27A0" w:rsidRPr="00DB25D6" w14:paraId="7E724D78" w14:textId="77777777" w:rsidTr="006419B7">
        <w:trPr>
          <w:trHeight w:val="327"/>
        </w:trPr>
        <w:tc>
          <w:tcPr>
            <w:tcW w:w="9180" w:type="dxa"/>
            <w:gridSpan w:val="2"/>
            <w:tcBorders>
              <w:top w:val="single" w:sz="4" w:space="0" w:color="auto"/>
            </w:tcBorders>
            <w:shd w:val="clear" w:color="auto" w:fill="auto"/>
          </w:tcPr>
          <w:p w14:paraId="037018C1" w14:textId="77777777" w:rsidR="008B27A0" w:rsidRPr="00DB25D6" w:rsidRDefault="008B27A0" w:rsidP="004B3AED">
            <w:pPr>
              <w:spacing w:before="60" w:after="120"/>
              <w:rPr>
                <w:rFonts w:cs="Arial"/>
                <w:b/>
                <w:szCs w:val="24"/>
              </w:rPr>
            </w:pPr>
            <w:r w:rsidRPr="00DB25D6">
              <w:rPr>
                <w:rFonts w:cs="Arial"/>
                <w:b/>
              </w:rPr>
              <w:t>Risk perceptions</w:t>
            </w:r>
            <w:r w:rsidRPr="00DB25D6">
              <w:rPr>
                <w:rFonts w:cs="Arial"/>
                <w:b/>
                <w:szCs w:val="24"/>
              </w:rPr>
              <w:t xml:space="preserve">/ </w:t>
            </w:r>
            <w:r w:rsidRPr="00DB25D6">
              <w:rPr>
                <w:rFonts w:cs="Arial"/>
                <w:b/>
              </w:rPr>
              <w:t xml:space="preserve">Behavioural beliefs </w:t>
            </w:r>
          </w:p>
        </w:tc>
      </w:tr>
      <w:tr w:rsidR="008B27A0" w:rsidRPr="00DB25D6" w14:paraId="2DCCF645" w14:textId="77777777" w:rsidTr="006419B7">
        <w:trPr>
          <w:trHeight w:val="327"/>
        </w:trPr>
        <w:tc>
          <w:tcPr>
            <w:tcW w:w="9180" w:type="dxa"/>
            <w:gridSpan w:val="2"/>
            <w:shd w:val="clear" w:color="auto" w:fill="auto"/>
          </w:tcPr>
          <w:p w14:paraId="0212FEFE" w14:textId="77777777" w:rsidR="008B27A0" w:rsidRPr="00DB25D6" w:rsidRDefault="008B27A0" w:rsidP="00C92BD2">
            <w:pPr>
              <w:pStyle w:val="ListParagraph"/>
              <w:numPr>
                <w:ilvl w:val="0"/>
                <w:numId w:val="37"/>
              </w:numPr>
              <w:spacing w:before="60" w:after="120"/>
              <w:rPr>
                <w:rFonts w:cs="Arial"/>
                <w:b/>
              </w:rPr>
            </w:pPr>
            <w:r w:rsidRPr="00DB25D6">
              <w:rPr>
                <w:rFonts w:cs="Arial"/>
              </w:rPr>
              <w:t>What are the advantages or positive things about taking Legal Highs?</w:t>
            </w:r>
          </w:p>
        </w:tc>
      </w:tr>
      <w:tr w:rsidR="008B27A0" w:rsidRPr="003F767A" w14:paraId="1DFD6FEE" w14:textId="77777777" w:rsidTr="006419B7">
        <w:trPr>
          <w:trHeight w:val="327"/>
        </w:trPr>
        <w:tc>
          <w:tcPr>
            <w:tcW w:w="817" w:type="dxa"/>
            <w:shd w:val="clear" w:color="auto" w:fill="auto"/>
          </w:tcPr>
          <w:p w14:paraId="2B107E0D" w14:textId="77777777" w:rsidR="008B27A0" w:rsidRPr="003F767A" w:rsidRDefault="008B27A0" w:rsidP="004B3AED">
            <w:pPr>
              <w:spacing w:before="60" w:after="120"/>
              <w:rPr>
                <w:rFonts w:cs="Arial"/>
                <w:sz w:val="22"/>
              </w:rPr>
            </w:pPr>
          </w:p>
        </w:tc>
        <w:tc>
          <w:tcPr>
            <w:tcW w:w="8363" w:type="dxa"/>
            <w:shd w:val="clear" w:color="auto" w:fill="auto"/>
          </w:tcPr>
          <w:p w14:paraId="32C0800E" w14:textId="77777777" w:rsidR="008B27A0" w:rsidRPr="003F767A" w:rsidRDefault="008B27A0" w:rsidP="004B3AED">
            <w:pPr>
              <w:spacing w:before="60" w:after="120"/>
              <w:rPr>
                <w:rFonts w:cs="Arial"/>
                <w:sz w:val="22"/>
              </w:rPr>
            </w:pPr>
            <w:r w:rsidRPr="003F767A">
              <w:rPr>
                <w:rFonts w:cs="Arial"/>
                <w:sz w:val="22"/>
              </w:rPr>
              <w:t xml:space="preserve">What’s good / enjoyable about it? Why?  </w:t>
            </w:r>
          </w:p>
        </w:tc>
      </w:tr>
      <w:tr w:rsidR="008B27A0" w:rsidRPr="00DB25D6" w14:paraId="247F3655" w14:textId="77777777" w:rsidTr="006419B7">
        <w:trPr>
          <w:trHeight w:val="327"/>
        </w:trPr>
        <w:tc>
          <w:tcPr>
            <w:tcW w:w="9180" w:type="dxa"/>
            <w:gridSpan w:val="2"/>
            <w:shd w:val="clear" w:color="auto" w:fill="auto"/>
          </w:tcPr>
          <w:p w14:paraId="1EBBC4F2" w14:textId="77777777" w:rsidR="008B27A0" w:rsidRPr="00DB25D6" w:rsidRDefault="008B27A0" w:rsidP="00C92BD2">
            <w:pPr>
              <w:pStyle w:val="ListParagraph"/>
              <w:numPr>
                <w:ilvl w:val="0"/>
                <w:numId w:val="37"/>
              </w:numPr>
              <w:spacing w:before="60" w:after="120"/>
              <w:rPr>
                <w:rFonts w:cs="Arial"/>
              </w:rPr>
            </w:pPr>
            <w:r w:rsidRPr="00DB25D6">
              <w:rPr>
                <w:rFonts w:cs="Arial"/>
              </w:rPr>
              <w:t>What are the disadvantages or negative things about taking Legal Highs?</w:t>
            </w:r>
          </w:p>
        </w:tc>
      </w:tr>
      <w:tr w:rsidR="008B27A0" w:rsidRPr="003F767A" w14:paraId="3B80F228" w14:textId="77777777" w:rsidTr="006419B7">
        <w:trPr>
          <w:trHeight w:val="327"/>
        </w:trPr>
        <w:tc>
          <w:tcPr>
            <w:tcW w:w="817" w:type="dxa"/>
            <w:shd w:val="clear" w:color="auto" w:fill="auto"/>
          </w:tcPr>
          <w:p w14:paraId="3F541A1E" w14:textId="77777777" w:rsidR="008B27A0" w:rsidRPr="003F767A" w:rsidRDefault="008B27A0" w:rsidP="004B3AED">
            <w:pPr>
              <w:spacing w:before="60" w:after="240"/>
              <w:rPr>
                <w:rFonts w:cs="Arial"/>
                <w:b/>
                <w:sz w:val="22"/>
              </w:rPr>
            </w:pPr>
          </w:p>
        </w:tc>
        <w:tc>
          <w:tcPr>
            <w:tcW w:w="8363" w:type="dxa"/>
            <w:shd w:val="clear" w:color="auto" w:fill="auto"/>
          </w:tcPr>
          <w:p w14:paraId="187AD66E" w14:textId="77777777" w:rsidR="008B27A0" w:rsidRPr="003F767A" w:rsidRDefault="008B27A0" w:rsidP="004B3AED">
            <w:pPr>
              <w:spacing w:before="60" w:after="240"/>
              <w:rPr>
                <w:rFonts w:cs="Arial"/>
                <w:sz w:val="22"/>
              </w:rPr>
            </w:pPr>
            <w:r w:rsidRPr="003F767A">
              <w:rPr>
                <w:rFonts w:cs="Arial"/>
                <w:sz w:val="22"/>
              </w:rPr>
              <w:t xml:space="preserve">What’s bad / unenjoyable about it? Why?  </w:t>
            </w:r>
          </w:p>
        </w:tc>
      </w:tr>
      <w:tr w:rsidR="008B27A0" w:rsidRPr="00DB25D6" w14:paraId="373EB8ED" w14:textId="77777777" w:rsidTr="006419B7">
        <w:trPr>
          <w:trHeight w:val="327"/>
        </w:trPr>
        <w:tc>
          <w:tcPr>
            <w:tcW w:w="9180" w:type="dxa"/>
            <w:gridSpan w:val="2"/>
            <w:shd w:val="clear" w:color="auto" w:fill="auto"/>
          </w:tcPr>
          <w:p w14:paraId="5CD6CB36" w14:textId="77777777" w:rsidR="008B27A0" w:rsidRPr="00DB25D6" w:rsidRDefault="008B27A0" w:rsidP="00C92BD2">
            <w:pPr>
              <w:pStyle w:val="ListParagraph"/>
              <w:numPr>
                <w:ilvl w:val="0"/>
                <w:numId w:val="37"/>
              </w:numPr>
              <w:spacing w:before="60" w:after="120"/>
              <w:rPr>
                <w:rFonts w:cs="Arial"/>
              </w:rPr>
            </w:pPr>
            <w:r w:rsidRPr="00DB25D6">
              <w:rPr>
                <w:rFonts w:cs="Arial"/>
              </w:rPr>
              <w:t xml:space="preserve">What are the advantages or positive things about not taking Legal Highs? </w:t>
            </w:r>
          </w:p>
        </w:tc>
      </w:tr>
      <w:tr w:rsidR="008B27A0" w:rsidRPr="003F767A" w14:paraId="45607CF3" w14:textId="77777777" w:rsidTr="006419B7">
        <w:trPr>
          <w:trHeight w:val="327"/>
        </w:trPr>
        <w:tc>
          <w:tcPr>
            <w:tcW w:w="817" w:type="dxa"/>
            <w:shd w:val="clear" w:color="auto" w:fill="auto"/>
          </w:tcPr>
          <w:p w14:paraId="7C491B8F" w14:textId="77777777" w:rsidR="008B27A0" w:rsidRPr="003F767A" w:rsidRDefault="008B27A0" w:rsidP="004B3AED">
            <w:pPr>
              <w:spacing w:before="60" w:after="120"/>
              <w:rPr>
                <w:rFonts w:cs="Arial"/>
                <w:b/>
                <w:sz w:val="22"/>
                <w:szCs w:val="24"/>
              </w:rPr>
            </w:pPr>
          </w:p>
        </w:tc>
        <w:tc>
          <w:tcPr>
            <w:tcW w:w="8363" w:type="dxa"/>
            <w:shd w:val="clear" w:color="auto" w:fill="auto"/>
          </w:tcPr>
          <w:p w14:paraId="1BB33762" w14:textId="77777777" w:rsidR="008B27A0" w:rsidRPr="003F767A" w:rsidRDefault="008B27A0" w:rsidP="004B3AED">
            <w:pPr>
              <w:spacing w:before="60" w:after="120"/>
              <w:rPr>
                <w:rFonts w:cs="Arial"/>
                <w:sz w:val="22"/>
              </w:rPr>
            </w:pPr>
            <w:r w:rsidRPr="003F767A">
              <w:rPr>
                <w:rFonts w:cs="Arial"/>
                <w:sz w:val="22"/>
              </w:rPr>
              <w:t>What’s good / enjoyable about it? Why</w:t>
            </w:r>
            <w:r>
              <w:rPr>
                <w:rFonts w:cs="Arial"/>
                <w:sz w:val="22"/>
              </w:rPr>
              <w:t>?</w:t>
            </w:r>
          </w:p>
        </w:tc>
      </w:tr>
      <w:tr w:rsidR="008B27A0" w:rsidRPr="00DB25D6" w14:paraId="02319989" w14:textId="77777777" w:rsidTr="006419B7">
        <w:trPr>
          <w:trHeight w:val="327"/>
        </w:trPr>
        <w:tc>
          <w:tcPr>
            <w:tcW w:w="9180" w:type="dxa"/>
            <w:gridSpan w:val="2"/>
            <w:shd w:val="clear" w:color="auto" w:fill="auto"/>
          </w:tcPr>
          <w:p w14:paraId="21A641A8" w14:textId="77777777" w:rsidR="008B27A0" w:rsidRPr="00DB25D6" w:rsidRDefault="008B27A0" w:rsidP="00C92BD2">
            <w:pPr>
              <w:pStyle w:val="ListParagraph"/>
              <w:numPr>
                <w:ilvl w:val="0"/>
                <w:numId w:val="37"/>
              </w:numPr>
              <w:spacing w:before="60" w:after="120"/>
              <w:rPr>
                <w:rFonts w:cs="Arial"/>
              </w:rPr>
            </w:pPr>
            <w:r w:rsidRPr="00DB25D6">
              <w:rPr>
                <w:rFonts w:cs="Arial"/>
              </w:rPr>
              <w:t xml:space="preserve">What are the disadvantages or negative things about not taking Legal Highs? </w:t>
            </w:r>
          </w:p>
        </w:tc>
      </w:tr>
      <w:tr w:rsidR="008B27A0" w:rsidRPr="003F767A" w14:paraId="66D581FA" w14:textId="77777777" w:rsidTr="006419B7">
        <w:trPr>
          <w:trHeight w:val="327"/>
        </w:trPr>
        <w:tc>
          <w:tcPr>
            <w:tcW w:w="817" w:type="dxa"/>
            <w:tcBorders>
              <w:bottom w:val="single" w:sz="4" w:space="0" w:color="auto"/>
            </w:tcBorders>
            <w:shd w:val="clear" w:color="auto" w:fill="auto"/>
          </w:tcPr>
          <w:p w14:paraId="43DBC588" w14:textId="77777777" w:rsidR="008B27A0" w:rsidRPr="003F767A" w:rsidRDefault="008B27A0" w:rsidP="004B3AED">
            <w:pPr>
              <w:spacing w:before="60" w:after="240"/>
              <w:rPr>
                <w:rFonts w:cs="Arial"/>
                <w:b/>
                <w:sz w:val="22"/>
                <w:szCs w:val="24"/>
              </w:rPr>
            </w:pPr>
          </w:p>
        </w:tc>
        <w:tc>
          <w:tcPr>
            <w:tcW w:w="8363" w:type="dxa"/>
            <w:tcBorders>
              <w:bottom w:val="single" w:sz="4" w:space="0" w:color="auto"/>
            </w:tcBorders>
            <w:shd w:val="clear" w:color="auto" w:fill="auto"/>
          </w:tcPr>
          <w:p w14:paraId="6135C50E" w14:textId="77777777" w:rsidR="008B27A0" w:rsidRPr="003F767A" w:rsidRDefault="008B27A0" w:rsidP="004B3AED">
            <w:pPr>
              <w:spacing w:before="60" w:after="240"/>
              <w:rPr>
                <w:rFonts w:cs="Arial"/>
                <w:sz w:val="22"/>
              </w:rPr>
            </w:pPr>
            <w:r w:rsidRPr="003F767A">
              <w:rPr>
                <w:rFonts w:cs="Arial"/>
                <w:sz w:val="22"/>
              </w:rPr>
              <w:t xml:space="preserve">What’s bad / unenjoyable about it? Why?  </w:t>
            </w:r>
          </w:p>
        </w:tc>
      </w:tr>
      <w:tr w:rsidR="008B27A0" w:rsidRPr="00DB25D6" w14:paraId="118B59CD" w14:textId="77777777" w:rsidTr="006419B7">
        <w:trPr>
          <w:trHeight w:val="327"/>
        </w:trPr>
        <w:tc>
          <w:tcPr>
            <w:tcW w:w="9180" w:type="dxa"/>
            <w:gridSpan w:val="2"/>
            <w:tcBorders>
              <w:top w:val="single" w:sz="4" w:space="0" w:color="auto"/>
            </w:tcBorders>
            <w:shd w:val="clear" w:color="auto" w:fill="auto"/>
          </w:tcPr>
          <w:p w14:paraId="27E83022" w14:textId="77777777" w:rsidR="008B27A0" w:rsidRPr="00DB25D6" w:rsidRDefault="008B27A0" w:rsidP="004B3AED">
            <w:pPr>
              <w:spacing w:before="60" w:after="120"/>
              <w:rPr>
                <w:rFonts w:cs="Arial"/>
              </w:rPr>
            </w:pPr>
            <w:r w:rsidRPr="00DB25D6">
              <w:rPr>
                <w:rFonts w:cs="Arial"/>
                <w:b/>
              </w:rPr>
              <w:t>Normative beliefs</w:t>
            </w:r>
          </w:p>
        </w:tc>
      </w:tr>
      <w:tr w:rsidR="008B27A0" w:rsidRPr="00DB25D6" w14:paraId="5B9C57D9" w14:textId="77777777" w:rsidTr="006419B7">
        <w:trPr>
          <w:trHeight w:val="327"/>
        </w:trPr>
        <w:tc>
          <w:tcPr>
            <w:tcW w:w="9180" w:type="dxa"/>
            <w:gridSpan w:val="2"/>
            <w:shd w:val="clear" w:color="auto" w:fill="auto"/>
            <w:hideMark/>
          </w:tcPr>
          <w:p w14:paraId="2A00D1F5" w14:textId="77777777" w:rsidR="008B27A0" w:rsidRPr="00DB25D6" w:rsidRDefault="008B27A0" w:rsidP="00C92BD2">
            <w:pPr>
              <w:pStyle w:val="ListParagraph"/>
              <w:numPr>
                <w:ilvl w:val="0"/>
                <w:numId w:val="37"/>
              </w:numPr>
              <w:spacing w:before="60" w:after="120"/>
              <w:rPr>
                <w:rFonts w:cs="Arial"/>
              </w:rPr>
            </w:pPr>
            <w:r w:rsidRPr="00DB25D6">
              <w:rPr>
                <w:rFonts w:cs="Arial"/>
              </w:rPr>
              <w:t xml:space="preserve">Who would approve of a young person taking Legal Highs? </w:t>
            </w:r>
          </w:p>
          <w:p w14:paraId="7C837E97" w14:textId="77777777" w:rsidR="008B27A0" w:rsidRPr="00DB25D6" w:rsidRDefault="008B27A0" w:rsidP="004B3AED">
            <w:pPr>
              <w:spacing w:before="60" w:after="120"/>
              <w:rPr>
                <w:rFonts w:cs="Arial"/>
              </w:rPr>
            </w:pPr>
          </w:p>
        </w:tc>
      </w:tr>
      <w:tr w:rsidR="008B27A0" w:rsidRPr="003F767A" w14:paraId="58985DBB" w14:textId="77777777" w:rsidTr="006419B7">
        <w:trPr>
          <w:trHeight w:val="327"/>
        </w:trPr>
        <w:tc>
          <w:tcPr>
            <w:tcW w:w="817" w:type="dxa"/>
            <w:tcBorders>
              <w:bottom w:val="single" w:sz="4" w:space="0" w:color="auto"/>
            </w:tcBorders>
            <w:shd w:val="clear" w:color="auto" w:fill="auto"/>
          </w:tcPr>
          <w:p w14:paraId="17E2F661" w14:textId="77777777" w:rsidR="008B27A0" w:rsidRPr="003F767A" w:rsidRDefault="008B27A0" w:rsidP="004B3AED">
            <w:pPr>
              <w:spacing w:before="60" w:after="120"/>
              <w:rPr>
                <w:rFonts w:cs="Arial"/>
                <w:b/>
                <w:sz w:val="22"/>
                <w:szCs w:val="24"/>
              </w:rPr>
            </w:pPr>
          </w:p>
        </w:tc>
        <w:tc>
          <w:tcPr>
            <w:tcW w:w="8363" w:type="dxa"/>
            <w:tcBorders>
              <w:bottom w:val="single" w:sz="4" w:space="0" w:color="auto"/>
            </w:tcBorders>
            <w:shd w:val="clear" w:color="auto" w:fill="auto"/>
          </w:tcPr>
          <w:p w14:paraId="791292D8" w14:textId="77777777" w:rsidR="008B27A0" w:rsidRPr="003F767A" w:rsidRDefault="008B27A0" w:rsidP="004B3AED">
            <w:pPr>
              <w:spacing w:before="60" w:after="120"/>
              <w:rPr>
                <w:rFonts w:cs="Arial"/>
                <w:sz w:val="22"/>
              </w:rPr>
            </w:pPr>
            <w:r w:rsidRPr="003F767A">
              <w:rPr>
                <w:rFonts w:cs="Arial"/>
                <w:sz w:val="22"/>
              </w:rPr>
              <w:t>Who would think it is a good idea? Why?</w:t>
            </w:r>
          </w:p>
        </w:tc>
      </w:tr>
    </w:tbl>
    <w:p w14:paraId="1DF4174B" w14:textId="77777777" w:rsidR="008B27A0" w:rsidRDefault="008B27A0" w:rsidP="008B27A0">
      <w:pPr>
        <w:rPr>
          <w:b/>
          <w:bCs/>
          <w:szCs w:val="26"/>
        </w:rPr>
      </w:pPr>
    </w:p>
    <w:p w14:paraId="2660D5EB" w14:textId="77777777" w:rsidR="002A0CCA" w:rsidRDefault="002A0CCA">
      <w:r>
        <w:br w:type="page"/>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tblCellMar>
        <w:tblLook w:val="04A0" w:firstRow="1" w:lastRow="0" w:firstColumn="1" w:lastColumn="0" w:noHBand="0" w:noVBand="1"/>
      </w:tblPr>
      <w:tblGrid>
        <w:gridCol w:w="817"/>
        <w:gridCol w:w="7546"/>
        <w:gridCol w:w="817"/>
      </w:tblGrid>
      <w:tr w:rsidR="008B27A0" w:rsidRPr="00DB25D6" w14:paraId="62B72E67" w14:textId="77777777" w:rsidTr="006419B7">
        <w:trPr>
          <w:trHeight w:val="431"/>
        </w:trPr>
        <w:tc>
          <w:tcPr>
            <w:tcW w:w="9180" w:type="dxa"/>
            <w:gridSpan w:val="3"/>
            <w:tcBorders>
              <w:bottom w:val="single" w:sz="4" w:space="0" w:color="auto"/>
            </w:tcBorders>
          </w:tcPr>
          <w:p w14:paraId="382E491A" w14:textId="2EF27435" w:rsidR="008B27A0" w:rsidRDefault="008B27A0" w:rsidP="004B3AED">
            <w:pPr>
              <w:spacing w:before="60" w:after="120"/>
              <w:rPr>
                <w:rFonts w:cs="Arial"/>
                <w:b/>
              </w:rPr>
            </w:pPr>
            <w:r>
              <w:rPr>
                <w:rFonts w:cs="Arial"/>
                <w:b/>
              </w:rPr>
              <w:t xml:space="preserve">Table </w:t>
            </w:r>
            <w:r w:rsidR="00735864">
              <w:rPr>
                <w:b/>
              </w:rPr>
              <w:t>6-</w:t>
            </w:r>
            <w:r>
              <w:rPr>
                <w:rFonts w:cs="Arial"/>
                <w:b/>
              </w:rPr>
              <w:t>1. Continued</w:t>
            </w:r>
          </w:p>
        </w:tc>
      </w:tr>
      <w:tr w:rsidR="008B27A0" w:rsidRPr="00DB25D6" w14:paraId="3C49471E" w14:textId="77777777" w:rsidTr="006419B7">
        <w:trPr>
          <w:trHeight w:val="431"/>
        </w:trPr>
        <w:tc>
          <w:tcPr>
            <w:tcW w:w="9180" w:type="dxa"/>
            <w:gridSpan w:val="3"/>
            <w:tcBorders>
              <w:top w:val="single" w:sz="4" w:space="0" w:color="auto"/>
            </w:tcBorders>
          </w:tcPr>
          <w:p w14:paraId="287C1BF5" w14:textId="403989D2" w:rsidR="00233644" w:rsidRDefault="008B27A0" w:rsidP="006419B7">
            <w:pPr>
              <w:spacing w:before="60" w:after="120"/>
              <w:rPr>
                <w:rFonts w:cs="Arial"/>
                <w:b/>
              </w:rPr>
            </w:pPr>
            <w:r w:rsidRPr="00DB25D6">
              <w:rPr>
                <w:rFonts w:cs="Arial"/>
                <w:b/>
              </w:rPr>
              <w:t>Normative beliefs</w:t>
            </w:r>
            <w:r>
              <w:rPr>
                <w:rFonts w:cs="Arial"/>
                <w:b/>
              </w:rPr>
              <w:t xml:space="preserve"> continued </w:t>
            </w:r>
          </w:p>
        </w:tc>
      </w:tr>
      <w:tr w:rsidR="006419B7" w:rsidRPr="00DB25D6" w14:paraId="24762DFA" w14:textId="77777777" w:rsidTr="006419B7">
        <w:trPr>
          <w:trHeight w:val="327"/>
        </w:trPr>
        <w:tc>
          <w:tcPr>
            <w:tcW w:w="9180" w:type="dxa"/>
            <w:gridSpan w:val="3"/>
            <w:shd w:val="clear" w:color="auto" w:fill="auto"/>
          </w:tcPr>
          <w:p w14:paraId="2FE5F85F" w14:textId="77777777" w:rsidR="006419B7" w:rsidRPr="00DB25D6" w:rsidRDefault="006419B7" w:rsidP="00C92BD2">
            <w:pPr>
              <w:pStyle w:val="ListParagraph"/>
              <w:numPr>
                <w:ilvl w:val="0"/>
                <w:numId w:val="41"/>
              </w:numPr>
              <w:spacing w:before="60" w:after="120"/>
              <w:rPr>
                <w:rFonts w:cs="Arial"/>
              </w:rPr>
            </w:pPr>
            <w:r w:rsidRPr="00DB25D6">
              <w:rPr>
                <w:rFonts w:cs="Arial"/>
              </w:rPr>
              <w:t xml:space="preserve">Who would disapprove of a young person taking Legal Highs? </w:t>
            </w:r>
          </w:p>
        </w:tc>
      </w:tr>
      <w:tr w:rsidR="006419B7" w:rsidRPr="003F767A" w14:paraId="669D5215" w14:textId="77777777" w:rsidTr="006419B7">
        <w:trPr>
          <w:gridAfter w:val="1"/>
          <w:wAfter w:w="817" w:type="dxa"/>
          <w:trHeight w:val="327"/>
        </w:trPr>
        <w:tc>
          <w:tcPr>
            <w:tcW w:w="8363" w:type="dxa"/>
            <w:gridSpan w:val="2"/>
            <w:shd w:val="clear" w:color="auto" w:fill="auto"/>
          </w:tcPr>
          <w:p w14:paraId="64CEA503" w14:textId="77777777" w:rsidR="006419B7" w:rsidRPr="003F767A" w:rsidRDefault="006419B7" w:rsidP="007E1D13">
            <w:pPr>
              <w:spacing w:before="60" w:after="120"/>
              <w:rPr>
                <w:rFonts w:cs="Arial"/>
                <w:sz w:val="22"/>
              </w:rPr>
            </w:pPr>
            <w:r w:rsidRPr="003F767A">
              <w:rPr>
                <w:rFonts w:cs="Arial"/>
                <w:sz w:val="22"/>
              </w:rPr>
              <w:t>Who would think it is a bad idea? Why?</w:t>
            </w:r>
          </w:p>
        </w:tc>
      </w:tr>
      <w:tr w:rsidR="008B27A0" w:rsidRPr="00DB25D6" w14:paraId="6A96C58C" w14:textId="77777777" w:rsidTr="006419B7">
        <w:trPr>
          <w:trHeight w:val="327"/>
        </w:trPr>
        <w:tc>
          <w:tcPr>
            <w:tcW w:w="9180" w:type="dxa"/>
            <w:gridSpan w:val="3"/>
            <w:shd w:val="clear" w:color="auto" w:fill="auto"/>
          </w:tcPr>
          <w:p w14:paraId="623A1DD1" w14:textId="5D13E1AB" w:rsidR="008B27A0" w:rsidRPr="00DB25D6" w:rsidRDefault="008B27A0" w:rsidP="00C92BD2">
            <w:pPr>
              <w:pStyle w:val="ListParagraph"/>
              <w:numPr>
                <w:ilvl w:val="0"/>
                <w:numId w:val="41"/>
              </w:numPr>
              <w:spacing w:before="60" w:after="120"/>
              <w:rPr>
                <w:rFonts w:cs="Arial"/>
              </w:rPr>
            </w:pPr>
            <w:r w:rsidRPr="00DB25D6">
              <w:rPr>
                <w:rFonts w:cs="Arial"/>
              </w:rPr>
              <w:t>Who would approve of a young person not taking Legal Highs?</w:t>
            </w:r>
          </w:p>
        </w:tc>
      </w:tr>
      <w:tr w:rsidR="008B27A0" w:rsidRPr="003F767A" w14:paraId="38AA10D9" w14:textId="77777777" w:rsidTr="006419B7">
        <w:trPr>
          <w:trHeight w:val="327"/>
        </w:trPr>
        <w:tc>
          <w:tcPr>
            <w:tcW w:w="817" w:type="dxa"/>
            <w:shd w:val="clear" w:color="auto" w:fill="auto"/>
          </w:tcPr>
          <w:p w14:paraId="352577E8" w14:textId="77777777" w:rsidR="008B27A0" w:rsidRPr="003F767A" w:rsidRDefault="008B27A0" w:rsidP="004B3AED">
            <w:pPr>
              <w:spacing w:before="60" w:after="240"/>
              <w:rPr>
                <w:rFonts w:cs="Arial"/>
                <w:b/>
                <w:sz w:val="22"/>
                <w:szCs w:val="24"/>
              </w:rPr>
            </w:pPr>
          </w:p>
        </w:tc>
        <w:tc>
          <w:tcPr>
            <w:tcW w:w="8363" w:type="dxa"/>
            <w:gridSpan w:val="2"/>
            <w:shd w:val="clear" w:color="auto" w:fill="auto"/>
          </w:tcPr>
          <w:p w14:paraId="7975D645" w14:textId="77777777" w:rsidR="008B27A0" w:rsidRPr="003F767A" w:rsidRDefault="008B27A0" w:rsidP="004B3AED">
            <w:pPr>
              <w:spacing w:before="60" w:after="240"/>
              <w:rPr>
                <w:rFonts w:cs="Arial"/>
                <w:sz w:val="22"/>
              </w:rPr>
            </w:pPr>
            <w:r w:rsidRPr="003F767A">
              <w:rPr>
                <w:rFonts w:cs="Arial"/>
                <w:sz w:val="22"/>
              </w:rPr>
              <w:t>Who would think it is a good idea? Why?</w:t>
            </w:r>
          </w:p>
        </w:tc>
      </w:tr>
      <w:tr w:rsidR="008B27A0" w:rsidRPr="00DB25D6" w14:paraId="3253C980" w14:textId="77777777" w:rsidTr="006419B7">
        <w:trPr>
          <w:trHeight w:val="327"/>
        </w:trPr>
        <w:tc>
          <w:tcPr>
            <w:tcW w:w="9180" w:type="dxa"/>
            <w:gridSpan w:val="3"/>
            <w:shd w:val="clear" w:color="auto" w:fill="auto"/>
          </w:tcPr>
          <w:p w14:paraId="6F55315E" w14:textId="77777777" w:rsidR="008B27A0" w:rsidRPr="00DB25D6" w:rsidRDefault="008B27A0" w:rsidP="00C92BD2">
            <w:pPr>
              <w:pStyle w:val="ListParagraph"/>
              <w:numPr>
                <w:ilvl w:val="0"/>
                <w:numId w:val="41"/>
              </w:numPr>
              <w:spacing w:before="60" w:after="120"/>
              <w:rPr>
                <w:rFonts w:cs="Arial"/>
              </w:rPr>
            </w:pPr>
            <w:r w:rsidRPr="00DB25D6">
              <w:rPr>
                <w:rFonts w:cs="Arial"/>
              </w:rPr>
              <w:t>Who would disapprove of young people a young person not taking Legal Highs?</w:t>
            </w:r>
          </w:p>
        </w:tc>
      </w:tr>
      <w:tr w:rsidR="008B27A0" w:rsidRPr="003F767A" w14:paraId="6151BA2F" w14:textId="77777777" w:rsidTr="006419B7">
        <w:trPr>
          <w:trHeight w:val="327"/>
        </w:trPr>
        <w:tc>
          <w:tcPr>
            <w:tcW w:w="817" w:type="dxa"/>
            <w:tcBorders>
              <w:bottom w:val="single" w:sz="4" w:space="0" w:color="auto"/>
            </w:tcBorders>
            <w:shd w:val="clear" w:color="auto" w:fill="auto"/>
          </w:tcPr>
          <w:p w14:paraId="53661222" w14:textId="77777777" w:rsidR="008B27A0" w:rsidRPr="003F767A" w:rsidRDefault="008B27A0" w:rsidP="004B3AED">
            <w:pPr>
              <w:spacing w:before="60" w:after="240"/>
              <w:rPr>
                <w:rFonts w:cs="Arial"/>
                <w:b/>
                <w:sz w:val="22"/>
                <w:szCs w:val="24"/>
              </w:rPr>
            </w:pPr>
          </w:p>
        </w:tc>
        <w:tc>
          <w:tcPr>
            <w:tcW w:w="8363" w:type="dxa"/>
            <w:gridSpan w:val="2"/>
            <w:tcBorders>
              <w:bottom w:val="single" w:sz="4" w:space="0" w:color="auto"/>
            </w:tcBorders>
            <w:shd w:val="clear" w:color="auto" w:fill="auto"/>
          </w:tcPr>
          <w:p w14:paraId="0DD28C01" w14:textId="77777777" w:rsidR="008B27A0" w:rsidRPr="003F767A" w:rsidRDefault="008B27A0" w:rsidP="004B3AED">
            <w:pPr>
              <w:spacing w:before="60" w:after="240"/>
              <w:rPr>
                <w:rFonts w:cs="Arial"/>
                <w:sz w:val="22"/>
              </w:rPr>
            </w:pPr>
            <w:r w:rsidRPr="003F767A">
              <w:rPr>
                <w:rFonts w:cs="Arial"/>
                <w:sz w:val="22"/>
              </w:rPr>
              <w:t>Who would think it is a bad idea? Why?</w:t>
            </w:r>
          </w:p>
        </w:tc>
      </w:tr>
      <w:tr w:rsidR="008B27A0" w:rsidRPr="00DB25D6" w14:paraId="6C990B57" w14:textId="77777777" w:rsidTr="006419B7">
        <w:trPr>
          <w:trHeight w:val="327"/>
        </w:trPr>
        <w:tc>
          <w:tcPr>
            <w:tcW w:w="9180" w:type="dxa"/>
            <w:gridSpan w:val="3"/>
            <w:tcBorders>
              <w:top w:val="single" w:sz="4" w:space="0" w:color="auto"/>
            </w:tcBorders>
            <w:shd w:val="clear" w:color="auto" w:fill="auto"/>
          </w:tcPr>
          <w:p w14:paraId="17608347" w14:textId="77777777" w:rsidR="008B27A0" w:rsidRPr="00DB25D6" w:rsidRDefault="008B27A0" w:rsidP="004B3AED">
            <w:pPr>
              <w:spacing w:before="60" w:after="120"/>
              <w:rPr>
                <w:rFonts w:cs="Arial"/>
              </w:rPr>
            </w:pPr>
            <w:r w:rsidRPr="00DB25D6">
              <w:rPr>
                <w:rFonts w:cs="Arial"/>
                <w:b/>
              </w:rPr>
              <w:t>Identity</w:t>
            </w:r>
          </w:p>
        </w:tc>
      </w:tr>
      <w:tr w:rsidR="008B27A0" w:rsidRPr="00DB25D6" w14:paraId="43040FC7" w14:textId="77777777" w:rsidTr="006419B7">
        <w:trPr>
          <w:trHeight w:val="327"/>
        </w:trPr>
        <w:tc>
          <w:tcPr>
            <w:tcW w:w="9180" w:type="dxa"/>
            <w:gridSpan w:val="3"/>
            <w:shd w:val="clear" w:color="auto" w:fill="auto"/>
          </w:tcPr>
          <w:p w14:paraId="4654EC8F" w14:textId="77777777" w:rsidR="008B27A0" w:rsidRPr="00DB25D6" w:rsidRDefault="008B27A0" w:rsidP="00C92BD2">
            <w:pPr>
              <w:pStyle w:val="ListParagraph"/>
              <w:numPr>
                <w:ilvl w:val="0"/>
                <w:numId w:val="41"/>
              </w:numPr>
              <w:spacing w:before="60" w:after="120"/>
              <w:rPr>
                <w:rFonts w:cs="Arial"/>
              </w:rPr>
            </w:pPr>
            <w:r w:rsidRPr="00DB25D6">
              <w:rPr>
                <w:rFonts w:cs="Arial"/>
              </w:rPr>
              <w:t>What is your view of the typical young person who takes Legal Highs?</w:t>
            </w:r>
          </w:p>
        </w:tc>
      </w:tr>
      <w:tr w:rsidR="008B27A0" w:rsidRPr="003F767A" w14:paraId="6F673EFC" w14:textId="77777777" w:rsidTr="006419B7">
        <w:trPr>
          <w:trHeight w:val="327"/>
        </w:trPr>
        <w:tc>
          <w:tcPr>
            <w:tcW w:w="817" w:type="dxa"/>
            <w:shd w:val="clear" w:color="auto" w:fill="auto"/>
          </w:tcPr>
          <w:p w14:paraId="0DDE195E" w14:textId="77777777" w:rsidR="008B27A0" w:rsidRPr="003F767A" w:rsidRDefault="008B27A0" w:rsidP="004B3AED">
            <w:pPr>
              <w:spacing w:before="60" w:after="120"/>
              <w:rPr>
                <w:rFonts w:cs="Arial"/>
                <w:sz w:val="22"/>
              </w:rPr>
            </w:pPr>
          </w:p>
        </w:tc>
        <w:tc>
          <w:tcPr>
            <w:tcW w:w="8363" w:type="dxa"/>
            <w:gridSpan w:val="2"/>
            <w:shd w:val="clear" w:color="auto" w:fill="auto"/>
          </w:tcPr>
          <w:p w14:paraId="1C7FD6FC" w14:textId="77777777" w:rsidR="008B27A0" w:rsidRPr="003F767A" w:rsidRDefault="008B27A0" w:rsidP="004B3AED">
            <w:pPr>
              <w:spacing w:before="60" w:after="120"/>
              <w:rPr>
                <w:rFonts w:cs="Arial"/>
                <w:sz w:val="22"/>
              </w:rPr>
            </w:pPr>
            <w:r w:rsidRPr="003F767A">
              <w:rPr>
                <w:rFonts w:cs="Arial"/>
                <w:sz w:val="22"/>
              </w:rPr>
              <w:t>How would you describe them? Is it a positive or negative view?</w:t>
            </w:r>
          </w:p>
        </w:tc>
      </w:tr>
      <w:tr w:rsidR="008B27A0" w:rsidRPr="00DB25D6" w14:paraId="7811A01D" w14:textId="77777777" w:rsidTr="006419B7">
        <w:trPr>
          <w:trHeight w:val="327"/>
        </w:trPr>
        <w:tc>
          <w:tcPr>
            <w:tcW w:w="9180" w:type="dxa"/>
            <w:gridSpan w:val="3"/>
            <w:shd w:val="clear" w:color="auto" w:fill="auto"/>
          </w:tcPr>
          <w:p w14:paraId="66E847A6" w14:textId="77777777" w:rsidR="008B27A0" w:rsidRPr="00DB25D6" w:rsidRDefault="008B27A0" w:rsidP="00C92BD2">
            <w:pPr>
              <w:pStyle w:val="ListParagraph"/>
              <w:numPr>
                <w:ilvl w:val="0"/>
                <w:numId w:val="41"/>
              </w:numPr>
              <w:spacing w:before="60" w:after="120"/>
              <w:rPr>
                <w:rFonts w:cs="Arial"/>
              </w:rPr>
            </w:pPr>
            <w:r w:rsidRPr="00DB25D6">
              <w:rPr>
                <w:rFonts w:cs="Arial"/>
              </w:rPr>
              <w:t xml:space="preserve">What is your view of the typical young person who does not take Legal Highs? </w:t>
            </w:r>
          </w:p>
        </w:tc>
      </w:tr>
      <w:tr w:rsidR="008B27A0" w:rsidRPr="003F767A" w14:paraId="7B5F460F" w14:textId="77777777" w:rsidTr="006419B7">
        <w:trPr>
          <w:trHeight w:val="327"/>
        </w:trPr>
        <w:tc>
          <w:tcPr>
            <w:tcW w:w="817" w:type="dxa"/>
            <w:tcBorders>
              <w:bottom w:val="single" w:sz="4" w:space="0" w:color="auto"/>
            </w:tcBorders>
            <w:shd w:val="clear" w:color="auto" w:fill="auto"/>
          </w:tcPr>
          <w:p w14:paraId="57387F8E" w14:textId="77777777" w:rsidR="008B27A0" w:rsidRPr="003F767A" w:rsidRDefault="008B27A0" w:rsidP="004B3AED">
            <w:pPr>
              <w:spacing w:before="60" w:after="240"/>
              <w:rPr>
                <w:rFonts w:cs="Arial"/>
                <w:sz w:val="22"/>
              </w:rPr>
            </w:pPr>
          </w:p>
        </w:tc>
        <w:tc>
          <w:tcPr>
            <w:tcW w:w="8363" w:type="dxa"/>
            <w:gridSpan w:val="2"/>
            <w:tcBorders>
              <w:bottom w:val="single" w:sz="4" w:space="0" w:color="auto"/>
            </w:tcBorders>
            <w:shd w:val="clear" w:color="auto" w:fill="auto"/>
          </w:tcPr>
          <w:p w14:paraId="2D8250B7" w14:textId="77777777" w:rsidR="008B27A0" w:rsidRPr="003F767A" w:rsidRDefault="008B27A0" w:rsidP="004B3AED">
            <w:pPr>
              <w:spacing w:before="60" w:after="240"/>
              <w:rPr>
                <w:rFonts w:cs="Arial"/>
                <w:sz w:val="22"/>
              </w:rPr>
            </w:pPr>
            <w:r w:rsidRPr="003F767A">
              <w:rPr>
                <w:rFonts w:cs="Arial"/>
                <w:sz w:val="22"/>
              </w:rPr>
              <w:t>How would you describe them? Is it a positive or negative view?</w:t>
            </w:r>
          </w:p>
        </w:tc>
      </w:tr>
      <w:tr w:rsidR="008B27A0" w:rsidRPr="00DB25D6" w14:paraId="1DE81B0F" w14:textId="77777777" w:rsidTr="006419B7">
        <w:trPr>
          <w:trHeight w:val="327"/>
        </w:trPr>
        <w:tc>
          <w:tcPr>
            <w:tcW w:w="9180" w:type="dxa"/>
            <w:gridSpan w:val="3"/>
            <w:tcBorders>
              <w:top w:val="single" w:sz="4" w:space="0" w:color="auto"/>
            </w:tcBorders>
            <w:shd w:val="clear" w:color="auto" w:fill="auto"/>
          </w:tcPr>
          <w:p w14:paraId="110F9587" w14:textId="77777777" w:rsidR="008B27A0" w:rsidRPr="00DB25D6" w:rsidRDefault="008B27A0" w:rsidP="004B3AED">
            <w:pPr>
              <w:spacing w:before="60" w:after="120"/>
              <w:rPr>
                <w:rFonts w:cs="Arial"/>
              </w:rPr>
            </w:pPr>
            <w:r w:rsidRPr="00DB25D6">
              <w:rPr>
                <w:rFonts w:cs="Arial"/>
                <w:b/>
              </w:rPr>
              <w:t>Control beliefs</w:t>
            </w:r>
          </w:p>
        </w:tc>
      </w:tr>
      <w:tr w:rsidR="008B27A0" w:rsidRPr="00DB25D6" w14:paraId="2814A077" w14:textId="77777777" w:rsidTr="006419B7">
        <w:trPr>
          <w:trHeight w:val="327"/>
        </w:trPr>
        <w:tc>
          <w:tcPr>
            <w:tcW w:w="9180" w:type="dxa"/>
            <w:gridSpan w:val="3"/>
            <w:shd w:val="clear" w:color="auto" w:fill="auto"/>
            <w:hideMark/>
          </w:tcPr>
          <w:p w14:paraId="6C62DF12" w14:textId="77777777" w:rsidR="008B27A0" w:rsidRPr="00DB25D6" w:rsidRDefault="008B27A0" w:rsidP="00C92BD2">
            <w:pPr>
              <w:pStyle w:val="ListParagraph"/>
              <w:numPr>
                <w:ilvl w:val="0"/>
                <w:numId w:val="41"/>
              </w:numPr>
              <w:spacing w:before="60" w:after="120"/>
              <w:rPr>
                <w:rFonts w:cs="Arial"/>
              </w:rPr>
            </w:pPr>
            <w:r w:rsidRPr="00DB25D6">
              <w:rPr>
                <w:rFonts w:cs="Arial"/>
              </w:rPr>
              <w:t>What things make it more likely that young people might take Legal Highs?</w:t>
            </w:r>
          </w:p>
        </w:tc>
      </w:tr>
      <w:tr w:rsidR="008B27A0" w:rsidRPr="003F767A" w14:paraId="45C8A89E" w14:textId="77777777" w:rsidTr="006419B7">
        <w:trPr>
          <w:trHeight w:val="327"/>
        </w:trPr>
        <w:tc>
          <w:tcPr>
            <w:tcW w:w="817" w:type="dxa"/>
            <w:shd w:val="clear" w:color="auto" w:fill="auto"/>
          </w:tcPr>
          <w:p w14:paraId="3A5CB080" w14:textId="77777777" w:rsidR="008B27A0" w:rsidRPr="003F767A" w:rsidRDefault="008B27A0" w:rsidP="004B3AED">
            <w:pPr>
              <w:spacing w:before="60" w:after="240"/>
              <w:rPr>
                <w:rFonts w:cs="Arial"/>
                <w:b/>
                <w:sz w:val="22"/>
                <w:szCs w:val="24"/>
              </w:rPr>
            </w:pPr>
          </w:p>
        </w:tc>
        <w:tc>
          <w:tcPr>
            <w:tcW w:w="8363" w:type="dxa"/>
            <w:gridSpan w:val="2"/>
            <w:shd w:val="clear" w:color="auto" w:fill="auto"/>
          </w:tcPr>
          <w:p w14:paraId="10EBEBFB" w14:textId="77777777" w:rsidR="008B27A0" w:rsidRPr="003F767A" w:rsidRDefault="008B27A0" w:rsidP="004B3AED">
            <w:pPr>
              <w:spacing w:before="60" w:after="240"/>
              <w:rPr>
                <w:rFonts w:cs="Arial"/>
                <w:sz w:val="22"/>
              </w:rPr>
            </w:pPr>
            <w:r w:rsidRPr="003F767A">
              <w:rPr>
                <w:rFonts w:cs="Arial"/>
                <w:sz w:val="22"/>
              </w:rPr>
              <w:t>What would make it easier/more likely to happen? Why?</w:t>
            </w:r>
          </w:p>
        </w:tc>
      </w:tr>
      <w:tr w:rsidR="008B27A0" w:rsidRPr="00DB25D6" w14:paraId="28525BD8" w14:textId="77777777" w:rsidTr="006419B7">
        <w:trPr>
          <w:trHeight w:val="327"/>
        </w:trPr>
        <w:tc>
          <w:tcPr>
            <w:tcW w:w="9180" w:type="dxa"/>
            <w:gridSpan w:val="3"/>
            <w:shd w:val="clear" w:color="auto" w:fill="auto"/>
          </w:tcPr>
          <w:p w14:paraId="3DF98439" w14:textId="77777777" w:rsidR="008B27A0" w:rsidRPr="00DB25D6" w:rsidRDefault="008B27A0" w:rsidP="00C92BD2">
            <w:pPr>
              <w:pStyle w:val="ListParagraph"/>
              <w:numPr>
                <w:ilvl w:val="0"/>
                <w:numId w:val="41"/>
              </w:numPr>
              <w:spacing w:before="60" w:after="120"/>
              <w:rPr>
                <w:rFonts w:cs="Arial"/>
              </w:rPr>
            </w:pPr>
            <w:r w:rsidRPr="00DB25D6">
              <w:rPr>
                <w:rFonts w:cs="Arial"/>
              </w:rPr>
              <w:t>What things make it less likely that young people might take Legal Highs?</w:t>
            </w:r>
          </w:p>
        </w:tc>
      </w:tr>
      <w:tr w:rsidR="008B27A0" w:rsidRPr="003F767A" w14:paraId="11781F56" w14:textId="77777777" w:rsidTr="006419B7">
        <w:trPr>
          <w:trHeight w:val="327"/>
        </w:trPr>
        <w:tc>
          <w:tcPr>
            <w:tcW w:w="817" w:type="dxa"/>
            <w:shd w:val="clear" w:color="auto" w:fill="auto"/>
          </w:tcPr>
          <w:p w14:paraId="7A9A3ED6" w14:textId="77777777" w:rsidR="008B27A0" w:rsidRPr="003F767A" w:rsidRDefault="008B27A0" w:rsidP="004B3AED">
            <w:pPr>
              <w:spacing w:before="60" w:after="240"/>
              <w:rPr>
                <w:rFonts w:cs="Arial"/>
                <w:b/>
                <w:sz w:val="22"/>
                <w:szCs w:val="24"/>
              </w:rPr>
            </w:pPr>
          </w:p>
        </w:tc>
        <w:tc>
          <w:tcPr>
            <w:tcW w:w="8363" w:type="dxa"/>
            <w:gridSpan w:val="2"/>
            <w:shd w:val="clear" w:color="auto" w:fill="auto"/>
          </w:tcPr>
          <w:p w14:paraId="0A69A1FD" w14:textId="77777777" w:rsidR="008B27A0" w:rsidRPr="003F767A" w:rsidRDefault="008B27A0" w:rsidP="004B3AED">
            <w:pPr>
              <w:spacing w:before="60" w:after="240"/>
              <w:rPr>
                <w:rFonts w:cs="Arial"/>
                <w:sz w:val="22"/>
              </w:rPr>
            </w:pPr>
            <w:r w:rsidRPr="003F767A">
              <w:rPr>
                <w:rFonts w:cs="Arial"/>
                <w:sz w:val="22"/>
              </w:rPr>
              <w:t>What would make it more difficult/less likely to happen? Why?</w:t>
            </w:r>
          </w:p>
        </w:tc>
      </w:tr>
      <w:tr w:rsidR="008B27A0" w:rsidRPr="00DB25D6" w14:paraId="45A0A863" w14:textId="77777777" w:rsidTr="006419B7">
        <w:trPr>
          <w:trHeight w:val="327"/>
        </w:trPr>
        <w:tc>
          <w:tcPr>
            <w:tcW w:w="9180" w:type="dxa"/>
            <w:gridSpan w:val="3"/>
            <w:shd w:val="clear" w:color="auto" w:fill="auto"/>
          </w:tcPr>
          <w:p w14:paraId="4856D11A" w14:textId="77777777" w:rsidR="008B27A0" w:rsidRPr="00DB25D6" w:rsidRDefault="008B27A0" w:rsidP="00C92BD2">
            <w:pPr>
              <w:pStyle w:val="ListParagraph"/>
              <w:numPr>
                <w:ilvl w:val="0"/>
                <w:numId w:val="41"/>
              </w:numPr>
              <w:spacing w:before="60" w:after="120"/>
              <w:rPr>
                <w:rFonts w:cs="Arial"/>
              </w:rPr>
            </w:pPr>
            <w:r w:rsidRPr="00DB25D6">
              <w:rPr>
                <w:rFonts w:cs="Arial"/>
              </w:rPr>
              <w:t xml:space="preserve">What things make it more likely for young people to decide not to take Legal Highs? </w:t>
            </w:r>
          </w:p>
        </w:tc>
      </w:tr>
      <w:tr w:rsidR="008B27A0" w:rsidRPr="003F767A" w14:paraId="7994567B" w14:textId="77777777" w:rsidTr="006419B7">
        <w:trPr>
          <w:trHeight w:val="327"/>
        </w:trPr>
        <w:tc>
          <w:tcPr>
            <w:tcW w:w="817" w:type="dxa"/>
            <w:shd w:val="clear" w:color="auto" w:fill="auto"/>
          </w:tcPr>
          <w:p w14:paraId="3F68C4EB" w14:textId="77777777" w:rsidR="008B27A0" w:rsidRPr="003F767A" w:rsidRDefault="008B27A0" w:rsidP="004B3AED">
            <w:pPr>
              <w:spacing w:before="60" w:after="240"/>
              <w:rPr>
                <w:rFonts w:cs="Arial"/>
                <w:b/>
                <w:sz w:val="22"/>
              </w:rPr>
            </w:pPr>
          </w:p>
        </w:tc>
        <w:tc>
          <w:tcPr>
            <w:tcW w:w="8363" w:type="dxa"/>
            <w:gridSpan w:val="2"/>
            <w:shd w:val="clear" w:color="auto" w:fill="auto"/>
          </w:tcPr>
          <w:p w14:paraId="315734E1" w14:textId="77777777" w:rsidR="008B27A0" w:rsidRPr="003F767A" w:rsidRDefault="008B27A0" w:rsidP="004B3AED">
            <w:pPr>
              <w:spacing w:before="60" w:after="240"/>
              <w:rPr>
                <w:rFonts w:cs="Arial"/>
                <w:b/>
                <w:sz w:val="22"/>
              </w:rPr>
            </w:pPr>
            <w:r w:rsidRPr="003F767A">
              <w:rPr>
                <w:rFonts w:cs="Arial"/>
                <w:sz w:val="22"/>
              </w:rPr>
              <w:t>What would make it easier/more likely to happen? Why?</w:t>
            </w:r>
          </w:p>
        </w:tc>
      </w:tr>
      <w:tr w:rsidR="008B27A0" w:rsidRPr="00DB25D6" w14:paraId="3F797987" w14:textId="77777777" w:rsidTr="006419B7">
        <w:trPr>
          <w:trHeight w:val="327"/>
        </w:trPr>
        <w:tc>
          <w:tcPr>
            <w:tcW w:w="9180" w:type="dxa"/>
            <w:gridSpan w:val="3"/>
            <w:shd w:val="clear" w:color="auto" w:fill="auto"/>
          </w:tcPr>
          <w:p w14:paraId="4AC6961B" w14:textId="77777777" w:rsidR="008B27A0" w:rsidRPr="00DB25D6" w:rsidRDefault="008B27A0" w:rsidP="00C92BD2">
            <w:pPr>
              <w:pStyle w:val="ListParagraph"/>
              <w:numPr>
                <w:ilvl w:val="0"/>
                <w:numId w:val="41"/>
              </w:numPr>
              <w:spacing w:before="60" w:after="120"/>
              <w:rPr>
                <w:rFonts w:cs="Arial"/>
              </w:rPr>
            </w:pPr>
            <w:r w:rsidRPr="00DB25D6">
              <w:rPr>
                <w:rFonts w:cs="Arial"/>
              </w:rPr>
              <w:t xml:space="preserve">What things make it less likely for young people to decide not to take Legal Highs? </w:t>
            </w:r>
          </w:p>
        </w:tc>
      </w:tr>
      <w:tr w:rsidR="008B27A0" w:rsidRPr="003F767A" w14:paraId="1643590E" w14:textId="77777777" w:rsidTr="006419B7">
        <w:trPr>
          <w:trHeight w:val="327"/>
        </w:trPr>
        <w:tc>
          <w:tcPr>
            <w:tcW w:w="817" w:type="dxa"/>
            <w:tcBorders>
              <w:bottom w:val="single" w:sz="4" w:space="0" w:color="auto"/>
            </w:tcBorders>
            <w:shd w:val="clear" w:color="auto" w:fill="auto"/>
          </w:tcPr>
          <w:p w14:paraId="32380337" w14:textId="77777777" w:rsidR="008B27A0" w:rsidRPr="003F767A" w:rsidRDefault="008B27A0" w:rsidP="004B3AED">
            <w:pPr>
              <w:spacing w:before="60" w:after="240"/>
              <w:rPr>
                <w:rFonts w:cs="Arial"/>
                <w:sz w:val="22"/>
              </w:rPr>
            </w:pPr>
          </w:p>
        </w:tc>
        <w:tc>
          <w:tcPr>
            <w:tcW w:w="8363" w:type="dxa"/>
            <w:gridSpan w:val="2"/>
            <w:tcBorders>
              <w:bottom w:val="single" w:sz="4" w:space="0" w:color="auto"/>
            </w:tcBorders>
            <w:shd w:val="clear" w:color="auto" w:fill="auto"/>
          </w:tcPr>
          <w:p w14:paraId="29E02049" w14:textId="77777777" w:rsidR="008B27A0" w:rsidRPr="003F767A" w:rsidRDefault="008B27A0" w:rsidP="004B3AED">
            <w:pPr>
              <w:spacing w:before="60" w:after="240"/>
              <w:rPr>
                <w:rFonts w:cs="Arial"/>
                <w:sz w:val="22"/>
              </w:rPr>
            </w:pPr>
            <w:r w:rsidRPr="003F767A">
              <w:rPr>
                <w:rFonts w:cs="Arial"/>
                <w:sz w:val="22"/>
              </w:rPr>
              <w:t>What would make it more difficult/less likely to happen? Why?</w:t>
            </w:r>
          </w:p>
        </w:tc>
      </w:tr>
      <w:tr w:rsidR="008B27A0" w:rsidRPr="00DB25D6" w14:paraId="3B636E5E" w14:textId="77777777" w:rsidTr="006419B7">
        <w:trPr>
          <w:trHeight w:val="327"/>
        </w:trPr>
        <w:tc>
          <w:tcPr>
            <w:tcW w:w="9180" w:type="dxa"/>
            <w:gridSpan w:val="3"/>
            <w:tcBorders>
              <w:top w:val="single" w:sz="4" w:space="0" w:color="auto"/>
            </w:tcBorders>
            <w:shd w:val="clear" w:color="auto" w:fill="auto"/>
          </w:tcPr>
          <w:p w14:paraId="30BC1AF8" w14:textId="719A18F8" w:rsidR="008B27A0" w:rsidRPr="00DB25D6" w:rsidRDefault="008B27A0" w:rsidP="004B3AED">
            <w:pPr>
              <w:spacing w:before="60" w:after="120"/>
              <w:rPr>
                <w:rFonts w:cs="Arial"/>
              </w:rPr>
            </w:pPr>
            <w:r w:rsidRPr="00DB25D6">
              <w:rPr>
                <w:rFonts w:cs="Arial"/>
                <w:b/>
              </w:rPr>
              <w:t>General context</w:t>
            </w:r>
          </w:p>
        </w:tc>
      </w:tr>
      <w:tr w:rsidR="008B27A0" w:rsidRPr="00DB25D6" w14:paraId="0B86D193" w14:textId="77777777" w:rsidTr="006419B7">
        <w:trPr>
          <w:trHeight w:val="327"/>
        </w:trPr>
        <w:tc>
          <w:tcPr>
            <w:tcW w:w="9180" w:type="dxa"/>
            <w:gridSpan w:val="3"/>
            <w:tcBorders>
              <w:bottom w:val="single" w:sz="4" w:space="0" w:color="auto"/>
            </w:tcBorders>
            <w:hideMark/>
          </w:tcPr>
          <w:p w14:paraId="708DD08E" w14:textId="77777777" w:rsidR="008B27A0" w:rsidRPr="00DA5E2D" w:rsidRDefault="008B27A0" w:rsidP="00C92BD2">
            <w:pPr>
              <w:pStyle w:val="ListParagraph"/>
              <w:numPr>
                <w:ilvl w:val="0"/>
                <w:numId w:val="41"/>
              </w:numPr>
              <w:spacing w:before="60" w:after="240"/>
              <w:contextualSpacing w:val="0"/>
              <w:rPr>
                <w:rFonts w:cs="Arial"/>
                <w:szCs w:val="22"/>
                <w:lang w:val="en-GB" w:eastAsia="zh-CN"/>
              </w:rPr>
            </w:pPr>
            <w:r w:rsidRPr="00DB25D6">
              <w:rPr>
                <w:rFonts w:cs="Arial"/>
              </w:rPr>
              <w:t>Any final comments or issues we haven’t covered?</w:t>
            </w:r>
          </w:p>
        </w:tc>
      </w:tr>
    </w:tbl>
    <w:p w14:paraId="4E229CCA" w14:textId="77777777" w:rsidR="008B27A0" w:rsidRDefault="008B27A0" w:rsidP="008B27A0">
      <w:pPr>
        <w:rPr>
          <w:b/>
          <w:bCs/>
          <w:szCs w:val="26"/>
        </w:rPr>
      </w:pPr>
      <w:r>
        <w:t xml:space="preserve"> </w:t>
      </w:r>
      <w:r>
        <w:br w:type="page"/>
      </w:r>
    </w:p>
    <w:p w14:paraId="20E5C78D" w14:textId="6422868C" w:rsidR="008B27A0" w:rsidRPr="004B3AED" w:rsidRDefault="008B27A0" w:rsidP="004B3AED">
      <w:pPr>
        <w:pStyle w:val="Heading2"/>
      </w:pPr>
      <w:bookmarkStart w:id="408" w:name="_Toc35892676"/>
      <w:r w:rsidRPr="004B3AED">
        <w:t>Results</w:t>
      </w:r>
      <w:bookmarkEnd w:id="408"/>
      <w:r w:rsidRPr="004B3AED">
        <w:t xml:space="preserve"> </w:t>
      </w:r>
    </w:p>
    <w:p w14:paraId="2A2541B8" w14:textId="4BD05B23" w:rsidR="008B27A0" w:rsidRPr="00975482" w:rsidRDefault="008B27A0" w:rsidP="008B27A0">
      <w:pPr>
        <w:pStyle w:val="Heading3"/>
      </w:pPr>
      <w:bookmarkStart w:id="409" w:name="_Toc35892677"/>
      <w:r w:rsidRPr="0033479F">
        <w:t>Sample characteristics</w:t>
      </w:r>
      <w:bookmarkEnd w:id="409"/>
    </w:p>
    <w:p w14:paraId="7256ECFC" w14:textId="62539FD5" w:rsidR="008B27A0" w:rsidRDefault="008B27A0" w:rsidP="008B27A0">
      <w:pPr>
        <w:spacing w:line="480" w:lineRule="auto"/>
        <w:rPr>
          <w:color w:val="000000" w:themeColor="text1"/>
          <w:szCs w:val="24"/>
          <w:shd w:val="clear" w:color="auto" w:fill="FFFFFF"/>
        </w:rPr>
      </w:pPr>
      <w:r w:rsidRPr="00975482">
        <w:rPr>
          <w:color w:val="000000" w:themeColor="text1"/>
          <w:szCs w:val="24"/>
          <w:shd w:val="clear" w:color="auto" w:fill="FFFFFF"/>
        </w:rPr>
        <w:t>Overall</w:t>
      </w:r>
      <w:r>
        <w:rPr>
          <w:color w:val="000000" w:themeColor="text1"/>
          <w:szCs w:val="24"/>
          <w:shd w:val="clear" w:color="auto" w:fill="FFFFFF"/>
        </w:rPr>
        <w:t>,</w:t>
      </w:r>
      <w:r w:rsidRPr="00975482">
        <w:rPr>
          <w:color w:val="000000" w:themeColor="text1"/>
          <w:szCs w:val="24"/>
          <w:shd w:val="clear" w:color="auto" w:fill="FFFFFF"/>
        </w:rPr>
        <w:t xml:space="preserve"> 30 young people participated in the focus groups </w:t>
      </w:r>
      <w:r>
        <w:rPr>
          <w:color w:val="000000" w:themeColor="text1"/>
          <w:szCs w:val="24"/>
          <w:shd w:val="clear" w:color="auto" w:fill="FFFFFF"/>
        </w:rPr>
        <w:t xml:space="preserve">and the </w:t>
      </w:r>
      <w:r>
        <w:rPr>
          <w:color w:val="000000"/>
          <w:szCs w:val="24"/>
        </w:rPr>
        <w:t xml:space="preserve">sample demographics are shown in </w:t>
      </w:r>
      <w:r w:rsidRPr="00735864">
        <w:rPr>
          <w:color w:val="000000"/>
          <w:szCs w:val="24"/>
        </w:rPr>
        <w:t xml:space="preserve">Table </w:t>
      </w:r>
      <w:r w:rsidR="00735864" w:rsidRPr="00735864">
        <w:t>6-</w:t>
      </w:r>
      <w:r>
        <w:rPr>
          <w:color w:val="000000"/>
          <w:szCs w:val="24"/>
        </w:rPr>
        <w:t xml:space="preserve">2. The sample population were mostly female </w:t>
      </w:r>
      <w:r w:rsidRPr="00975482">
        <w:rPr>
          <w:color w:val="000000" w:themeColor="text1"/>
          <w:szCs w:val="24"/>
          <w:shd w:val="clear" w:color="auto" w:fill="FFFFFF"/>
        </w:rPr>
        <w:t>(70% female)</w:t>
      </w:r>
      <w:r>
        <w:rPr>
          <w:color w:val="000000" w:themeColor="text1"/>
          <w:szCs w:val="24"/>
          <w:shd w:val="clear" w:color="auto" w:fill="FFFFFF"/>
        </w:rPr>
        <w:t xml:space="preserve"> and</w:t>
      </w:r>
      <w:r w:rsidRPr="00975482">
        <w:rPr>
          <w:color w:val="000000" w:themeColor="text1"/>
          <w:szCs w:val="24"/>
          <w:shd w:val="clear" w:color="auto" w:fill="FFFFFF"/>
        </w:rPr>
        <w:t xml:space="preserve"> rang</w:t>
      </w:r>
      <w:r>
        <w:rPr>
          <w:color w:val="000000" w:themeColor="text1"/>
          <w:szCs w:val="24"/>
          <w:shd w:val="clear" w:color="auto" w:fill="FFFFFF"/>
        </w:rPr>
        <w:t>ed</w:t>
      </w:r>
      <w:r w:rsidRPr="00975482">
        <w:rPr>
          <w:color w:val="000000" w:themeColor="text1"/>
          <w:szCs w:val="24"/>
          <w:shd w:val="clear" w:color="auto" w:fill="FFFFFF"/>
        </w:rPr>
        <w:t xml:space="preserve"> in age from 15 to 25 (</w:t>
      </w:r>
      <w:r w:rsidRPr="00B2322E">
        <w:rPr>
          <w:i/>
          <w:color w:val="000000" w:themeColor="text1"/>
          <w:szCs w:val="24"/>
          <w:shd w:val="clear" w:color="auto" w:fill="FFFFFF"/>
        </w:rPr>
        <w:t>Median</w:t>
      </w:r>
      <w:r>
        <w:rPr>
          <w:color w:val="000000" w:themeColor="text1"/>
          <w:szCs w:val="24"/>
          <w:shd w:val="clear" w:color="auto" w:fill="FFFFFF"/>
        </w:rPr>
        <w:t xml:space="preserve"> </w:t>
      </w:r>
      <w:r w:rsidRPr="00975482">
        <w:rPr>
          <w:color w:val="000000" w:themeColor="text1"/>
          <w:szCs w:val="24"/>
          <w:shd w:val="clear" w:color="auto" w:fill="FFFFFF"/>
        </w:rPr>
        <w:t>=</w:t>
      </w:r>
      <w:r>
        <w:rPr>
          <w:color w:val="000000" w:themeColor="text1"/>
          <w:szCs w:val="24"/>
          <w:shd w:val="clear" w:color="auto" w:fill="FFFFFF"/>
        </w:rPr>
        <w:t xml:space="preserve"> </w:t>
      </w:r>
      <w:r w:rsidRPr="00975482">
        <w:rPr>
          <w:color w:val="000000" w:themeColor="text1"/>
          <w:szCs w:val="24"/>
          <w:shd w:val="clear" w:color="auto" w:fill="FFFFFF"/>
        </w:rPr>
        <w:t>1</w:t>
      </w:r>
      <w:r>
        <w:rPr>
          <w:color w:val="000000" w:themeColor="text1"/>
          <w:szCs w:val="24"/>
          <w:shd w:val="clear" w:color="auto" w:fill="FFFFFF"/>
        </w:rPr>
        <w:t>8</w:t>
      </w:r>
      <w:r w:rsidRPr="00975482">
        <w:rPr>
          <w:color w:val="000000" w:themeColor="text1"/>
          <w:szCs w:val="24"/>
          <w:shd w:val="clear" w:color="auto" w:fill="FFFFFF"/>
        </w:rPr>
        <w:t>.</w:t>
      </w:r>
      <w:r>
        <w:rPr>
          <w:color w:val="000000" w:themeColor="text1"/>
          <w:szCs w:val="24"/>
          <w:shd w:val="clear" w:color="auto" w:fill="FFFFFF"/>
        </w:rPr>
        <w:t>5</w:t>
      </w:r>
      <w:r w:rsidRPr="00975482">
        <w:rPr>
          <w:color w:val="000000" w:themeColor="text1"/>
          <w:szCs w:val="24"/>
          <w:shd w:val="clear" w:color="auto" w:fill="FFFFFF"/>
        </w:rPr>
        <w:t xml:space="preserve">). </w:t>
      </w:r>
      <w:r>
        <w:rPr>
          <w:color w:val="000000" w:themeColor="text1"/>
          <w:szCs w:val="24"/>
          <w:shd w:val="clear" w:color="auto" w:fill="FFFFFF"/>
        </w:rPr>
        <w:t xml:space="preserve">Most participants (67%) </w:t>
      </w:r>
      <w:r w:rsidRPr="00975482">
        <w:rPr>
          <w:color w:val="000000" w:themeColor="text1"/>
          <w:szCs w:val="24"/>
          <w:shd w:val="clear" w:color="auto" w:fill="FFFFFF"/>
        </w:rPr>
        <w:t xml:space="preserve">were in </w:t>
      </w:r>
      <w:r>
        <w:rPr>
          <w:color w:val="000000" w:themeColor="text1"/>
          <w:szCs w:val="24"/>
          <w:shd w:val="clear" w:color="auto" w:fill="FFFFFF"/>
        </w:rPr>
        <w:t>tertiary</w:t>
      </w:r>
      <w:r w:rsidRPr="00975482">
        <w:rPr>
          <w:color w:val="000000" w:themeColor="text1"/>
          <w:szCs w:val="24"/>
          <w:shd w:val="clear" w:color="auto" w:fill="FFFFFF"/>
        </w:rPr>
        <w:t xml:space="preserve"> education, with 26% in full or part</w:t>
      </w:r>
      <w:r w:rsidR="0012086A">
        <w:rPr>
          <w:color w:val="000000" w:themeColor="text1"/>
          <w:szCs w:val="24"/>
          <w:shd w:val="clear" w:color="auto" w:fill="FFFFFF"/>
        </w:rPr>
        <w:t>-</w:t>
      </w:r>
      <w:r w:rsidRPr="00975482">
        <w:rPr>
          <w:color w:val="000000" w:themeColor="text1"/>
          <w:szCs w:val="24"/>
          <w:shd w:val="clear" w:color="auto" w:fill="FFFFFF"/>
        </w:rPr>
        <w:t xml:space="preserve">time employment and 20% reported as unemployed. </w:t>
      </w:r>
      <w:r>
        <w:rPr>
          <w:color w:val="000000" w:themeColor="text1"/>
          <w:szCs w:val="24"/>
          <w:shd w:val="clear" w:color="auto" w:fill="FFFFFF"/>
        </w:rPr>
        <w:t xml:space="preserve">The sample included participants from diverse ethnic and </w:t>
      </w:r>
      <w:r w:rsidR="000B2555">
        <w:rPr>
          <w:color w:val="000000" w:themeColor="text1"/>
          <w:szCs w:val="24"/>
          <w:shd w:val="clear" w:color="auto" w:fill="FFFFFF"/>
        </w:rPr>
        <w:t>socio-economic</w:t>
      </w:r>
      <w:r>
        <w:rPr>
          <w:color w:val="000000" w:themeColor="text1"/>
          <w:szCs w:val="24"/>
          <w:shd w:val="clear" w:color="auto" w:fill="FFFFFF"/>
        </w:rPr>
        <w:t xml:space="preserve"> backgrounds. </w:t>
      </w:r>
    </w:p>
    <w:p w14:paraId="0BCE61C8" w14:textId="77777777" w:rsidR="008B27A0" w:rsidRDefault="008B27A0" w:rsidP="008B27A0">
      <w:pPr>
        <w:pStyle w:val="Heading4"/>
        <w:rPr>
          <w:shd w:val="clear" w:color="auto" w:fill="FFFFFF"/>
        </w:rPr>
      </w:pPr>
      <w:r>
        <w:rPr>
          <w:shd w:val="clear" w:color="auto" w:fill="FFFFFF"/>
        </w:rPr>
        <w:t>Previous u</w:t>
      </w:r>
      <w:r w:rsidRPr="00507256">
        <w:rPr>
          <w:shd w:val="clear" w:color="auto" w:fill="FFFFFF"/>
        </w:rPr>
        <w:t xml:space="preserve">se of NPS </w:t>
      </w:r>
    </w:p>
    <w:p w14:paraId="0789EE3B" w14:textId="3D279734" w:rsidR="008B27A0" w:rsidRDefault="008B27A0" w:rsidP="008B27A0">
      <w:pPr>
        <w:spacing w:line="480" w:lineRule="auto"/>
        <w:rPr>
          <w:szCs w:val="24"/>
          <w:shd w:val="clear" w:color="auto" w:fill="FFFFFF"/>
        </w:rPr>
      </w:pPr>
      <w:r>
        <w:rPr>
          <w:color w:val="000000" w:themeColor="text1"/>
          <w:szCs w:val="24"/>
          <w:shd w:val="clear" w:color="auto" w:fill="FFFFFF"/>
        </w:rPr>
        <w:t>Of the sample population</w:t>
      </w:r>
      <w:r w:rsidR="0012086A">
        <w:rPr>
          <w:color w:val="000000" w:themeColor="text1"/>
          <w:szCs w:val="24"/>
          <w:shd w:val="clear" w:color="auto" w:fill="FFFFFF"/>
        </w:rPr>
        <w:t>,</w:t>
      </w:r>
      <w:r>
        <w:rPr>
          <w:color w:val="000000" w:themeColor="text1"/>
          <w:szCs w:val="24"/>
          <w:shd w:val="clear" w:color="auto" w:fill="FFFFFF"/>
        </w:rPr>
        <w:t xml:space="preserve"> 20%</w:t>
      </w:r>
      <w:r w:rsidRPr="00975482">
        <w:rPr>
          <w:color w:val="000000" w:themeColor="text1"/>
          <w:szCs w:val="24"/>
          <w:shd w:val="clear" w:color="auto" w:fill="FFFFFF"/>
        </w:rPr>
        <w:t xml:space="preserve"> </w:t>
      </w:r>
      <w:r>
        <w:rPr>
          <w:color w:val="000000" w:themeColor="text1"/>
          <w:szCs w:val="24"/>
          <w:shd w:val="clear" w:color="auto" w:fill="FFFFFF"/>
        </w:rPr>
        <w:t xml:space="preserve">reported </w:t>
      </w:r>
      <w:r w:rsidRPr="00975482">
        <w:rPr>
          <w:color w:val="000000" w:themeColor="text1"/>
          <w:szCs w:val="24"/>
          <w:shd w:val="clear" w:color="auto" w:fill="FFFFFF"/>
        </w:rPr>
        <w:t xml:space="preserve">personal experience of </w:t>
      </w:r>
      <w:r>
        <w:rPr>
          <w:color w:val="000000" w:themeColor="text1"/>
          <w:szCs w:val="24"/>
          <w:shd w:val="clear" w:color="auto" w:fill="FFFFFF"/>
        </w:rPr>
        <w:t>using</w:t>
      </w:r>
      <w:r w:rsidRPr="00975482">
        <w:rPr>
          <w:color w:val="000000" w:themeColor="text1"/>
          <w:szCs w:val="24"/>
          <w:shd w:val="clear" w:color="auto" w:fill="FFFFFF"/>
        </w:rPr>
        <w:t xml:space="preserve"> </w:t>
      </w:r>
      <w:r>
        <w:rPr>
          <w:color w:val="000000" w:themeColor="text1"/>
          <w:szCs w:val="24"/>
          <w:shd w:val="clear" w:color="auto" w:fill="FFFFFF"/>
        </w:rPr>
        <w:t>NPS</w:t>
      </w:r>
      <w:r>
        <w:rPr>
          <w:szCs w:val="24"/>
          <w:shd w:val="clear" w:color="auto" w:fill="FFFFFF"/>
        </w:rPr>
        <w:t>. It is noted that this</w:t>
      </w:r>
      <w:r w:rsidRPr="003D7FD7">
        <w:rPr>
          <w:szCs w:val="24"/>
          <w:shd w:val="clear" w:color="auto" w:fill="FFFFFF"/>
        </w:rPr>
        <w:t xml:space="preserve"> was higher than might be expected based on the general population estimates for young people in the UK which vary between about 2 – 10% (see </w:t>
      </w:r>
      <w:r>
        <w:rPr>
          <w:szCs w:val="24"/>
          <w:shd w:val="clear" w:color="auto" w:fill="FFFFFF"/>
        </w:rPr>
        <w:t>C</w:t>
      </w:r>
      <w:r w:rsidRPr="003D7FD7">
        <w:rPr>
          <w:szCs w:val="24"/>
          <w:shd w:val="clear" w:color="auto" w:fill="FFFFFF"/>
        </w:rPr>
        <w:t>hapter 2).</w:t>
      </w:r>
      <w:r>
        <w:rPr>
          <w:szCs w:val="24"/>
          <w:shd w:val="clear" w:color="auto" w:fill="FFFFFF"/>
        </w:rPr>
        <w:t xml:space="preserve"> All participants who had previously used NPS had also used illicit drugs.</w:t>
      </w:r>
    </w:p>
    <w:p w14:paraId="5185063A" w14:textId="77777777" w:rsidR="008B27A0" w:rsidRDefault="008B27A0" w:rsidP="008B27A0">
      <w:pPr>
        <w:pStyle w:val="Heading4"/>
        <w:rPr>
          <w:shd w:val="clear" w:color="auto" w:fill="FFFFFF"/>
        </w:rPr>
      </w:pPr>
      <w:r w:rsidRPr="00507256">
        <w:rPr>
          <w:shd w:val="clear" w:color="auto" w:fill="FFFFFF"/>
        </w:rPr>
        <w:t>Previous use of illicit drugs</w:t>
      </w:r>
    </w:p>
    <w:p w14:paraId="774CD322" w14:textId="77777777" w:rsidR="008B27A0" w:rsidRPr="00BB09E7" w:rsidRDefault="008B27A0" w:rsidP="008B27A0">
      <w:pPr>
        <w:spacing w:line="480" w:lineRule="auto"/>
        <w:rPr>
          <w:color w:val="000000" w:themeColor="text1"/>
          <w:szCs w:val="24"/>
          <w:shd w:val="clear" w:color="auto" w:fill="FFFFFF"/>
        </w:rPr>
      </w:pPr>
      <w:r w:rsidRPr="003D7FD7">
        <w:rPr>
          <w:szCs w:val="24"/>
          <w:shd w:val="clear" w:color="auto" w:fill="FFFFFF"/>
        </w:rPr>
        <w:t xml:space="preserve">At </w:t>
      </w:r>
      <w:r>
        <w:rPr>
          <w:szCs w:val="24"/>
          <w:shd w:val="clear" w:color="auto" w:fill="FFFFFF"/>
        </w:rPr>
        <w:t>50</w:t>
      </w:r>
      <w:r w:rsidRPr="003D7FD7">
        <w:rPr>
          <w:szCs w:val="24"/>
          <w:shd w:val="clear" w:color="auto" w:fill="FFFFFF"/>
        </w:rPr>
        <w:t>%</w:t>
      </w:r>
      <w:r>
        <w:rPr>
          <w:szCs w:val="24"/>
          <w:shd w:val="clear" w:color="auto" w:fill="FFFFFF"/>
        </w:rPr>
        <w:t>,</w:t>
      </w:r>
      <w:r w:rsidRPr="003D7FD7">
        <w:rPr>
          <w:szCs w:val="24"/>
          <w:shd w:val="clear" w:color="auto" w:fill="FFFFFF"/>
        </w:rPr>
        <w:t xml:space="preserve"> participants</w:t>
      </w:r>
      <w:r>
        <w:rPr>
          <w:szCs w:val="24"/>
          <w:shd w:val="clear" w:color="auto" w:fill="FFFFFF"/>
        </w:rPr>
        <w:t>’</w:t>
      </w:r>
      <w:r w:rsidRPr="003D7FD7">
        <w:rPr>
          <w:szCs w:val="24"/>
          <w:shd w:val="clear" w:color="auto" w:fill="FFFFFF"/>
        </w:rPr>
        <w:t xml:space="preserve"> reported use of illicit drugs was also higher than estimates for young people in the general population</w:t>
      </w:r>
      <w:r>
        <w:rPr>
          <w:szCs w:val="24"/>
          <w:shd w:val="clear" w:color="auto" w:fill="FFFFFF"/>
        </w:rPr>
        <w:t>,</w:t>
      </w:r>
      <w:r w:rsidRPr="003D7FD7">
        <w:rPr>
          <w:szCs w:val="24"/>
          <w:shd w:val="clear" w:color="auto" w:fill="FFFFFF"/>
        </w:rPr>
        <w:t xml:space="preserve"> </w:t>
      </w:r>
      <w:r>
        <w:rPr>
          <w:szCs w:val="24"/>
          <w:shd w:val="clear" w:color="auto" w:fill="FFFFFF"/>
        </w:rPr>
        <w:t xml:space="preserve">which </w:t>
      </w:r>
      <w:r w:rsidRPr="003D7FD7">
        <w:rPr>
          <w:szCs w:val="24"/>
          <w:shd w:val="clear" w:color="auto" w:fill="FFFFFF"/>
        </w:rPr>
        <w:t>according to the 201</w:t>
      </w:r>
      <w:r>
        <w:rPr>
          <w:szCs w:val="24"/>
          <w:shd w:val="clear" w:color="auto" w:fill="FFFFFF"/>
        </w:rPr>
        <w:t>5/16</w:t>
      </w:r>
      <w:r w:rsidRPr="003D7FD7">
        <w:rPr>
          <w:szCs w:val="24"/>
          <w:shd w:val="clear" w:color="auto" w:fill="FFFFFF"/>
        </w:rPr>
        <w:t xml:space="preserve"> Crime Survey for England and Wales</w:t>
      </w:r>
      <w:r>
        <w:rPr>
          <w:szCs w:val="24"/>
          <w:shd w:val="clear" w:color="auto" w:fill="FFFFFF"/>
        </w:rPr>
        <w:t xml:space="preserve"> is </w:t>
      </w:r>
      <w:r w:rsidRPr="003D7FD7">
        <w:rPr>
          <w:szCs w:val="24"/>
          <w:shd w:val="clear" w:color="auto" w:fill="FFFFFF"/>
        </w:rPr>
        <w:t>35%.</w:t>
      </w:r>
      <w:r w:rsidRPr="003D7FD7">
        <w:rPr>
          <w:color w:val="000000" w:themeColor="text1"/>
          <w:szCs w:val="24"/>
          <w:shd w:val="clear" w:color="auto" w:fill="FFFFFF"/>
        </w:rPr>
        <w:t xml:space="preserve"> </w:t>
      </w:r>
      <w:r>
        <w:rPr>
          <w:color w:val="000000" w:themeColor="text1"/>
          <w:szCs w:val="24"/>
          <w:shd w:val="clear" w:color="auto" w:fill="FFFFFF"/>
        </w:rPr>
        <w:t xml:space="preserve">More than half of the participants believed that one or more of their friends had used legal highs (57%) </w:t>
      </w:r>
      <w:r w:rsidRPr="00975482">
        <w:rPr>
          <w:color w:val="000000" w:themeColor="text1"/>
          <w:szCs w:val="24"/>
          <w:shd w:val="clear" w:color="auto" w:fill="FFFFFF"/>
        </w:rPr>
        <w:t xml:space="preserve">while </w:t>
      </w:r>
      <w:r>
        <w:rPr>
          <w:color w:val="000000" w:themeColor="text1"/>
          <w:szCs w:val="24"/>
          <w:shd w:val="clear" w:color="auto" w:fill="FFFFFF"/>
        </w:rPr>
        <w:t>the majority</w:t>
      </w:r>
      <w:r w:rsidRPr="00975482">
        <w:rPr>
          <w:color w:val="000000" w:themeColor="text1"/>
          <w:szCs w:val="24"/>
          <w:shd w:val="clear" w:color="auto" w:fill="FFFFFF"/>
        </w:rPr>
        <w:t xml:space="preserve"> </w:t>
      </w:r>
      <w:r>
        <w:rPr>
          <w:color w:val="000000" w:themeColor="text1"/>
          <w:szCs w:val="24"/>
          <w:shd w:val="clear" w:color="auto" w:fill="FFFFFF"/>
        </w:rPr>
        <w:t xml:space="preserve">had friends </w:t>
      </w:r>
      <w:r w:rsidRPr="00975482">
        <w:rPr>
          <w:color w:val="000000" w:themeColor="text1"/>
          <w:szCs w:val="24"/>
          <w:shd w:val="clear" w:color="auto" w:fill="FFFFFF"/>
        </w:rPr>
        <w:t>with experience of taking illicit drugs</w:t>
      </w:r>
      <w:r>
        <w:rPr>
          <w:color w:val="000000" w:themeColor="text1"/>
          <w:szCs w:val="24"/>
          <w:shd w:val="clear" w:color="auto" w:fill="FFFFFF"/>
        </w:rPr>
        <w:t xml:space="preserve"> (</w:t>
      </w:r>
      <w:r w:rsidRPr="00975482">
        <w:rPr>
          <w:color w:val="000000" w:themeColor="text1"/>
          <w:szCs w:val="24"/>
          <w:shd w:val="clear" w:color="auto" w:fill="FFFFFF"/>
        </w:rPr>
        <w:t>83%</w:t>
      </w:r>
      <w:r>
        <w:rPr>
          <w:color w:val="000000" w:themeColor="text1"/>
          <w:szCs w:val="24"/>
          <w:shd w:val="clear" w:color="auto" w:fill="FFFFFF"/>
        </w:rPr>
        <w:t>)</w:t>
      </w:r>
      <w:r w:rsidRPr="00975482">
        <w:rPr>
          <w:color w:val="000000" w:themeColor="text1"/>
          <w:szCs w:val="24"/>
          <w:shd w:val="clear" w:color="auto" w:fill="FFFFFF"/>
        </w:rPr>
        <w:t>.</w:t>
      </w:r>
      <w:r>
        <w:rPr>
          <w:color w:val="000000" w:themeColor="text1"/>
          <w:szCs w:val="24"/>
          <w:shd w:val="clear" w:color="auto" w:fill="FFFFFF"/>
        </w:rPr>
        <w:br w:type="page"/>
      </w:r>
    </w:p>
    <w:p w14:paraId="594CA70D" w14:textId="4F695D17" w:rsidR="008B27A0" w:rsidRPr="004B3AED" w:rsidRDefault="008B27A0" w:rsidP="004B3AED">
      <w:pPr>
        <w:pStyle w:val="TableHeader"/>
        <w:rPr>
          <w:b/>
          <w:shd w:val="clear" w:color="auto" w:fill="FFFFFF"/>
        </w:rPr>
      </w:pPr>
      <w:bookmarkStart w:id="410" w:name="_Toc9509067"/>
      <w:r w:rsidRPr="004B3AED">
        <w:rPr>
          <w:b/>
          <w:shd w:val="clear" w:color="auto" w:fill="FFFFFF"/>
        </w:rPr>
        <w:t xml:space="preserve">Table </w:t>
      </w:r>
      <w:r w:rsidR="00735864">
        <w:rPr>
          <w:b/>
        </w:rPr>
        <w:t>6-</w:t>
      </w:r>
      <w:r w:rsidRPr="004B3AED">
        <w:rPr>
          <w:b/>
          <w:shd w:val="clear" w:color="auto" w:fill="FFFFFF"/>
        </w:rPr>
        <w:t>2: Study 1 sample characteristics</w:t>
      </w:r>
      <w:bookmarkEnd w:id="410"/>
    </w:p>
    <w:tbl>
      <w:tblPr>
        <w:tblStyle w:val="TableGrid"/>
        <w:tblW w:w="8613" w:type="dxa"/>
        <w:tblLook w:val="04A0" w:firstRow="1" w:lastRow="0" w:firstColumn="1" w:lastColumn="0" w:noHBand="0" w:noVBand="1"/>
      </w:tblPr>
      <w:tblGrid>
        <w:gridCol w:w="3036"/>
        <w:gridCol w:w="1200"/>
        <w:gridCol w:w="550"/>
        <w:gridCol w:w="651"/>
        <w:gridCol w:w="1200"/>
        <w:gridCol w:w="1201"/>
        <w:gridCol w:w="775"/>
      </w:tblGrid>
      <w:tr w:rsidR="008B27A0" w:rsidRPr="004538A2" w14:paraId="10E692E3" w14:textId="77777777" w:rsidTr="004B3AED">
        <w:trPr>
          <w:trHeight w:val="352"/>
        </w:trPr>
        <w:tc>
          <w:tcPr>
            <w:tcW w:w="3036" w:type="dxa"/>
            <w:tcBorders>
              <w:top w:val="single" w:sz="4" w:space="0" w:color="auto"/>
              <w:left w:val="nil"/>
              <w:bottom w:val="nil"/>
              <w:right w:val="nil"/>
            </w:tcBorders>
            <w:vAlign w:val="center"/>
          </w:tcPr>
          <w:p w14:paraId="6CB1868C" w14:textId="77777777" w:rsidR="008B27A0" w:rsidRPr="004538A2" w:rsidRDefault="008B27A0" w:rsidP="004B3AED">
            <w:pPr>
              <w:rPr>
                <w:rFonts w:cs="Arial"/>
                <w:color w:val="000000" w:themeColor="text1"/>
                <w:shd w:val="clear" w:color="auto" w:fill="FFFFFF"/>
              </w:rPr>
            </w:pPr>
          </w:p>
        </w:tc>
        <w:tc>
          <w:tcPr>
            <w:tcW w:w="1750" w:type="dxa"/>
            <w:gridSpan w:val="2"/>
            <w:tcBorders>
              <w:top w:val="single" w:sz="4" w:space="0" w:color="auto"/>
              <w:left w:val="nil"/>
              <w:bottom w:val="single" w:sz="4" w:space="0" w:color="auto"/>
              <w:right w:val="nil"/>
            </w:tcBorders>
            <w:vAlign w:val="center"/>
          </w:tcPr>
          <w:p w14:paraId="7183871E"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 xml:space="preserve">Focus group </w:t>
            </w:r>
          </w:p>
        </w:tc>
        <w:tc>
          <w:tcPr>
            <w:tcW w:w="651" w:type="dxa"/>
            <w:tcBorders>
              <w:top w:val="single" w:sz="4" w:space="0" w:color="auto"/>
              <w:left w:val="nil"/>
              <w:bottom w:val="single" w:sz="4" w:space="0" w:color="auto"/>
              <w:right w:val="nil"/>
            </w:tcBorders>
            <w:vAlign w:val="center"/>
          </w:tcPr>
          <w:p w14:paraId="5DE37738" w14:textId="77777777" w:rsidR="008B27A0" w:rsidRPr="004538A2" w:rsidRDefault="008B27A0" w:rsidP="004B3AED">
            <w:pPr>
              <w:rPr>
                <w:rFonts w:cs="Arial"/>
                <w:color w:val="000000" w:themeColor="text1"/>
                <w:shd w:val="clear" w:color="auto" w:fill="FFFFFF"/>
              </w:rPr>
            </w:pPr>
          </w:p>
        </w:tc>
        <w:tc>
          <w:tcPr>
            <w:tcW w:w="1200" w:type="dxa"/>
            <w:tcBorders>
              <w:top w:val="single" w:sz="4" w:space="0" w:color="auto"/>
              <w:left w:val="nil"/>
              <w:bottom w:val="single" w:sz="4" w:space="0" w:color="auto"/>
              <w:right w:val="nil"/>
            </w:tcBorders>
            <w:vAlign w:val="center"/>
          </w:tcPr>
          <w:p w14:paraId="7A6179C7" w14:textId="77777777" w:rsidR="008B27A0" w:rsidRPr="004538A2" w:rsidRDefault="008B27A0" w:rsidP="004B3AED">
            <w:pPr>
              <w:rPr>
                <w:rFonts w:cs="Arial"/>
                <w:color w:val="000000" w:themeColor="text1"/>
                <w:shd w:val="clear" w:color="auto" w:fill="FFFFFF"/>
              </w:rPr>
            </w:pPr>
          </w:p>
        </w:tc>
        <w:tc>
          <w:tcPr>
            <w:tcW w:w="1201" w:type="dxa"/>
            <w:tcBorders>
              <w:top w:val="single" w:sz="4" w:space="0" w:color="auto"/>
              <w:left w:val="nil"/>
              <w:bottom w:val="single" w:sz="4" w:space="0" w:color="auto"/>
              <w:right w:val="nil"/>
            </w:tcBorders>
            <w:vAlign w:val="center"/>
          </w:tcPr>
          <w:p w14:paraId="0889D0B7" w14:textId="77777777" w:rsidR="008B27A0" w:rsidRPr="004538A2" w:rsidRDefault="008B27A0" w:rsidP="004B3AED">
            <w:pPr>
              <w:rPr>
                <w:rFonts w:cs="Arial"/>
                <w:color w:val="000000" w:themeColor="text1"/>
                <w:shd w:val="clear" w:color="auto" w:fill="FFFFFF"/>
              </w:rPr>
            </w:pPr>
          </w:p>
        </w:tc>
        <w:tc>
          <w:tcPr>
            <w:tcW w:w="775" w:type="dxa"/>
            <w:tcBorders>
              <w:top w:val="single" w:sz="4" w:space="0" w:color="auto"/>
              <w:left w:val="nil"/>
              <w:bottom w:val="single" w:sz="4" w:space="0" w:color="auto"/>
              <w:right w:val="nil"/>
            </w:tcBorders>
            <w:vAlign w:val="center"/>
          </w:tcPr>
          <w:p w14:paraId="2A18B50E" w14:textId="77777777" w:rsidR="008B27A0" w:rsidRPr="004538A2" w:rsidRDefault="008B27A0" w:rsidP="004B3AED">
            <w:pPr>
              <w:rPr>
                <w:rFonts w:cs="Arial"/>
                <w:color w:val="000000" w:themeColor="text1"/>
                <w:shd w:val="clear" w:color="auto" w:fill="FFFFFF"/>
              </w:rPr>
            </w:pPr>
          </w:p>
        </w:tc>
      </w:tr>
      <w:tr w:rsidR="008B27A0" w:rsidRPr="0049188B" w14:paraId="0BE23E26" w14:textId="77777777" w:rsidTr="004B3AED">
        <w:trPr>
          <w:trHeight w:val="511"/>
        </w:trPr>
        <w:tc>
          <w:tcPr>
            <w:tcW w:w="3036" w:type="dxa"/>
            <w:tcBorders>
              <w:top w:val="nil"/>
              <w:left w:val="nil"/>
              <w:bottom w:val="single" w:sz="4" w:space="0" w:color="auto"/>
              <w:right w:val="nil"/>
            </w:tcBorders>
            <w:vAlign w:val="center"/>
          </w:tcPr>
          <w:p w14:paraId="789DB5CD"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Characteristic</w:t>
            </w:r>
          </w:p>
        </w:tc>
        <w:tc>
          <w:tcPr>
            <w:tcW w:w="1200" w:type="dxa"/>
            <w:tcBorders>
              <w:top w:val="single" w:sz="4" w:space="0" w:color="auto"/>
              <w:left w:val="nil"/>
              <w:bottom w:val="single" w:sz="4" w:space="0" w:color="auto"/>
              <w:right w:val="nil"/>
            </w:tcBorders>
            <w:vAlign w:val="center"/>
          </w:tcPr>
          <w:p w14:paraId="5554612C"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1</w:t>
            </w:r>
          </w:p>
        </w:tc>
        <w:tc>
          <w:tcPr>
            <w:tcW w:w="1201" w:type="dxa"/>
            <w:gridSpan w:val="2"/>
            <w:tcBorders>
              <w:top w:val="single" w:sz="4" w:space="0" w:color="auto"/>
              <w:left w:val="nil"/>
              <w:bottom w:val="single" w:sz="4" w:space="0" w:color="auto"/>
              <w:right w:val="nil"/>
            </w:tcBorders>
            <w:vAlign w:val="center"/>
          </w:tcPr>
          <w:p w14:paraId="2120BDD0"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2</w:t>
            </w:r>
          </w:p>
        </w:tc>
        <w:tc>
          <w:tcPr>
            <w:tcW w:w="1200" w:type="dxa"/>
            <w:tcBorders>
              <w:top w:val="single" w:sz="4" w:space="0" w:color="auto"/>
              <w:left w:val="nil"/>
              <w:bottom w:val="single" w:sz="4" w:space="0" w:color="auto"/>
              <w:right w:val="nil"/>
            </w:tcBorders>
            <w:vAlign w:val="center"/>
          </w:tcPr>
          <w:p w14:paraId="001E8C77"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3</w:t>
            </w:r>
          </w:p>
        </w:tc>
        <w:tc>
          <w:tcPr>
            <w:tcW w:w="1201" w:type="dxa"/>
            <w:tcBorders>
              <w:top w:val="single" w:sz="4" w:space="0" w:color="auto"/>
              <w:left w:val="nil"/>
              <w:bottom w:val="single" w:sz="4" w:space="0" w:color="auto"/>
              <w:right w:val="nil"/>
            </w:tcBorders>
            <w:vAlign w:val="center"/>
          </w:tcPr>
          <w:p w14:paraId="2EFF51AD"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All</w:t>
            </w:r>
          </w:p>
        </w:tc>
        <w:tc>
          <w:tcPr>
            <w:tcW w:w="775" w:type="dxa"/>
            <w:tcBorders>
              <w:top w:val="single" w:sz="4" w:space="0" w:color="auto"/>
              <w:left w:val="nil"/>
              <w:bottom w:val="single" w:sz="4" w:space="0" w:color="auto"/>
              <w:right w:val="nil"/>
            </w:tcBorders>
            <w:vAlign w:val="center"/>
          </w:tcPr>
          <w:p w14:paraId="13ED2647" w14:textId="77777777" w:rsidR="008B27A0" w:rsidRPr="0049188B" w:rsidRDefault="008B27A0" w:rsidP="004B3AED">
            <w:pPr>
              <w:rPr>
                <w:rFonts w:cs="Arial"/>
                <w:b/>
                <w:color w:val="000000" w:themeColor="text1"/>
                <w:shd w:val="clear" w:color="auto" w:fill="FFFFFF"/>
              </w:rPr>
            </w:pPr>
            <w:r w:rsidRPr="0049188B">
              <w:rPr>
                <w:rFonts w:cs="Arial"/>
                <w:b/>
                <w:color w:val="000000" w:themeColor="text1"/>
                <w:shd w:val="clear" w:color="auto" w:fill="FFFFFF"/>
              </w:rPr>
              <w:t>%</w:t>
            </w:r>
          </w:p>
        </w:tc>
      </w:tr>
      <w:tr w:rsidR="008B27A0" w:rsidRPr="004538A2" w14:paraId="1D6DB890" w14:textId="77777777" w:rsidTr="004B3AED">
        <w:trPr>
          <w:trHeight w:val="323"/>
        </w:trPr>
        <w:tc>
          <w:tcPr>
            <w:tcW w:w="3036" w:type="dxa"/>
            <w:tcBorders>
              <w:top w:val="single" w:sz="4" w:space="0" w:color="auto"/>
              <w:left w:val="nil"/>
              <w:bottom w:val="nil"/>
              <w:right w:val="nil"/>
            </w:tcBorders>
            <w:vAlign w:val="center"/>
          </w:tcPr>
          <w:p w14:paraId="0176EECE"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Number of participants</w:t>
            </w:r>
          </w:p>
        </w:tc>
        <w:tc>
          <w:tcPr>
            <w:tcW w:w="1200" w:type="dxa"/>
            <w:tcBorders>
              <w:top w:val="single" w:sz="4" w:space="0" w:color="auto"/>
              <w:left w:val="nil"/>
              <w:bottom w:val="nil"/>
              <w:right w:val="nil"/>
            </w:tcBorders>
            <w:vAlign w:val="center"/>
          </w:tcPr>
          <w:p w14:paraId="4AB414C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10</w:t>
            </w:r>
          </w:p>
        </w:tc>
        <w:tc>
          <w:tcPr>
            <w:tcW w:w="1201" w:type="dxa"/>
            <w:gridSpan w:val="2"/>
            <w:tcBorders>
              <w:top w:val="single" w:sz="4" w:space="0" w:color="auto"/>
              <w:left w:val="nil"/>
              <w:bottom w:val="nil"/>
              <w:right w:val="nil"/>
            </w:tcBorders>
            <w:vAlign w:val="center"/>
          </w:tcPr>
          <w:p w14:paraId="798CE14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8</w:t>
            </w:r>
          </w:p>
        </w:tc>
        <w:tc>
          <w:tcPr>
            <w:tcW w:w="1200" w:type="dxa"/>
            <w:tcBorders>
              <w:top w:val="single" w:sz="4" w:space="0" w:color="auto"/>
              <w:left w:val="nil"/>
              <w:bottom w:val="nil"/>
              <w:right w:val="nil"/>
            </w:tcBorders>
            <w:vAlign w:val="center"/>
          </w:tcPr>
          <w:p w14:paraId="2CAAD90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12</w:t>
            </w:r>
          </w:p>
        </w:tc>
        <w:tc>
          <w:tcPr>
            <w:tcW w:w="1201" w:type="dxa"/>
            <w:tcBorders>
              <w:top w:val="single" w:sz="4" w:space="0" w:color="auto"/>
              <w:left w:val="nil"/>
              <w:bottom w:val="nil"/>
              <w:right w:val="nil"/>
            </w:tcBorders>
            <w:vAlign w:val="center"/>
          </w:tcPr>
          <w:p w14:paraId="3153B309"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30</w:t>
            </w:r>
          </w:p>
        </w:tc>
        <w:tc>
          <w:tcPr>
            <w:tcW w:w="775" w:type="dxa"/>
            <w:tcBorders>
              <w:top w:val="single" w:sz="4" w:space="0" w:color="auto"/>
              <w:left w:val="nil"/>
              <w:bottom w:val="nil"/>
              <w:right w:val="nil"/>
            </w:tcBorders>
            <w:vAlign w:val="center"/>
          </w:tcPr>
          <w:p w14:paraId="73083888"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w:t>
            </w:r>
          </w:p>
        </w:tc>
      </w:tr>
      <w:tr w:rsidR="008B27A0" w:rsidRPr="004538A2" w14:paraId="4DBD26A3" w14:textId="77777777" w:rsidTr="004B3AED">
        <w:trPr>
          <w:trHeight w:val="323"/>
        </w:trPr>
        <w:tc>
          <w:tcPr>
            <w:tcW w:w="3036" w:type="dxa"/>
            <w:tcBorders>
              <w:top w:val="nil"/>
              <w:left w:val="nil"/>
              <w:bottom w:val="nil"/>
              <w:right w:val="nil"/>
            </w:tcBorders>
            <w:vAlign w:val="center"/>
          </w:tcPr>
          <w:p w14:paraId="154E293B"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Gender identification</w:t>
            </w:r>
          </w:p>
        </w:tc>
        <w:tc>
          <w:tcPr>
            <w:tcW w:w="1200" w:type="dxa"/>
            <w:tcBorders>
              <w:top w:val="nil"/>
              <w:left w:val="nil"/>
              <w:bottom w:val="nil"/>
              <w:right w:val="nil"/>
            </w:tcBorders>
            <w:vAlign w:val="center"/>
          </w:tcPr>
          <w:p w14:paraId="729089C2"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2E01C2B3"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1497242C"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055368FB"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6BEF131D"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18602069" w14:textId="77777777" w:rsidTr="004B3AED">
        <w:trPr>
          <w:trHeight w:val="323"/>
        </w:trPr>
        <w:tc>
          <w:tcPr>
            <w:tcW w:w="3036" w:type="dxa"/>
            <w:tcBorders>
              <w:top w:val="nil"/>
              <w:left w:val="nil"/>
              <w:bottom w:val="nil"/>
              <w:right w:val="nil"/>
            </w:tcBorders>
            <w:vAlign w:val="center"/>
          </w:tcPr>
          <w:p w14:paraId="6C8012A7"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Male </w:t>
            </w:r>
          </w:p>
        </w:tc>
        <w:tc>
          <w:tcPr>
            <w:tcW w:w="1200" w:type="dxa"/>
            <w:tcBorders>
              <w:top w:val="nil"/>
              <w:left w:val="nil"/>
              <w:bottom w:val="nil"/>
              <w:right w:val="nil"/>
            </w:tcBorders>
            <w:vAlign w:val="center"/>
          </w:tcPr>
          <w:p w14:paraId="08588FE6"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1201" w:type="dxa"/>
            <w:gridSpan w:val="2"/>
            <w:tcBorders>
              <w:top w:val="nil"/>
              <w:left w:val="nil"/>
              <w:bottom w:val="nil"/>
              <w:right w:val="nil"/>
            </w:tcBorders>
            <w:vAlign w:val="center"/>
          </w:tcPr>
          <w:p w14:paraId="48952E8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1200" w:type="dxa"/>
            <w:tcBorders>
              <w:top w:val="nil"/>
              <w:left w:val="nil"/>
              <w:bottom w:val="nil"/>
              <w:right w:val="nil"/>
            </w:tcBorders>
            <w:vAlign w:val="center"/>
          </w:tcPr>
          <w:p w14:paraId="1E264E21"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5</w:t>
            </w:r>
          </w:p>
        </w:tc>
        <w:tc>
          <w:tcPr>
            <w:tcW w:w="1201" w:type="dxa"/>
            <w:tcBorders>
              <w:top w:val="nil"/>
              <w:left w:val="nil"/>
              <w:bottom w:val="nil"/>
              <w:right w:val="nil"/>
            </w:tcBorders>
            <w:vAlign w:val="center"/>
          </w:tcPr>
          <w:p w14:paraId="3E90091A"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9</w:t>
            </w:r>
          </w:p>
        </w:tc>
        <w:tc>
          <w:tcPr>
            <w:tcW w:w="775" w:type="dxa"/>
            <w:tcBorders>
              <w:top w:val="nil"/>
              <w:left w:val="nil"/>
              <w:bottom w:val="nil"/>
              <w:right w:val="nil"/>
            </w:tcBorders>
            <w:vAlign w:val="center"/>
          </w:tcPr>
          <w:p w14:paraId="36B9FE5E"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30 </w:t>
            </w:r>
            <w:r w:rsidRPr="0049188B">
              <w:rPr>
                <w:rFonts w:cs="Arial"/>
                <w:color w:val="000000" w:themeColor="text1"/>
                <w:sz w:val="18"/>
                <w:shd w:val="clear" w:color="auto" w:fill="FFFFFF"/>
              </w:rPr>
              <w:t>%</w:t>
            </w:r>
          </w:p>
        </w:tc>
      </w:tr>
      <w:tr w:rsidR="008B27A0" w:rsidRPr="004538A2" w14:paraId="1C5B244F" w14:textId="77777777" w:rsidTr="004B3AED">
        <w:trPr>
          <w:trHeight w:val="323"/>
        </w:trPr>
        <w:tc>
          <w:tcPr>
            <w:tcW w:w="3036" w:type="dxa"/>
            <w:tcBorders>
              <w:top w:val="nil"/>
              <w:left w:val="nil"/>
              <w:bottom w:val="nil"/>
              <w:right w:val="nil"/>
            </w:tcBorders>
            <w:vAlign w:val="center"/>
          </w:tcPr>
          <w:p w14:paraId="3AC821D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Female</w:t>
            </w:r>
          </w:p>
        </w:tc>
        <w:tc>
          <w:tcPr>
            <w:tcW w:w="1200" w:type="dxa"/>
            <w:tcBorders>
              <w:top w:val="nil"/>
              <w:left w:val="nil"/>
              <w:bottom w:val="nil"/>
              <w:right w:val="nil"/>
            </w:tcBorders>
            <w:vAlign w:val="center"/>
          </w:tcPr>
          <w:p w14:paraId="2AC69902"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8</w:t>
            </w:r>
          </w:p>
        </w:tc>
        <w:tc>
          <w:tcPr>
            <w:tcW w:w="1201" w:type="dxa"/>
            <w:gridSpan w:val="2"/>
            <w:tcBorders>
              <w:top w:val="nil"/>
              <w:left w:val="nil"/>
              <w:bottom w:val="nil"/>
              <w:right w:val="nil"/>
            </w:tcBorders>
            <w:vAlign w:val="center"/>
          </w:tcPr>
          <w:p w14:paraId="1FE8B726"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6</w:t>
            </w:r>
          </w:p>
        </w:tc>
        <w:tc>
          <w:tcPr>
            <w:tcW w:w="1200" w:type="dxa"/>
            <w:tcBorders>
              <w:top w:val="nil"/>
              <w:left w:val="nil"/>
              <w:bottom w:val="nil"/>
              <w:right w:val="nil"/>
            </w:tcBorders>
            <w:vAlign w:val="center"/>
          </w:tcPr>
          <w:p w14:paraId="3DC6E2FA"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7</w:t>
            </w:r>
          </w:p>
        </w:tc>
        <w:tc>
          <w:tcPr>
            <w:tcW w:w="1201" w:type="dxa"/>
            <w:tcBorders>
              <w:top w:val="nil"/>
              <w:left w:val="nil"/>
              <w:bottom w:val="nil"/>
              <w:right w:val="nil"/>
            </w:tcBorders>
            <w:vAlign w:val="center"/>
          </w:tcPr>
          <w:p w14:paraId="11FE772D"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21</w:t>
            </w:r>
          </w:p>
        </w:tc>
        <w:tc>
          <w:tcPr>
            <w:tcW w:w="775" w:type="dxa"/>
            <w:tcBorders>
              <w:top w:val="nil"/>
              <w:left w:val="nil"/>
              <w:bottom w:val="nil"/>
              <w:right w:val="nil"/>
            </w:tcBorders>
            <w:vAlign w:val="center"/>
          </w:tcPr>
          <w:p w14:paraId="6A2EB177"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70 </w:t>
            </w:r>
            <w:r w:rsidRPr="0049188B">
              <w:rPr>
                <w:rFonts w:cs="Arial"/>
                <w:color w:val="000000" w:themeColor="text1"/>
                <w:sz w:val="18"/>
                <w:shd w:val="clear" w:color="auto" w:fill="FFFFFF"/>
              </w:rPr>
              <w:t>%</w:t>
            </w:r>
          </w:p>
        </w:tc>
      </w:tr>
      <w:tr w:rsidR="008B27A0" w:rsidRPr="004538A2" w14:paraId="5A0B39A6" w14:textId="77777777" w:rsidTr="004B3AED">
        <w:trPr>
          <w:trHeight w:val="323"/>
        </w:trPr>
        <w:tc>
          <w:tcPr>
            <w:tcW w:w="3036" w:type="dxa"/>
            <w:tcBorders>
              <w:top w:val="nil"/>
              <w:left w:val="nil"/>
              <w:bottom w:val="nil"/>
              <w:right w:val="nil"/>
            </w:tcBorders>
            <w:vAlign w:val="center"/>
          </w:tcPr>
          <w:p w14:paraId="6F8CAAC3"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Age (years)</w:t>
            </w:r>
          </w:p>
        </w:tc>
        <w:tc>
          <w:tcPr>
            <w:tcW w:w="1200" w:type="dxa"/>
            <w:tcBorders>
              <w:top w:val="nil"/>
              <w:left w:val="nil"/>
              <w:bottom w:val="nil"/>
              <w:right w:val="nil"/>
            </w:tcBorders>
            <w:vAlign w:val="center"/>
          </w:tcPr>
          <w:p w14:paraId="027FE04C"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7ECC74FC"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04B0DC4B"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0FFFCD4A"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63735185"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4C904071" w14:textId="77777777" w:rsidTr="004B3AED">
        <w:trPr>
          <w:trHeight w:val="323"/>
        </w:trPr>
        <w:tc>
          <w:tcPr>
            <w:tcW w:w="3036" w:type="dxa"/>
            <w:tcBorders>
              <w:top w:val="nil"/>
              <w:left w:val="nil"/>
              <w:bottom w:val="nil"/>
              <w:right w:val="nil"/>
            </w:tcBorders>
            <w:vAlign w:val="center"/>
          </w:tcPr>
          <w:p w14:paraId="7BAF8971"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Youngest </w:t>
            </w:r>
          </w:p>
        </w:tc>
        <w:tc>
          <w:tcPr>
            <w:tcW w:w="1200" w:type="dxa"/>
            <w:tcBorders>
              <w:top w:val="nil"/>
              <w:left w:val="nil"/>
              <w:bottom w:val="nil"/>
              <w:right w:val="nil"/>
            </w:tcBorders>
            <w:vAlign w:val="center"/>
          </w:tcPr>
          <w:p w14:paraId="1838A2B9"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16</w:t>
            </w:r>
          </w:p>
        </w:tc>
        <w:tc>
          <w:tcPr>
            <w:tcW w:w="1201" w:type="dxa"/>
            <w:gridSpan w:val="2"/>
            <w:tcBorders>
              <w:top w:val="nil"/>
              <w:left w:val="nil"/>
              <w:bottom w:val="nil"/>
              <w:right w:val="nil"/>
            </w:tcBorders>
            <w:vAlign w:val="center"/>
          </w:tcPr>
          <w:p w14:paraId="4FC7519F"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16</w:t>
            </w:r>
          </w:p>
        </w:tc>
        <w:tc>
          <w:tcPr>
            <w:tcW w:w="1200" w:type="dxa"/>
            <w:tcBorders>
              <w:top w:val="nil"/>
              <w:left w:val="nil"/>
              <w:bottom w:val="nil"/>
              <w:right w:val="nil"/>
            </w:tcBorders>
            <w:vAlign w:val="center"/>
          </w:tcPr>
          <w:p w14:paraId="2C93265E"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15</w:t>
            </w:r>
          </w:p>
        </w:tc>
        <w:tc>
          <w:tcPr>
            <w:tcW w:w="1201" w:type="dxa"/>
            <w:tcBorders>
              <w:top w:val="nil"/>
              <w:left w:val="nil"/>
              <w:bottom w:val="nil"/>
              <w:right w:val="nil"/>
            </w:tcBorders>
            <w:vAlign w:val="center"/>
          </w:tcPr>
          <w:p w14:paraId="2433A351"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15</w:t>
            </w:r>
          </w:p>
        </w:tc>
        <w:tc>
          <w:tcPr>
            <w:tcW w:w="775" w:type="dxa"/>
            <w:tcBorders>
              <w:top w:val="nil"/>
              <w:left w:val="nil"/>
              <w:bottom w:val="nil"/>
              <w:right w:val="nil"/>
            </w:tcBorders>
            <w:vAlign w:val="center"/>
          </w:tcPr>
          <w:p w14:paraId="6C0D129F"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w:t>
            </w:r>
          </w:p>
        </w:tc>
      </w:tr>
      <w:tr w:rsidR="008B27A0" w:rsidRPr="004538A2" w14:paraId="0AC88C0E" w14:textId="77777777" w:rsidTr="004B3AED">
        <w:trPr>
          <w:trHeight w:val="323"/>
        </w:trPr>
        <w:tc>
          <w:tcPr>
            <w:tcW w:w="3036" w:type="dxa"/>
            <w:tcBorders>
              <w:top w:val="nil"/>
              <w:left w:val="nil"/>
              <w:bottom w:val="nil"/>
              <w:right w:val="nil"/>
            </w:tcBorders>
            <w:vAlign w:val="center"/>
          </w:tcPr>
          <w:p w14:paraId="5505116E"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Oldest</w:t>
            </w:r>
          </w:p>
        </w:tc>
        <w:tc>
          <w:tcPr>
            <w:tcW w:w="1200" w:type="dxa"/>
            <w:tcBorders>
              <w:top w:val="nil"/>
              <w:left w:val="nil"/>
              <w:bottom w:val="nil"/>
              <w:right w:val="nil"/>
            </w:tcBorders>
            <w:vAlign w:val="center"/>
          </w:tcPr>
          <w:p w14:paraId="3E7A95C2"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24</w:t>
            </w:r>
          </w:p>
        </w:tc>
        <w:tc>
          <w:tcPr>
            <w:tcW w:w="1201" w:type="dxa"/>
            <w:gridSpan w:val="2"/>
            <w:tcBorders>
              <w:top w:val="nil"/>
              <w:left w:val="nil"/>
              <w:bottom w:val="nil"/>
              <w:right w:val="nil"/>
            </w:tcBorders>
            <w:vAlign w:val="center"/>
          </w:tcPr>
          <w:p w14:paraId="7FD0036C"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24</w:t>
            </w:r>
          </w:p>
        </w:tc>
        <w:tc>
          <w:tcPr>
            <w:tcW w:w="1200" w:type="dxa"/>
            <w:tcBorders>
              <w:top w:val="nil"/>
              <w:left w:val="nil"/>
              <w:bottom w:val="nil"/>
              <w:right w:val="nil"/>
            </w:tcBorders>
            <w:vAlign w:val="center"/>
          </w:tcPr>
          <w:p w14:paraId="6A203F2B"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25</w:t>
            </w:r>
          </w:p>
        </w:tc>
        <w:tc>
          <w:tcPr>
            <w:tcW w:w="1201" w:type="dxa"/>
            <w:tcBorders>
              <w:top w:val="nil"/>
              <w:left w:val="nil"/>
              <w:bottom w:val="nil"/>
              <w:right w:val="nil"/>
            </w:tcBorders>
            <w:vAlign w:val="center"/>
          </w:tcPr>
          <w:p w14:paraId="7224350D"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25</w:t>
            </w:r>
          </w:p>
        </w:tc>
        <w:tc>
          <w:tcPr>
            <w:tcW w:w="775" w:type="dxa"/>
            <w:tcBorders>
              <w:top w:val="nil"/>
              <w:left w:val="nil"/>
              <w:bottom w:val="nil"/>
              <w:right w:val="nil"/>
            </w:tcBorders>
            <w:vAlign w:val="center"/>
          </w:tcPr>
          <w:p w14:paraId="72142B28"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w:t>
            </w:r>
          </w:p>
        </w:tc>
      </w:tr>
      <w:tr w:rsidR="008B27A0" w:rsidRPr="004538A2" w14:paraId="67B37821" w14:textId="77777777" w:rsidTr="004B3AED">
        <w:trPr>
          <w:trHeight w:val="323"/>
        </w:trPr>
        <w:tc>
          <w:tcPr>
            <w:tcW w:w="3036" w:type="dxa"/>
            <w:tcBorders>
              <w:top w:val="nil"/>
              <w:left w:val="nil"/>
              <w:bottom w:val="nil"/>
              <w:right w:val="nil"/>
            </w:tcBorders>
            <w:vAlign w:val="center"/>
          </w:tcPr>
          <w:p w14:paraId="4AB1A59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Median</w:t>
            </w:r>
          </w:p>
        </w:tc>
        <w:tc>
          <w:tcPr>
            <w:tcW w:w="1200" w:type="dxa"/>
            <w:tcBorders>
              <w:top w:val="nil"/>
              <w:left w:val="nil"/>
              <w:bottom w:val="nil"/>
              <w:right w:val="nil"/>
            </w:tcBorders>
            <w:vAlign w:val="center"/>
          </w:tcPr>
          <w:p w14:paraId="1C297329"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17.5</w:t>
            </w:r>
          </w:p>
        </w:tc>
        <w:tc>
          <w:tcPr>
            <w:tcW w:w="1201" w:type="dxa"/>
            <w:gridSpan w:val="2"/>
            <w:tcBorders>
              <w:top w:val="nil"/>
              <w:left w:val="nil"/>
              <w:bottom w:val="nil"/>
              <w:right w:val="nil"/>
            </w:tcBorders>
            <w:vAlign w:val="center"/>
          </w:tcPr>
          <w:p w14:paraId="7D33AA4E"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19</w:t>
            </w:r>
          </w:p>
        </w:tc>
        <w:tc>
          <w:tcPr>
            <w:tcW w:w="1200" w:type="dxa"/>
            <w:tcBorders>
              <w:top w:val="nil"/>
              <w:left w:val="nil"/>
              <w:bottom w:val="nil"/>
              <w:right w:val="nil"/>
            </w:tcBorders>
            <w:vAlign w:val="center"/>
          </w:tcPr>
          <w:p w14:paraId="42197E4D"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20</w:t>
            </w:r>
          </w:p>
        </w:tc>
        <w:tc>
          <w:tcPr>
            <w:tcW w:w="1201" w:type="dxa"/>
            <w:tcBorders>
              <w:top w:val="nil"/>
              <w:left w:val="nil"/>
              <w:bottom w:val="nil"/>
              <w:right w:val="nil"/>
            </w:tcBorders>
            <w:vAlign w:val="center"/>
          </w:tcPr>
          <w:p w14:paraId="670F3580"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18.5</w:t>
            </w:r>
          </w:p>
        </w:tc>
        <w:tc>
          <w:tcPr>
            <w:tcW w:w="775" w:type="dxa"/>
            <w:tcBorders>
              <w:top w:val="nil"/>
              <w:left w:val="nil"/>
              <w:bottom w:val="nil"/>
              <w:right w:val="nil"/>
            </w:tcBorders>
            <w:vAlign w:val="center"/>
          </w:tcPr>
          <w:p w14:paraId="4D844E0F"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w:t>
            </w:r>
          </w:p>
        </w:tc>
      </w:tr>
      <w:tr w:rsidR="008B27A0" w:rsidRPr="004538A2" w14:paraId="59DAB0C5" w14:textId="77777777" w:rsidTr="004B3AED">
        <w:trPr>
          <w:trHeight w:val="323"/>
        </w:trPr>
        <w:tc>
          <w:tcPr>
            <w:tcW w:w="3036" w:type="dxa"/>
            <w:tcBorders>
              <w:top w:val="nil"/>
              <w:left w:val="nil"/>
              <w:bottom w:val="nil"/>
              <w:right w:val="nil"/>
            </w:tcBorders>
            <w:vAlign w:val="center"/>
          </w:tcPr>
          <w:p w14:paraId="6B146C4B"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Occupation</w:t>
            </w:r>
            <w:r>
              <w:rPr>
                <w:rStyle w:val="FootnoteReference"/>
                <w:rFonts w:cs="Arial"/>
                <w:b/>
                <w:color w:val="000000" w:themeColor="text1"/>
                <w:shd w:val="clear" w:color="auto" w:fill="FFFFFF"/>
              </w:rPr>
              <w:footnoteReference w:id="9"/>
            </w:r>
          </w:p>
        </w:tc>
        <w:tc>
          <w:tcPr>
            <w:tcW w:w="1200" w:type="dxa"/>
            <w:tcBorders>
              <w:top w:val="nil"/>
              <w:left w:val="nil"/>
              <w:bottom w:val="nil"/>
              <w:right w:val="nil"/>
            </w:tcBorders>
            <w:vAlign w:val="center"/>
          </w:tcPr>
          <w:p w14:paraId="098B5F14"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42CB300C"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07FF1587"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5FE9955D"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1F13E8E7"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08CFADB4" w14:textId="77777777" w:rsidTr="004B3AED">
        <w:trPr>
          <w:trHeight w:val="323"/>
        </w:trPr>
        <w:tc>
          <w:tcPr>
            <w:tcW w:w="3036" w:type="dxa"/>
            <w:tcBorders>
              <w:top w:val="nil"/>
              <w:left w:val="nil"/>
              <w:bottom w:val="nil"/>
              <w:right w:val="nil"/>
            </w:tcBorders>
            <w:vAlign w:val="center"/>
          </w:tcPr>
          <w:p w14:paraId="35BC610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Student</w:t>
            </w:r>
          </w:p>
        </w:tc>
        <w:tc>
          <w:tcPr>
            <w:tcW w:w="1200" w:type="dxa"/>
            <w:tcBorders>
              <w:top w:val="nil"/>
              <w:left w:val="nil"/>
              <w:bottom w:val="nil"/>
              <w:right w:val="nil"/>
            </w:tcBorders>
            <w:vAlign w:val="center"/>
          </w:tcPr>
          <w:p w14:paraId="16E29C1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8</w:t>
            </w:r>
          </w:p>
        </w:tc>
        <w:tc>
          <w:tcPr>
            <w:tcW w:w="1201" w:type="dxa"/>
            <w:gridSpan w:val="2"/>
            <w:tcBorders>
              <w:top w:val="nil"/>
              <w:left w:val="nil"/>
              <w:bottom w:val="nil"/>
              <w:right w:val="nil"/>
            </w:tcBorders>
            <w:vAlign w:val="center"/>
          </w:tcPr>
          <w:p w14:paraId="0E89E1D7"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3</w:t>
            </w:r>
          </w:p>
        </w:tc>
        <w:tc>
          <w:tcPr>
            <w:tcW w:w="1200" w:type="dxa"/>
            <w:tcBorders>
              <w:top w:val="nil"/>
              <w:left w:val="nil"/>
              <w:bottom w:val="nil"/>
              <w:right w:val="nil"/>
            </w:tcBorders>
            <w:vAlign w:val="center"/>
          </w:tcPr>
          <w:p w14:paraId="5AA9A848"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9</w:t>
            </w:r>
          </w:p>
        </w:tc>
        <w:tc>
          <w:tcPr>
            <w:tcW w:w="1201" w:type="dxa"/>
            <w:tcBorders>
              <w:top w:val="nil"/>
              <w:left w:val="nil"/>
              <w:bottom w:val="nil"/>
              <w:right w:val="nil"/>
            </w:tcBorders>
            <w:vAlign w:val="center"/>
          </w:tcPr>
          <w:p w14:paraId="39A9AE52"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20</w:t>
            </w:r>
          </w:p>
        </w:tc>
        <w:tc>
          <w:tcPr>
            <w:tcW w:w="775" w:type="dxa"/>
            <w:tcBorders>
              <w:top w:val="nil"/>
              <w:left w:val="nil"/>
              <w:bottom w:val="nil"/>
              <w:right w:val="nil"/>
            </w:tcBorders>
            <w:vAlign w:val="center"/>
          </w:tcPr>
          <w:p w14:paraId="3D91434D"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67 </w:t>
            </w:r>
            <w:r w:rsidRPr="0049188B">
              <w:rPr>
                <w:rFonts w:cs="Arial"/>
                <w:color w:val="000000" w:themeColor="text1"/>
                <w:sz w:val="18"/>
                <w:shd w:val="clear" w:color="auto" w:fill="FFFFFF"/>
              </w:rPr>
              <w:t>%</w:t>
            </w:r>
          </w:p>
        </w:tc>
      </w:tr>
      <w:tr w:rsidR="008B27A0" w:rsidRPr="004538A2" w14:paraId="15E97AEE" w14:textId="77777777" w:rsidTr="004B3AED">
        <w:trPr>
          <w:trHeight w:val="323"/>
        </w:trPr>
        <w:tc>
          <w:tcPr>
            <w:tcW w:w="3036" w:type="dxa"/>
            <w:tcBorders>
              <w:top w:val="nil"/>
              <w:left w:val="nil"/>
              <w:bottom w:val="nil"/>
              <w:right w:val="nil"/>
            </w:tcBorders>
            <w:vAlign w:val="center"/>
          </w:tcPr>
          <w:p w14:paraId="224785DE"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Employed</w:t>
            </w:r>
          </w:p>
        </w:tc>
        <w:tc>
          <w:tcPr>
            <w:tcW w:w="1200" w:type="dxa"/>
            <w:tcBorders>
              <w:top w:val="nil"/>
              <w:left w:val="nil"/>
              <w:bottom w:val="nil"/>
              <w:right w:val="nil"/>
            </w:tcBorders>
            <w:vAlign w:val="center"/>
          </w:tcPr>
          <w:p w14:paraId="2CE76752"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1201" w:type="dxa"/>
            <w:gridSpan w:val="2"/>
            <w:tcBorders>
              <w:top w:val="nil"/>
              <w:left w:val="nil"/>
              <w:bottom w:val="nil"/>
              <w:right w:val="nil"/>
            </w:tcBorders>
            <w:vAlign w:val="center"/>
          </w:tcPr>
          <w:p w14:paraId="44738E2E"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1200" w:type="dxa"/>
            <w:tcBorders>
              <w:top w:val="nil"/>
              <w:left w:val="nil"/>
              <w:bottom w:val="nil"/>
              <w:right w:val="nil"/>
            </w:tcBorders>
            <w:vAlign w:val="center"/>
          </w:tcPr>
          <w:p w14:paraId="202248F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3</w:t>
            </w:r>
          </w:p>
        </w:tc>
        <w:tc>
          <w:tcPr>
            <w:tcW w:w="1201" w:type="dxa"/>
            <w:tcBorders>
              <w:top w:val="nil"/>
              <w:left w:val="nil"/>
              <w:bottom w:val="nil"/>
              <w:right w:val="nil"/>
            </w:tcBorders>
            <w:vAlign w:val="center"/>
          </w:tcPr>
          <w:p w14:paraId="5E54EAF0"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7</w:t>
            </w:r>
          </w:p>
        </w:tc>
        <w:tc>
          <w:tcPr>
            <w:tcW w:w="775" w:type="dxa"/>
            <w:tcBorders>
              <w:top w:val="nil"/>
              <w:left w:val="nil"/>
              <w:bottom w:val="nil"/>
              <w:right w:val="nil"/>
            </w:tcBorders>
            <w:vAlign w:val="center"/>
          </w:tcPr>
          <w:p w14:paraId="7AC5EB86"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23 </w:t>
            </w:r>
            <w:r w:rsidRPr="0049188B">
              <w:rPr>
                <w:rFonts w:cs="Arial"/>
                <w:color w:val="000000" w:themeColor="text1"/>
                <w:sz w:val="18"/>
                <w:shd w:val="clear" w:color="auto" w:fill="FFFFFF"/>
              </w:rPr>
              <w:t>%</w:t>
            </w:r>
          </w:p>
        </w:tc>
      </w:tr>
      <w:tr w:rsidR="008B27A0" w:rsidRPr="004538A2" w14:paraId="5EAFB755" w14:textId="77777777" w:rsidTr="004B3AED">
        <w:trPr>
          <w:trHeight w:val="323"/>
        </w:trPr>
        <w:tc>
          <w:tcPr>
            <w:tcW w:w="3036" w:type="dxa"/>
            <w:tcBorders>
              <w:top w:val="nil"/>
              <w:left w:val="nil"/>
              <w:bottom w:val="nil"/>
              <w:right w:val="nil"/>
            </w:tcBorders>
            <w:vAlign w:val="center"/>
          </w:tcPr>
          <w:p w14:paraId="391DAAB1"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Unemployed</w:t>
            </w:r>
          </w:p>
        </w:tc>
        <w:tc>
          <w:tcPr>
            <w:tcW w:w="1200" w:type="dxa"/>
            <w:tcBorders>
              <w:top w:val="nil"/>
              <w:left w:val="nil"/>
              <w:bottom w:val="nil"/>
              <w:right w:val="nil"/>
            </w:tcBorders>
            <w:vAlign w:val="center"/>
          </w:tcPr>
          <w:p w14:paraId="422A24EA"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0</w:t>
            </w:r>
          </w:p>
        </w:tc>
        <w:tc>
          <w:tcPr>
            <w:tcW w:w="1201" w:type="dxa"/>
            <w:gridSpan w:val="2"/>
            <w:tcBorders>
              <w:top w:val="nil"/>
              <w:left w:val="nil"/>
              <w:bottom w:val="nil"/>
              <w:right w:val="nil"/>
            </w:tcBorders>
            <w:vAlign w:val="center"/>
          </w:tcPr>
          <w:p w14:paraId="65D6EBF7"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6</w:t>
            </w:r>
          </w:p>
        </w:tc>
        <w:tc>
          <w:tcPr>
            <w:tcW w:w="1200" w:type="dxa"/>
            <w:tcBorders>
              <w:top w:val="nil"/>
              <w:left w:val="nil"/>
              <w:bottom w:val="nil"/>
              <w:right w:val="nil"/>
            </w:tcBorders>
            <w:vAlign w:val="center"/>
          </w:tcPr>
          <w:p w14:paraId="01273D19"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3</w:t>
            </w:r>
          </w:p>
        </w:tc>
        <w:tc>
          <w:tcPr>
            <w:tcW w:w="1201" w:type="dxa"/>
            <w:tcBorders>
              <w:top w:val="nil"/>
              <w:left w:val="nil"/>
              <w:bottom w:val="nil"/>
              <w:right w:val="nil"/>
            </w:tcBorders>
            <w:vAlign w:val="center"/>
          </w:tcPr>
          <w:p w14:paraId="595F9DCE"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9</w:t>
            </w:r>
          </w:p>
        </w:tc>
        <w:tc>
          <w:tcPr>
            <w:tcW w:w="775" w:type="dxa"/>
            <w:tcBorders>
              <w:top w:val="nil"/>
              <w:left w:val="nil"/>
              <w:bottom w:val="nil"/>
              <w:right w:val="nil"/>
            </w:tcBorders>
            <w:vAlign w:val="center"/>
          </w:tcPr>
          <w:p w14:paraId="4435CABE"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30 </w:t>
            </w:r>
            <w:r w:rsidRPr="0049188B">
              <w:rPr>
                <w:rFonts w:cs="Arial"/>
                <w:color w:val="000000" w:themeColor="text1"/>
                <w:sz w:val="18"/>
                <w:shd w:val="clear" w:color="auto" w:fill="FFFFFF"/>
              </w:rPr>
              <w:t>%</w:t>
            </w:r>
          </w:p>
        </w:tc>
      </w:tr>
      <w:tr w:rsidR="008B27A0" w:rsidRPr="004538A2" w14:paraId="57AF8125" w14:textId="77777777" w:rsidTr="004B3AED">
        <w:trPr>
          <w:trHeight w:val="323"/>
        </w:trPr>
        <w:tc>
          <w:tcPr>
            <w:tcW w:w="3036" w:type="dxa"/>
            <w:tcBorders>
              <w:top w:val="nil"/>
              <w:left w:val="nil"/>
              <w:bottom w:val="nil"/>
              <w:right w:val="nil"/>
            </w:tcBorders>
            <w:vAlign w:val="center"/>
          </w:tcPr>
          <w:p w14:paraId="16192FB1"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Ethnicity</w:t>
            </w:r>
          </w:p>
        </w:tc>
        <w:tc>
          <w:tcPr>
            <w:tcW w:w="1200" w:type="dxa"/>
            <w:tcBorders>
              <w:top w:val="nil"/>
              <w:left w:val="nil"/>
              <w:bottom w:val="nil"/>
              <w:right w:val="nil"/>
            </w:tcBorders>
            <w:vAlign w:val="center"/>
          </w:tcPr>
          <w:p w14:paraId="5F475DC9"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4FE5C29B"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3C67A54D"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6F3D5183"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1E6D06ED"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37C57533" w14:textId="77777777" w:rsidTr="004B3AED">
        <w:trPr>
          <w:trHeight w:val="323"/>
        </w:trPr>
        <w:tc>
          <w:tcPr>
            <w:tcW w:w="3036" w:type="dxa"/>
            <w:tcBorders>
              <w:top w:val="nil"/>
              <w:left w:val="nil"/>
              <w:bottom w:val="nil"/>
              <w:right w:val="nil"/>
            </w:tcBorders>
            <w:vAlign w:val="center"/>
          </w:tcPr>
          <w:p w14:paraId="02FA5A7C"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White British</w:t>
            </w:r>
          </w:p>
        </w:tc>
        <w:tc>
          <w:tcPr>
            <w:tcW w:w="1200" w:type="dxa"/>
            <w:tcBorders>
              <w:top w:val="nil"/>
              <w:left w:val="nil"/>
              <w:bottom w:val="nil"/>
              <w:right w:val="nil"/>
            </w:tcBorders>
            <w:vAlign w:val="center"/>
          </w:tcPr>
          <w:p w14:paraId="596E0C0E"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6</w:t>
            </w:r>
          </w:p>
        </w:tc>
        <w:tc>
          <w:tcPr>
            <w:tcW w:w="1201" w:type="dxa"/>
            <w:gridSpan w:val="2"/>
            <w:tcBorders>
              <w:top w:val="nil"/>
              <w:left w:val="nil"/>
              <w:bottom w:val="nil"/>
              <w:right w:val="nil"/>
            </w:tcBorders>
            <w:vAlign w:val="center"/>
          </w:tcPr>
          <w:p w14:paraId="6DD15A17"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5</w:t>
            </w:r>
          </w:p>
        </w:tc>
        <w:tc>
          <w:tcPr>
            <w:tcW w:w="1200" w:type="dxa"/>
            <w:tcBorders>
              <w:top w:val="nil"/>
              <w:left w:val="nil"/>
              <w:bottom w:val="nil"/>
              <w:right w:val="nil"/>
            </w:tcBorders>
            <w:vAlign w:val="center"/>
          </w:tcPr>
          <w:p w14:paraId="137A0F82"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7</w:t>
            </w:r>
          </w:p>
        </w:tc>
        <w:tc>
          <w:tcPr>
            <w:tcW w:w="1201" w:type="dxa"/>
            <w:tcBorders>
              <w:top w:val="nil"/>
              <w:left w:val="nil"/>
              <w:bottom w:val="nil"/>
              <w:right w:val="nil"/>
            </w:tcBorders>
            <w:vAlign w:val="center"/>
          </w:tcPr>
          <w:p w14:paraId="4CB1981C"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18</w:t>
            </w:r>
          </w:p>
        </w:tc>
        <w:tc>
          <w:tcPr>
            <w:tcW w:w="775" w:type="dxa"/>
            <w:tcBorders>
              <w:top w:val="nil"/>
              <w:left w:val="nil"/>
              <w:bottom w:val="nil"/>
              <w:right w:val="nil"/>
            </w:tcBorders>
            <w:vAlign w:val="center"/>
          </w:tcPr>
          <w:p w14:paraId="5425589E"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60 </w:t>
            </w:r>
            <w:r w:rsidRPr="0049188B">
              <w:rPr>
                <w:rFonts w:cs="Arial"/>
                <w:color w:val="000000" w:themeColor="text1"/>
                <w:sz w:val="18"/>
                <w:shd w:val="clear" w:color="auto" w:fill="FFFFFF"/>
              </w:rPr>
              <w:t>%</w:t>
            </w:r>
          </w:p>
        </w:tc>
      </w:tr>
      <w:tr w:rsidR="008B27A0" w:rsidRPr="004538A2" w14:paraId="78B2ECB6" w14:textId="77777777" w:rsidTr="004B3AED">
        <w:trPr>
          <w:trHeight w:val="323"/>
        </w:trPr>
        <w:tc>
          <w:tcPr>
            <w:tcW w:w="3036" w:type="dxa"/>
            <w:tcBorders>
              <w:top w:val="nil"/>
              <w:left w:val="nil"/>
              <w:bottom w:val="nil"/>
              <w:right w:val="nil"/>
            </w:tcBorders>
            <w:vAlign w:val="center"/>
          </w:tcPr>
          <w:p w14:paraId="2D2DEA2A"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Black /Black British</w:t>
            </w:r>
          </w:p>
        </w:tc>
        <w:tc>
          <w:tcPr>
            <w:tcW w:w="1200" w:type="dxa"/>
            <w:tcBorders>
              <w:top w:val="nil"/>
              <w:left w:val="nil"/>
              <w:bottom w:val="nil"/>
              <w:right w:val="nil"/>
            </w:tcBorders>
            <w:vAlign w:val="center"/>
          </w:tcPr>
          <w:p w14:paraId="557D0F6B"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4</w:t>
            </w:r>
          </w:p>
        </w:tc>
        <w:tc>
          <w:tcPr>
            <w:tcW w:w="1201" w:type="dxa"/>
            <w:gridSpan w:val="2"/>
            <w:tcBorders>
              <w:top w:val="nil"/>
              <w:left w:val="nil"/>
              <w:bottom w:val="nil"/>
              <w:right w:val="nil"/>
            </w:tcBorders>
            <w:vAlign w:val="center"/>
          </w:tcPr>
          <w:p w14:paraId="39C5649F"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1</w:t>
            </w:r>
          </w:p>
        </w:tc>
        <w:tc>
          <w:tcPr>
            <w:tcW w:w="1200" w:type="dxa"/>
            <w:tcBorders>
              <w:top w:val="nil"/>
              <w:left w:val="nil"/>
              <w:bottom w:val="nil"/>
              <w:right w:val="nil"/>
            </w:tcBorders>
            <w:vAlign w:val="center"/>
          </w:tcPr>
          <w:p w14:paraId="64B1FF0D"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1</w:t>
            </w:r>
          </w:p>
        </w:tc>
        <w:tc>
          <w:tcPr>
            <w:tcW w:w="1201" w:type="dxa"/>
            <w:tcBorders>
              <w:top w:val="nil"/>
              <w:left w:val="nil"/>
              <w:bottom w:val="nil"/>
              <w:right w:val="nil"/>
            </w:tcBorders>
            <w:vAlign w:val="center"/>
          </w:tcPr>
          <w:p w14:paraId="1B928704"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6</w:t>
            </w:r>
          </w:p>
        </w:tc>
        <w:tc>
          <w:tcPr>
            <w:tcW w:w="775" w:type="dxa"/>
            <w:tcBorders>
              <w:top w:val="nil"/>
              <w:left w:val="nil"/>
              <w:bottom w:val="nil"/>
              <w:right w:val="nil"/>
            </w:tcBorders>
            <w:vAlign w:val="center"/>
          </w:tcPr>
          <w:p w14:paraId="5F527081"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20 </w:t>
            </w:r>
            <w:r w:rsidRPr="0049188B">
              <w:rPr>
                <w:rFonts w:cs="Arial"/>
                <w:color w:val="000000" w:themeColor="text1"/>
                <w:sz w:val="18"/>
                <w:shd w:val="clear" w:color="auto" w:fill="FFFFFF"/>
              </w:rPr>
              <w:t>%</w:t>
            </w:r>
          </w:p>
        </w:tc>
      </w:tr>
      <w:tr w:rsidR="008B27A0" w:rsidRPr="004538A2" w14:paraId="32B69FE5" w14:textId="77777777" w:rsidTr="004B3AED">
        <w:trPr>
          <w:trHeight w:val="323"/>
        </w:trPr>
        <w:tc>
          <w:tcPr>
            <w:tcW w:w="3036" w:type="dxa"/>
            <w:tcBorders>
              <w:top w:val="nil"/>
              <w:left w:val="nil"/>
              <w:bottom w:val="nil"/>
              <w:right w:val="nil"/>
            </w:tcBorders>
            <w:vAlign w:val="center"/>
          </w:tcPr>
          <w:p w14:paraId="032FF8E2"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 xml:space="preserve">       Asian /Asian British </w:t>
            </w:r>
          </w:p>
        </w:tc>
        <w:tc>
          <w:tcPr>
            <w:tcW w:w="1200" w:type="dxa"/>
            <w:tcBorders>
              <w:top w:val="nil"/>
              <w:left w:val="nil"/>
              <w:bottom w:val="nil"/>
              <w:right w:val="nil"/>
            </w:tcBorders>
            <w:vAlign w:val="center"/>
          </w:tcPr>
          <w:p w14:paraId="626BA5D4"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0</w:t>
            </w:r>
          </w:p>
        </w:tc>
        <w:tc>
          <w:tcPr>
            <w:tcW w:w="1201" w:type="dxa"/>
            <w:gridSpan w:val="2"/>
            <w:tcBorders>
              <w:top w:val="nil"/>
              <w:left w:val="nil"/>
              <w:bottom w:val="nil"/>
              <w:right w:val="nil"/>
            </w:tcBorders>
            <w:vAlign w:val="center"/>
          </w:tcPr>
          <w:p w14:paraId="56C5AAE8"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2</w:t>
            </w:r>
          </w:p>
        </w:tc>
        <w:tc>
          <w:tcPr>
            <w:tcW w:w="1200" w:type="dxa"/>
            <w:tcBorders>
              <w:top w:val="nil"/>
              <w:left w:val="nil"/>
              <w:bottom w:val="nil"/>
              <w:right w:val="nil"/>
            </w:tcBorders>
            <w:vAlign w:val="center"/>
          </w:tcPr>
          <w:p w14:paraId="783A5E8B"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3</w:t>
            </w:r>
          </w:p>
        </w:tc>
        <w:tc>
          <w:tcPr>
            <w:tcW w:w="1201" w:type="dxa"/>
            <w:tcBorders>
              <w:top w:val="nil"/>
              <w:left w:val="nil"/>
              <w:bottom w:val="nil"/>
              <w:right w:val="nil"/>
            </w:tcBorders>
            <w:vAlign w:val="center"/>
          </w:tcPr>
          <w:p w14:paraId="7249F9A6"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5</w:t>
            </w:r>
          </w:p>
        </w:tc>
        <w:tc>
          <w:tcPr>
            <w:tcW w:w="775" w:type="dxa"/>
            <w:tcBorders>
              <w:top w:val="nil"/>
              <w:left w:val="nil"/>
              <w:bottom w:val="nil"/>
              <w:right w:val="nil"/>
            </w:tcBorders>
            <w:vAlign w:val="center"/>
          </w:tcPr>
          <w:p w14:paraId="1AFB3896"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17 </w:t>
            </w:r>
            <w:r w:rsidRPr="0049188B">
              <w:rPr>
                <w:rFonts w:cs="Arial"/>
                <w:color w:val="000000" w:themeColor="text1"/>
                <w:sz w:val="18"/>
                <w:shd w:val="clear" w:color="auto" w:fill="FFFFFF"/>
              </w:rPr>
              <w:t>%</w:t>
            </w:r>
          </w:p>
        </w:tc>
      </w:tr>
      <w:tr w:rsidR="008B27A0" w:rsidRPr="004538A2" w14:paraId="6BB6D408" w14:textId="77777777" w:rsidTr="004B3AED">
        <w:trPr>
          <w:trHeight w:val="323"/>
        </w:trPr>
        <w:tc>
          <w:tcPr>
            <w:tcW w:w="3036" w:type="dxa"/>
            <w:tcBorders>
              <w:top w:val="nil"/>
              <w:left w:val="nil"/>
              <w:bottom w:val="nil"/>
              <w:right w:val="nil"/>
            </w:tcBorders>
            <w:vAlign w:val="center"/>
          </w:tcPr>
          <w:p w14:paraId="2320E005"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Other</w:t>
            </w:r>
          </w:p>
        </w:tc>
        <w:tc>
          <w:tcPr>
            <w:tcW w:w="1200" w:type="dxa"/>
            <w:tcBorders>
              <w:top w:val="nil"/>
              <w:left w:val="nil"/>
              <w:bottom w:val="nil"/>
              <w:right w:val="nil"/>
            </w:tcBorders>
            <w:vAlign w:val="center"/>
          </w:tcPr>
          <w:p w14:paraId="3F3EF2C3"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1</w:t>
            </w:r>
          </w:p>
        </w:tc>
        <w:tc>
          <w:tcPr>
            <w:tcW w:w="1201" w:type="dxa"/>
            <w:gridSpan w:val="2"/>
            <w:tcBorders>
              <w:top w:val="nil"/>
              <w:left w:val="nil"/>
              <w:bottom w:val="nil"/>
              <w:right w:val="nil"/>
            </w:tcBorders>
            <w:vAlign w:val="center"/>
          </w:tcPr>
          <w:p w14:paraId="6CF3FF99"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0</w:t>
            </w:r>
          </w:p>
        </w:tc>
        <w:tc>
          <w:tcPr>
            <w:tcW w:w="1200" w:type="dxa"/>
            <w:tcBorders>
              <w:top w:val="nil"/>
              <w:left w:val="nil"/>
              <w:bottom w:val="nil"/>
              <w:right w:val="nil"/>
            </w:tcBorders>
            <w:vAlign w:val="center"/>
          </w:tcPr>
          <w:p w14:paraId="67A18BD6" w14:textId="77777777" w:rsidR="008B27A0" w:rsidRPr="004538A2" w:rsidRDefault="008B27A0" w:rsidP="004B3AED">
            <w:pPr>
              <w:spacing w:before="120" w:after="120"/>
              <w:rPr>
                <w:rFonts w:cs="Arial"/>
                <w:color w:val="000000" w:themeColor="text1"/>
                <w:shd w:val="clear" w:color="auto" w:fill="FFFFFF"/>
              </w:rPr>
            </w:pPr>
            <w:r>
              <w:rPr>
                <w:rFonts w:cs="Arial"/>
                <w:color w:val="000000" w:themeColor="text1"/>
                <w:shd w:val="clear" w:color="auto" w:fill="FFFFFF"/>
              </w:rPr>
              <w:t>1</w:t>
            </w:r>
          </w:p>
        </w:tc>
        <w:tc>
          <w:tcPr>
            <w:tcW w:w="1201" w:type="dxa"/>
            <w:tcBorders>
              <w:top w:val="nil"/>
              <w:left w:val="nil"/>
              <w:bottom w:val="nil"/>
              <w:right w:val="nil"/>
            </w:tcBorders>
            <w:vAlign w:val="center"/>
          </w:tcPr>
          <w:p w14:paraId="3B7E894D"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w:t>
            </w:r>
          </w:p>
        </w:tc>
        <w:tc>
          <w:tcPr>
            <w:tcW w:w="775" w:type="dxa"/>
            <w:tcBorders>
              <w:top w:val="nil"/>
              <w:left w:val="nil"/>
              <w:bottom w:val="nil"/>
              <w:right w:val="nil"/>
            </w:tcBorders>
            <w:vAlign w:val="center"/>
          </w:tcPr>
          <w:p w14:paraId="006632C8"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3 </w:t>
            </w:r>
            <w:r w:rsidRPr="0049188B">
              <w:rPr>
                <w:rFonts w:cs="Arial"/>
                <w:color w:val="000000" w:themeColor="text1"/>
                <w:sz w:val="18"/>
                <w:shd w:val="clear" w:color="auto" w:fill="FFFFFF"/>
              </w:rPr>
              <w:t>%</w:t>
            </w:r>
          </w:p>
        </w:tc>
      </w:tr>
      <w:tr w:rsidR="008B27A0" w:rsidRPr="004538A2" w14:paraId="35FF8063" w14:textId="77777777" w:rsidTr="004B3AED">
        <w:trPr>
          <w:trHeight w:val="323"/>
        </w:trPr>
        <w:tc>
          <w:tcPr>
            <w:tcW w:w="3036" w:type="dxa"/>
            <w:tcBorders>
              <w:top w:val="nil"/>
              <w:left w:val="nil"/>
              <w:bottom w:val="nil"/>
              <w:right w:val="nil"/>
            </w:tcBorders>
            <w:vAlign w:val="center"/>
          </w:tcPr>
          <w:p w14:paraId="5FF12BA5"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Previous drug use</w:t>
            </w:r>
          </w:p>
        </w:tc>
        <w:tc>
          <w:tcPr>
            <w:tcW w:w="1200" w:type="dxa"/>
            <w:tcBorders>
              <w:top w:val="nil"/>
              <w:left w:val="nil"/>
              <w:bottom w:val="nil"/>
              <w:right w:val="nil"/>
            </w:tcBorders>
            <w:vAlign w:val="center"/>
          </w:tcPr>
          <w:p w14:paraId="42244104"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03DF1BC3"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2138AB22"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160A0009"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18B01417"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627AE8BB" w14:textId="77777777" w:rsidTr="004B3AED">
        <w:trPr>
          <w:trHeight w:val="323"/>
        </w:trPr>
        <w:tc>
          <w:tcPr>
            <w:tcW w:w="3036" w:type="dxa"/>
            <w:tcBorders>
              <w:top w:val="nil"/>
              <w:left w:val="nil"/>
              <w:bottom w:val="nil"/>
              <w:right w:val="nil"/>
            </w:tcBorders>
            <w:vAlign w:val="center"/>
          </w:tcPr>
          <w:p w14:paraId="25ED1B20"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NPS</w:t>
            </w:r>
          </w:p>
        </w:tc>
        <w:tc>
          <w:tcPr>
            <w:tcW w:w="1200" w:type="dxa"/>
            <w:tcBorders>
              <w:top w:val="nil"/>
              <w:left w:val="nil"/>
              <w:bottom w:val="nil"/>
              <w:right w:val="nil"/>
            </w:tcBorders>
            <w:vAlign w:val="center"/>
          </w:tcPr>
          <w:p w14:paraId="1436673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w:t>
            </w:r>
          </w:p>
        </w:tc>
        <w:tc>
          <w:tcPr>
            <w:tcW w:w="1201" w:type="dxa"/>
            <w:gridSpan w:val="2"/>
            <w:tcBorders>
              <w:top w:val="nil"/>
              <w:left w:val="nil"/>
              <w:bottom w:val="nil"/>
              <w:right w:val="nil"/>
            </w:tcBorders>
            <w:vAlign w:val="center"/>
          </w:tcPr>
          <w:p w14:paraId="062201CC"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1200" w:type="dxa"/>
            <w:tcBorders>
              <w:top w:val="nil"/>
              <w:left w:val="nil"/>
              <w:bottom w:val="nil"/>
              <w:right w:val="nil"/>
            </w:tcBorders>
            <w:vAlign w:val="center"/>
          </w:tcPr>
          <w:p w14:paraId="61ABA2A9"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3</w:t>
            </w:r>
          </w:p>
        </w:tc>
        <w:tc>
          <w:tcPr>
            <w:tcW w:w="1201" w:type="dxa"/>
            <w:tcBorders>
              <w:top w:val="nil"/>
              <w:left w:val="nil"/>
              <w:bottom w:val="nil"/>
              <w:right w:val="nil"/>
            </w:tcBorders>
            <w:vAlign w:val="center"/>
          </w:tcPr>
          <w:p w14:paraId="108C060A"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6</w:t>
            </w:r>
          </w:p>
        </w:tc>
        <w:tc>
          <w:tcPr>
            <w:tcW w:w="775" w:type="dxa"/>
            <w:tcBorders>
              <w:top w:val="nil"/>
              <w:left w:val="nil"/>
              <w:bottom w:val="nil"/>
              <w:right w:val="nil"/>
            </w:tcBorders>
            <w:vAlign w:val="center"/>
          </w:tcPr>
          <w:p w14:paraId="66D05C89"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20 </w:t>
            </w:r>
            <w:r w:rsidRPr="0049188B">
              <w:rPr>
                <w:rFonts w:cs="Arial"/>
                <w:color w:val="000000" w:themeColor="text1"/>
                <w:sz w:val="18"/>
                <w:shd w:val="clear" w:color="auto" w:fill="FFFFFF"/>
              </w:rPr>
              <w:t>%</w:t>
            </w:r>
          </w:p>
        </w:tc>
      </w:tr>
      <w:tr w:rsidR="008B27A0" w:rsidRPr="004538A2" w14:paraId="41A0B571" w14:textId="77777777" w:rsidTr="004B3AED">
        <w:trPr>
          <w:trHeight w:val="323"/>
        </w:trPr>
        <w:tc>
          <w:tcPr>
            <w:tcW w:w="3036" w:type="dxa"/>
            <w:tcBorders>
              <w:top w:val="nil"/>
              <w:left w:val="nil"/>
              <w:bottom w:val="nil"/>
              <w:right w:val="nil"/>
            </w:tcBorders>
            <w:vAlign w:val="center"/>
          </w:tcPr>
          <w:p w14:paraId="203F3C88"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Illicit drugs</w:t>
            </w:r>
          </w:p>
        </w:tc>
        <w:tc>
          <w:tcPr>
            <w:tcW w:w="1200" w:type="dxa"/>
            <w:tcBorders>
              <w:top w:val="nil"/>
              <w:left w:val="nil"/>
              <w:bottom w:val="nil"/>
              <w:right w:val="nil"/>
            </w:tcBorders>
            <w:vAlign w:val="center"/>
          </w:tcPr>
          <w:p w14:paraId="3501E4C7"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4</w:t>
            </w:r>
          </w:p>
        </w:tc>
        <w:tc>
          <w:tcPr>
            <w:tcW w:w="1201" w:type="dxa"/>
            <w:gridSpan w:val="2"/>
            <w:tcBorders>
              <w:top w:val="nil"/>
              <w:left w:val="nil"/>
              <w:bottom w:val="nil"/>
              <w:right w:val="nil"/>
            </w:tcBorders>
            <w:vAlign w:val="center"/>
          </w:tcPr>
          <w:p w14:paraId="24B2890D"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6</w:t>
            </w:r>
          </w:p>
        </w:tc>
        <w:tc>
          <w:tcPr>
            <w:tcW w:w="1200" w:type="dxa"/>
            <w:tcBorders>
              <w:top w:val="nil"/>
              <w:left w:val="nil"/>
              <w:bottom w:val="nil"/>
              <w:right w:val="nil"/>
            </w:tcBorders>
            <w:vAlign w:val="center"/>
          </w:tcPr>
          <w:p w14:paraId="70407AA2"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5</w:t>
            </w:r>
          </w:p>
        </w:tc>
        <w:tc>
          <w:tcPr>
            <w:tcW w:w="1201" w:type="dxa"/>
            <w:tcBorders>
              <w:top w:val="nil"/>
              <w:left w:val="nil"/>
              <w:bottom w:val="nil"/>
              <w:right w:val="nil"/>
            </w:tcBorders>
            <w:vAlign w:val="center"/>
          </w:tcPr>
          <w:p w14:paraId="74AD7A8E"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15</w:t>
            </w:r>
          </w:p>
        </w:tc>
        <w:tc>
          <w:tcPr>
            <w:tcW w:w="775" w:type="dxa"/>
            <w:tcBorders>
              <w:top w:val="nil"/>
              <w:left w:val="nil"/>
              <w:bottom w:val="nil"/>
              <w:right w:val="nil"/>
            </w:tcBorders>
            <w:vAlign w:val="center"/>
          </w:tcPr>
          <w:p w14:paraId="3E439465"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50 </w:t>
            </w:r>
            <w:r w:rsidRPr="0049188B">
              <w:rPr>
                <w:rFonts w:cs="Arial"/>
                <w:color w:val="000000" w:themeColor="text1"/>
                <w:sz w:val="18"/>
                <w:shd w:val="clear" w:color="auto" w:fill="FFFFFF"/>
              </w:rPr>
              <w:t>%</w:t>
            </w:r>
          </w:p>
        </w:tc>
      </w:tr>
      <w:tr w:rsidR="008B27A0" w:rsidRPr="004538A2" w14:paraId="7E79F7F0" w14:textId="77777777" w:rsidTr="004B3AED">
        <w:trPr>
          <w:trHeight w:val="323"/>
        </w:trPr>
        <w:tc>
          <w:tcPr>
            <w:tcW w:w="3036" w:type="dxa"/>
            <w:tcBorders>
              <w:top w:val="nil"/>
              <w:left w:val="nil"/>
              <w:bottom w:val="nil"/>
              <w:right w:val="nil"/>
            </w:tcBorders>
            <w:vAlign w:val="center"/>
          </w:tcPr>
          <w:p w14:paraId="4D5D8638" w14:textId="77777777" w:rsidR="008B27A0" w:rsidRPr="00EA503E" w:rsidRDefault="008B27A0" w:rsidP="004B3AED">
            <w:pPr>
              <w:spacing w:before="120" w:after="120"/>
              <w:rPr>
                <w:rFonts w:cs="Arial"/>
                <w:b/>
                <w:color w:val="000000" w:themeColor="text1"/>
                <w:shd w:val="clear" w:color="auto" w:fill="FFFFFF"/>
              </w:rPr>
            </w:pPr>
            <w:r w:rsidRPr="00EA503E">
              <w:rPr>
                <w:rFonts w:cs="Arial"/>
                <w:b/>
                <w:color w:val="000000" w:themeColor="text1"/>
                <w:shd w:val="clear" w:color="auto" w:fill="FFFFFF"/>
              </w:rPr>
              <w:t>Friends</w:t>
            </w:r>
            <w:r>
              <w:rPr>
                <w:rFonts w:cs="Arial"/>
                <w:b/>
                <w:color w:val="000000" w:themeColor="text1"/>
                <w:shd w:val="clear" w:color="auto" w:fill="FFFFFF"/>
              </w:rPr>
              <w:t>’</w:t>
            </w:r>
            <w:r w:rsidRPr="00EA503E">
              <w:rPr>
                <w:rFonts w:cs="Arial"/>
                <w:b/>
                <w:color w:val="000000" w:themeColor="text1"/>
                <w:shd w:val="clear" w:color="auto" w:fill="FFFFFF"/>
              </w:rPr>
              <w:t xml:space="preserve"> drug use</w:t>
            </w:r>
          </w:p>
        </w:tc>
        <w:tc>
          <w:tcPr>
            <w:tcW w:w="1200" w:type="dxa"/>
            <w:tcBorders>
              <w:top w:val="nil"/>
              <w:left w:val="nil"/>
              <w:bottom w:val="nil"/>
              <w:right w:val="nil"/>
            </w:tcBorders>
            <w:vAlign w:val="center"/>
          </w:tcPr>
          <w:p w14:paraId="17F2E7D7" w14:textId="77777777" w:rsidR="008B27A0" w:rsidRPr="004538A2" w:rsidRDefault="008B27A0" w:rsidP="004B3AED">
            <w:pPr>
              <w:spacing w:before="120" w:after="120"/>
              <w:rPr>
                <w:rFonts w:cs="Arial"/>
                <w:color w:val="000000" w:themeColor="text1"/>
                <w:shd w:val="clear" w:color="auto" w:fill="FFFFFF"/>
              </w:rPr>
            </w:pPr>
          </w:p>
        </w:tc>
        <w:tc>
          <w:tcPr>
            <w:tcW w:w="1201" w:type="dxa"/>
            <w:gridSpan w:val="2"/>
            <w:tcBorders>
              <w:top w:val="nil"/>
              <w:left w:val="nil"/>
              <w:bottom w:val="nil"/>
              <w:right w:val="nil"/>
            </w:tcBorders>
            <w:vAlign w:val="center"/>
          </w:tcPr>
          <w:p w14:paraId="5CB4E03F" w14:textId="77777777" w:rsidR="008B27A0" w:rsidRPr="004538A2" w:rsidRDefault="008B27A0" w:rsidP="004B3AED">
            <w:pPr>
              <w:spacing w:before="120" w:after="120"/>
              <w:rPr>
                <w:rFonts w:cs="Arial"/>
                <w:color w:val="000000" w:themeColor="text1"/>
                <w:shd w:val="clear" w:color="auto" w:fill="FFFFFF"/>
              </w:rPr>
            </w:pPr>
          </w:p>
        </w:tc>
        <w:tc>
          <w:tcPr>
            <w:tcW w:w="1200" w:type="dxa"/>
            <w:tcBorders>
              <w:top w:val="nil"/>
              <w:left w:val="nil"/>
              <w:bottom w:val="nil"/>
              <w:right w:val="nil"/>
            </w:tcBorders>
            <w:vAlign w:val="center"/>
          </w:tcPr>
          <w:p w14:paraId="220BB31F" w14:textId="77777777" w:rsidR="008B27A0" w:rsidRPr="004538A2" w:rsidRDefault="008B27A0" w:rsidP="004B3AED">
            <w:pPr>
              <w:spacing w:before="120" w:after="120"/>
              <w:rPr>
                <w:rFonts w:cs="Arial"/>
                <w:color w:val="000000" w:themeColor="text1"/>
                <w:shd w:val="clear" w:color="auto" w:fill="FFFFFF"/>
              </w:rPr>
            </w:pPr>
          </w:p>
        </w:tc>
        <w:tc>
          <w:tcPr>
            <w:tcW w:w="1201" w:type="dxa"/>
            <w:tcBorders>
              <w:top w:val="nil"/>
              <w:left w:val="nil"/>
              <w:bottom w:val="nil"/>
              <w:right w:val="nil"/>
            </w:tcBorders>
            <w:vAlign w:val="center"/>
          </w:tcPr>
          <w:p w14:paraId="35E364C2" w14:textId="77777777" w:rsidR="008B27A0" w:rsidRPr="0049188B" w:rsidRDefault="008B27A0" w:rsidP="004B3AED">
            <w:pPr>
              <w:spacing w:before="120" w:after="120"/>
              <w:rPr>
                <w:rFonts w:cs="Arial"/>
                <w:color w:val="000000" w:themeColor="text1"/>
                <w:shd w:val="clear" w:color="auto" w:fill="FFFFFF"/>
              </w:rPr>
            </w:pPr>
          </w:p>
        </w:tc>
        <w:tc>
          <w:tcPr>
            <w:tcW w:w="775" w:type="dxa"/>
            <w:tcBorders>
              <w:top w:val="nil"/>
              <w:left w:val="nil"/>
              <w:bottom w:val="nil"/>
              <w:right w:val="nil"/>
            </w:tcBorders>
            <w:vAlign w:val="center"/>
          </w:tcPr>
          <w:p w14:paraId="6F9D3EAA" w14:textId="77777777" w:rsidR="008B27A0" w:rsidRPr="0049188B" w:rsidRDefault="008B27A0" w:rsidP="004B3AED">
            <w:pPr>
              <w:spacing w:before="120" w:after="120"/>
              <w:rPr>
                <w:rFonts w:cs="Arial"/>
                <w:color w:val="000000" w:themeColor="text1"/>
                <w:shd w:val="clear" w:color="auto" w:fill="FFFFFF"/>
              </w:rPr>
            </w:pPr>
          </w:p>
        </w:tc>
      </w:tr>
      <w:tr w:rsidR="008B27A0" w:rsidRPr="004538A2" w14:paraId="29C812B9" w14:textId="77777777" w:rsidTr="004B3AED">
        <w:trPr>
          <w:trHeight w:val="323"/>
        </w:trPr>
        <w:tc>
          <w:tcPr>
            <w:tcW w:w="3036" w:type="dxa"/>
            <w:tcBorders>
              <w:top w:val="nil"/>
              <w:left w:val="nil"/>
              <w:bottom w:val="nil"/>
              <w:right w:val="nil"/>
            </w:tcBorders>
            <w:vAlign w:val="center"/>
          </w:tcPr>
          <w:p w14:paraId="2829BFE1"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NPS</w:t>
            </w:r>
          </w:p>
        </w:tc>
        <w:tc>
          <w:tcPr>
            <w:tcW w:w="1200" w:type="dxa"/>
            <w:tcBorders>
              <w:top w:val="nil"/>
              <w:left w:val="nil"/>
              <w:bottom w:val="nil"/>
              <w:right w:val="nil"/>
            </w:tcBorders>
            <w:vAlign w:val="center"/>
          </w:tcPr>
          <w:p w14:paraId="64B2E0CB"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6</w:t>
            </w:r>
          </w:p>
        </w:tc>
        <w:tc>
          <w:tcPr>
            <w:tcW w:w="1201" w:type="dxa"/>
            <w:gridSpan w:val="2"/>
            <w:tcBorders>
              <w:top w:val="nil"/>
              <w:left w:val="nil"/>
              <w:bottom w:val="nil"/>
              <w:right w:val="nil"/>
            </w:tcBorders>
            <w:vAlign w:val="center"/>
          </w:tcPr>
          <w:p w14:paraId="3D66C594"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4</w:t>
            </w:r>
          </w:p>
        </w:tc>
        <w:tc>
          <w:tcPr>
            <w:tcW w:w="1200" w:type="dxa"/>
            <w:tcBorders>
              <w:top w:val="nil"/>
              <w:left w:val="nil"/>
              <w:bottom w:val="nil"/>
              <w:right w:val="nil"/>
            </w:tcBorders>
            <w:vAlign w:val="center"/>
          </w:tcPr>
          <w:p w14:paraId="2AB6A5F2"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7</w:t>
            </w:r>
          </w:p>
        </w:tc>
        <w:tc>
          <w:tcPr>
            <w:tcW w:w="1201" w:type="dxa"/>
            <w:tcBorders>
              <w:top w:val="nil"/>
              <w:left w:val="nil"/>
              <w:bottom w:val="nil"/>
              <w:right w:val="nil"/>
            </w:tcBorders>
            <w:vAlign w:val="center"/>
          </w:tcPr>
          <w:p w14:paraId="3C08ECF6"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17</w:t>
            </w:r>
          </w:p>
        </w:tc>
        <w:tc>
          <w:tcPr>
            <w:tcW w:w="775" w:type="dxa"/>
            <w:tcBorders>
              <w:top w:val="nil"/>
              <w:left w:val="nil"/>
              <w:bottom w:val="nil"/>
              <w:right w:val="nil"/>
            </w:tcBorders>
            <w:vAlign w:val="center"/>
          </w:tcPr>
          <w:p w14:paraId="3D776E1D"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57 </w:t>
            </w:r>
            <w:r w:rsidRPr="0049188B">
              <w:rPr>
                <w:rFonts w:cs="Arial"/>
                <w:color w:val="000000" w:themeColor="text1"/>
                <w:sz w:val="18"/>
                <w:shd w:val="clear" w:color="auto" w:fill="FFFFFF"/>
              </w:rPr>
              <w:t>%</w:t>
            </w:r>
          </w:p>
        </w:tc>
      </w:tr>
      <w:tr w:rsidR="008B27A0" w:rsidRPr="004538A2" w14:paraId="626B36B4" w14:textId="77777777" w:rsidTr="004B3AED">
        <w:trPr>
          <w:trHeight w:val="323"/>
        </w:trPr>
        <w:tc>
          <w:tcPr>
            <w:tcW w:w="3036" w:type="dxa"/>
            <w:tcBorders>
              <w:top w:val="nil"/>
              <w:left w:val="nil"/>
              <w:bottom w:val="single" w:sz="4" w:space="0" w:color="auto"/>
              <w:right w:val="nil"/>
            </w:tcBorders>
            <w:vAlign w:val="center"/>
          </w:tcPr>
          <w:p w14:paraId="7B8301EB"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Illicit drugs</w:t>
            </w:r>
          </w:p>
        </w:tc>
        <w:tc>
          <w:tcPr>
            <w:tcW w:w="1200" w:type="dxa"/>
            <w:tcBorders>
              <w:top w:val="nil"/>
              <w:left w:val="nil"/>
              <w:bottom w:val="single" w:sz="4" w:space="0" w:color="auto"/>
              <w:right w:val="nil"/>
            </w:tcBorders>
            <w:vAlign w:val="center"/>
          </w:tcPr>
          <w:p w14:paraId="6BED95D8"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8</w:t>
            </w:r>
          </w:p>
        </w:tc>
        <w:tc>
          <w:tcPr>
            <w:tcW w:w="1201" w:type="dxa"/>
            <w:gridSpan w:val="2"/>
            <w:tcBorders>
              <w:top w:val="nil"/>
              <w:left w:val="nil"/>
              <w:bottom w:val="single" w:sz="4" w:space="0" w:color="auto"/>
              <w:right w:val="nil"/>
            </w:tcBorders>
            <w:vAlign w:val="center"/>
          </w:tcPr>
          <w:p w14:paraId="149A7AE1"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7</w:t>
            </w:r>
          </w:p>
        </w:tc>
        <w:tc>
          <w:tcPr>
            <w:tcW w:w="1200" w:type="dxa"/>
            <w:tcBorders>
              <w:top w:val="nil"/>
              <w:left w:val="nil"/>
              <w:bottom w:val="single" w:sz="4" w:space="0" w:color="auto"/>
              <w:right w:val="nil"/>
            </w:tcBorders>
            <w:vAlign w:val="center"/>
          </w:tcPr>
          <w:p w14:paraId="0568C383" w14:textId="77777777" w:rsidR="008B27A0" w:rsidRPr="004538A2" w:rsidRDefault="008B27A0" w:rsidP="004B3AED">
            <w:pPr>
              <w:spacing w:before="120" w:after="120"/>
              <w:rPr>
                <w:rFonts w:cs="Arial"/>
                <w:color w:val="000000" w:themeColor="text1"/>
                <w:shd w:val="clear" w:color="auto" w:fill="FFFFFF"/>
              </w:rPr>
            </w:pPr>
            <w:r w:rsidRPr="004538A2">
              <w:rPr>
                <w:rFonts w:cs="Arial"/>
                <w:color w:val="000000" w:themeColor="text1"/>
                <w:shd w:val="clear" w:color="auto" w:fill="FFFFFF"/>
              </w:rPr>
              <w:t>10</w:t>
            </w:r>
          </w:p>
        </w:tc>
        <w:tc>
          <w:tcPr>
            <w:tcW w:w="1201" w:type="dxa"/>
            <w:tcBorders>
              <w:top w:val="nil"/>
              <w:left w:val="nil"/>
              <w:bottom w:val="single" w:sz="4" w:space="0" w:color="auto"/>
              <w:right w:val="nil"/>
            </w:tcBorders>
            <w:vAlign w:val="center"/>
          </w:tcPr>
          <w:p w14:paraId="1F212DCB"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25</w:t>
            </w:r>
          </w:p>
        </w:tc>
        <w:tc>
          <w:tcPr>
            <w:tcW w:w="775" w:type="dxa"/>
            <w:tcBorders>
              <w:top w:val="nil"/>
              <w:left w:val="nil"/>
              <w:bottom w:val="single" w:sz="4" w:space="0" w:color="auto"/>
              <w:right w:val="nil"/>
            </w:tcBorders>
            <w:vAlign w:val="center"/>
          </w:tcPr>
          <w:p w14:paraId="56E676DF" w14:textId="77777777" w:rsidR="008B27A0" w:rsidRPr="0049188B" w:rsidRDefault="008B27A0" w:rsidP="004B3AED">
            <w:pPr>
              <w:spacing w:before="120" w:after="120"/>
              <w:rPr>
                <w:rFonts w:cs="Arial"/>
                <w:color w:val="000000" w:themeColor="text1"/>
                <w:shd w:val="clear" w:color="auto" w:fill="FFFFFF"/>
              </w:rPr>
            </w:pPr>
            <w:r w:rsidRPr="0049188B">
              <w:rPr>
                <w:rFonts w:cs="Arial"/>
                <w:color w:val="000000" w:themeColor="text1"/>
                <w:shd w:val="clear" w:color="auto" w:fill="FFFFFF"/>
              </w:rPr>
              <w:t xml:space="preserve">83 </w:t>
            </w:r>
            <w:r w:rsidRPr="0049188B">
              <w:rPr>
                <w:rFonts w:cs="Arial"/>
                <w:color w:val="000000" w:themeColor="text1"/>
                <w:sz w:val="18"/>
                <w:shd w:val="clear" w:color="auto" w:fill="FFFFFF"/>
              </w:rPr>
              <w:t>%</w:t>
            </w:r>
          </w:p>
        </w:tc>
      </w:tr>
    </w:tbl>
    <w:p w14:paraId="461E9499" w14:textId="1A21C3AB" w:rsidR="008B27A0" w:rsidRPr="006B7E73" w:rsidRDefault="008B27A0" w:rsidP="008B27A0">
      <w:pPr>
        <w:pStyle w:val="Heading3"/>
        <w:rPr>
          <w:rStyle w:val="Heading3Char"/>
          <w:b/>
          <w:bCs/>
        </w:rPr>
      </w:pPr>
      <w:bookmarkStart w:id="411" w:name="_Toc35892678"/>
      <w:r w:rsidRPr="006B7E73">
        <w:rPr>
          <w:rStyle w:val="Heading3Char"/>
          <w:b/>
          <w:bCs/>
        </w:rPr>
        <w:t>Substances</w:t>
      </w:r>
      <w:bookmarkEnd w:id="411"/>
    </w:p>
    <w:p w14:paraId="1E377911" w14:textId="77777777" w:rsidR="008B27A0" w:rsidRPr="00296D05" w:rsidRDefault="008B27A0" w:rsidP="008B27A0">
      <w:pPr>
        <w:spacing w:line="480" w:lineRule="auto"/>
        <w:rPr>
          <w:b/>
        </w:rPr>
      </w:pPr>
      <w:r>
        <w:t>The y</w:t>
      </w:r>
      <w:r w:rsidRPr="00B6156B">
        <w:t>oung people</w:t>
      </w:r>
      <w:r>
        <w:t xml:space="preserve"> in the focus groups generally referred to NPS as legal highs, consistent with the wording used in the questions. However, the following substances were named spontaneously by participants: synthetic cannabinoids; spice, black mamba, clockwork orange and Michael Jordan; synthetic cathinones; mephedrone and bath salts; and the inhalant gas nitrous oxide.</w:t>
      </w:r>
    </w:p>
    <w:p w14:paraId="512C3F97" w14:textId="77777777" w:rsidR="008B27A0" w:rsidRDefault="008B27A0" w:rsidP="008B27A0">
      <w:pPr>
        <w:pStyle w:val="Heading3"/>
      </w:pPr>
      <w:bookmarkStart w:id="412" w:name="_Toc35892679"/>
      <w:bookmarkStart w:id="413" w:name="_Hlk8049067"/>
      <w:r w:rsidRPr="00EB0610">
        <w:t>Data analysis</w:t>
      </w:r>
      <w:bookmarkEnd w:id="412"/>
      <w:r w:rsidRPr="00EB0610">
        <w:t xml:space="preserve"> </w:t>
      </w:r>
    </w:p>
    <w:p w14:paraId="29906976" w14:textId="77777777" w:rsidR="008B27A0" w:rsidRDefault="008B27A0" w:rsidP="008B27A0">
      <w:pPr>
        <w:spacing w:line="480" w:lineRule="auto"/>
        <w:rPr>
          <w:rStyle w:val="ThesismaintextChar"/>
        </w:rPr>
      </w:pPr>
      <w:r>
        <w:rPr>
          <w:rStyle w:val="ThesismaintextChar"/>
        </w:rPr>
        <w:t>A four-step t</w:t>
      </w:r>
      <w:r w:rsidRPr="00D34DFB">
        <w:rPr>
          <w:rStyle w:val="ThesismaintextChar"/>
        </w:rPr>
        <w:t xml:space="preserve">hematic analysis </w:t>
      </w:r>
      <w:r>
        <w:rPr>
          <w:rStyle w:val="ThesismaintextChar"/>
        </w:rPr>
        <w:t>procedure was</w:t>
      </w:r>
      <w:r w:rsidRPr="00D34DFB">
        <w:rPr>
          <w:rStyle w:val="ThesismaintextChar"/>
        </w:rPr>
        <w:t xml:space="preserve"> used to organise and interpret the data</w:t>
      </w:r>
      <w:r>
        <w:rPr>
          <w:rStyle w:val="ThesismaintextChar"/>
        </w:rPr>
        <w:t xml:space="preserve"> as described in section 4.7 in Chapter 4. </w:t>
      </w:r>
    </w:p>
    <w:p w14:paraId="242A9309" w14:textId="6A3A92F9" w:rsidR="008B27A0" w:rsidRDefault="008B27A0" w:rsidP="008B27A0">
      <w:pPr>
        <w:spacing w:line="480" w:lineRule="auto"/>
      </w:pPr>
      <w:r>
        <w:t>In the first and second steps,</w:t>
      </w:r>
      <w:r w:rsidRPr="0054550A">
        <w:t xml:space="preserve"> </w:t>
      </w:r>
      <w:r>
        <w:t>750</w:t>
      </w:r>
      <w:r w:rsidRPr="0054550A">
        <w:t xml:space="preserve"> </w:t>
      </w:r>
      <w:r>
        <w:t>meaningful statements</w:t>
      </w:r>
      <w:r w:rsidRPr="0054550A">
        <w:t xml:space="preserve"> were </w:t>
      </w:r>
      <w:r>
        <w:t xml:space="preserve">identified within the focus group transcripts which were analysed and coded into 343 basic themes.  In the third step, the basic themes were further consolidated into organising themes. </w:t>
      </w:r>
      <w:r>
        <w:rPr>
          <w:color w:val="000000"/>
        </w:rPr>
        <w:t>At this stage</w:t>
      </w:r>
      <w:r w:rsidR="0012086A">
        <w:rPr>
          <w:color w:val="000000"/>
        </w:rPr>
        <w:t>,</w:t>
      </w:r>
      <w:r>
        <w:rPr>
          <w:color w:val="000000"/>
        </w:rPr>
        <w:t xml:space="preserve"> a second coder assessed the grouping of basic themes into the organising themes. Initial agreement was 81% following which both coders then discussed the differences in coding until a consensus was reached. The final coding structure comprised</w:t>
      </w:r>
      <w:r w:rsidR="0012086A">
        <w:rPr>
          <w:color w:val="000000"/>
        </w:rPr>
        <w:t xml:space="preserve"> of</w:t>
      </w:r>
      <w:r>
        <w:rPr>
          <w:color w:val="000000"/>
        </w:rPr>
        <w:t xml:space="preserve"> 52 </w:t>
      </w:r>
      <w:r>
        <w:t>organising themes</w:t>
      </w:r>
      <w:r>
        <w:rPr>
          <w:color w:val="000000"/>
        </w:rPr>
        <w:t>.</w:t>
      </w:r>
      <w:r w:rsidRPr="00AC0000">
        <w:rPr>
          <w:color w:val="000000"/>
        </w:rPr>
        <w:t xml:space="preserve"> </w:t>
      </w:r>
      <w:r>
        <w:t xml:space="preserve">Of these themes, 33 were assessed as encouraging use of NPS, while 19 were assessed as discouraging use of NPS. </w:t>
      </w:r>
      <w:r>
        <w:rPr>
          <w:color w:val="000000"/>
        </w:rPr>
        <w:t xml:space="preserve">In the fourth step, an initial pass yielded five global themes. However, it was decided that the level of abstraction was too great, and the data was being oversimplified. A second pass produced 9 global themes which were assessed by the second coder. A consensus was reached after an additional global theme was included to account for statements which were presented as relative to use of traditional illicit drugs rather than oriented toward NPS use or abstinence. This brought the final number of global themes to 10, </w:t>
      </w:r>
      <w:r>
        <w:t xml:space="preserve">all of which were represented in the set of statements encouraging use of NPS, while 7 were represented among the statements discouraging use. </w:t>
      </w:r>
    </w:p>
    <w:p w14:paraId="10577878" w14:textId="77777777" w:rsidR="008B27A0" w:rsidRDefault="008B27A0" w:rsidP="008B27A0">
      <w:pPr>
        <w:pStyle w:val="Heading4"/>
      </w:pPr>
      <w:r>
        <w:t>Basic themes</w:t>
      </w:r>
    </w:p>
    <w:p w14:paraId="06B54FEA" w14:textId="639BA45F" w:rsidR="008B27A0" w:rsidRDefault="008B27A0" w:rsidP="008B27A0">
      <w:pPr>
        <w:spacing w:line="480" w:lineRule="auto"/>
        <w:rPr>
          <w:color w:val="000000"/>
        </w:rPr>
      </w:pPr>
      <w:r>
        <w:rPr>
          <w:color w:val="000000"/>
        </w:rPr>
        <w:t xml:space="preserve">A detailed description of which basic themes are included under each organising theme and global theme is shown in Appendix </w:t>
      </w:r>
      <w:r w:rsidR="00603E9F">
        <w:rPr>
          <w:color w:val="000000"/>
        </w:rPr>
        <w:t>B</w:t>
      </w:r>
      <w:r>
        <w:rPr>
          <w:color w:val="000000"/>
        </w:rPr>
        <w:t xml:space="preserve">. </w:t>
      </w:r>
    </w:p>
    <w:bookmarkEnd w:id="413"/>
    <w:p w14:paraId="74C77FF3" w14:textId="77777777" w:rsidR="008B27A0" w:rsidRDefault="008B27A0" w:rsidP="008B27A0">
      <w:pPr>
        <w:pStyle w:val="Heading4"/>
      </w:pPr>
      <w:r>
        <w:t>Global themes and organising themes</w:t>
      </w:r>
    </w:p>
    <w:p w14:paraId="2484731B" w14:textId="4BCF0685" w:rsidR="008B27A0" w:rsidRDefault="008B27A0" w:rsidP="008B27A0">
      <w:pPr>
        <w:spacing w:line="480" w:lineRule="auto"/>
        <w:rPr>
          <w:color w:val="000000"/>
        </w:rPr>
      </w:pPr>
      <w:r w:rsidRPr="00735864">
        <w:rPr>
          <w:color w:val="000000"/>
        </w:rPr>
        <w:t>Table</w:t>
      </w:r>
      <w:r w:rsidR="005C05C1">
        <w:rPr>
          <w:color w:val="000000"/>
        </w:rPr>
        <w:t xml:space="preserve"> </w:t>
      </w:r>
      <w:r w:rsidR="00735864" w:rsidRPr="00735864">
        <w:t>6-</w:t>
      </w:r>
      <w:r w:rsidRPr="00735864">
        <w:rPr>
          <w:color w:val="000000"/>
        </w:rPr>
        <w:t xml:space="preserve">3 </w:t>
      </w:r>
      <w:r>
        <w:rPr>
          <w:color w:val="000000"/>
        </w:rPr>
        <w:t>show</w:t>
      </w:r>
      <w:r w:rsidR="005C05C1">
        <w:rPr>
          <w:color w:val="000000"/>
        </w:rPr>
        <w:t>s</w:t>
      </w:r>
      <w:r>
        <w:rPr>
          <w:color w:val="000000"/>
        </w:rPr>
        <w:t xml:space="preserve"> the global themes in rank order according to their</w:t>
      </w:r>
      <w:r w:rsidR="005C05C1">
        <w:rPr>
          <w:color w:val="000000"/>
        </w:rPr>
        <w:t xml:space="preserve"> overall</w:t>
      </w:r>
      <w:r>
        <w:rPr>
          <w:color w:val="000000"/>
        </w:rPr>
        <w:t xml:space="preserve"> frequency of expression within participants</w:t>
      </w:r>
      <w:r w:rsidR="005C05C1">
        <w:rPr>
          <w:color w:val="000000"/>
        </w:rPr>
        <w:t>’</w:t>
      </w:r>
      <w:r>
        <w:rPr>
          <w:color w:val="000000"/>
        </w:rPr>
        <w:t xml:space="preserve"> discussions.</w:t>
      </w:r>
      <w:r w:rsidR="005C05C1">
        <w:rPr>
          <w:color w:val="000000"/>
        </w:rPr>
        <w:t xml:space="preserve"> Tables</w:t>
      </w:r>
      <w:r>
        <w:rPr>
          <w:color w:val="000000"/>
        </w:rPr>
        <w:t xml:space="preserve"> </w:t>
      </w:r>
      <w:r w:rsidR="005C05C1" w:rsidRPr="00735864">
        <w:t>6-</w:t>
      </w:r>
      <w:r w:rsidR="005C05C1" w:rsidRPr="00735864">
        <w:rPr>
          <w:color w:val="000000"/>
        </w:rPr>
        <w:t xml:space="preserve">4 and </w:t>
      </w:r>
      <w:r w:rsidR="005C05C1" w:rsidRPr="00735864">
        <w:t>6-</w:t>
      </w:r>
      <w:r w:rsidR="005C05C1" w:rsidRPr="00735864">
        <w:rPr>
          <w:color w:val="000000"/>
        </w:rPr>
        <w:t>5</w:t>
      </w:r>
      <w:r w:rsidR="005C05C1">
        <w:rPr>
          <w:color w:val="000000"/>
        </w:rPr>
        <w:t xml:space="preserve"> show separately the frequencies and ranking for reasons encouraging use and reasons discouraging use of NPS. </w:t>
      </w:r>
      <w:r>
        <w:rPr>
          <w:color w:val="000000"/>
        </w:rPr>
        <w:t>Frequency is shown by the number of individual meaningful statements referencing each global theme, and the percentage coverage presents this as a proportion of the total number of meaningful statements coded (</w:t>
      </w:r>
      <w:r w:rsidRPr="00B2322E">
        <w:rPr>
          <w:i/>
          <w:color w:val="000000"/>
        </w:rPr>
        <w:t>n</w:t>
      </w:r>
      <w:r>
        <w:rPr>
          <w:color w:val="000000"/>
        </w:rPr>
        <w:t xml:space="preserve"> = 750). </w:t>
      </w:r>
    </w:p>
    <w:p w14:paraId="0840A6F5" w14:textId="4C6BA160" w:rsidR="008B27A0" w:rsidRPr="004B3AED" w:rsidRDefault="008B27A0" w:rsidP="004B3AED">
      <w:pPr>
        <w:pStyle w:val="TableHeader"/>
        <w:rPr>
          <w:b/>
          <w:color w:val="000000"/>
        </w:rPr>
      </w:pPr>
      <w:bookmarkStart w:id="414" w:name="_Toc9509068"/>
      <w:r w:rsidRPr="004B3AED">
        <w:rPr>
          <w:b/>
        </w:rPr>
        <w:t xml:space="preserve">Table </w:t>
      </w:r>
      <w:r w:rsidR="00735864">
        <w:rPr>
          <w:b/>
        </w:rPr>
        <w:t>6-</w:t>
      </w:r>
      <w:r w:rsidRPr="004B3AED">
        <w:rPr>
          <w:b/>
        </w:rPr>
        <w:t>3. Global themes: Reasons and motives for and against NPS use</w:t>
      </w:r>
      <w:bookmarkEnd w:id="414"/>
      <w:r w:rsidRPr="004B3AED">
        <w:rPr>
          <w:b/>
        </w:rPr>
        <w:t xml:space="preserve"> </w:t>
      </w:r>
    </w:p>
    <w:tbl>
      <w:tblPr>
        <w:tblW w:w="9039" w:type="dxa"/>
        <w:tblLayout w:type="fixed"/>
        <w:tblLook w:val="04A0" w:firstRow="1" w:lastRow="0" w:firstColumn="1" w:lastColumn="0" w:noHBand="0" w:noVBand="1"/>
      </w:tblPr>
      <w:tblGrid>
        <w:gridCol w:w="817"/>
        <w:gridCol w:w="3544"/>
        <w:gridCol w:w="142"/>
        <w:gridCol w:w="1559"/>
        <w:gridCol w:w="850"/>
        <w:gridCol w:w="1418"/>
        <w:gridCol w:w="709"/>
      </w:tblGrid>
      <w:tr w:rsidR="008B27A0" w:rsidRPr="00F57153" w14:paraId="007DD5CD" w14:textId="77777777" w:rsidTr="004B3AED">
        <w:trPr>
          <w:trHeight w:val="628"/>
        </w:trPr>
        <w:tc>
          <w:tcPr>
            <w:tcW w:w="817" w:type="dxa"/>
            <w:tcBorders>
              <w:top w:val="single" w:sz="4" w:space="0" w:color="auto"/>
              <w:bottom w:val="single" w:sz="4" w:space="0" w:color="auto"/>
            </w:tcBorders>
            <w:vAlign w:val="center"/>
          </w:tcPr>
          <w:p w14:paraId="3351B7CE"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Rank</w:t>
            </w:r>
          </w:p>
        </w:tc>
        <w:tc>
          <w:tcPr>
            <w:tcW w:w="3686" w:type="dxa"/>
            <w:gridSpan w:val="2"/>
            <w:tcBorders>
              <w:top w:val="single" w:sz="4" w:space="0" w:color="auto"/>
              <w:bottom w:val="single" w:sz="4" w:space="0" w:color="auto"/>
            </w:tcBorders>
            <w:vAlign w:val="center"/>
          </w:tcPr>
          <w:p w14:paraId="61053985"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Theme</w:t>
            </w:r>
          </w:p>
        </w:tc>
        <w:tc>
          <w:tcPr>
            <w:tcW w:w="2409" w:type="dxa"/>
            <w:gridSpan w:val="2"/>
            <w:tcBorders>
              <w:top w:val="single" w:sz="4" w:space="0" w:color="auto"/>
              <w:bottom w:val="single" w:sz="4" w:space="0" w:color="auto"/>
            </w:tcBorders>
            <w:vAlign w:val="center"/>
          </w:tcPr>
          <w:p w14:paraId="207C7B6F"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Number of references</w:t>
            </w:r>
          </w:p>
        </w:tc>
        <w:tc>
          <w:tcPr>
            <w:tcW w:w="2127" w:type="dxa"/>
            <w:gridSpan w:val="2"/>
            <w:tcBorders>
              <w:top w:val="single" w:sz="4" w:space="0" w:color="auto"/>
              <w:bottom w:val="single" w:sz="4" w:space="0" w:color="auto"/>
            </w:tcBorders>
            <w:shd w:val="clear" w:color="auto" w:fill="auto"/>
            <w:vAlign w:val="center"/>
          </w:tcPr>
          <w:p w14:paraId="62981C2D"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 xml:space="preserve">Percentage of total </w:t>
            </w:r>
          </w:p>
        </w:tc>
      </w:tr>
      <w:tr w:rsidR="008B27A0" w:rsidRPr="00B23F3D" w14:paraId="0C66D476" w14:textId="77777777" w:rsidTr="004B3AED">
        <w:trPr>
          <w:trHeight w:val="60"/>
        </w:trPr>
        <w:tc>
          <w:tcPr>
            <w:tcW w:w="817" w:type="dxa"/>
            <w:tcBorders>
              <w:top w:val="single" w:sz="4" w:space="0" w:color="auto"/>
            </w:tcBorders>
            <w:vAlign w:val="center"/>
          </w:tcPr>
          <w:p w14:paraId="767FB8B7" w14:textId="77777777" w:rsidR="008B27A0" w:rsidRPr="00B23F3D" w:rsidRDefault="008B27A0" w:rsidP="004B3AED">
            <w:pPr>
              <w:spacing w:after="0" w:line="240" w:lineRule="auto"/>
              <w:rPr>
                <w:color w:val="000000"/>
                <w:sz w:val="6"/>
                <w:szCs w:val="6"/>
                <w:lang w:eastAsia="en-GB"/>
              </w:rPr>
            </w:pPr>
          </w:p>
        </w:tc>
        <w:tc>
          <w:tcPr>
            <w:tcW w:w="3544" w:type="dxa"/>
            <w:tcBorders>
              <w:top w:val="single" w:sz="4" w:space="0" w:color="auto"/>
            </w:tcBorders>
            <w:vAlign w:val="center"/>
          </w:tcPr>
          <w:p w14:paraId="1CDE3ADF" w14:textId="77777777" w:rsidR="008B27A0" w:rsidRPr="00B23F3D" w:rsidRDefault="008B27A0" w:rsidP="004B3AED">
            <w:pPr>
              <w:spacing w:after="0" w:line="240" w:lineRule="auto"/>
              <w:rPr>
                <w:color w:val="000000"/>
                <w:sz w:val="6"/>
                <w:szCs w:val="6"/>
                <w:lang w:eastAsia="en-GB"/>
              </w:rPr>
            </w:pPr>
          </w:p>
        </w:tc>
        <w:tc>
          <w:tcPr>
            <w:tcW w:w="1701" w:type="dxa"/>
            <w:gridSpan w:val="2"/>
            <w:tcBorders>
              <w:top w:val="single" w:sz="4" w:space="0" w:color="auto"/>
            </w:tcBorders>
            <w:vAlign w:val="center"/>
          </w:tcPr>
          <w:p w14:paraId="14853BBB" w14:textId="77777777" w:rsidR="008B27A0" w:rsidRPr="00B23F3D" w:rsidRDefault="008B27A0" w:rsidP="004B3AED">
            <w:pPr>
              <w:spacing w:after="0" w:line="240" w:lineRule="auto"/>
              <w:jc w:val="right"/>
              <w:rPr>
                <w:color w:val="000000"/>
                <w:sz w:val="6"/>
                <w:szCs w:val="6"/>
                <w:lang w:eastAsia="en-GB"/>
              </w:rPr>
            </w:pPr>
          </w:p>
        </w:tc>
        <w:tc>
          <w:tcPr>
            <w:tcW w:w="2268" w:type="dxa"/>
            <w:gridSpan w:val="2"/>
            <w:tcBorders>
              <w:top w:val="single" w:sz="4" w:space="0" w:color="auto"/>
            </w:tcBorders>
            <w:shd w:val="clear" w:color="auto" w:fill="auto"/>
            <w:vAlign w:val="center"/>
          </w:tcPr>
          <w:p w14:paraId="565129AF" w14:textId="77777777" w:rsidR="008B27A0" w:rsidRPr="00B23F3D" w:rsidRDefault="008B27A0" w:rsidP="004B3AED">
            <w:pPr>
              <w:spacing w:after="0" w:line="240" w:lineRule="auto"/>
              <w:jc w:val="right"/>
              <w:rPr>
                <w:color w:val="000000"/>
                <w:sz w:val="6"/>
                <w:szCs w:val="6"/>
                <w:lang w:eastAsia="en-GB"/>
              </w:rPr>
            </w:pPr>
          </w:p>
        </w:tc>
        <w:tc>
          <w:tcPr>
            <w:tcW w:w="709" w:type="dxa"/>
            <w:tcBorders>
              <w:top w:val="single" w:sz="4" w:space="0" w:color="auto"/>
            </w:tcBorders>
          </w:tcPr>
          <w:p w14:paraId="02B8F39F" w14:textId="77777777" w:rsidR="008B27A0" w:rsidRPr="00B23F3D" w:rsidRDefault="008B27A0" w:rsidP="004B3AED">
            <w:pPr>
              <w:spacing w:after="0" w:line="240" w:lineRule="auto"/>
              <w:jc w:val="right"/>
              <w:rPr>
                <w:color w:val="000000"/>
                <w:sz w:val="6"/>
                <w:szCs w:val="6"/>
                <w:lang w:eastAsia="en-GB"/>
              </w:rPr>
            </w:pPr>
          </w:p>
        </w:tc>
      </w:tr>
      <w:tr w:rsidR="008B27A0" w:rsidRPr="00B2469D" w14:paraId="33AB964F" w14:textId="77777777" w:rsidTr="004B3AED">
        <w:trPr>
          <w:trHeight w:val="359"/>
        </w:trPr>
        <w:tc>
          <w:tcPr>
            <w:tcW w:w="817" w:type="dxa"/>
            <w:vAlign w:val="center"/>
          </w:tcPr>
          <w:p w14:paraId="5FF16119" w14:textId="77777777" w:rsidR="008B27A0" w:rsidRPr="00F65B33" w:rsidRDefault="008B27A0" w:rsidP="004B3AED">
            <w:pPr>
              <w:spacing w:before="120" w:after="120" w:line="240" w:lineRule="auto"/>
              <w:rPr>
                <w:b/>
                <w:color w:val="000000"/>
                <w:sz w:val="20"/>
                <w:szCs w:val="24"/>
                <w:lang w:eastAsia="en-GB"/>
              </w:rPr>
            </w:pPr>
            <w:r w:rsidRPr="00F65B33">
              <w:rPr>
                <w:b/>
                <w:color w:val="000000"/>
                <w:sz w:val="20"/>
                <w:szCs w:val="24"/>
                <w:lang w:eastAsia="en-GB"/>
              </w:rPr>
              <w:t>1</w:t>
            </w:r>
            <w:r>
              <w:rPr>
                <w:b/>
                <w:color w:val="000000"/>
                <w:sz w:val="20"/>
                <w:szCs w:val="24"/>
                <w:lang w:eastAsia="en-GB"/>
              </w:rPr>
              <w:t>.</w:t>
            </w:r>
          </w:p>
        </w:tc>
        <w:tc>
          <w:tcPr>
            <w:tcW w:w="3544" w:type="dxa"/>
            <w:vAlign w:val="center"/>
          </w:tcPr>
          <w:p w14:paraId="4A26EFB0" w14:textId="77777777" w:rsidR="008B27A0" w:rsidRPr="00914809" w:rsidRDefault="008B27A0" w:rsidP="004B3AED">
            <w:pPr>
              <w:spacing w:before="120" w:after="120" w:line="240" w:lineRule="auto"/>
              <w:rPr>
                <w:color w:val="000000"/>
                <w:szCs w:val="24"/>
                <w:lang w:eastAsia="en-GB"/>
              </w:rPr>
            </w:pPr>
            <w:r>
              <w:rPr>
                <w:color w:val="000000"/>
                <w:szCs w:val="24"/>
                <w:lang w:eastAsia="en-GB"/>
              </w:rPr>
              <w:t xml:space="preserve">Risk perception </w:t>
            </w:r>
          </w:p>
        </w:tc>
        <w:tc>
          <w:tcPr>
            <w:tcW w:w="1701" w:type="dxa"/>
            <w:gridSpan w:val="2"/>
            <w:vAlign w:val="center"/>
          </w:tcPr>
          <w:p w14:paraId="52C607E8" w14:textId="77777777" w:rsidR="008B27A0" w:rsidRPr="00B23F3D" w:rsidRDefault="008B27A0" w:rsidP="004B3AED">
            <w:pPr>
              <w:spacing w:before="120" w:after="120" w:line="240" w:lineRule="auto"/>
              <w:jc w:val="right"/>
              <w:rPr>
                <w:color w:val="000000"/>
                <w:szCs w:val="24"/>
                <w:lang w:eastAsia="en-GB"/>
              </w:rPr>
            </w:pPr>
            <w:r>
              <w:rPr>
                <w:color w:val="000000"/>
                <w:szCs w:val="24"/>
                <w:lang w:eastAsia="en-GB"/>
              </w:rPr>
              <w:t>222</w:t>
            </w:r>
          </w:p>
        </w:tc>
        <w:tc>
          <w:tcPr>
            <w:tcW w:w="2268" w:type="dxa"/>
            <w:gridSpan w:val="2"/>
            <w:shd w:val="clear" w:color="auto" w:fill="auto"/>
            <w:vAlign w:val="center"/>
          </w:tcPr>
          <w:p w14:paraId="122A2860"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 xml:space="preserve">30 </w:t>
            </w:r>
            <w:r w:rsidRPr="00F65B33">
              <w:rPr>
                <w:color w:val="000000"/>
                <w:sz w:val="18"/>
                <w:szCs w:val="24"/>
                <w:lang w:eastAsia="en-GB"/>
              </w:rPr>
              <w:t>%</w:t>
            </w:r>
          </w:p>
        </w:tc>
        <w:tc>
          <w:tcPr>
            <w:tcW w:w="709" w:type="dxa"/>
          </w:tcPr>
          <w:p w14:paraId="765B9D39" w14:textId="77777777" w:rsidR="008B27A0" w:rsidRDefault="008B27A0" w:rsidP="004B3AED">
            <w:pPr>
              <w:spacing w:before="120" w:after="120" w:line="240" w:lineRule="auto"/>
              <w:jc w:val="right"/>
              <w:rPr>
                <w:color w:val="000000"/>
                <w:szCs w:val="24"/>
                <w:lang w:eastAsia="en-GB"/>
              </w:rPr>
            </w:pPr>
          </w:p>
        </w:tc>
      </w:tr>
      <w:tr w:rsidR="008B27A0" w:rsidRPr="00B2469D" w14:paraId="4ECD11EC" w14:textId="77777777" w:rsidTr="004B3AED">
        <w:trPr>
          <w:trHeight w:val="359"/>
        </w:trPr>
        <w:tc>
          <w:tcPr>
            <w:tcW w:w="817" w:type="dxa"/>
            <w:vAlign w:val="center"/>
          </w:tcPr>
          <w:p w14:paraId="58B21F40" w14:textId="77777777" w:rsidR="008B27A0" w:rsidRPr="00F65B33" w:rsidRDefault="008B27A0" w:rsidP="004B3AED">
            <w:pPr>
              <w:spacing w:before="120" w:after="120" w:line="240" w:lineRule="auto"/>
              <w:rPr>
                <w:b/>
                <w:color w:val="000000"/>
                <w:sz w:val="20"/>
                <w:szCs w:val="24"/>
                <w:lang w:eastAsia="en-GB"/>
              </w:rPr>
            </w:pPr>
            <w:r>
              <w:rPr>
                <w:b/>
                <w:color w:val="000000"/>
                <w:sz w:val="20"/>
                <w:szCs w:val="24"/>
                <w:lang w:eastAsia="en-GB"/>
              </w:rPr>
              <w:t>2.</w:t>
            </w:r>
          </w:p>
        </w:tc>
        <w:tc>
          <w:tcPr>
            <w:tcW w:w="3544" w:type="dxa"/>
            <w:vAlign w:val="center"/>
          </w:tcPr>
          <w:p w14:paraId="4465D030" w14:textId="77777777" w:rsidR="008B27A0" w:rsidRDefault="008B27A0" w:rsidP="004B3AED">
            <w:pPr>
              <w:spacing w:before="120" w:after="120" w:line="240" w:lineRule="auto"/>
              <w:rPr>
                <w:color w:val="000000"/>
                <w:szCs w:val="24"/>
                <w:lang w:eastAsia="en-GB"/>
              </w:rPr>
            </w:pPr>
            <w:r>
              <w:rPr>
                <w:color w:val="000000"/>
                <w:szCs w:val="24"/>
                <w:lang w:eastAsia="en-GB"/>
              </w:rPr>
              <w:t>Accessibility</w:t>
            </w:r>
          </w:p>
        </w:tc>
        <w:tc>
          <w:tcPr>
            <w:tcW w:w="1701" w:type="dxa"/>
            <w:gridSpan w:val="2"/>
            <w:vAlign w:val="center"/>
          </w:tcPr>
          <w:p w14:paraId="10F09789" w14:textId="77777777" w:rsidR="008B27A0" w:rsidRPr="00B23F3D" w:rsidRDefault="008B27A0" w:rsidP="004B3AED">
            <w:pPr>
              <w:spacing w:before="120" w:after="120" w:line="240" w:lineRule="auto"/>
              <w:jc w:val="right"/>
              <w:rPr>
                <w:color w:val="000000"/>
                <w:szCs w:val="24"/>
                <w:lang w:eastAsia="en-GB"/>
              </w:rPr>
            </w:pPr>
            <w:r>
              <w:rPr>
                <w:color w:val="000000"/>
                <w:szCs w:val="24"/>
                <w:lang w:eastAsia="en-GB"/>
              </w:rPr>
              <w:t>82</w:t>
            </w:r>
          </w:p>
        </w:tc>
        <w:tc>
          <w:tcPr>
            <w:tcW w:w="2268" w:type="dxa"/>
            <w:gridSpan w:val="2"/>
            <w:shd w:val="clear" w:color="auto" w:fill="auto"/>
            <w:vAlign w:val="center"/>
          </w:tcPr>
          <w:p w14:paraId="78F20AEE"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11 </w:t>
            </w:r>
            <w:r w:rsidRPr="00F65B33">
              <w:rPr>
                <w:color w:val="000000"/>
                <w:sz w:val="18"/>
                <w:szCs w:val="24"/>
                <w:lang w:eastAsia="en-GB"/>
              </w:rPr>
              <w:t>%</w:t>
            </w:r>
          </w:p>
        </w:tc>
        <w:tc>
          <w:tcPr>
            <w:tcW w:w="709" w:type="dxa"/>
          </w:tcPr>
          <w:p w14:paraId="789A3415" w14:textId="77777777" w:rsidR="008B27A0" w:rsidRDefault="008B27A0" w:rsidP="004B3AED">
            <w:pPr>
              <w:spacing w:before="120" w:after="120" w:line="240" w:lineRule="auto"/>
              <w:jc w:val="right"/>
              <w:rPr>
                <w:color w:val="000000"/>
                <w:szCs w:val="24"/>
                <w:lang w:eastAsia="en-GB"/>
              </w:rPr>
            </w:pPr>
          </w:p>
        </w:tc>
      </w:tr>
      <w:tr w:rsidR="008B27A0" w:rsidRPr="00B2469D" w14:paraId="02A661A3" w14:textId="77777777" w:rsidTr="004B3AED">
        <w:trPr>
          <w:trHeight w:val="359"/>
        </w:trPr>
        <w:tc>
          <w:tcPr>
            <w:tcW w:w="817" w:type="dxa"/>
            <w:vAlign w:val="center"/>
          </w:tcPr>
          <w:p w14:paraId="2C357429"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3.</w:t>
            </w:r>
          </w:p>
        </w:tc>
        <w:tc>
          <w:tcPr>
            <w:tcW w:w="3544" w:type="dxa"/>
            <w:vAlign w:val="center"/>
          </w:tcPr>
          <w:p w14:paraId="19B6122D" w14:textId="77777777" w:rsidR="008B27A0" w:rsidRDefault="008B27A0" w:rsidP="004B3AED">
            <w:pPr>
              <w:spacing w:before="120" w:after="120" w:line="240" w:lineRule="auto"/>
              <w:rPr>
                <w:color w:val="000000"/>
                <w:szCs w:val="24"/>
                <w:lang w:eastAsia="en-GB"/>
              </w:rPr>
            </w:pPr>
            <w:r>
              <w:rPr>
                <w:szCs w:val="24"/>
                <w:lang w:eastAsia="en-GB"/>
              </w:rPr>
              <w:t xml:space="preserve">Authority </w:t>
            </w:r>
          </w:p>
        </w:tc>
        <w:tc>
          <w:tcPr>
            <w:tcW w:w="1701" w:type="dxa"/>
            <w:gridSpan w:val="2"/>
            <w:vAlign w:val="center"/>
          </w:tcPr>
          <w:p w14:paraId="78E4148C" w14:textId="77777777" w:rsidR="008B27A0" w:rsidRPr="00B23F3D" w:rsidRDefault="008B27A0" w:rsidP="004B3AED">
            <w:pPr>
              <w:spacing w:before="120" w:after="120" w:line="240" w:lineRule="auto"/>
              <w:jc w:val="right"/>
              <w:rPr>
                <w:szCs w:val="24"/>
                <w:lang w:eastAsia="en-GB"/>
              </w:rPr>
            </w:pPr>
            <w:r>
              <w:rPr>
                <w:szCs w:val="24"/>
                <w:lang w:eastAsia="en-GB"/>
              </w:rPr>
              <w:t>74</w:t>
            </w:r>
          </w:p>
        </w:tc>
        <w:tc>
          <w:tcPr>
            <w:tcW w:w="2268" w:type="dxa"/>
            <w:gridSpan w:val="2"/>
            <w:shd w:val="clear" w:color="auto" w:fill="auto"/>
            <w:vAlign w:val="center"/>
          </w:tcPr>
          <w:p w14:paraId="60F534A5"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10 </w:t>
            </w:r>
            <w:r w:rsidRPr="00F65B33">
              <w:rPr>
                <w:color w:val="000000"/>
                <w:sz w:val="18"/>
                <w:szCs w:val="24"/>
                <w:lang w:eastAsia="en-GB"/>
              </w:rPr>
              <w:t>%</w:t>
            </w:r>
          </w:p>
        </w:tc>
        <w:tc>
          <w:tcPr>
            <w:tcW w:w="709" w:type="dxa"/>
          </w:tcPr>
          <w:p w14:paraId="39F18C76" w14:textId="77777777" w:rsidR="008B27A0" w:rsidRDefault="008B27A0" w:rsidP="004B3AED">
            <w:pPr>
              <w:spacing w:before="120" w:after="120" w:line="240" w:lineRule="auto"/>
              <w:jc w:val="right"/>
              <w:rPr>
                <w:color w:val="000000"/>
                <w:szCs w:val="24"/>
                <w:lang w:eastAsia="en-GB"/>
              </w:rPr>
            </w:pPr>
          </w:p>
        </w:tc>
      </w:tr>
      <w:tr w:rsidR="008B27A0" w:rsidRPr="00B2469D" w14:paraId="6C2055D6" w14:textId="77777777" w:rsidTr="004B3AED">
        <w:trPr>
          <w:trHeight w:val="359"/>
        </w:trPr>
        <w:tc>
          <w:tcPr>
            <w:tcW w:w="817" w:type="dxa"/>
            <w:vAlign w:val="center"/>
          </w:tcPr>
          <w:p w14:paraId="43FC6ABA" w14:textId="77777777" w:rsidR="008B27A0" w:rsidRPr="00F65B33" w:rsidRDefault="008B27A0" w:rsidP="004B3AED">
            <w:pPr>
              <w:spacing w:before="120" w:after="120" w:line="240" w:lineRule="auto"/>
              <w:rPr>
                <w:b/>
                <w:color w:val="000000"/>
                <w:sz w:val="20"/>
                <w:szCs w:val="24"/>
                <w:lang w:eastAsia="en-GB"/>
              </w:rPr>
            </w:pPr>
            <w:r>
              <w:rPr>
                <w:b/>
                <w:color w:val="000000"/>
                <w:sz w:val="20"/>
                <w:szCs w:val="24"/>
                <w:lang w:eastAsia="en-GB"/>
              </w:rPr>
              <w:t>4.</w:t>
            </w:r>
          </w:p>
        </w:tc>
        <w:tc>
          <w:tcPr>
            <w:tcW w:w="3544" w:type="dxa"/>
            <w:vAlign w:val="center"/>
          </w:tcPr>
          <w:p w14:paraId="45974A79" w14:textId="77777777" w:rsidR="008B27A0" w:rsidRDefault="008B27A0" w:rsidP="004B3AED">
            <w:pPr>
              <w:spacing w:before="120" w:after="120" w:line="240" w:lineRule="auto"/>
              <w:rPr>
                <w:szCs w:val="24"/>
                <w:lang w:eastAsia="en-GB"/>
              </w:rPr>
            </w:pPr>
            <w:r>
              <w:rPr>
                <w:color w:val="000000"/>
                <w:szCs w:val="24"/>
                <w:lang w:eastAsia="en-GB"/>
              </w:rPr>
              <w:t>Pleasure</w:t>
            </w:r>
          </w:p>
        </w:tc>
        <w:tc>
          <w:tcPr>
            <w:tcW w:w="1701" w:type="dxa"/>
            <w:gridSpan w:val="2"/>
            <w:vAlign w:val="center"/>
          </w:tcPr>
          <w:p w14:paraId="5810D9D3" w14:textId="77777777" w:rsidR="008B27A0" w:rsidRPr="00B23F3D" w:rsidRDefault="008B27A0" w:rsidP="004B3AED">
            <w:pPr>
              <w:spacing w:before="120" w:after="120" w:line="240" w:lineRule="auto"/>
              <w:jc w:val="right"/>
              <w:rPr>
                <w:szCs w:val="24"/>
                <w:lang w:eastAsia="en-GB"/>
              </w:rPr>
            </w:pPr>
            <w:r>
              <w:rPr>
                <w:szCs w:val="24"/>
                <w:lang w:eastAsia="en-GB"/>
              </w:rPr>
              <w:t>73</w:t>
            </w:r>
          </w:p>
        </w:tc>
        <w:tc>
          <w:tcPr>
            <w:tcW w:w="2268" w:type="dxa"/>
            <w:gridSpan w:val="2"/>
            <w:shd w:val="clear" w:color="auto" w:fill="auto"/>
            <w:vAlign w:val="center"/>
          </w:tcPr>
          <w:p w14:paraId="198153A3" w14:textId="77777777" w:rsidR="008B27A0" w:rsidRPr="00C9767C" w:rsidRDefault="008B27A0" w:rsidP="004B3AED">
            <w:pPr>
              <w:spacing w:before="120" w:after="120" w:line="240" w:lineRule="auto"/>
              <w:jc w:val="right"/>
              <w:rPr>
                <w:color w:val="000000"/>
                <w:szCs w:val="24"/>
                <w:lang w:eastAsia="en-GB"/>
              </w:rPr>
            </w:pPr>
            <w:r>
              <w:rPr>
                <w:color w:val="000000"/>
                <w:szCs w:val="24"/>
                <w:lang w:eastAsia="en-GB"/>
              </w:rPr>
              <w:t xml:space="preserve">10 </w:t>
            </w:r>
            <w:r w:rsidRPr="00F65B33">
              <w:rPr>
                <w:color w:val="000000"/>
                <w:sz w:val="18"/>
                <w:szCs w:val="24"/>
                <w:lang w:eastAsia="en-GB"/>
              </w:rPr>
              <w:t>%</w:t>
            </w:r>
          </w:p>
        </w:tc>
        <w:tc>
          <w:tcPr>
            <w:tcW w:w="709" w:type="dxa"/>
          </w:tcPr>
          <w:p w14:paraId="117261D8" w14:textId="77777777" w:rsidR="008B27A0" w:rsidRDefault="008B27A0" w:rsidP="004B3AED">
            <w:pPr>
              <w:spacing w:before="120" w:after="120" w:line="240" w:lineRule="auto"/>
              <w:jc w:val="right"/>
              <w:rPr>
                <w:color w:val="000000"/>
                <w:szCs w:val="24"/>
                <w:lang w:eastAsia="en-GB"/>
              </w:rPr>
            </w:pPr>
          </w:p>
        </w:tc>
      </w:tr>
      <w:tr w:rsidR="008B27A0" w:rsidRPr="00B2469D" w14:paraId="1F901AD4" w14:textId="77777777" w:rsidTr="004B3AED">
        <w:trPr>
          <w:trHeight w:val="359"/>
        </w:trPr>
        <w:tc>
          <w:tcPr>
            <w:tcW w:w="817" w:type="dxa"/>
            <w:vAlign w:val="center"/>
          </w:tcPr>
          <w:p w14:paraId="2F89DFB0"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5.</w:t>
            </w:r>
          </w:p>
        </w:tc>
        <w:tc>
          <w:tcPr>
            <w:tcW w:w="3544" w:type="dxa"/>
            <w:vAlign w:val="center"/>
          </w:tcPr>
          <w:p w14:paraId="575740F9" w14:textId="77777777" w:rsidR="008B27A0" w:rsidRPr="00914809" w:rsidRDefault="008B27A0" w:rsidP="004B3AED">
            <w:pPr>
              <w:spacing w:before="120" w:after="120" w:line="240" w:lineRule="auto"/>
              <w:rPr>
                <w:color w:val="000000"/>
                <w:szCs w:val="24"/>
                <w:lang w:eastAsia="en-GB"/>
              </w:rPr>
            </w:pPr>
            <w:r>
              <w:rPr>
                <w:szCs w:val="24"/>
                <w:lang w:eastAsia="en-GB"/>
              </w:rPr>
              <w:t xml:space="preserve">Legal status </w:t>
            </w:r>
          </w:p>
        </w:tc>
        <w:tc>
          <w:tcPr>
            <w:tcW w:w="1701" w:type="dxa"/>
            <w:gridSpan w:val="2"/>
            <w:vAlign w:val="center"/>
          </w:tcPr>
          <w:p w14:paraId="496468B9" w14:textId="77777777" w:rsidR="008B27A0" w:rsidRPr="00B23F3D" w:rsidRDefault="008B27A0" w:rsidP="004B3AED">
            <w:pPr>
              <w:spacing w:before="120" w:after="120" w:line="240" w:lineRule="auto"/>
              <w:jc w:val="right"/>
              <w:rPr>
                <w:color w:val="000000"/>
                <w:szCs w:val="24"/>
                <w:lang w:eastAsia="en-GB"/>
              </w:rPr>
            </w:pPr>
            <w:r>
              <w:rPr>
                <w:color w:val="000000"/>
                <w:szCs w:val="24"/>
                <w:lang w:eastAsia="en-GB"/>
              </w:rPr>
              <w:t>65</w:t>
            </w:r>
          </w:p>
        </w:tc>
        <w:tc>
          <w:tcPr>
            <w:tcW w:w="2268" w:type="dxa"/>
            <w:gridSpan w:val="2"/>
            <w:shd w:val="clear" w:color="auto" w:fill="auto"/>
            <w:vAlign w:val="center"/>
          </w:tcPr>
          <w:p w14:paraId="2C125A00"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 xml:space="preserve">9 </w:t>
            </w:r>
            <w:r w:rsidRPr="00F65B33">
              <w:rPr>
                <w:color w:val="000000"/>
                <w:sz w:val="18"/>
                <w:szCs w:val="24"/>
                <w:lang w:eastAsia="en-GB"/>
              </w:rPr>
              <w:t>%</w:t>
            </w:r>
          </w:p>
        </w:tc>
        <w:tc>
          <w:tcPr>
            <w:tcW w:w="709" w:type="dxa"/>
          </w:tcPr>
          <w:p w14:paraId="57136ED7" w14:textId="77777777" w:rsidR="008B27A0" w:rsidRDefault="008B27A0" w:rsidP="004B3AED">
            <w:pPr>
              <w:spacing w:before="120" w:after="120" w:line="240" w:lineRule="auto"/>
              <w:jc w:val="right"/>
              <w:rPr>
                <w:color w:val="000000"/>
                <w:szCs w:val="24"/>
                <w:lang w:eastAsia="en-GB"/>
              </w:rPr>
            </w:pPr>
          </w:p>
        </w:tc>
      </w:tr>
      <w:tr w:rsidR="008B27A0" w:rsidRPr="00B2469D" w14:paraId="6BCBE601" w14:textId="77777777" w:rsidTr="004B3AED">
        <w:trPr>
          <w:trHeight w:val="359"/>
        </w:trPr>
        <w:tc>
          <w:tcPr>
            <w:tcW w:w="817" w:type="dxa"/>
            <w:vAlign w:val="center"/>
          </w:tcPr>
          <w:p w14:paraId="7661FFFE" w14:textId="77777777" w:rsidR="008B27A0" w:rsidRPr="00F65B33" w:rsidRDefault="008B27A0" w:rsidP="004B3AED">
            <w:pPr>
              <w:spacing w:before="120" w:after="120" w:line="240" w:lineRule="auto"/>
              <w:rPr>
                <w:b/>
                <w:sz w:val="20"/>
                <w:szCs w:val="24"/>
                <w:lang w:eastAsia="en-GB"/>
              </w:rPr>
            </w:pPr>
            <w:r>
              <w:rPr>
                <w:b/>
                <w:sz w:val="20"/>
                <w:szCs w:val="24"/>
                <w:lang w:eastAsia="en-GB"/>
              </w:rPr>
              <w:t>6.</w:t>
            </w:r>
          </w:p>
        </w:tc>
        <w:tc>
          <w:tcPr>
            <w:tcW w:w="3544" w:type="dxa"/>
            <w:vAlign w:val="center"/>
          </w:tcPr>
          <w:p w14:paraId="28A6B055" w14:textId="77777777" w:rsidR="008B27A0" w:rsidRPr="00914809" w:rsidRDefault="008B27A0" w:rsidP="004B3AED">
            <w:pPr>
              <w:spacing w:before="120" w:after="120" w:line="240" w:lineRule="auto"/>
              <w:rPr>
                <w:szCs w:val="24"/>
                <w:lang w:eastAsia="en-GB"/>
              </w:rPr>
            </w:pPr>
            <w:r>
              <w:rPr>
                <w:szCs w:val="24"/>
                <w:lang w:eastAsia="en-GB"/>
              </w:rPr>
              <w:t xml:space="preserve">Identity </w:t>
            </w:r>
          </w:p>
        </w:tc>
        <w:tc>
          <w:tcPr>
            <w:tcW w:w="1701" w:type="dxa"/>
            <w:gridSpan w:val="2"/>
            <w:vAlign w:val="center"/>
          </w:tcPr>
          <w:p w14:paraId="1DC76680" w14:textId="77777777" w:rsidR="008B27A0" w:rsidRPr="00B23F3D" w:rsidRDefault="008B27A0" w:rsidP="004B3AED">
            <w:pPr>
              <w:spacing w:before="120" w:after="120" w:line="240" w:lineRule="auto"/>
              <w:jc w:val="right"/>
              <w:rPr>
                <w:szCs w:val="24"/>
                <w:lang w:eastAsia="en-GB"/>
              </w:rPr>
            </w:pPr>
            <w:r>
              <w:rPr>
                <w:szCs w:val="24"/>
                <w:lang w:eastAsia="en-GB"/>
              </w:rPr>
              <w:t>58</w:t>
            </w:r>
          </w:p>
        </w:tc>
        <w:tc>
          <w:tcPr>
            <w:tcW w:w="2268" w:type="dxa"/>
            <w:gridSpan w:val="2"/>
            <w:shd w:val="clear" w:color="auto" w:fill="auto"/>
            <w:vAlign w:val="center"/>
          </w:tcPr>
          <w:p w14:paraId="05B40A21" w14:textId="77777777" w:rsidR="008B27A0" w:rsidRPr="00914809" w:rsidRDefault="008B27A0" w:rsidP="004B3AED">
            <w:pPr>
              <w:spacing w:before="120" w:after="120" w:line="240" w:lineRule="auto"/>
              <w:jc w:val="right"/>
              <w:rPr>
                <w:szCs w:val="24"/>
                <w:lang w:eastAsia="en-GB"/>
              </w:rPr>
            </w:pPr>
            <w:r>
              <w:rPr>
                <w:szCs w:val="24"/>
                <w:lang w:eastAsia="en-GB"/>
              </w:rPr>
              <w:t xml:space="preserve">8 </w:t>
            </w:r>
            <w:r w:rsidRPr="00F65B33">
              <w:rPr>
                <w:sz w:val="18"/>
                <w:szCs w:val="24"/>
                <w:lang w:eastAsia="en-GB"/>
              </w:rPr>
              <w:t>%</w:t>
            </w:r>
          </w:p>
        </w:tc>
        <w:tc>
          <w:tcPr>
            <w:tcW w:w="709" w:type="dxa"/>
          </w:tcPr>
          <w:p w14:paraId="66F54E5B" w14:textId="77777777" w:rsidR="008B27A0" w:rsidRDefault="008B27A0" w:rsidP="004B3AED">
            <w:pPr>
              <w:spacing w:before="120" w:after="120" w:line="240" w:lineRule="auto"/>
              <w:jc w:val="right"/>
              <w:rPr>
                <w:szCs w:val="24"/>
                <w:lang w:eastAsia="en-GB"/>
              </w:rPr>
            </w:pPr>
          </w:p>
        </w:tc>
      </w:tr>
      <w:tr w:rsidR="008B27A0" w:rsidRPr="00B2469D" w14:paraId="47DFBF76" w14:textId="77777777" w:rsidTr="004B3AED">
        <w:trPr>
          <w:trHeight w:val="359"/>
        </w:trPr>
        <w:tc>
          <w:tcPr>
            <w:tcW w:w="817" w:type="dxa"/>
            <w:vAlign w:val="center"/>
          </w:tcPr>
          <w:p w14:paraId="08439241"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7.</w:t>
            </w:r>
          </w:p>
        </w:tc>
        <w:tc>
          <w:tcPr>
            <w:tcW w:w="3544" w:type="dxa"/>
            <w:vAlign w:val="center"/>
          </w:tcPr>
          <w:p w14:paraId="234E6BA8" w14:textId="77777777" w:rsidR="008B27A0" w:rsidRDefault="008B27A0" w:rsidP="004B3AED">
            <w:pPr>
              <w:spacing w:before="120" w:after="120" w:line="240" w:lineRule="auto"/>
              <w:rPr>
                <w:color w:val="000000"/>
                <w:szCs w:val="24"/>
                <w:lang w:eastAsia="en-GB"/>
              </w:rPr>
            </w:pPr>
            <w:r>
              <w:rPr>
                <w:szCs w:val="24"/>
                <w:lang w:eastAsia="en-GB"/>
              </w:rPr>
              <w:t xml:space="preserve">Substitution </w:t>
            </w:r>
          </w:p>
        </w:tc>
        <w:tc>
          <w:tcPr>
            <w:tcW w:w="1701" w:type="dxa"/>
            <w:gridSpan w:val="2"/>
            <w:vAlign w:val="center"/>
          </w:tcPr>
          <w:p w14:paraId="1284CDAC" w14:textId="77777777" w:rsidR="008B27A0" w:rsidRPr="00B23F3D" w:rsidRDefault="008B27A0" w:rsidP="004B3AED">
            <w:pPr>
              <w:spacing w:before="120" w:after="120" w:line="240" w:lineRule="auto"/>
              <w:jc w:val="right"/>
              <w:rPr>
                <w:color w:val="000000"/>
                <w:szCs w:val="24"/>
                <w:lang w:eastAsia="en-GB"/>
              </w:rPr>
            </w:pPr>
            <w:r>
              <w:rPr>
                <w:color w:val="000000"/>
                <w:szCs w:val="24"/>
                <w:lang w:eastAsia="en-GB"/>
              </w:rPr>
              <w:t>54</w:t>
            </w:r>
          </w:p>
        </w:tc>
        <w:tc>
          <w:tcPr>
            <w:tcW w:w="2268" w:type="dxa"/>
            <w:gridSpan w:val="2"/>
            <w:shd w:val="clear" w:color="auto" w:fill="auto"/>
            <w:vAlign w:val="center"/>
          </w:tcPr>
          <w:p w14:paraId="0BD2F776"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8 </w:t>
            </w:r>
            <w:r w:rsidRPr="00F65B33">
              <w:rPr>
                <w:color w:val="000000"/>
                <w:sz w:val="18"/>
                <w:szCs w:val="24"/>
                <w:lang w:eastAsia="en-GB"/>
              </w:rPr>
              <w:t>%</w:t>
            </w:r>
          </w:p>
        </w:tc>
        <w:tc>
          <w:tcPr>
            <w:tcW w:w="709" w:type="dxa"/>
          </w:tcPr>
          <w:p w14:paraId="376C1148" w14:textId="77777777" w:rsidR="008B27A0" w:rsidRDefault="008B27A0" w:rsidP="004B3AED">
            <w:pPr>
              <w:spacing w:before="120" w:after="120" w:line="240" w:lineRule="auto"/>
              <w:jc w:val="right"/>
              <w:rPr>
                <w:color w:val="000000"/>
                <w:szCs w:val="24"/>
                <w:lang w:eastAsia="en-GB"/>
              </w:rPr>
            </w:pPr>
          </w:p>
        </w:tc>
      </w:tr>
      <w:tr w:rsidR="008B27A0" w:rsidRPr="00B2469D" w14:paraId="554D4D35" w14:textId="77777777" w:rsidTr="004B3AED">
        <w:trPr>
          <w:trHeight w:val="359"/>
        </w:trPr>
        <w:tc>
          <w:tcPr>
            <w:tcW w:w="817" w:type="dxa"/>
            <w:vAlign w:val="center"/>
          </w:tcPr>
          <w:p w14:paraId="6DC0F691"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8.</w:t>
            </w:r>
          </w:p>
        </w:tc>
        <w:tc>
          <w:tcPr>
            <w:tcW w:w="3544" w:type="dxa"/>
            <w:vAlign w:val="center"/>
          </w:tcPr>
          <w:p w14:paraId="1EC01DAD" w14:textId="77777777" w:rsidR="008B27A0" w:rsidRDefault="008B27A0" w:rsidP="004B3AED">
            <w:pPr>
              <w:spacing w:before="120" w:after="120" w:line="240" w:lineRule="auto"/>
              <w:rPr>
                <w:szCs w:val="24"/>
                <w:lang w:eastAsia="en-GB"/>
              </w:rPr>
            </w:pPr>
            <w:r>
              <w:rPr>
                <w:szCs w:val="24"/>
                <w:lang w:eastAsia="en-GB"/>
              </w:rPr>
              <w:t>Social influences</w:t>
            </w:r>
          </w:p>
        </w:tc>
        <w:tc>
          <w:tcPr>
            <w:tcW w:w="1701" w:type="dxa"/>
            <w:gridSpan w:val="2"/>
            <w:vAlign w:val="center"/>
          </w:tcPr>
          <w:p w14:paraId="4B3F3935" w14:textId="77777777" w:rsidR="008B27A0" w:rsidRPr="00B23F3D" w:rsidRDefault="008B27A0" w:rsidP="004B3AED">
            <w:pPr>
              <w:spacing w:before="120" w:after="120" w:line="240" w:lineRule="auto"/>
              <w:jc w:val="right"/>
              <w:rPr>
                <w:szCs w:val="24"/>
                <w:lang w:eastAsia="en-GB"/>
              </w:rPr>
            </w:pPr>
            <w:r>
              <w:rPr>
                <w:szCs w:val="24"/>
                <w:lang w:eastAsia="en-GB"/>
              </w:rPr>
              <w:t>50</w:t>
            </w:r>
          </w:p>
        </w:tc>
        <w:tc>
          <w:tcPr>
            <w:tcW w:w="2268" w:type="dxa"/>
            <w:gridSpan w:val="2"/>
            <w:shd w:val="clear" w:color="auto" w:fill="auto"/>
            <w:vAlign w:val="center"/>
          </w:tcPr>
          <w:p w14:paraId="53828B68"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7 </w:t>
            </w:r>
            <w:r w:rsidRPr="00F65B33">
              <w:rPr>
                <w:color w:val="000000"/>
                <w:sz w:val="18"/>
                <w:szCs w:val="24"/>
                <w:lang w:eastAsia="en-GB"/>
              </w:rPr>
              <w:t>%</w:t>
            </w:r>
          </w:p>
        </w:tc>
        <w:tc>
          <w:tcPr>
            <w:tcW w:w="709" w:type="dxa"/>
          </w:tcPr>
          <w:p w14:paraId="522AF6DD" w14:textId="77777777" w:rsidR="008B27A0" w:rsidRDefault="008B27A0" w:rsidP="004B3AED">
            <w:pPr>
              <w:spacing w:before="120" w:after="120" w:line="240" w:lineRule="auto"/>
              <w:jc w:val="right"/>
              <w:rPr>
                <w:color w:val="000000"/>
                <w:szCs w:val="24"/>
                <w:lang w:eastAsia="en-GB"/>
              </w:rPr>
            </w:pPr>
          </w:p>
        </w:tc>
      </w:tr>
      <w:tr w:rsidR="008B27A0" w:rsidRPr="00B2469D" w14:paraId="5E551EFD" w14:textId="77777777" w:rsidTr="004B3AED">
        <w:trPr>
          <w:trHeight w:val="359"/>
        </w:trPr>
        <w:tc>
          <w:tcPr>
            <w:tcW w:w="817" w:type="dxa"/>
            <w:vAlign w:val="center"/>
          </w:tcPr>
          <w:p w14:paraId="1197CAB1" w14:textId="77777777" w:rsidR="008B27A0" w:rsidRPr="00F65B33" w:rsidRDefault="008B27A0" w:rsidP="004B3AED">
            <w:pPr>
              <w:spacing w:before="120" w:after="120" w:line="240" w:lineRule="auto"/>
              <w:rPr>
                <w:b/>
                <w:sz w:val="20"/>
                <w:szCs w:val="24"/>
                <w:lang w:eastAsia="en-GB"/>
              </w:rPr>
            </w:pPr>
            <w:r>
              <w:rPr>
                <w:b/>
                <w:sz w:val="20"/>
                <w:szCs w:val="24"/>
                <w:lang w:eastAsia="en-GB"/>
              </w:rPr>
              <w:t>9.</w:t>
            </w:r>
          </w:p>
        </w:tc>
        <w:tc>
          <w:tcPr>
            <w:tcW w:w="3544" w:type="dxa"/>
            <w:vAlign w:val="center"/>
          </w:tcPr>
          <w:p w14:paraId="07479304" w14:textId="77777777" w:rsidR="008B27A0" w:rsidRPr="00914809" w:rsidRDefault="008B27A0" w:rsidP="004B3AED">
            <w:pPr>
              <w:spacing w:before="120" w:after="120" w:line="240" w:lineRule="auto"/>
              <w:rPr>
                <w:szCs w:val="24"/>
                <w:lang w:eastAsia="en-GB"/>
              </w:rPr>
            </w:pPr>
            <w:r>
              <w:rPr>
                <w:szCs w:val="24"/>
                <w:lang w:eastAsia="en-GB"/>
              </w:rPr>
              <w:t>Curiosity</w:t>
            </w:r>
          </w:p>
        </w:tc>
        <w:tc>
          <w:tcPr>
            <w:tcW w:w="1701" w:type="dxa"/>
            <w:gridSpan w:val="2"/>
            <w:vAlign w:val="center"/>
          </w:tcPr>
          <w:p w14:paraId="5FDFA218" w14:textId="77777777" w:rsidR="008B27A0" w:rsidRPr="00B23F3D" w:rsidRDefault="008B27A0" w:rsidP="004B3AED">
            <w:pPr>
              <w:spacing w:before="120" w:after="120" w:line="240" w:lineRule="auto"/>
              <w:jc w:val="right"/>
              <w:rPr>
                <w:szCs w:val="24"/>
                <w:lang w:eastAsia="en-GB"/>
              </w:rPr>
            </w:pPr>
            <w:r>
              <w:rPr>
                <w:szCs w:val="24"/>
                <w:lang w:eastAsia="en-GB"/>
              </w:rPr>
              <w:t>35</w:t>
            </w:r>
          </w:p>
        </w:tc>
        <w:tc>
          <w:tcPr>
            <w:tcW w:w="2268" w:type="dxa"/>
            <w:gridSpan w:val="2"/>
            <w:shd w:val="clear" w:color="auto" w:fill="auto"/>
            <w:vAlign w:val="center"/>
          </w:tcPr>
          <w:p w14:paraId="215A61EA" w14:textId="77777777" w:rsidR="008B27A0" w:rsidRPr="00C9767C" w:rsidRDefault="008B27A0" w:rsidP="004B3AED">
            <w:pPr>
              <w:spacing w:before="120" w:after="120" w:line="240" w:lineRule="auto"/>
              <w:jc w:val="right"/>
              <w:rPr>
                <w:szCs w:val="24"/>
                <w:lang w:eastAsia="en-GB"/>
              </w:rPr>
            </w:pPr>
            <w:r>
              <w:rPr>
                <w:szCs w:val="24"/>
                <w:lang w:eastAsia="en-GB"/>
              </w:rPr>
              <w:t xml:space="preserve">5 </w:t>
            </w:r>
            <w:r w:rsidRPr="00F65B33">
              <w:rPr>
                <w:sz w:val="18"/>
                <w:szCs w:val="24"/>
                <w:lang w:eastAsia="en-GB"/>
              </w:rPr>
              <w:t>%</w:t>
            </w:r>
          </w:p>
        </w:tc>
        <w:tc>
          <w:tcPr>
            <w:tcW w:w="709" w:type="dxa"/>
          </w:tcPr>
          <w:p w14:paraId="236B16C4" w14:textId="77777777" w:rsidR="008B27A0" w:rsidRDefault="008B27A0" w:rsidP="004B3AED">
            <w:pPr>
              <w:spacing w:before="120" w:after="120" w:line="240" w:lineRule="auto"/>
              <w:jc w:val="right"/>
              <w:rPr>
                <w:szCs w:val="24"/>
                <w:lang w:eastAsia="en-GB"/>
              </w:rPr>
            </w:pPr>
          </w:p>
        </w:tc>
      </w:tr>
      <w:tr w:rsidR="008B27A0" w:rsidRPr="00B2469D" w14:paraId="6501718C" w14:textId="77777777" w:rsidTr="004B3AED">
        <w:trPr>
          <w:trHeight w:val="359"/>
        </w:trPr>
        <w:tc>
          <w:tcPr>
            <w:tcW w:w="817" w:type="dxa"/>
            <w:vAlign w:val="center"/>
          </w:tcPr>
          <w:p w14:paraId="0292BC30" w14:textId="77777777" w:rsidR="008B27A0" w:rsidRPr="00F65B33" w:rsidRDefault="008B27A0" w:rsidP="004B3AED">
            <w:pPr>
              <w:spacing w:before="120" w:after="120" w:line="240" w:lineRule="auto"/>
              <w:rPr>
                <w:b/>
                <w:color w:val="000000"/>
                <w:sz w:val="20"/>
                <w:szCs w:val="24"/>
                <w:lang w:eastAsia="en-GB"/>
              </w:rPr>
            </w:pPr>
            <w:r>
              <w:rPr>
                <w:b/>
                <w:color w:val="000000"/>
                <w:sz w:val="20"/>
                <w:szCs w:val="24"/>
                <w:lang w:eastAsia="en-GB"/>
              </w:rPr>
              <w:t>10.</w:t>
            </w:r>
          </w:p>
        </w:tc>
        <w:tc>
          <w:tcPr>
            <w:tcW w:w="3544" w:type="dxa"/>
            <w:vAlign w:val="center"/>
          </w:tcPr>
          <w:p w14:paraId="524A1C9B" w14:textId="77777777" w:rsidR="008B27A0" w:rsidRDefault="008B27A0" w:rsidP="004B3AED">
            <w:pPr>
              <w:spacing w:before="120" w:after="120" w:line="240" w:lineRule="auto"/>
              <w:rPr>
                <w:color w:val="000000"/>
                <w:szCs w:val="24"/>
                <w:lang w:eastAsia="en-GB"/>
              </w:rPr>
            </w:pPr>
            <w:r>
              <w:rPr>
                <w:color w:val="000000"/>
                <w:szCs w:val="24"/>
                <w:lang w:eastAsia="en-GB"/>
              </w:rPr>
              <w:t>Coping</w:t>
            </w:r>
          </w:p>
        </w:tc>
        <w:tc>
          <w:tcPr>
            <w:tcW w:w="1701" w:type="dxa"/>
            <w:gridSpan w:val="2"/>
            <w:vAlign w:val="center"/>
          </w:tcPr>
          <w:p w14:paraId="003855BC" w14:textId="77777777" w:rsidR="008B27A0" w:rsidRPr="00B23F3D" w:rsidRDefault="008B27A0" w:rsidP="004B3AED">
            <w:pPr>
              <w:spacing w:before="120" w:after="120" w:line="240" w:lineRule="auto"/>
              <w:jc w:val="right"/>
              <w:rPr>
                <w:color w:val="000000"/>
                <w:szCs w:val="24"/>
                <w:lang w:eastAsia="en-GB"/>
              </w:rPr>
            </w:pPr>
            <w:r>
              <w:rPr>
                <w:color w:val="000000"/>
                <w:szCs w:val="24"/>
                <w:lang w:eastAsia="en-GB"/>
              </w:rPr>
              <w:t>33</w:t>
            </w:r>
          </w:p>
        </w:tc>
        <w:tc>
          <w:tcPr>
            <w:tcW w:w="2268" w:type="dxa"/>
            <w:gridSpan w:val="2"/>
            <w:shd w:val="clear" w:color="auto" w:fill="auto"/>
            <w:vAlign w:val="center"/>
          </w:tcPr>
          <w:p w14:paraId="0C3DB53D"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4 </w:t>
            </w:r>
            <w:r w:rsidRPr="00F65B33">
              <w:rPr>
                <w:color w:val="000000"/>
                <w:sz w:val="18"/>
                <w:szCs w:val="24"/>
                <w:lang w:eastAsia="en-GB"/>
              </w:rPr>
              <w:t>%</w:t>
            </w:r>
          </w:p>
        </w:tc>
        <w:tc>
          <w:tcPr>
            <w:tcW w:w="709" w:type="dxa"/>
          </w:tcPr>
          <w:p w14:paraId="365E9185" w14:textId="77777777" w:rsidR="008B27A0" w:rsidRDefault="008B27A0" w:rsidP="004B3AED">
            <w:pPr>
              <w:spacing w:before="120" w:after="120" w:line="240" w:lineRule="auto"/>
              <w:jc w:val="right"/>
              <w:rPr>
                <w:color w:val="000000"/>
                <w:szCs w:val="24"/>
                <w:lang w:eastAsia="en-GB"/>
              </w:rPr>
            </w:pPr>
          </w:p>
        </w:tc>
      </w:tr>
      <w:tr w:rsidR="008B27A0" w:rsidRPr="00B23F3D" w14:paraId="178300A2" w14:textId="77777777" w:rsidTr="004B3AED">
        <w:trPr>
          <w:trHeight w:val="60"/>
        </w:trPr>
        <w:tc>
          <w:tcPr>
            <w:tcW w:w="817" w:type="dxa"/>
            <w:tcBorders>
              <w:bottom w:val="single" w:sz="4" w:space="0" w:color="auto"/>
            </w:tcBorders>
            <w:vAlign w:val="center"/>
          </w:tcPr>
          <w:p w14:paraId="036DFB67" w14:textId="77777777" w:rsidR="008B27A0" w:rsidRPr="00B23F3D" w:rsidRDefault="008B27A0" w:rsidP="004B3AED">
            <w:pPr>
              <w:spacing w:after="0" w:line="240" w:lineRule="auto"/>
              <w:rPr>
                <w:b/>
                <w:sz w:val="6"/>
                <w:szCs w:val="6"/>
                <w:lang w:eastAsia="en-GB"/>
              </w:rPr>
            </w:pPr>
          </w:p>
        </w:tc>
        <w:tc>
          <w:tcPr>
            <w:tcW w:w="3544" w:type="dxa"/>
            <w:tcBorders>
              <w:bottom w:val="single" w:sz="4" w:space="0" w:color="auto"/>
            </w:tcBorders>
            <w:vAlign w:val="center"/>
          </w:tcPr>
          <w:p w14:paraId="2D525558" w14:textId="77777777" w:rsidR="008B27A0" w:rsidRPr="00B23F3D" w:rsidRDefault="008B27A0" w:rsidP="004B3AED">
            <w:pPr>
              <w:spacing w:after="0" w:line="240" w:lineRule="auto"/>
              <w:rPr>
                <w:b/>
                <w:sz w:val="6"/>
                <w:szCs w:val="6"/>
                <w:lang w:eastAsia="en-GB"/>
              </w:rPr>
            </w:pPr>
          </w:p>
        </w:tc>
        <w:tc>
          <w:tcPr>
            <w:tcW w:w="1701" w:type="dxa"/>
            <w:gridSpan w:val="2"/>
            <w:tcBorders>
              <w:bottom w:val="single" w:sz="4" w:space="0" w:color="auto"/>
            </w:tcBorders>
            <w:vAlign w:val="center"/>
          </w:tcPr>
          <w:p w14:paraId="4AA0C9EA" w14:textId="77777777" w:rsidR="008B27A0" w:rsidRPr="00B23F3D" w:rsidRDefault="008B27A0" w:rsidP="004B3AED">
            <w:pPr>
              <w:spacing w:after="0" w:line="240" w:lineRule="auto"/>
              <w:jc w:val="right"/>
              <w:rPr>
                <w:b/>
                <w:sz w:val="6"/>
                <w:szCs w:val="6"/>
                <w:lang w:eastAsia="en-GB"/>
              </w:rPr>
            </w:pPr>
          </w:p>
        </w:tc>
        <w:tc>
          <w:tcPr>
            <w:tcW w:w="2268" w:type="dxa"/>
            <w:gridSpan w:val="2"/>
            <w:tcBorders>
              <w:bottom w:val="single" w:sz="4" w:space="0" w:color="auto"/>
            </w:tcBorders>
            <w:shd w:val="clear" w:color="auto" w:fill="auto"/>
            <w:vAlign w:val="center"/>
          </w:tcPr>
          <w:p w14:paraId="156EF1A6" w14:textId="77777777" w:rsidR="008B27A0" w:rsidRPr="00B23F3D" w:rsidRDefault="008B27A0" w:rsidP="004B3AED">
            <w:pPr>
              <w:spacing w:after="0" w:line="240" w:lineRule="auto"/>
              <w:jc w:val="right"/>
              <w:rPr>
                <w:b/>
                <w:sz w:val="6"/>
                <w:szCs w:val="6"/>
                <w:lang w:eastAsia="en-GB"/>
              </w:rPr>
            </w:pPr>
          </w:p>
        </w:tc>
        <w:tc>
          <w:tcPr>
            <w:tcW w:w="709" w:type="dxa"/>
            <w:tcBorders>
              <w:bottom w:val="single" w:sz="4" w:space="0" w:color="auto"/>
            </w:tcBorders>
          </w:tcPr>
          <w:p w14:paraId="5C392666" w14:textId="77777777" w:rsidR="008B27A0" w:rsidRPr="00B23F3D" w:rsidRDefault="008B27A0" w:rsidP="004B3AED">
            <w:pPr>
              <w:spacing w:after="0" w:line="240" w:lineRule="auto"/>
              <w:jc w:val="right"/>
              <w:rPr>
                <w:b/>
                <w:sz w:val="6"/>
                <w:szCs w:val="6"/>
                <w:lang w:eastAsia="en-GB"/>
              </w:rPr>
            </w:pPr>
          </w:p>
        </w:tc>
      </w:tr>
      <w:tr w:rsidR="008B27A0" w:rsidRPr="00B23F3D" w14:paraId="75553F0B" w14:textId="77777777" w:rsidTr="004B3AED">
        <w:trPr>
          <w:trHeight w:val="359"/>
        </w:trPr>
        <w:tc>
          <w:tcPr>
            <w:tcW w:w="817" w:type="dxa"/>
            <w:tcBorders>
              <w:top w:val="single" w:sz="4" w:space="0" w:color="auto"/>
              <w:bottom w:val="single" w:sz="4" w:space="0" w:color="auto"/>
            </w:tcBorders>
            <w:vAlign w:val="center"/>
          </w:tcPr>
          <w:p w14:paraId="17BBF7B5" w14:textId="77777777" w:rsidR="008B27A0" w:rsidRPr="00B23F3D" w:rsidRDefault="008B27A0" w:rsidP="004B3AED">
            <w:pPr>
              <w:spacing w:after="0" w:line="240" w:lineRule="auto"/>
              <w:rPr>
                <w:b/>
                <w:szCs w:val="24"/>
                <w:lang w:eastAsia="en-GB"/>
              </w:rPr>
            </w:pPr>
          </w:p>
        </w:tc>
        <w:tc>
          <w:tcPr>
            <w:tcW w:w="3544" w:type="dxa"/>
            <w:tcBorders>
              <w:top w:val="single" w:sz="4" w:space="0" w:color="auto"/>
              <w:bottom w:val="single" w:sz="4" w:space="0" w:color="auto"/>
            </w:tcBorders>
            <w:vAlign w:val="center"/>
          </w:tcPr>
          <w:p w14:paraId="211A9EB7" w14:textId="77777777" w:rsidR="008B27A0" w:rsidRPr="00B23F3D" w:rsidRDefault="008B27A0" w:rsidP="004B3AED">
            <w:pPr>
              <w:spacing w:after="0" w:line="240" w:lineRule="auto"/>
              <w:rPr>
                <w:b/>
                <w:szCs w:val="24"/>
                <w:lang w:eastAsia="en-GB"/>
              </w:rPr>
            </w:pPr>
            <w:r w:rsidRPr="00B23F3D">
              <w:rPr>
                <w:b/>
                <w:szCs w:val="24"/>
                <w:lang w:eastAsia="en-GB"/>
              </w:rPr>
              <w:t xml:space="preserve">Total </w:t>
            </w:r>
          </w:p>
        </w:tc>
        <w:tc>
          <w:tcPr>
            <w:tcW w:w="1701" w:type="dxa"/>
            <w:gridSpan w:val="2"/>
            <w:tcBorders>
              <w:top w:val="single" w:sz="4" w:space="0" w:color="auto"/>
              <w:bottom w:val="single" w:sz="4" w:space="0" w:color="auto"/>
            </w:tcBorders>
            <w:vAlign w:val="center"/>
          </w:tcPr>
          <w:p w14:paraId="1547A2A8" w14:textId="77777777" w:rsidR="008B27A0" w:rsidRPr="00B23F3D" w:rsidRDefault="008B27A0" w:rsidP="004B3AED">
            <w:pPr>
              <w:spacing w:after="0" w:line="240" w:lineRule="auto"/>
              <w:jc w:val="right"/>
              <w:rPr>
                <w:b/>
                <w:szCs w:val="24"/>
                <w:lang w:eastAsia="en-GB"/>
              </w:rPr>
            </w:pPr>
            <w:r>
              <w:rPr>
                <w:b/>
                <w:szCs w:val="24"/>
                <w:lang w:eastAsia="en-GB"/>
              </w:rPr>
              <w:t>750</w:t>
            </w:r>
          </w:p>
        </w:tc>
        <w:tc>
          <w:tcPr>
            <w:tcW w:w="2268" w:type="dxa"/>
            <w:gridSpan w:val="2"/>
            <w:tcBorders>
              <w:top w:val="single" w:sz="4" w:space="0" w:color="auto"/>
              <w:bottom w:val="single" w:sz="4" w:space="0" w:color="auto"/>
            </w:tcBorders>
            <w:shd w:val="clear" w:color="auto" w:fill="auto"/>
            <w:vAlign w:val="center"/>
          </w:tcPr>
          <w:p w14:paraId="7837C824" w14:textId="77777777" w:rsidR="008B27A0" w:rsidRPr="00B23F3D" w:rsidRDefault="008B27A0" w:rsidP="004B3AED">
            <w:pPr>
              <w:spacing w:after="0" w:line="240" w:lineRule="auto"/>
              <w:jc w:val="right"/>
              <w:rPr>
                <w:b/>
                <w:szCs w:val="24"/>
                <w:lang w:eastAsia="en-GB"/>
              </w:rPr>
            </w:pPr>
            <w:r>
              <w:rPr>
                <w:b/>
                <w:szCs w:val="24"/>
                <w:lang w:eastAsia="en-GB"/>
              </w:rPr>
              <w:t xml:space="preserve">100 </w:t>
            </w:r>
            <w:r w:rsidRPr="00BF1392">
              <w:rPr>
                <w:b/>
                <w:sz w:val="18"/>
                <w:szCs w:val="24"/>
                <w:lang w:eastAsia="en-GB"/>
              </w:rPr>
              <w:t>%</w:t>
            </w:r>
          </w:p>
        </w:tc>
        <w:tc>
          <w:tcPr>
            <w:tcW w:w="709" w:type="dxa"/>
            <w:tcBorders>
              <w:top w:val="single" w:sz="4" w:space="0" w:color="auto"/>
              <w:bottom w:val="single" w:sz="4" w:space="0" w:color="auto"/>
            </w:tcBorders>
          </w:tcPr>
          <w:p w14:paraId="0F06075D" w14:textId="77777777" w:rsidR="008B27A0" w:rsidRDefault="008B27A0" w:rsidP="004B3AED">
            <w:pPr>
              <w:spacing w:after="0" w:line="240" w:lineRule="auto"/>
              <w:jc w:val="right"/>
              <w:rPr>
                <w:b/>
                <w:szCs w:val="24"/>
                <w:lang w:eastAsia="en-GB"/>
              </w:rPr>
            </w:pPr>
          </w:p>
        </w:tc>
      </w:tr>
    </w:tbl>
    <w:p w14:paraId="6260750A" w14:textId="77777777" w:rsidR="008B27A0" w:rsidRDefault="008B27A0" w:rsidP="008B27A0">
      <w:pPr>
        <w:spacing w:after="160" w:line="259" w:lineRule="auto"/>
      </w:pPr>
    </w:p>
    <w:p w14:paraId="2976FE24" w14:textId="6EA1B362" w:rsidR="008B27A0" w:rsidRPr="004B3AED" w:rsidRDefault="008B27A0" w:rsidP="004B3AED">
      <w:pPr>
        <w:pStyle w:val="TableHeader"/>
        <w:rPr>
          <w:b/>
        </w:rPr>
      </w:pPr>
      <w:r>
        <w:rPr>
          <w:lang w:eastAsia="en-GB"/>
        </w:rPr>
        <w:br w:type="page"/>
      </w:r>
      <w:bookmarkStart w:id="415" w:name="_Toc9509069"/>
      <w:r w:rsidRPr="004B3AED">
        <w:rPr>
          <w:b/>
          <w:lang w:eastAsia="en-GB"/>
        </w:rPr>
        <w:t xml:space="preserve">Table </w:t>
      </w:r>
      <w:r w:rsidR="00735864">
        <w:rPr>
          <w:b/>
        </w:rPr>
        <w:t>6-</w:t>
      </w:r>
      <w:r w:rsidRPr="004B3AED">
        <w:rPr>
          <w:b/>
          <w:lang w:eastAsia="en-GB"/>
        </w:rPr>
        <w:t>4. Global themes: Reasons and motives encouraging use of NPS</w:t>
      </w:r>
      <w:bookmarkEnd w:id="415"/>
    </w:p>
    <w:tbl>
      <w:tblPr>
        <w:tblW w:w="9039" w:type="dxa"/>
        <w:tblLayout w:type="fixed"/>
        <w:tblLook w:val="04A0" w:firstRow="1" w:lastRow="0" w:firstColumn="1" w:lastColumn="0" w:noHBand="0" w:noVBand="1"/>
      </w:tblPr>
      <w:tblGrid>
        <w:gridCol w:w="704"/>
        <w:gridCol w:w="113"/>
        <w:gridCol w:w="3686"/>
        <w:gridCol w:w="312"/>
        <w:gridCol w:w="1098"/>
        <w:gridCol w:w="999"/>
        <w:gridCol w:w="1418"/>
        <w:gridCol w:w="709"/>
      </w:tblGrid>
      <w:tr w:rsidR="008B27A0" w:rsidRPr="00F57153" w14:paraId="5E377A7D" w14:textId="77777777" w:rsidTr="004B3AED">
        <w:trPr>
          <w:trHeight w:val="628"/>
        </w:trPr>
        <w:tc>
          <w:tcPr>
            <w:tcW w:w="817" w:type="dxa"/>
            <w:gridSpan w:val="2"/>
            <w:tcBorders>
              <w:top w:val="single" w:sz="4" w:space="0" w:color="auto"/>
              <w:bottom w:val="single" w:sz="4" w:space="0" w:color="auto"/>
            </w:tcBorders>
            <w:vAlign w:val="center"/>
          </w:tcPr>
          <w:p w14:paraId="55006812"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Rank</w:t>
            </w:r>
          </w:p>
        </w:tc>
        <w:tc>
          <w:tcPr>
            <w:tcW w:w="3686" w:type="dxa"/>
            <w:tcBorders>
              <w:top w:val="single" w:sz="4" w:space="0" w:color="auto"/>
              <w:bottom w:val="single" w:sz="4" w:space="0" w:color="auto"/>
            </w:tcBorders>
            <w:vAlign w:val="center"/>
          </w:tcPr>
          <w:p w14:paraId="0BA54ED6"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Theme</w:t>
            </w:r>
          </w:p>
        </w:tc>
        <w:tc>
          <w:tcPr>
            <w:tcW w:w="2409" w:type="dxa"/>
            <w:gridSpan w:val="3"/>
            <w:tcBorders>
              <w:top w:val="single" w:sz="4" w:space="0" w:color="auto"/>
              <w:bottom w:val="single" w:sz="4" w:space="0" w:color="auto"/>
            </w:tcBorders>
            <w:vAlign w:val="center"/>
          </w:tcPr>
          <w:p w14:paraId="5FCE287B"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Number of references</w:t>
            </w:r>
          </w:p>
        </w:tc>
        <w:tc>
          <w:tcPr>
            <w:tcW w:w="2127" w:type="dxa"/>
            <w:gridSpan w:val="2"/>
            <w:tcBorders>
              <w:top w:val="single" w:sz="4" w:space="0" w:color="auto"/>
              <w:bottom w:val="single" w:sz="4" w:space="0" w:color="auto"/>
            </w:tcBorders>
            <w:shd w:val="clear" w:color="auto" w:fill="auto"/>
            <w:vAlign w:val="center"/>
          </w:tcPr>
          <w:p w14:paraId="02F3CE21"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Percentage of total (750)</w:t>
            </w:r>
          </w:p>
        </w:tc>
      </w:tr>
      <w:tr w:rsidR="008B27A0" w:rsidRPr="00EC6938" w14:paraId="1F364B25" w14:textId="77777777" w:rsidTr="004B3AED">
        <w:trPr>
          <w:trHeight w:val="60"/>
        </w:trPr>
        <w:tc>
          <w:tcPr>
            <w:tcW w:w="704" w:type="dxa"/>
            <w:tcBorders>
              <w:top w:val="single" w:sz="4" w:space="0" w:color="auto"/>
            </w:tcBorders>
            <w:vAlign w:val="center"/>
          </w:tcPr>
          <w:p w14:paraId="1162F797" w14:textId="77777777" w:rsidR="008B27A0" w:rsidRPr="00EC6938" w:rsidRDefault="008B27A0" w:rsidP="004B3AED">
            <w:pPr>
              <w:spacing w:after="0" w:line="240" w:lineRule="auto"/>
              <w:rPr>
                <w:color w:val="000000"/>
                <w:sz w:val="6"/>
                <w:szCs w:val="6"/>
                <w:lang w:eastAsia="en-GB"/>
              </w:rPr>
            </w:pPr>
          </w:p>
        </w:tc>
        <w:tc>
          <w:tcPr>
            <w:tcW w:w="4111" w:type="dxa"/>
            <w:gridSpan w:val="3"/>
            <w:tcBorders>
              <w:top w:val="single" w:sz="4" w:space="0" w:color="auto"/>
            </w:tcBorders>
            <w:vAlign w:val="center"/>
          </w:tcPr>
          <w:p w14:paraId="1CC10EBC" w14:textId="77777777" w:rsidR="008B27A0" w:rsidRPr="00EC6938" w:rsidRDefault="008B27A0" w:rsidP="004B3AED">
            <w:pPr>
              <w:spacing w:after="0" w:line="240" w:lineRule="auto"/>
              <w:rPr>
                <w:color w:val="000000"/>
                <w:sz w:val="6"/>
                <w:szCs w:val="6"/>
                <w:lang w:eastAsia="en-GB"/>
              </w:rPr>
            </w:pPr>
          </w:p>
        </w:tc>
        <w:tc>
          <w:tcPr>
            <w:tcW w:w="1098" w:type="dxa"/>
            <w:tcBorders>
              <w:top w:val="single" w:sz="4" w:space="0" w:color="auto"/>
            </w:tcBorders>
            <w:vAlign w:val="center"/>
          </w:tcPr>
          <w:p w14:paraId="355F0296" w14:textId="77777777" w:rsidR="008B27A0" w:rsidRPr="00EC6938" w:rsidRDefault="008B27A0" w:rsidP="004B3AED">
            <w:pPr>
              <w:spacing w:after="0" w:line="240" w:lineRule="auto"/>
              <w:rPr>
                <w:color w:val="000000"/>
                <w:sz w:val="6"/>
                <w:szCs w:val="6"/>
                <w:lang w:eastAsia="en-GB"/>
              </w:rPr>
            </w:pPr>
          </w:p>
        </w:tc>
        <w:tc>
          <w:tcPr>
            <w:tcW w:w="2417" w:type="dxa"/>
            <w:gridSpan w:val="2"/>
            <w:tcBorders>
              <w:top w:val="single" w:sz="4" w:space="0" w:color="auto"/>
            </w:tcBorders>
            <w:shd w:val="clear" w:color="auto" w:fill="auto"/>
            <w:vAlign w:val="center"/>
          </w:tcPr>
          <w:p w14:paraId="18F3087D" w14:textId="77777777" w:rsidR="008B27A0" w:rsidRPr="00EC6938" w:rsidRDefault="008B27A0" w:rsidP="004B3AED">
            <w:pPr>
              <w:spacing w:after="0" w:line="240" w:lineRule="auto"/>
              <w:rPr>
                <w:color w:val="000000"/>
                <w:sz w:val="6"/>
                <w:szCs w:val="6"/>
                <w:lang w:eastAsia="en-GB"/>
              </w:rPr>
            </w:pPr>
          </w:p>
        </w:tc>
        <w:tc>
          <w:tcPr>
            <w:tcW w:w="709" w:type="dxa"/>
            <w:tcBorders>
              <w:top w:val="single" w:sz="4" w:space="0" w:color="auto"/>
            </w:tcBorders>
          </w:tcPr>
          <w:p w14:paraId="3E996EA3" w14:textId="77777777" w:rsidR="008B27A0" w:rsidRPr="00EC6938" w:rsidRDefault="008B27A0" w:rsidP="004B3AED">
            <w:pPr>
              <w:spacing w:after="0" w:line="240" w:lineRule="auto"/>
              <w:rPr>
                <w:color w:val="000000"/>
                <w:sz w:val="6"/>
                <w:szCs w:val="6"/>
                <w:lang w:eastAsia="en-GB"/>
              </w:rPr>
            </w:pPr>
          </w:p>
        </w:tc>
      </w:tr>
      <w:tr w:rsidR="008B27A0" w:rsidRPr="00B2469D" w14:paraId="2C7769CE" w14:textId="77777777" w:rsidTr="004B3AED">
        <w:trPr>
          <w:trHeight w:val="367"/>
        </w:trPr>
        <w:tc>
          <w:tcPr>
            <w:tcW w:w="704" w:type="dxa"/>
            <w:vAlign w:val="center"/>
          </w:tcPr>
          <w:p w14:paraId="00ED7B73" w14:textId="77777777" w:rsidR="008B27A0" w:rsidRPr="00F65B33" w:rsidRDefault="008B27A0" w:rsidP="004B3AED">
            <w:pPr>
              <w:spacing w:before="120" w:after="120" w:line="240" w:lineRule="auto"/>
              <w:rPr>
                <w:b/>
                <w:color w:val="000000"/>
                <w:sz w:val="20"/>
                <w:szCs w:val="24"/>
                <w:lang w:eastAsia="en-GB"/>
              </w:rPr>
            </w:pPr>
            <w:r w:rsidRPr="00F65B33">
              <w:rPr>
                <w:b/>
                <w:color w:val="000000"/>
                <w:sz w:val="20"/>
                <w:szCs w:val="24"/>
                <w:lang w:eastAsia="en-GB"/>
              </w:rPr>
              <w:t>1</w:t>
            </w:r>
            <w:r>
              <w:rPr>
                <w:b/>
                <w:color w:val="000000"/>
                <w:sz w:val="20"/>
                <w:szCs w:val="24"/>
                <w:lang w:eastAsia="en-GB"/>
              </w:rPr>
              <w:t>.</w:t>
            </w:r>
          </w:p>
        </w:tc>
        <w:tc>
          <w:tcPr>
            <w:tcW w:w="4111" w:type="dxa"/>
            <w:gridSpan w:val="3"/>
            <w:vAlign w:val="center"/>
          </w:tcPr>
          <w:p w14:paraId="31A59650" w14:textId="77777777" w:rsidR="008B27A0" w:rsidRDefault="008B27A0" w:rsidP="004B3AED">
            <w:pPr>
              <w:spacing w:before="120" w:after="120" w:line="240" w:lineRule="auto"/>
              <w:rPr>
                <w:color w:val="000000"/>
                <w:szCs w:val="24"/>
                <w:lang w:eastAsia="en-GB"/>
              </w:rPr>
            </w:pPr>
            <w:r>
              <w:rPr>
                <w:color w:val="000000"/>
                <w:szCs w:val="24"/>
                <w:lang w:eastAsia="en-GB"/>
              </w:rPr>
              <w:t>Accessibility</w:t>
            </w:r>
            <w:r w:rsidRPr="00914809">
              <w:rPr>
                <w:color w:val="000000"/>
                <w:szCs w:val="24"/>
                <w:lang w:eastAsia="en-GB"/>
              </w:rPr>
              <w:t xml:space="preserve"> </w:t>
            </w:r>
            <w:r>
              <w:rPr>
                <w:color w:val="000000"/>
                <w:szCs w:val="24"/>
                <w:lang w:eastAsia="en-GB"/>
              </w:rPr>
              <w:t>/ easy to access</w:t>
            </w:r>
          </w:p>
        </w:tc>
        <w:tc>
          <w:tcPr>
            <w:tcW w:w="1098" w:type="dxa"/>
            <w:vAlign w:val="center"/>
          </w:tcPr>
          <w:p w14:paraId="388442FF" w14:textId="77777777" w:rsidR="008B27A0" w:rsidRDefault="008B27A0" w:rsidP="004B3AED">
            <w:pPr>
              <w:spacing w:before="120" w:after="120" w:line="240" w:lineRule="auto"/>
              <w:jc w:val="right"/>
              <w:rPr>
                <w:color w:val="000000"/>
                <w:szCs w:val="24"/>
                <w:lang w:eastAsia="en-GB"/>
              </w:rPr>
            </w:pPr>
            <w:r>
              <w:rPr>
                <w:color w:val="000000"/>
                <w:szCs w:val="24"/>
                <w:lang w:eastAsia="en-GB"/>
              </w:rPr>
              <w:t>79</w:t>
            </w:r>
          </w:p>
        </w:tc>
        <w:tc>
          <w:tcPr>
            <w:tcW w:w="2417" w:type="dxa"/>
            <w:gridSpan w:val="2"/>
            <w:shd w:val="clear" w:color="auto" w:fill="auto"/>
            <w:vAlign w:val="center"/>
          </w:tcPr>
          <w:p w14:paraId="450AFE00"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11 </w:t>
            </w:r>
            <w:r w:rsidRPr="00BF1392">
              <w:rPr>
                <w:color w:val="000000"/>
                <w:sz w:val="18"/>
                <w:szCs w:val="24"/>
                <w:lang w:eastAsia="en-GB"/>
              </w:rPr>
              <w:t>%</w:t>
            </w:r>
          </w:p>
        </w:tc>
        <w:tc>
          <w:tcPr>
            <w:tcW w:w="709" w:type="dxa"/>
          </w:tcPr>
          <w:p w14:paraId="51BF2190"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25A5FC7B" w14:textId="77777777" w:rsidTr="004B3AED">
        <w:trPr>
          <w:trHeight w:val="367"/>
        </w:trPr>
        <w:tc>
          <w:tcPr>
            <w:tcW w:w="704" w:type="dxa"/>
            <w:vAlign w:val="center"/>
          </w:tcPr>
          <w:p w14:paraId="7C22CB2A" w14:textId="77777777" w:rsidR="008B27A0" w:rsidRPr="00F65B33" w:rsidRDefault="008B27A0" w:rsidP="004B3AED">
            <w:pPr>
              <w:spacing w:before="120" w:after="120" w:line="240" w:lineRule="auto"/>
              <w:rPr>
                <w:b/>
                <w:sz w:val="20"/>
                <w:szCs w:val="24"/>
                <w:lang w:eastAsia="en-GB"/>
              </w:rPr>
            </w:pPr>
            <w:r w:rsidRPr="00F65B33">
              <w:rPr>
                <w:b/>
                <w:color w:val="000000"/>
                <w:sz w:val="20"/>
                <w:szCs w:val="24"/>
                <w:lang w:eastAsia="en-GB"/>
              </w:rPr>
              <w:t>2</w:t>
            </w:r>
            <w:r>
              <w:rPr>
                <w:b/>
                <w:color w:val="000000"/>
                <w:sz w:val="20"/>
                <w:szCs w:val="24"/>
                <w:lang w:eastAsia="en-GB"/>
              </w:rPr>
              <w:t>.</w:t>
            </w:r>
          </w:p>
        </w:tc>
        <w:tc>
          <w:tcPr>
            <w:tcW w:w="4111" w:type="dxa"/>
            <w:gridSpan w:val="3"/>
            <w:vAlign w:val="center"/>
          </w:tcPr>
          <w:p w14:paraId="5DD90776" w14:textId="77777777" w:rsidR="008B27A0" w:rsidRDefault="008B27A0" w:rsidP="004B3AED">
            <w:pPr>
              <w:spacing w:before="120" w:after="120" w:line="240" w:lineRule="auto"/>
              <w:rPr>
                <w:color w:val="000000"/>
                <w:szCs w:val="24"/>
                <w:lang w:eastAsia="en-GB"/>
              </w:rPr>
            </w:pPr>
            <w:r w:rsidRPr="00914809">
              <w:rPr>
                <w:szCs w:val="24"/>
                <w:lang w:eastAsia="en-GB"/>
              </w:rPr>
              <w:t>Legal status</w:t>
            </w:r>
            <w:r>
              <w:rPr>
                <w:szCs w:val="24"/>
                <w:lang w:eastAsia="en-GB"/>
              </w:rPr>
              <w:t xml:space="preserve"> / legal</w:t>
            </w:r>
          </w:p>
        </w:tc>
        <w:tc>
          <w:tcPr>
            <w:tcW w:w="1098" w:type="dxa"/>
            <w:vAlign w:val="center"/>
          </w:tcPr>
          <w:p w14:paraId="6A0027C9" w14:textId="77777777" w:rsidR="008B27A0" w:rsidRDefault="008B27A0" w:rsidP="004B3AED">
            <w:pPr>
              <w:spacing w:before="120" w:after="120" w:line="240" w:lineRule="auto"/>
              <w:jc w:val="right"/>
              <w:rPr>
                <w:color w:val="000000"/>
                <w:szCs w:val="24"/>
                <w:lang w:eastAsia="en-GB"/>
              </w:rPr>
            </w:pPr>
            <w:r>
              <w:rPr>
                <w:color w:val="000000"/>
                <w:szCs w:val="24"/>
                <w:lang w:eastAsia="en-GB"/>
              </w:rPr>
              <w:t>65</w:t>
            </w:r>
          </w:p>
        </w:tc>
        <w:tc>
          <w:tcPr>
            <w:tcW w:w="2417" w:type="dxa"/>
            <w:gridSpan w:val="2"/>
            <w:shd w:val="clear" w:color="auto" w:fill="auto"/>
            <w:vAlign w:val="center"/>
          </w:tcPr>
          <w:p w14:paraId="230335C5"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9 </w:t>
            </w:r>
            <w:r w:rsidRPr="00BF1392">
              <w:rPr>
                <w:color w:val="000000"/>
                <w:sz w:val="18"/>
                <w:szCs w:val="24"/>
                <w:lang w:eastAsia="en-GB"/>
              </w:rPr>
              <w:t>%</w:t>
            </w:r>
          </w:p>
        </w:tc>
        <w:tc>
          <w:tcPr>
            <w:tcW w:w="709" w:type="dxa"/>
          </w:tcPr>
          <w:p w14:paraId="4D3281AF"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7A151BF1" w14:textId="77777777" w:rsidTr="004B3AED">
        <w:trPr>
          <w:trHeight w:val="367"/>
        </w:trPr>
        <w:tc>
          <w:tcPr>
            <w:tcW w:w="704" w:type="dxa"/>
            <w:vAlign w:val="center"/>
          </w:tcPr>
          <w:p w14:paraId="6BD3AF5B"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3.</w:t>
            </w:r>
          </w:p>
        </w:tc>
        <w:tc>
          <w:tcPr>
            <w:tcW w:w="4111" w:type="dxa"/>
            <w:gridSpan w:val="3"/>
            <w:vAlign w:val="center"/>
          </w:tcPr>
          <w:p w14:paraId="32FB2A80" w14:textId="77777777" w:rsidR="008B27A0" w:rsidRDefault="008B27A0" w:rsidP="004B3AED">
            <w:pPr>
              <w:spacing w:before="120" w:after="120" w:line="240" w:lineRule="auto"/>
              <w:rPr>
                <w:color w:val="000000"/>
                <w:szCs w:val="24"/>
                <w:lang w:eastAsia="en-GB"/>
              </w:rPr>
            </w:pPr>
            <w:r>
              <w:rPr>
                <w:szCs w:val="24"/>
                <w:lang w:eastAsia="en-GB"/>
              </w:rPr>
              <w:t>Risk perception / safety</w:t>
            </w:r>
          </w:p>
        </w:tc>
        <w:tc>
          <w:tcPr>
            <w:tcW w:w="1098" w:type="dxa"/>
            <w:vAlign w:val="center"/>
          </w:tcPr>
          <w:p w14:paraId="689A2E77" w14:textId="77777777" w:rsidR="008B27A0" w:rsidRDefault="008B27A0" w:rsidP="004B3AED">
            <w:pPr>
              <w:spacing w:before="120" w:after="120" w:line="240" w:lineRule="auto"/>
              <w:jc w:val="right"/>
              <w:rPr>
                <w:color w:val="000000"/>
                <w:szCs w:val="24"/>
                <w:lang w:eastAsia="en-GB"/>
              </w:rPr>
            </w:pPr>
            <w:r>
              <w:rPr>
                <w:color w:val="000000"/>
                <w:szCs w:val="24"/>
                <w:lang w:eastAsia="en-GB"/>
              </w:rPr>
              <w:t>62</w:t>
            </w:r>
          </w:p>
        </w:tc>
        <w:tc>
          <w:tcPr>
            <w:tcW w:w="2417" w:type="dxa"/>
            <w:gridSpan w:val="2"/>
            <w:shd w:val="clear" w:color="auto" w:fill="auto"/>
            <w:vAlign w:val="center"/>
          </w:tcPr>
          <w:p w14:paraId="7DF56D62"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8 </w:t>
            </w:r>
            <w:r w:rsidRPr="00BF1392">
              <w:rPr>
                <w:color w:val="000000"/>
                <w:sz w:val="18"/>
                <w:szCs w:val="24"/>
                <w:lang w:eastAsia="en-GB"/>
              </w:rPr>
              <w:t>%</w:t>
            </w:r>
          </w:p>
        </w:tc>
        <w:tc>
          <w:tcPr>
            <w:tcW w:w="709" w:type="dxa"/>
          </w:tcPr>
          <w:p w14:paraId="4B7246DB"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0F44E876" w14:textId="77777777" w:rsidTr="004B3AED">
        <w:trPr>
          <w:trHeight w:val="367"/>
        </w:trPr>
        <w:tc>
          <w:tcPr>
            <w:tcW w:w="704" w:type="dxa"/>
            <w:vAlign w:val="center"/>
          </w:tcPr>
          <w:p w14:paraId="16DDEB55"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4.</w:t>
            </w:r>
          </w:p>
        </w:tc>
        <w:tc>
          <w:tcPr>
            <w:tcW w:w="4111" w:type="dxa"/>
            <w:gridSpan w:val="3"/>
            <w:vAlign w:val="center"/>
          </w:tcPr>
          <w:p w14:paraId="5A99DC3E" w14:textId="77777777" w:rsidR="008B27A0" w:rsidRDefault="008B27A0" w:rsidP="004B3AED">
            <w:pPr>
              <w:spacing w:before="120" w:after="120" w:line="240" w:lineRule="auto"/>
              <w:rPr>
                <w:szCs w:val="24"/>
                <w:lang w:eastAsia="en-GB"/>
              </w:rPr>
            </w:pPr>
            <w:r>
              <w:rPr>
                <w:szCs w:val="24"/>
                <w:lang w:eastAsia="en-GB"/>
              </w:rPr>
              <w:t>Authority / approval</w:t>
            </w:r>
          </w:p>
        </w:tc>
        <w:tc>
          <w:tcPr>
            <w:tcW w:w="1098" w:type="dxa"/>
            <w:vAlign w:val="center"/>
          </w:tcPr>
          <w:p w14:paraId="5BA3117C" w14:textId="77777777" w:rsidR="008B27A0" w:rsidRDefault="008B27A0" w:rsidP="004B3AED">
            <w:pPr>
              <w:spacing w:before="120" w:after="120" w:line="240" w:lineRule="auto"/>
              <w:jc w:val="right"/>
              <w:rPr>
                <w:szCs w:val="24"/>
                <w:lang w:eastAsia="en-GB"/>
              </w:rPr>
            </w:pPr>
            <w:r>
              <w:rPr>
                <w:szCs w:val="24"/>
                <w:lang w:eastAsia="en-GB"/>
              </w:rPr>
              <w:t>51</w:t>
            </w:r>
          </w:p>
        </w:tc>
        <w:tc>
          <w:tcPr>
            <w:tcW w:w="2417" w:type="dxa"/>
            <w:gridSpan w:val="2"/>
            <w:shd w:val="clear" w:color="auto" w:fill="auto"/>
            <w:vAlign w:val="center"/>
          </w:tcPr>
          <w:p w14:paraId="19E2AF85" w14:textId="77777777" w:rsidR="008B27A0" w:rsidRPr="00C9767C" w:rsidRDefault="008B27A0" w:rsidP="004B3AED">
            <w:pPr>
              <w:spacing w:before="120" w:after="120" w:line="240" w:lineRule="auto"/>
              <w:jc w:val="right"/>
              <w:rPr>
                <w:color w:val="000000"/>
                <w:szCs w:val="24"/>
                <w:lang w:eastAsia="en-GB"/>
              </w:rPr>
            </w:pPr>
            <w:r>
              <w:rPr>
                <w:color w:val="000000"/>
                <w:szCs w:val="24"/>
                <w:lang w:eastAsia="en-GB"/>
              </w:rPr>
              <w:t xml:space="preserve">7 </w:t>
            </w:r>
            <w:r w:rsidRPr="00BF1392">
              <w:rPr>
                <w:color w:val="000000"/>
                <w:sz w:val="18"/>
                <w:szCs w:val="24"/>
                <w:lang w:eastAsia="en-GB"/>
              </w:rPr>
              <w:t>%</w:t>
            </w:r>
          </w:p>
        </w:tc>
        <w:tc>
          <w:tcPr>
            <w:tcW w:w="709" w:type="dxa"/>
          </w:tcPr>
          <w:p w14:paraId="28744341"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07176517" w14:textId="77777777" w:rsidTr="004B3AED">
        <w:trPr>
          <w:trHeight w:val="367"/>
        </w:trPr>
        <w:tc>
          <w:tcPr>
            <w:tcW w:w="704" w:type="dxa"/>
            <w:vAlign w:val="center"/>
          </w:tcPr>
          <w:p w14:paraId="6196B428" w14:textId="77777777" w:rsidR="008B27A0" w:rsidRPr="00F65B33" w:rsidRDefault="008B27A0" w:rsidP="004B3AED">
            <w:pPr>
              <w:spacing w:before="120" w:after="120" w:line="240" w:lineRule="auto"/>
              <w:rPr>
                <w:b/>
                <w:color w:val="000000"/>
                <w:sz w:val="20"/>
                <w:szCs w:val="24"/>
                <w:lang w:eastAsia="en-GB"/>
              </w:rPr>
            </w:pPr>
            <w:r>
              <w:rPr>
                <w:b/>
                <w:color w:val="000000"/>
                <w:sz w:val="20"/>
                <w:szCs w:val="24"/>
                <w:lang w:eastAsia="en-GB"/>
              </w:rPr>
              <w:t>5</w:t>
            </w:r>
            <w:r w:rsidRPr="00F65B33">
              <w:rPr>
                <w:b/>
                <w:color w:val="000000"/>
                <w:sz w:val="20"/>
                <w:szCs w:val="24"/>
                <w:lang w:eastAsia="en-GB"/>
              </w:rPr>
              <w:t>.</w:t>
            </w:r>
          </w:p>
        </w:tc>
        <w:tc>
          <w:tcPr>
            <w:tcW w:w="4111" w:type="dxa"/>
            <w:gridSpan w:val="3"/>
            <w:vAlign w:val="center"/>
          </w:tcPr>
          <w:p w14:paraId="6D8A52B2" w14:textId="77777777" w:rsidR="008B27A0" w:rsidRPr="00914809" w:rsidRDefault="008B27A0" w:rsidP="004B3AED">
            <w:pPr>
              <w:spacing w:before="120" w:after="120" w:line="240" w:lineRule="auto"/>
              <w:rPr>
                <w:color w:val="000000"/>
                <w:szCs w:val="24"/>
                <w:lang w:eastAsia="en-GB"/>
              </w:rPr>
            </w:pPr>
            <w:r>
              <w:rPr>
                <w:color w:val="000000"/>
                <w:szCs w:val="24"/>
                <w:lang w:eastAsia="en-GB"/>
              </w:rPr>
              <w:t>Pleasure / pleasant effects</w:t>
            </w:r>
          </w:p>
        </w:tc>
        <w:tc>
          <w:tcPr>
            <w:tcW w:w="1098" w:type="dxa"/>
            <w:vAlign w:val="center"/>
          </w:tcPr>
          <w:p w14:paraId="6E9373A4"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46</w:t>
            </w:r>
          </w:p>
        </w:tc>
        <w:tc>
          <w:tcPr>
            <w:tcW w:w="2417" w:type="dxa"/>
            <w:gridSpan w:val="2"/>
            <w:shd w:val="clear" w:color="auto" w:fill="auto"/>
            <w:vAlign w:val="center"/>
          </w:tcPr>
          <w:p w14:paraId="29C859E2"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 xml:space="preserve">6 </w:t>
            </w:r>
            <w:r w:rsidRPr="00BF1392">
              <w:rPr>
                <w:color w:val="000000"/>
                <w:sz w:val="18"/>
                <w:szCs w:val="24"/>
                <w:lang w:eastAsia="en-GB"/>
              </w:rPr>
              <w:t>%</w:t>
            </w:r>
          </w:p>
        </w:tc>
        <w:tc>
          <w:tcPr>
            <w:tcW w:w="709" w:type="dxa"/>
          </w:tcPr>
          <w:p w14:paraId="062CFDF5"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2FE1838E" w14:textId="77777777" w:rsidTr="004B3AED">
        <w:trPr>
          <w:trHeight w:val="367"/>
        </w:trPr>
        <w:tc>
          <w:tcPr>
            <w:tcW w:w="704" w:type="dxa"/>
            <w:vAlign w:val="center"/>
          </w:tcPr>
          <w:p w14:paraId="278DE8F7" w14:textId="77777777" w:rsidR="008B27A0" w:rsidRPr="00F65B33" w:rsidRDefault="008B27A0" w:rsidP="004B3AED">
            <w:pPr>
              <w:spacing w:before="120" w:after="120" w:line="240" w:lineRule="auto"/>
              <w:rPr>
                <w:b/>
                <w:sz w:val="20"/>
                <w:szCs w:val="24"/>
                <w:lang w:eastAsia="en-GB"/>
              </w:rPr>
            </w:pPr>
            <w:r>
              <w:rPr>
                <w:b/>
                <w:color w:val="000000"/>
                <w:sz w:val="20"/>
                <w:szCs w:val="24"/>
                <w:lang w:eastAsia="en-GB"/>
              </w:rPr>
              <w:t>6.</w:t>
            </w:r>
          </w:p>
        </w:tc>
        <w:tc>
          <w:tcPr>
            <w:tcW w:w="4111" w:type="dxa"/>
            <w:gridSpan w:val="3"/>
            <w:vAlign w:val="center"/>
          </w:tcPr>
          <w:p w14:paraId="0A2F1BC2" w14:textId="77777777" w:rsidR="008B27A0" w:rsidRPr="00914809" w:rsidRDefault="008B27A0" w:rsidP="004B3AED">
            <w:pPr>
              <w:spacing w:before="120" w:after="120" w:line="240" w:lineRule="auto"/>
              <w:rPr>
                <w:color w:val="000000"/>
                <w:szCs w:val="24"/>
                <w:lang w:eastAsia="en-GB"/>
              </w:rPr>
            </w:pPr>
            <w:r>
              <w:rPr>
                <w:szCs w:val="24"/>
                <w:lang w:eastAsia="en-GB"/>
              </w:rPr>
              <w:t xml:space="preserve">Social influences / approval </w:t>
            </w:r>
          </w:p>
        </w:tc>
        <w:tc>
          <w:tcPr>
            <w:tcW w:w="1098" w:type="dxa"/>
            <w:vAlign w:val="center"/>
          </w:tcPr>
          <w:p w14:paraId="4C4894A7"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42</w:t>
            </w:r>
          </w:p>
        </w:tc>
        <w:tc>
          <w:tcPr>
            <w:tcW w:w="2417" w:type="dxa"/>
            <w:gridSpan w:val="2"/>
            <w:shd w:val="clear" w:color="auto" w:fill="auto"/>
            <w:vAlign w:val="center"/>
          </w:tcPr>
          <w:p w14:paraId="177BA6D5"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 xml:space="preserve">6 </w:t>
            </w:r>
            <w:r w:rsidRPr="00BF1392">
              <w:rPr>
                <w:color w:val="000000"/>
                <w:sz w:val="18"/>
                <w:szCs w:val="24"/>
                <w:lang w:eastAsia="en-GB"/>
              </w:rPr>
              <w:t>%</w:t>
            </w:r>
          </w:p>
        </w:tc>
        <w:tc>
          <w:tcPr>
            <w:tcW w:w="709" w:type="dxa"/>
          </w:tcPr>
          <w:p w14:paraId="7DBBFCE3"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6EAB1E0F" w14:textId="77777777" w:rsidTr="004B3AED">
        <w:trPr>
          <w:trHeight w:val="367"/>
        </w:trPr>
        <w:tc>
          <w:tcPr>
            <w:tcW w:w="704" w:type="dxa"/>
            <w:vAlign w:val="center"/>
          </w:tcPr>
          <w:p w14:paraId="7980B86C" w14:textId="77777777" w:rsidR="008B27A0" w:rsidRPr="00F65B33" w:rsidRDefault="008B27A0" w:rsidP="004B3AED">
            <w:pPr>
              <w:spacing w:before="120" w:after="120" w:line="240" w:lineRule="auto"/>
              <w:rPr>
                <w:b/>
                <w:sz w:val="20"/>
                <w:szCs w:val="24"/>
                <w:lang w:eastAsia="en-GB"/>
              </w:rPr>
            </w:pPr>
            <w:r>
              <w:rPr>
                <w:b/>
                <w:sz w:val="20"/>
                <w:szCs w:val="24"/>
                <w:lang w:eastAsia="en-GB"/>
              </w:rPr>
              <w:t>7.</w:t>
            </w:r>
          </w:p>
        </w:tc>
        <w:tc>
          <w:tcPr>
            <w:tcW w:w="4111" w:type="dxa"/>
            <w:gridSpan w:val="3"/>
            <w:vAlign w:val="center"/>
          </w:tcPr>
          <w:p w14:paraId="5A2FFF45" w14:textId="77777777" w:rsidR="008B27A0" w:rsidRPr="00914809" w:rsidRDefault="008B27A0" w:rsidP="004B3AED">
            <w:pPr>
              <w:spacing w:before="120" w:after="120" w:line="240" w:lineRule="auto"/>
              <w:rPr>
                <w:szCs w:val="24"/>
                <w:lang w:eastAsia="en-GB"/>
              </w:rPr>
            </w:pPr>
            <w:r>
              <w:rPr>
                <w:szCs w:val="24"/>
                <w:lang w:eastAsia="en-GB"/>
              </w:rPr>
              <w:t>Identity / positive user types</w:t>
            </w:r>
          </w:p>
        </w:tc>
        <w:tc>
          <w:tcPr>
            <w:tcW w:w="1098" w:type="dxa"/>
            <w:vAlign w:val="center"/>
          </w:tcPr>
          <w:p w14:paraId="7E60D39A" w14:textId="77777777" w:rsidR="008B27A0" w:rsidRPr="00914809" w:rsidRDefault="008B27A0" w:rsidP="004B3AED">
            <w:pPr>
              <w:spacing w:before="120" w:after="120" w:line="240" w:lineRule="auto"/>
              <w:jc w:val="right"/>
              <w:rPr>
                <w:szCs w:val="24"/>
                <w:lang w:eastAsia="en-GB"/>
              </w:rPr>
            </w:pPr>
            <w:r>
              <w:rPr>
                <w:szCs w:val="24"/>
                <w:lang w:eastAsia="en-GB"/>
              </w:rPr>
              <w:t>37</w:t>
            </w:r>
          </w:p>
        </w:tc>
        <w:tc>
          <w:tcPr>
            <w:tcW w:w="2417" w:type="dxa"/>
            <w:gridSpan w:val="2"/>
            <w:shd w:val="clear" w:color="auto" w:fill="auto"/>
            <w:vAlign w:val="center"/>
          </w:tcPr>
          <w:p w14:paraId="63A2BD78" w14:textId="77777777" w:rsidR="008B27A0" w:rsidRPr="00C9767C" w:rsidRDefault="008B27A0" w:rsidP="004B3AED">
            <w:pPr>
              <w:spacing w:before="120" w:after="120" w:line="240" w:lineRule="auto"/>
              <w:jc w:val="right"/>
              <w:rPr>
                <w:szCs w:val="24"/>
                <w:lang w:eastAsia="en-GB"/>
              </w:rPr>
            </w:pPr>
            <w:r>
              <w:rPr>
                <w:szCs w:val="24"/>
                <w:lang w:eastAsia="en-GB"/>
              </w:rPr>
              <w:t xml:space="preserve">5 </w:t>
            </w:r>
            <w:r w:rsidRPr="00BF1392">
              <w:rPr>
                <w:color w:val="000000"/>
                <w:sz w:val="18"/>
                <w:szCs w:val="24"/>
                <w:lang w:eastAsia="en-GB"/>
              </w:rPr>
              <w:t>%</w:t>
            </w:r>
          </w:p>
        </w:tc>
        <w:tc>
          <w:tcPr>
            <w:tcW w:w="709" w:type="dxa"/>
          </w:tcPr>
          <w:p w14:paraId="754B8E9D" w14:textId="77777777" w:rsidR="008B27A0" w:rsidRPr="00B23F3D" w:rsidRDefault="008B27A0" w:rsidP="004B3AED">
            <w:pPr>
              <w:spacing w:before="120" w:after="120" w:line="240" w:lineRule="auto"/>
              <w:jc w:val="right"/>
              <w:rPr>
                <w:szCs w:val="24"/>
                <w:lang w:eastAsia="en-GB"/>
              </w:rPr>
            </w:pPr>
          </w:p>
        </w:tc>
      </w:tr>
      <w:tr w:rsidR="008B27A0" w:rsidRPr="00B2469D" w14:paraId="304D1216" w14:textId="77777777" w:rsidTr="004B3AED">
        <w:trPr>
          <w:trHeight w:val="367"/>
        </w:trPr>
        <w:tc>
          <w:tcPr>
            <w:tcW w:w="704" w:type="dxa"/>
            <w:vAlign w:val="center"/>
          </w:tcPr>
          <w:p w14:paraId="35AD1D8F" w14:textId="77777777" w:rsidR="008B27A0" w:rsidRPr="00F65B33" w:rsidRDefault="008B27A0" w:rsidP="004B3AED">
            <w:pPr>
              <w:spacing w:before="120" w:after="120" w:line="240" w:lineRule="auto"/>
              <w:rPr>
                <w:b/>
                <w:sz w:val="20"/>
                <w:szCs w:val="24"/>
                <w:lang w:eastAsia="en-GB"/>
              </w:rPr>
            </w:pPr>
            <w:r>
              <w:rPr>
                <w:b/>
                <w:sz w:val="20"/>
                <w:szCs w:val="24"/>
                <w:lang w:eastAsia="en-GB"/>
              </w:rPr>
              <w:t>8.</w:t>
            </w:r>
          </w:p>
        </w:tc>
        <w:tc>
          <w:tcPr>
            <w:tcW w:w="4111" w:type="dxa"/>
            <w:gridSpan w:val="3"/>
            <w:vAlign w:val="center"/>
          </w:tcPr>
          <w:p w14:paraId="4D53D762" w14:textId="77777777" w:rsidR="008B27A0" w:rsidRPr="00914809" w:rsidRDefault="008B27A0" w:rsidP="004B3AED">
            <w:pPr>
              <w:spacing w:before="120" w:after="120" w:line="240" w:lineRule="auto"/>
              <w:rPr>
                <w:szCs w:val="24"/>
                <w:lang w:eastAsia="en-GB"/>
              </w:rPr>
            </w:pPr>
            <w:r w:rsidRPr="00914809">
              <w:rPr>
                <w:szCs w:val="24"/>
                <w:lang w:eastAsia="en-GB"/>
              </w:rPr>
              <w:t>Curiosity</w:t>
            </w:r>
            <w:r>
              <w:rPr>
                <w:szCs w:val="24"/>
                <w:lang w:eastAsia="en-GB"/>
              </w:rPr>
              <w:t xml:space="preserve"> </w:t>
            </w:r>
          </w:p>
        </w:tc>
        <w:tc>
          <w:tcPr>
            <w:tcW w:w="1098" w:type="dxa"/>
            <w:vAlign w:val="center"/>
          </w:tcPr>
          <w:p w14:paraId="247A9BAD" w14:textId="77777777" w:rsidR="008B27A0" w:rsidRPr="00914809" w:rsidRDefault="008B27A0" w:rsidP="004B3AED">
            <w:pPr>
              <w:spacing w:before="120" w:after="120" w:line="240" w:lineRule="auto"/>
              <w:jc w:val="right"/>
              <w:rPr>
                <w:szCs w:val="24"/>
                <w:lang w:eastAsia="en-GB"/>
              </w:rPr>
            </w:pPr>
            <w:r>
              <w:rPr>
                <w:szCs w:val="24"/>
                <w:lang w:eastAsia="en-GB"/>
              </w:rPr>
              <w:t>35</w:t>
            </w:r>
          </w:p>
        </w:tc>
        <w:tc>
          <w:tcPr>
            <w:tcW w:w="2417" w:type="dxa"/>
            <w:gridSpan w:val="2"/>
            <w:shd w:val="clear" w:color="auto" w:fill="auto"/>
            <w:vAlign w:val="center"/>
          </w:tcPr>
          <w:p w14:paraId="0EB303DB" w14:textId="77777777" w:rsidR="008B27A0" w:rsidRPr="00914809" w:rsidRDefault="008B27A0" w:rsidP="004B3AED">
            <w:pPr>
              <w:spacing w:before="120" w:after="120" w:line="240" w:lineRule="auto"/>
              <w:jc w:val="right"/>
              <w:rPr>
                <w:szCs w:val="24"/>
                <w:lang w:eastAsia="en-GB"/>
              </w:rPr>
            </w:pPr>
            <w:r>
              <w:rPr>
                <w:szCs w:val="24"/>
                <w:lang w:eastAsia="en-GB"/>
              </w:rPr>
              <w:t>5</w:t>
            </w:r>
            <w:r>
              <w:rPr>
                <w:color w:val="000000"/>
                <w:sz w:val="18"/>
                <w:szCs w:val="24"/>
                <w:lang w:eastAsia="en-GB"/>
              </w:rPr>
              <w:t xml:space="preserve"> </w:t>
            </w:r>
            <w:r w:rsidRPr="00BF1392">
              <w:rPr>
                <w:color w:val="000000"/>
                <w:sz w:val="18"/>
                <w:szCs w:val="24"/>
                <w:lang w:eastAsia="en-GB"/>
              </w:rPr>
              <w:t>%</w:t>
            </w:r>
          </w:p>
        </w:tc>
        <w:tc>
          <w:tcPr>
            <w:tcW w:w="709" w:type="dxa"/>
          </w:tcPr>
          <w:p w14:paraId="04A7B165" w14:textId="77777777" w:rsidR="008B27A0" w:rsidRPr="00B23F3D" w:rsidRDefault="008B27A0" w:rsidP="004B3AED">
            <w:pPr>
              <w:spacing w:before="120" w:after="120" w:line="240" w:lineRule="auto"/>
              <w:jc w:val="right"/>
              <w:rPr>
                <w:szCs w:val="24"/>
                <w:lang w:eastAsia="en-GB"/>
              </w:rPr>
            </w:pPr>
          </w:p>
        </w:tc>
      </w:tr>
      <w:tr w:rsidR="008B27A0" w:rsidRPr="00B2469D" w14:paraId="7ACA443A" w14:textId="77777777" w:rsidTr="004B3AED">
        <w:trPr>
          <w:trHeight w:val="367"/>
        </w:trPr>
        <w:tc>
          <w:tcPr>
            <w:tcW w:w="704" w:type="dxa"/>
            <w:vAlign w:val="center"/>
          </w:tcPr>
          <w:p w14:paraId="17BB97C8" w14:textId="77777777" w:rsidR="008B27A0" w:rsidRPr="00F65B33" w:rsidRDefault="008B27A0" w:rsidP="004B3AED">
            <w:pPr>
              <w:spacing w:before="120" w:after="120" w:line="240" w:lineRule="auto"/>
              <w:rPr>
                <w:b/>
                <w:color w:val="000000"/>
                <w:sz w:val="20"/>
                <w:szCs w:val="24"/>
                <w:lang w:eastAsia="en-GB"/>
              </w:rPr>
            </w:pPr>
            <w:r>
              <w:rPr>
                <w:b/>
                <w:color w:val="000000"/>
                <w:sz w:val="20"/>
                <w:szCs w:val="24"/>
                <w:lang w:eastAsia="en-GB"/>
              </w:rPr>
              <w:t>9.</w:t>
            </w:r>
          </w:p>
        </w:tc>
        <w:tc>
          <w:tcPr>
            <w:tcW w:w="4111" w:type="dxa"/>
            <w:gridSpan w:val="3"/>
            <w:vAlign w:val="center"/>
          </w:tcPr>
          <w:p w14:paraId="12BA9991" w14:textId="77777777" w:rsidR="008B27A0" w:rsidRDefault="008B27A0" w:rsidP="004B3AED">
            <w:pPr>
              <w:spacing w:before="120" w:after="120" w:line="240" w:lineRule="auto"/>
              <w:rPr>
                <w:color w:val="000000"/>
                <w:szCs w:val="24"/>
                <w:lang w:eastAsia="en-GB"/>
              </w:rPr>
            </w:pPr>
            <w:r>
              <w:rPr>
                <w:color w:val="000000"/>
                <w:szCs w:val="24"/>
                <w:lang w:eastAsia="en-GB"/>
              </w:rPr>
              <w:t>Coping</w:t>
            </w:r>
            <w:r w:rsidRPr="00914809">
              <w:rPr>
                <w:color w:val="000000"/>
                <w:szCs w:val="24"/>
                <w:lang w:eastAsia="en-GB"/>
              </w:rPr>
              <w:t xml:space="preserve"> </w:t>
            </w:r>
          </w:p>
        </w:tc>
        <w:tc>
          <w:tcPr>
            <w:tcW w:w="1098" w:type="dxa"/>
            <w:vAlign w:val="center"/>
          </w:tcPr>
          <w:p w14:paraId="1BA21536" w14:textId="77777777" w:rsidR="008B27A0" w:rsidRDefault="008B27A0" w:rsidP="004B3AED">
            <w:pPr>
              <w:spacing w:before="120" w:after="120" w:line="240" w:lineRule="auto"/>
              <w:jc w:val="right"/>
              <w:rPr>
                <w:color w:val="000000"/>
                <w:szCs w:val="24"/>
                <w:lang w:eastAsia="en-GB"/>
              </w:rPr>
            </w:pPr>
            <w:r>
              <w:rPr>
                <w:color w:val="000000"/>
                <w:szCs w:val="24"/>
                <w:lang w:eastAsia="en-GB"/>
              </w:rPr>
              <w:t>33</w:t>
            </w:r>
          </w:p>
        </w:tc>
        <w:tc>
          <w:tcPr>
            <w:tcW w:w="2417" w:type="dxa"/>
            <w:gridSpan w:val="2"/>
            <w:shd w:val="clear" w:color="auto" w:fill="auto"/>
            <w:vAlign w:val="center"/>
          </w:tcPr>
          <w:p w14:paraId="341481AC"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4 </w:t>
            </w:r>
            <w:r w:rsidRPr="00BF1392">
              <w:rPr>
                <w:color w:val="000000"/>
                <w:sz w:val="18"/>
                <w:szCs w:val="24"/>
                <w:lang w:eastAsia="en-GB"/>
              </w:rPr>
              <w:t>%</w:t>
            </w:r>
          </w:p>
        </w:tc>
        <w:tc>
          <w:tcPr>
            <w:tcW w:w="709" w:type="dxa"/>
          </w:tcPr>
          <w:p w14:paraId="11BF8126" w14:textId="77777777" w:rsidR="008B27A0" w:rsidRPr="00B23F3D" w:rsidRDefault="008B27A0" w:rsidP="004B3AED">
            <w:pPr>
              <w:spacing w:before="120" w:after="120" w:line="240" w:lineRule="auto"/>
              <w:jc w:val="right"/>
              <w:rPr>
                <w:color w:val="000000"/>
                <w:szCs w:val="24"/>
                <w:lang w:eastAsia="en-GB"/>
              </w:rPr>
            </w:pPr>
          </w:p>
        </w:tc>
      </w:tr>
      <w:tr w:rsidR="008B27A0" w:rsidRPr="00B2469D" w14:paraId="4EF1854B" w14:textId="77777777" w:rsidTr="004B3AED">
        <w:trPr>
          <w:trHeight w:val="367"/>
        </w:trPr>
        <w:tc>
          <w:tcPr>
            <w:tcW w:w="704" w:type="dxa"/>
            <w:vAlign w:val="center"/>
          </w:tcPr>
          <w:p w14:paraId="3CA85277" w14:textId="77777777" w:rsidR="008B27A0" w:rsidRPr="00F65B33" w:rsidRDefault="008B27A0" w:rsidP="004B3AED">
            <w:pPr>
              <w:spacing w:before="120" w:after="120" w:line="240" w:lineRule="auto"/>
              <w:rPr>
                <w:b/>
                <w:sz w:val="20"/>
                <w:szCs w:val="24"/>
                <w:lang w:eastAsia="en-GB"/>
              </w:rPr>
            </w:pPr>
            <w:r w:rsidRPr="00F65B33">
              <w:rPr>
                <w:b/>
                <w:color w:val="000000"/>
                <w:sz w:val="20"/>
                <w:szCs w:val="24"/>
                <w:lang w:eastAsia="en-GB"/>
              </w:rPr>
              <w:t>1</w:t>
            </w:r>
            <w:r>
              <w:rPr>
                <w:b/>
                <w:color w:val="000000"/>
                <w:sz w:val="20"/>
                <w:szCs w:val="24"/>
                <w:lang w:eastAsia="en-GB"/>
              </w:rPr>
              <w:t>0.</w:t>
            </w:r>
          </w:p>
        </w:tc>
        <w:tc>
          <w:tcPr>
            <w:tcW w:w="4111" w:type="dxa"/>
            <w:gridSpan w:val="3"/>
            <w:vAlign w:val="center"/>
          </w:tcPr>
          <w:p w14:paraId="20708091" w14:textId="77777777" w:rsidR="008B27A0" w:rsidRDefault="008B27A0" w:rsidP="004B3AED">
            <w:pPr>
              <w:spacing w:before="120" w:after="120" w:line="240" w:lineRule="auto"/>
              <w:rPr>
                <w:color w:val="000000"/>
                <w:szCs w:val="24"/>
                <w:lang w:eastAsia="en-GB"/>
              </w:rPr>
            </w:pPr>
            <w:r>
              <w:rPr>
                <w:szCs w:val="24"/>
                <w:lang w:eastAsia="en-GB"/>
              </w:rPr>
              <w:t>Substitution / use NPS</w:t>
            </w:r>
          </w:p>
        </w:tc>
        <w:tc>
          <w:tcPr>
            <w:tcW w:w="1098" w:type="dxa"/>
            <w:vAlign w:val="center"/>
          </w:tcPr>
          <w:p w14:paraId="1700EC48" w14:textId="77777777" w:rsidR="008B27A0" w:rsidRDefault="008B27A0" w:rsidP="004B3AED">
            <w:pPr>
              <w:spacing w:before="120" w:after="120" w:line="240" w:lineRule="auto"/>
              <w:jc w:val="right"/>
              <w:rPr>
                <w:szCs w:val="24"/>
                <w:lang w:eastAsia="en-GB"/>
              </w:rPr>
            </w:pPr>
            <w:r>
              <w:rPr>
                <w:szCs w:val="24"/>
                <w:lang w:eastAsia="en-GB"/>
              </w:rPr>
              <w:t>22</w:t>
            </w:r>
          </w:p>
        </w:tc>
        <w:tc>
          <w:tcPr>
            <w:tcW w:w="2417" w:type="dxa"/>
            <w:gridSpan w:val="2"/>
            <w:shd w:val="clear" w:color="auto" w:fill="auto"/>
            <w:vAlign w:val="center"/>
          </w:tcPr>
          <w:p w14:paraId="19754313" w14:textId="77777777" w:rsidR="008B27A0" w:rsidRDefault="008B27A0" w:rsidP="004B3AED">
            <w:pPr>
              <w:spacing w:before="120" w:after="120" w:line="240" w:lineRule="auto"/>
              <w:jc w:val="right"/>
              <w:rPr>
                <w:color w:val="000000"/>
                <w:szCs w:val="24"/>
                <w:lang w:eastAsia="en-GB"/>
              </w:rPr>
            </w:pPr>
            <w:r>
              <w:rPr>
                <w:color w:val="000000"/>
                <w:szCs w:val="24"/>
                <w:lang w:eastAsia="en-GB"/>
              </w:rPr>
              <w:t xml:space="preserve">3 </w:t>
            </w:r>
            <w:r w:rsidRPr="00BF1392">
              <w:rPr>
                <w:color w:val="000000"/>
                <w:sz w:val="18"/>
                <w:szCs w:val="24"/>
                <w:lang w:eastAsia="en-GB"/>
              </w:rPr>
              <w:t>%</w:t>
            </w:r>
          </w:p>
        </w:tc>
        <w:tc>
          <w:tcPr>
            <w:tcW w:w="709" w:type="dxa"/>
          </w:tcPr>
          <w:p w14:paraId="429AFD3A" w14:textId="77777777" w:rsidR="008B27A0" w:rsidRPr="00B23F3D" w:rsidRDefault="008B27A0" w:rsidP="004B3AED">
            <w:pPr>
              <w:spacing w:before="120" w:after="120" w:line="240" w:lineRule="auto"/>
              <w:jc w:val="right"/>
              <w:rPr>
                <w:color w:val="000000"/>
                <w:szCs w:val="24"/>
                <w:lang w:eastAsia="en-GB"/>
              </w:rPr>
            </w:pPr>
          </w:p>
        </w:tc>
      </w:tr>
      <w:tr w:rsidR="008B27A0" w:rsidRPr="00B23F3D" w14:paraId="7E72ADB3" w14:textId="77777777" w:rsidTr="004B3AED">
        <w:trPr>
          <w:trHeight w:val="60"/>
        </w:trPr>
        <w:tc>
          <w:tcPr>
            <w:tcW w:w="704" w:type="dxa"/>
            <w:tcBorders>
              <w:bottom w:val="single" w:sz="4" w:space="0" w:color="auto"/>
            </w:tcBorders>
            <w:vAlign w:val="center"/>
          </w:tcPr>
          <w:p w14:paraId="22936551" w14:textId="77777777" w:rsidR="008B27A0" w:rsidRPr="00B23F3D" w:rsidRDefault="008B27A0" w:rsidP="004B3AED">
            <w:pPr>
              <w:spacing w:after="0" w:line="240" w:lineRule="auto"/>
              <w:rPr>
                <w:b/>
                <w:sz w:val="6"/>
                <w:szCs w:val="6"/>
                <w:lang w:eastAsia="en-GB"/>
              </w:rPr>
            </w:pPr>
          </w:p>
        </w:tc>
        <w:tc>
          <w:tcPr>
            <w:tcW w:w="4111" w:type="dxa"/>
            <w:gridSpan w:val="3"/>
            <w:tcBorders>
              <w:bottom w:val="single" w:sz="4" w:space="0" w:color="auto"/>
            </w:tcBorders>
            <w:vAlign w:val="center"/>
          </w:tcPr>
          <w:p w14:paraId="0BA28A74" w14:textId="77777777" w:rsidR="008B27A0" w:rsidRPr="00B23F3D" w:rsidRDefault="008B27A0" w:rsidP="004B3AED">
            <w:pPr>
              <w:spacing w:after="0" w:line="240" w:lineRule="auto"/>
              <w:rPr>
                <w:b/>
                <w:sz w:val="6"/>
                <w:szCs w:val="6"/>
                <w:lang w:eastAsia="en-GB"/>
              </w:rPr>
            </w:pPr>
          </w:p>
        </w:tc>
        <w:tc>
          <w:tcPr>
            <w:tcW w:w="1098" w:type="dxa"/>
            <w:tcBorders>
              <w:bottom w:val="single" w:sz="4" w:space="0" w:color="auto"/>
            </w:tcBorders>
            <w:vAlign w:val="center"/>
          </w:tcPr>
          <w:p w14:paraId="75A63631" w14:textId="77777777" w:rsidR="008B27A0" w:rsidRPr="00B23F3D" w:rsidRDefault="008B27A0" w:rsidP="004B3AED">
            <w:pPr>
              <w:spacing w:after="0" w:line="240" w:lineRule="auto"/>
              <w:jc w:val="right"/>
              <w:rPr>
                <w:b/>
                <w:sz w:val="6"/>
                <w:szCs w:val="6"/>
                <w:lang w:eastAsia="en-GB"/>
              </w:rPr>
            </w:pPr>
          </w:p>
        </w:tc>
        <w:tc>
          <w:tcPr>
            <w:tcW w:w="2417" w:type="dxa"/>
            <w:gridSpan w:val="2"/>
            <w:tcBorders>
              <w:bottom w:val="single" w:sz="4" w:space="0" w:color="auto"/>
            </w:tcBorders>
            <w:shd w:val="clear" w:color="auto" w:fill="auto"/>
            <w:vAlign w:val="center"/>
          </w:tcPr>
          <w:p w14:paraId="0479DC88" w14:textId="77777777" w:rsidR="008B27A0" w:rsidRPr="00B23F3D" w:rsidRDefault="008B27A0" w:rsidP="004B3AED">
            <w:pPr>
              <w:spacing w:after="0" w:line="240" w:lineRule="auto"/>
              <w:jc w:val="right"/>
              <w:rPr>
                <w:b/>
                <w:sz w:val="6"/>
                <w:szCs w:val="6"/>
                <w:lang w:eastAsia="en-GB"/>
              </w:rPr>
            </w:pPr>
          </w:p>
        </w:tc>
        <w:tc>
          <w:tcPr>
            <w:tcW w:w="709" w:type="dxa"/>
            <w:tcBorders>
              <w:bottom w:val="single" w:sz="4" w:space="0" w:color="auto"/>
            </w:tcBorders>
          </w:tcPr>
          <w:p w14:paraId="520E0214" w14:textId="77777777" w:rsidR="008B27A0" w:rsidRPr="00B23F3D" w:rsidRDefault="008B27A0" w:rsidP="004B3AED">
            <w:pPr>
              <w:spacing w:after="0" w:line="240" w:lineRule="auto"/>
              <w:jc w:val="right"/>
              <w:rPr>
                <w:b/>
                <w:sz w:val="6"/>
                <w:szCs w:val="6"/>
                <w:lang w:eastAsia="en-GB"/>
              </w:rPr>
            </w:pPr>
          </w:p>
        </w:tc>
      </w:tr>
      <w:tr w:rsidR="008B27A0" w:rsidRPr="00B23F3D" w14:paraId="41F7A415" w14:textId="77777777" w:rsidTr="004B3AED">
        <w:trPr>
          <w:trHeight w:val="359"/>
        </w:trPr>
        <w:tc>
          <w:tcPr>
            <w:tcW w:w="704" w:type="dxa"/>
            <w:tcBorders>
              <w:top w:val="single" w:sz="4" w:space="0" w:color="auto"/>
              <w:bottom w:val="single" w:sz="4" w:space="0" w:color="auto"/>
            </w:tcBorders>
            <w:vAlign w:val="center"/>
          </w:tcPr>
          <w:p w14:paraId="107EB693" w14:textId="77777777" w:rsidR="008B27A0" w:rsidRPr="00B23F3D" w:rsidRDefault="008B27A0" w:rsidP="004B3AED">
            <w:pPr>
              <w:spacing w:after="0" w:line="240" w:lineRule="auto"/>
              <w:rPr>
                <w:b/>
                <w:szCs w:val="24"/>
                <w:lang w:eastAsia="en-GB"/>
              </w:rPr>
            </w:pPr>
          </w:p>
        </w:tc>
        <w:tc>
          <w:tcPr>
            <w:tcW w:w="4111" w:type="dxa"/>
            <w:gridSpan w:val="3"/>
            <w:tcBorders>
              <w:top w:val="single" w:sz="4" w:space="0" w:color="auto"/>
              <w:bottom w:val="single" w:sz="4" w:space="0" w:color="auto"/>
            </w:tcBorders>
            <w:vAlign w:val="center"/>
          </w:tcPr>
          <w:p w14:paraId="682ED355" w14:textId="77777777" w:rsidR="008B27A0" w:rsidRPr="00B23F3D" w:rsidRDefault="008B27A0" w:rsidP="004B3AED">
            <w:pPr>
              <w:spacing w:after="0" w:line="240" w:lineRule="auto"/>
              <w:rPr>
                <w:b/>
                <w:szCs w:val="24"/>
                <w:lang w:eastAsia="en-GB"/>
              </w:rPr>
            </w:pPr>
            <w:r w:rsidRPr="00B23F3D">
              <w:rPr>
                <w:b/>
                <w:szCs w:val="24"/>
                <w:lang w:eastAsia="en-GB"/>
              </w:rPr>
              <w:t xml:space="preserve">Total </w:t>
            </w:r>
          </w:p>
        </w:tc>
        <w:tc>
          <w:tcPr>
            <w:tcW w:w="1098" w:type="dxa"/>
            <w:tcBorders>
              <w:top w:val="single" w:sz="4" w:space="0" w:color="auto"/>
              <w:bottom w:val="single" w:sz="4" w:space="0" w:color="auto"/>
            </w:tcBorders>
            <w:vAlign w:val="center"/>
          </w:tcPr>
          <w:p w14:paraId="676E4AFA" w14:textId="77777777" w:rsidR="008B27A0" w:rsidRPr="00B23F3D" w:rsidRDefault="008B27A0" w:rsidP="004B3AED">
            <w:pPr>
              <w:spacing w:after="0" w:line="240" w:lineRule="auto"/>
              <w:jc w:val="right"/>
              <w:rPr>
                <w:b/>
                <w:szCs w:val="24"/>
                <w:lang w:eastAsia="en-GB"/>
              </w:rPr>
            </w:pPr>
            <w:r>
              <w:rPr>
                <w:b/>
                <w:szCs w:val="24"/>
                <w:lang w:eastAsia="en-GB"/>
              </w:rPr>
              <w:t>472</w:t>
            </w:r>
          </w:p>
        </w:tc>
        <w:tc>
          <w:tcPr>
            <w:tcW w:w="2417" w:type="dxa"/>
            <w:gridSpan w:val="2"/>
            <w:tcBorders>
              <w:top w:val="single" w:sz="4" w:space="0" w:color="auto"/>
              <w:bottom w:val="single" w:sz="4" w:space="0" w:color="auto"/>
            </w:tcBorders>
            <w:shd w:val="clear" w:color="auto" w:fill="auto"/>
            <w:vAlign w:val="center"/>
          </w:tcPr>
          <w:p w14:paraId="0D3F56A1" w14:textId="77777777" w:rsidR="008B27A0" w:rsidRPr="00B23F3D" w:rsidRDefault="008B27A0" w:rsidP="004B3AED">
            <w:pPr>
              <w:spacing w:after="0" w:line="240" w:lineRule="auto"/>
              <w:jc w:val="right"/>
              <w:rPr>
                <w:b/>
                <w:szCs w:val="24"/>
                <w:lang w:eastAsia="en-GB"/>
              </w:rPr>
            </w:pPr>
            <w:r>
              <w:rPr>
                <w:b/>
                <w:szCs w:val="24"/>
                <w:lang w:eastAsia="en-GB"/>
              </w:rPr>
              <w:t xml:space="preserve">63 </w:t>
            </w:r>
            <w:r w:rsidRPr="00BF1392">
              <w:rPr>
                <w:b/>
                <w:sz w:val="18"/>
                <w:szCs w:val="24"/>
                <w:lang w:eastAsia="en-GB"/>
              </w:rPr>
              <w:t>%</w:t>
            </w:r>
          </w:p>
        </w:tc>
        <w:tc>
          <w:tcPr>
            <w:tcW w:w="709" w:type="dxa"/>
            <w:tcBorders>
              <w:top w:val="single" w:sz="4" w:space="0" w:color="auto"/>
              <w:bottom w:val="single" w:sz="4" w:space="0" w:color="auto"/>
            </w:tcBorders>
          </w:tcPr>
          <w:p w14:paraId="51EB10FD" w14:textId="77777777" w:rsidR="008B27A0" w:rsidRPr="00B23F3D" w:rsidRDefault="008B27A0" w:rsidP="004B3AED">
            <w:pPr>
              <w:spacing w:after="0" w:line="240" w:lineRule="auto"/>
              <w:jc w:val="right"/>
              <w:rPr>
                <w:b/>
                <w:szCs w:val="24"/>
                <w:lang w:eastAsia="en-GB"/>
              </w:rPr>
            </w:pPr>
          </w:p>
        </w:tc>
      </w:tr>
    </w:tbl>
    <w:p w14:paraId="545EA23A" w14:textId="77777777" w:rsidR="008B27A0" w:rsidRDefault="008B27A0" w:rsidP="008B27A0">
      <w:pPr>
        <w:spacing w:after="160" w:line="259" w:lineRule="auto"/>
        <w:rPr>
          <w:b/>
          <w:color w:val="000000"/>
          <w:lang w:eastAsia="en-GB"/>
        </w:rPr>
      </w:pPr>
    </w:p>
    <w:p w14:paraId="4D827ACA" w14:textId="77777777" w:rsidR="008B27A0" w:rsidRDefault="008B27A0" w:rsidP="008B27A0">
      <w:pPr>
        <w:spacing w:after="160" w:line="259" w:lineRule="auto"/>
        <w:rPr>
          <w:b/>
          <w:color w:val="000000"/>
          <w:lang w:eastAsia="en-GB"/>
        </w:rPr>
      </w:pPr>
    </w:p>
    <w:p w14:paraId="21AD6A8E" w14:textId="454E79C1" w:rsidR="008B27A0" w:rsidRPr="004B3AED" w:rsidRDefault="008B27A0" w:rsidP="004B3AED">
      <w:pPr>
        <w:pStyle w:val="TableHeader"/>
        <w:rPr>
          <w:b/>
        </w:rPr>
      </w:pPr>
      <w:bookmarkStart w:id="416" w:name="_Toc9509070"/>
      <w:r w:rsidRPr="004B3AED">
        <w:rPr>
          <w:b/>
          <w:lang w:eastAsia="en-GB"/>
        </w:rPr>
        <w:t xml:space="preserve">Table </w:t>
      </w:r>
      <w:r w:rsidR="00735864">
        <w:rPr>
          <w:b/>
        </w:rPr>
        <w:t>6-</w:t>
      </w:r>
      <w:r w:rsidRPr="004B3AED">
        <w:rPr>
          <w:b/>
          <w:lang w:eastAsia="en-GB"/>
        </w:rPr>
        <w:t>5. Global themes: Reasons discouraging use of NPS</w:t>
      </w:r>
      <w:bookmarkEnd w:id="416"/>
    </w:p>
    <w:tbl>
      <w:tblPr>
        <w:tblW w:w="9045" w:type="dxa"/>
        <w:tblLayout w:type="fixed"/>
        <w:tblLook w:val="04A0" w:firstRow="1" w:lastRow="0" w:firstColumn="1" w:lastColumn="0" w:noHBand="0" w:noVBand="1"/>
      </w:tblPr>
      <w:tblGrid>
        <w:gridCol w:w="704"/>
        <w:gridCol w:w="113"/>
        <w:gridCol w:w="3686"/>
        <w:gridCol w:w="312"/>
        <w:gridCol w:w="1098"/>
        <w:gridCol w:w="999"/>
        <w:gridCol w:w="1418"/>
        <w:gridCol w:w="709"/>
        <w:gridCol w:w="6"/>
      </w:tblGrid>
      <w:tr w:rsidR="008B27A0" w:rsidRPr="00F57153" w14:paraId="2C44601A" w14:textId="77777777" w:rsidTr="004B3AED">
        <w:trPr>
          <w:gridAfter w:val="1"/>
          <w:wAfter w:w="6" w:type="dxa"/>
          <w:trHeight w:val="628"/>
        </w:trPr>
        <w:tc>
          <w:tcPr>
            <w:tcW w:w="817" w:type="dxa"/>
            <w:gridSpan w:val="2"/>
            <w:tcBorders>
              <w:top w:val="single" w:sz="4" w:space="0" w:color="auto"/>
              <w:bottom w:val="single" w:sz="4" w:space="0" w:color="auto"/>
            </w:tcBorders>
            <w:vAlign w:val="center"/>
          </w:tcPr>
          <w:p w14:paraId="14DD94E4"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Rank</w:t>
            </w:r>
          </w:p>
        </w:tc>
        <w:tc>
          <w:tcPr>
            <w:tcW w:w="3686" w:type="dxa"/>
            <w:tcBorders>
              <w:top w:val="single" w:sz="4" w:space="0" w:color="auto"/>
              <w:bottom w:val="single" w:sz="4" w:space="0" w:color="auto"/>
            </w:tcBorders>
            <w:vAlign w:val="center"/>
          </w:tcPr>
          <w:p w14:paraId="13A5B75D" w14:textId="77777777" w:rsidR="008B27A0" w:rsidRPr="00F57153" w:rsidRDefault="008B27A0" w:rsidP="004B3AED">
            <w:pPr>
              <w:spacing w:after="0" w:line="240" w:lineRule="auto"/>
              <w:rPr>
                <w:b/>
                <w:color w:val="000000"/>
                <w:szCs w:val="24"/>
                <w:lang w:eastAsia="en-GB"/>
              </w:rPr>
            </w:pPr>
            <w:r w:rsidRPr="00F57153">
              <w:rPr>
                <w:b/>
                <w:color w:val="000000"/>
                <w:szCs w:val="24"/>
                <w:lang w:eastAsia="en-GB"/>
              </w:rPr>
              <w:t>Theme</w:t>
            </w:r>
          </w:p>
        </w:tc>
        <w:tc>
          <w:tcPr>
            <w:tcW w:w="2409" w:type="dxa"/>
            <w:gridSpan w:val="3"/>
            <w:tcBorders>
              <w:top w:val="single" w:sz="4" w:space="0" w:color="auto"/>
              <w:bottom w:val="single" w:sz="4" w:space="0" w:color="auto"/>
            </w:tcBorders>
            <w:vAlign w:val="center"/>
          </w:tcPr>
          <w:p w14:paraId="577817AB"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Number of references</w:t>
            </w:r>
          </w:p>
        </w:tc>
        <w:tc>
          <w:tcPr>
            <w:tcW w:w="2127" w:type="dxa"/>
            <w:gridSpan w:val="2"/>
            <w:tcBorders>
              <w:top w:val="single" w:sz="4" w:space="0" w:color="auto"/>
              <w:bottom w:val="single" w:sz="4" w:space="0" w:color="auto"/>
            </w:tcBorders>
            <w:shd w:val="clear" w:color="auto" w:fill="auto"/>
            <w:vAlign w:val="center"/>
          </w:tcPr>
          <w:p w14:paraId="3530CD65" w14:textId="77777777" w:rsidR="008B27A0" w:rsidRPr="00F57153" w:rsidRDefault="008B27A0" w:rsidP="004B3AED">
            <w:pPr>
              <w:spacing w:after="0" w:line="240" w:lineRule="auto"/>
              <w:jc w:val="center"/>
              <w:rPr>
                <w:b/>
                <w:color w:val="000000"/>
                <w:szCs w:val="24"/>
                <w:lang w:eastAsia="en-GB"/>
              </w:rPr>
            </w:pPr>
            <w:r w:rsidRPr="00F57153">
              <w:rPr>
                <w:b/>
                <w:color w:val="000000"/>
                <w:szCs w:val="24"/>
                <w:lang w:eastAsia="en-GB"/>
              </w:rPr>
              <w:t>Percentage of total (750)</w:t>
            </w:r>
          </w:p>
        </w:tc>
      </w:tr>
      <w:tr w:rsidR="008B27A0" w:rsidRPr="00EC6938" w14:paraId="0C7A565B" w14:textId="77777777" w:rsidTr="004B3AED">
        <w:trPr>
          <w:trHeight w:val="60"/>
        </w:trPr>
        <w:tc>
          <w:tcPr>
            <w:tcW w:w="704" w:type="dxa"/>
            <w:tcBorders>
              <w:top w:val="single" w:sz="4" w:space="0" w:color="auto"/>
            </w:tcBorders>
            <w:vAlign w:val="center"/>
          </w:tcPr>
          <w:p w14:paraId="56279910" w14:textId="77777777" w:rsidR="008B27A0" w:rsidRPr="00EC6938" w:rsidRDefault="008B27A0" w:rsidP="004B3AED">
            <w:pPr>
              <w:spacing w:after="0" w:line="240" w:lineRule="auto"/>
              <w:rPr>
                <w:color w:val="000000"/>
                <w:sz w:val="6"/>
                <w:szCs w:val="6"/>
                <w:lang w:eastAsia="en-GB"/>
              </w:rPr>
            </w:pPr>
          </w:p>
        </w:tc>
        <w:tc>
          <w:tcPr>
            <w:tcW w:w="4111" w:type="dxa"/>
            <w:gridSpan w:val="3"/>
            <w:tcBorders>
              <w:top w:val="single" w:sz="4" w:space="0" w:color="auto"/>
            </w:tcBorders>
            <w:vAlign w:val="center"/>
          </w:tcPr>
          <w:p w14:paraId="4827EFED" w14:textId="77777777" w:rsidR="008B27A0" w:rsidRPr="00EC6938" w:rsidRDefault="008B27A0" w:rsidP="004B3AED">
            <w:pPr>
              <w:spacing w:after="0" w:line="240" w:lineRule="auto"/>
              <w:rPr>
                <w:color w:val="000000"/>
                <w:sz w:val="6"/>
                <w:szCs w:val="6"/>
                <w:lang w:eastAsia="en-GB"/>
              </w:rPr>
            </w:pPr>
          </w:p>
        </w:tc>
        <w:tc>
          <w:tcPr>
            <w:tcW w:w="1098" w:type="dxa"/>
            <w:tcBorders>
              <w:top w:val="single" w:sz="4" w:space="0" w:color="auto"/>
            </w:tcBorders>
            <w:vAlign w:val="center"/>
          </w:tcPr>
          <w:p w14:paraId="3F2C2D44" w14:textId="77777777" w:rsidR="008B27A0" w:rsidRPr="00EC6938" w:rsidRDefault="008B27A0" w:rsidP="004B3AED">
            <w:pPr>
              <w:spacing w:after="0" w:line="240" w:lineRule="auto"/>
              <w:rPr>
                <w:color w:val="000000"/>
                <w:sz w:val="6"/>
                <w:szCs w:val="6"/>
                <w:lang w:eastAsia="en-GB"/>
              </w:rPr>
            </w:pPr>
          </w:p>
        </w:tc>
        <w:tc>
          <w:tcPr>
            <w:tcW w:w="2417" w:type="dxa"/>
            <w:gridSpan w:val="2"/>
            <w:tcBorders>
              <w:top w:val="single" w:sz="4" w:space="0" w:color="auto"/>
            </w:tcBorders>
            <w:shd w:val="clear" w:color="auto" w:fill="auto"/>
            <w:vAlign w:val="center"/>
          </w:tcPr>
          <w:p w14:paraId="1CD15F33" w14:textId="77777777" w:rsidR="008B27A0" w:rsidRPr="00EC6938" w:rsidRDefault="008B27A0" w:rsidP="004B3AED">
            <w:pPr>
              <w:spacing w:after="0" w:line="240" w:lineRule="auto"/>
              <w:rPr>
                <w:color w:val="000000"/>
                <w:sz w:val="6"/>
                <w:szCs w:val="6"/>
                <w:lang w:eastAsia="en-GB"/>
              </w:rPr>
            </w:pPr>
          </w:p>
        </w:tc>
        <w:tc>
          <w:tcPr>
            <w:tcW w:w="715" w:type="dxa"/>
            <w:gridSpan w:val="2"/>
            <w:tcBorders>
              <w:top w:val="single" w:sz="4" w:space="0" w:color="auto"/>
            </w:tcBorders>
          </w:tcPr>
          <w:p w14:paraId="273DE4AC" w14:textId="77777777" w:rsidR="008B27A0" w:rsidRPr="00EC6938" w:rsidRDefault="008B27A0" w:rsidP="004B3AED">
            <w:pPr>
              <w:spacing w:after="0" w:line="240" w:lineRule="auto"/>
              <w:rPr>
                <w:color w:val="000000"/>
                <w:sz w:val="6"/>
                <w:szCs w:val="6"/>
                <w:lang w:eastAsia="en-GB"/>
              </w:rPr>
            </w:pPr>
          </w:p>
        </w:tc>
      </w:tr>
      <w:tr w:rsidR="008B27A0" w:rsidRPr="00B2469D" w14:paraId="24FE9692" w14:textId="77777777" w:rsidTr="004B3AED">
        <w:trPr>
          <w:trHeight w:val="374"/>
        </w:trPr>
        <w:tc>
          <w:tcPr>
            <w:tcW w:w="704" w:type="dxa"/>
            <w:vAlign w:val="center"/>
          </w:tcPr>
          <w:p w14:paraId="4C4F998E" w14:textId="77777777" w:rsidR="008B27A0" w:rsidRPr="00F65B33" w:rsidRDefault="008B27A0" w:rsidP="004B3AED">
            <w:pPr>
              <w:spacing w:before="120" w:after="120" w:line="240" w:lineRule="auto"/>
              <w:rPr>
                <w:b/>
                <w:szCs w:val="24"/>
                <w:lang w:eastAsia="en-GB"/>
              </w:rPr>
            </w:pPr>
            <w:r w:rsidRPr="00F65B33">
              <w:rPr>
                <w:b/>
                <w:color w:val="000000"/>
                <w:szCs w:val="24"/>
                <w:lang w:eastAsia="en-GB"/>
              </w:rPr>
              <w:t>1</w:t>
            </w:r>
            <w:r>
              <w:rPr>
                <w:b/>
                <w:color w:val="000000"/>
                <w:szCs w:val="24"/>
                <w:lang w:eastAsia="en-GB"/>
              </w:rPr>
              <w:t>.</w:t>
            </w:r>
          </w:p>
        </w:tc>
        <w:tc>
          <w:tcPr>
            <w:tcW w:w="4111" w:type="dxa"/>
            <w:gridSpan w:val="3"/>
            <w:vAlign w:val="center"/>
          </w:tcPr>
          <w:p w14:paraId="24C2B4C7" w14:textId="77777777" w:rsidR="008B27A0" w:rsidRPr="00914809" w:rsidRDefault="008B27A0" w:rsidP="004B3AED">
            <w:pPr>
              <w:spacing w:before="120" w:after="120" w:line="240" w:lineRule="auto"/>
              <w:rPr>
                <w:color w:val="000000"/>
                <w:szCs w:val="24"/>
                <w:lang w:eastAsia="en-GB"/>
              </w:rPr>
            </w:pPr>
            <w:r>
              <w:rPr>
                <w:szCs w:val="24"/>
                <w:lang w:eastAsia="en-GB"/>
              </w:rPr>
              <w:t>R</w:t>
            </w:r>
            <w:r w:rsidRPr="00914809">
              <w:rPr>
                <w:szCs w:val="24"/>
                <w:lang w:eastAsia="en-GB"/>
              </w:rPr>
              <w:t>isk perception</w:t>
            </w:r>
            <w:r>
              <w:rPr>
                <w:szCs w:val="24"/>
                <w:lang w:eastAsia="en-GB"/>
              </w:rPr>
              <w:t xml:space="preserve"> / harm</w:t>
            </w:r>
          </w:p>
        </w:tc>
        <w:tc>
          <w:tcPr>
            <w:tcW w:w="1098" w:type="dxa"/>
            <w:vAlign w:val="center"/>
          </w:tcPr>
          <w:p w14:paraId="5C9E081D"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160</w:t>
            </w:r>
          </w:p>
        </w:tc>
        <w:tc>
          <w:tcPr>
            <w:tcW w:w="2417" w:type="dxa"/>
            <w:gridSpan w:val="2"/>
            <w:shd w:val="clear" w:color="auto" w:fill="auto"/>
            <w:vAlign w:val="center"/>
          </w:tcPr>
          <w:p w14:paraId="35AA27DD"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21 </w:t>
            </w:r>
            <w:r w:rsidRPr="00BF1392">
              <w:rPr>
                <w:color w:val="000000"/>
                <w:sz w:val="18"/>
                <w:szCs w:val="24"/>
                <w:lang w:eastAsia="en-GB"/>
              </w:rPr>
              <w:t>%</w:t>
            </w:r>
          </w:p>
        </w:tc>
        <w:tc>
          <w:tcPr>
            <w:tcW w:w="715" w:type="dxa"/>
            <w:gridSpan w:val="2"/>
          </w:tcPr>
          <w:p w14:paraId="5BC80F44" w14:textId="77777777" w:rsidR="008B27A0" w:rsidRDefault="008B27A0" w:rsidP="004B3AED">
            <w:pPr>
              <w:spacing w:before="120" w:after="120" w:line="240" w:lineRule="auto"/>
              <w:jc w:val="right"/>
              <w:rPr>
                <w:color w:val="000000"/>
                <w:szCs w:val="24"/>
                <w:lang w:eastAsia="en-GB"/>
              </w:rPr>
            </w:pPr>
          </w:p>
        </w:tc>
      </w:tr>
      <w:tr w:rsidR="008B27A0" w:rsidRPr="00B2469D" w14:paraId="20F7EE69" w14:textId="77777777" w:rsidTr="004B3AED">
        <w:trPr>
          <w:trHeight w:val="374"/>
        </w:trPr>
        <w:tc>
          <w:tcPr>
            <w:tcW w:w="704" w:type="dxa"/>
            <w:vAlign w:val="center"/>
          </w:tcPr>
          <w:p w14:paraId="55E323F9" w14:textId="77777777" w:rsidR="008B27A0" w:rsidRPr="00F65B33" w:rsidRDefault="008B27A0" w:rsidP="004B3AED">
            <w:pPr>
              <w:spacing w:before="120" w:after="120" w:line="240" w:lineRule="auto"/>
              <w:rPr>
                <w:b/>
                <w:color w:val="000000"/>
                <w:lang w:eastAsia="en-GB"/>
              </w:rPr>
            </w:pPr>
            <w:r>
              <w:rPr>
                <w:b/>
                <w:color w:val="000000"/>
                <w:szCs w:val="24"/>
                <w:lang w:eastAsia="en-GB"/>
              </w:rPr>
              <w:t>2.</w:t>
            </w:r>
          </w:p>
        </w:tc>
        <w:tc>
          <w:tcPr>
            <w:tcW w:w="4111" w:type="dxa"/>
            <w:gridSpan w:val="3"/>
            <w:vAlign w:val="center"/>
          </w:tcPr>
          <w:p w14:paraId="05E7E57F" w14:textId="77777777" w:rsidR="008B27A0" w:rsidRDefault="008B27A0" w:rsidP="004B3AED">
            <w:pPr>
              <w:spacing w:before="120" w:after="120" w:line="240" w:lineRule="auto"/>
              <w:rPr>
                <w:szCs w:val="24"/>
                <w:lang w:eastAsia="en-GB"/>
              </w:rPr>
            </w:pPr>
            <w:r>
              <w:rPr>
                <w:color w:val="000000"/>
                <w:lang w:eastAsia="en-GB"/>
              </w:rPr>
              <w:t>Substitution / traditional drugs</w:t>
            </w:r>
          </w:p>
        </w:tc>
        <w:tc>
          <w:tcPr>
            <w:tcW w:w="1098" w:type="dxa"/>
            <w:vAlign w:val="center"/>
          </w:tcPr>
          <w:p w14:paraId="2C5BEB0A" w14:textId="77777777" w:rsidR="008B27A0" w:rsidRDefault="008B27A0" w:rsidP="004B3AED">
            <w:pPr>
              <w:spacing w:before="120" w:after="120" w:line="240" w:lineRule="auto"/>
              <w:jc w:val="right"/>
              <w:rPr>
                <w:szCs w:val="24"/>
                <w:lang w:eastAsia="en-GB"/>
              </w:rPr>
            </w:pPr>
            <w:r>
              <w:rPr>
                <w:szCs w:val="24"/>
                <w:lang w:eastAsia="en-GB"/>
              </w:rPr>
              <w:t>36</w:t>
            </w:r>
          </w:p>
        </w:tc>
        <w:tc>
          <w:tcPr>
            <w:tcW w:w="2417" w:type="dxa"/>
            <w:gridSpan w:val="2"/>
            <w:shd w:val="clear" w:color="auto" w:fill="auto"/>
            <w:vAlign w:val="center"/>
          </w:tcPr>
          <w:p w14:paraId="5D54B76C"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5 </w:t>
            </w:r>
            <w:r w:rsidRPr="00BF1392">
              <w:rPr>
                <w:color w:val="000000"/>
                <w:sz w:val="18"/>
                <w:szCs w:val="24"/>
                <w:lang w:eastAsia="en-GB"/>
              </w:rPr>
              <w:t>%</w:t>
            </w:r>
          </w:p>
        </w:tc>
        <w:tc>
          <w:tcPr>
            <w:tcW w:w="715" w:type="dxa"/>
            <w:gridSpan w:val="2"/>
          </w:tcPr>
          <w:p w14:paraId="160D8D71" w14:textId="77777777" w:rsidR="008B27A0" w:rsidRDefault="008B27A0" w:rsidP="004B3AED">
            <w:pPr>
              <w:spacing w:before="120" w:after="120" w:line="240" w:lineRule="auto"/>
              <w:jc w:val="right"/>
              <w:rPr>
                <w:color w:val="000000"/>
                <w:szCs w:val="24"/>
                <w:lang w:eastAsia="en-GB"/>
              </w:rPr>
            </w:pPr>
          </w:p>
        </w:tc>
      </w:tr>
      <w:tr w:rsidR="008B27A0" w:rsidRPr="00B2469D" w14:paraId="0FF54F5B" w14:textId="77777777" w:rsidTr="004B3AED">
        <w:trPr>
          <w:trHeight w:val="374"/>
        </w:trPr>
        <w:tc>
          <w:tcPr>
            <w:tcW w:w="704" w:type="dxa"/>
            <w:vAlign w:val="center"/>
          </w:tcPr>
          <w:p w14:paraId="6281FB1F" w14:textId="77777777" w:rsidR="008B27A0" w:rsidRPr="00F65B33" w:rsidRDefault="008B27A0" w:rsidP="004B3AED">
            <w:pPr>
              <w:spacing w:before="120" w:after="120" w:line="240" w:lineRule="auto"/>
              <w:rPr>
                <w:b/>
                <w:color w:val="000000"/>
                <w:szCs w:val="24"/>
                <w:lang w:eastAsia="en-GB"/>
              </w:rPr>
            </w:pPr>
            <w:r>
              <w:rPr>
                <w:b/>
                <w:color w:val="000000"/>
                <w:szCs w:val="24"/>
                <w:lang w:eastAsia="en-GB"/>
              </w:rPr>
              <w:t>3.</w:t>
            </w:r>
          </w:p>
        </w:tc>
        <w:tc>
          <w:tcPr>
            <w:tcW w:w="4111" w:type="dxa"/>
            <w:gridSpan w:val="3"/>
            <w:vAlign w:val="center"/>
          </w:tcPr>
          <w:p w14:paraId="2F8BD152" w14:textId="77777777" w:rsidR="008B27A0" w:rsidRPr="00914809" w:rsidRDefault="008B27A0" w:rsidP="004B3AED">
            <w:pPr>
              <w:spacing w:before="120" w:after="120" w:line="240" w:lineRule="auto"/>
              <w:rPr>
                <w:color w:val="000000"/>
                <w:szCs w:val="24"/>
                <w:lang w:eastAsia="en-GB"/>
              </w:rPr>
            </w:pPr>
            <w:r>
              <w:rPr>
                <w:color w:val="000000"/>
                <w:szCs w:val="24"/>
                <w:lang w:eastAsia="en-GB"/>
              </w:rPr>
              <w:t>Pleasure / unpleasant effects</w:t>
            </w:r>
          </w:p>
        </w:tc>
        <w:tc>
          <w:tcPr>
            <w:tcW w:w="1098" w:type="dxa"/>
            <w:vAlign w:val="center"/>
          </w:tcPr>
          <w:p w14:paraId="21E9F056" w14:textId="77777777" w:rsidR="008B27A0" w:rsidRPr="00914809" w:rsidRDefault="008B27A0" w:rsidP="004B3AED">
            <w:pPr>
              <w:spacing w:before="120" w:after="120" w:line="240" w:lineRule="auto"/>
              <w:jc w:val="right"/>
              <w:rPr>
                <w:color w:val="000000"/>
                <w:szCs w:val="24"/>
                <w:lang w:eastAsia="en-GB"/>
              </w:rPr>
            </w:pPr>
            <w:r>
              <w:rPr>
                <w:color w:val="000000"/>
                <w:szCs w:val="24"/>
                <w:lang w:eastAsia="en-GB"/>
              </w:rPr>
              <w:t>27</w:t>
            </w:r>
          </w:p>
        </w:tc>
        <w:tc>
          <w:tcPr>
            <w:tcW w:w="2417" w:type="dxa"/>
            <w:gridSpan w:val="2"/>
            <w:shd w:val="clear" w:color="auto" w:fill="auto"/>
            <w:vAlign w:val="center"/>
          </w:tcPr>
          <w:p w14:paraId="26B5D9E7"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4 </w:t>
            </w:r>
            <w:r w:rsidRPr="00BF1392">
              <w:rPr>
                <w:color w:val="000000"/>
                <w:sz w:val="18"/>
                <w:szCs w:val="24"/>
                <w:lang w:eastAsia="en-GB"/>
              </w:rPr>
              <w:t>%</w:t>
            </w:r>
          </w:p>
        </w:tc>
        <w:tc>
          <w:tcPr>
            <w:tcW w:w="715" w:type="dxa"/>
            <w:gridSpan w:val="2"/>
          </w:tcPr>
          <w:p w14:paraId="29753169" w14:textId="77777777" w:rsidR="008B27A0" w:rsidRDefault="008B27A0" w:rsidP="004B3AED">
            <w:pPr>
              <w:spacing w:before="120" w:after="120" w:line="240" w:lineRule="auto"/>
              <w:jc w:val="right"/>
              <w:rPr>
                <w:color w:val="000000"/>
                <w:szCs w:val="24"/>
                <w:lang w:eastAsia="en-GB"/>
              </w:rPr>
            </w:pPr>
          </w:p>
        </w:tc>
      </w:tr>
      <w:tr w:rsidR="008B27A0" w:rsidRPr="00B2469D" w14:paraId="3D729E2B" w14:textId="77777777" w:rsidTr="004B3AED">
        <w:trPr>
          <w:trHeight w:val="374"/>
        </w:trPr>
        <w:tc>
          <w:tcPr>
            <w:tcW w:w="704" w:type="dxa"/>
            <w:vAlign w:val="center"/>
          </w:tcPr>
          <w:p w14:paraId="50F2111A" w14:textId="77777777" w:rsidR="008B27A0" w:rsidRPr="00F65B33" w:rsidRDefault="008B27A0" w:rsidP="004B3AED">
            <w:pPr>
              <w:spacing w:before="120" w:after="120" w:line="240" w:lineRule="auto"/>
              <w:rPr>
                <w:b/>
                <w:szCs w:val="24"/>
                <w:lang w:eastAsia="en-GB"/>
              </w:rPr>
            </w:pPr>
            <w:r>
              <w:rPr>
                <w:b/>
                <w:color w:val="000000"/>
                <w:szCs w:val="24"/>
                <w:lang w:eastAsia="en-GB"/>
              </w:rPr>
              <w:t>4.</w:t>
            </w:r>
          </w:p>
        </w:tc>
        <w:tc>
          <w:tcPr>
            <w:tcW w:w="4111" w:type="dxa"/>
            <w:gridSpan w:val="3"/>
            <w:vAlign w:val="center"/>
          </w:tcPr>
          <w:p w14:paraId="7186F160" w14:textId="77777777" w:rsidR="008B27A0" w:rsidRDefault="008B27A0" w:rsidP="004B3AED">
            <w:pPr>
              <w:spacing w:before="120" w:after="120" w:line="240" w:lineRule="auto"/>
              <w:rPr>
                <w:color w:val="000000"/>
                <w:szCs w:val="24"/>
                <w:lang w:eastAsia="en-GB"/>
              </w:rPr>
            </w:pPr>
            <w:r>
              <w:rPr>
                <w:szCs w:val="24"/>
                <w:lang w:eastAsia="en-GB"/>
              </w:rPr>
              <w:t>Authority / disapproval</w:t>
            </w:r>
          </w:p>
        </w:tc>
        <w:tc>
          <w:tcPr>
            <w:tcW w:w="1098" w:type="dxa"/>
            <w:vAlign w:val="center"/>
          </w:tcPr>
          <w:p w14:paraId="60E6F565" w14:textId="77777777" w:rsidR="008B27A0" w:rsidRDefault="008B27A0" w:rsidP="004B3AED">
            <w:pPr>
              <w:spacing w:before="120" w:after="120" w:line="240" w:lineRule="auto"/>
              <w:jc w:val="right"/>
              <w:rPr>
                <w:color w:val="000000"/>
                <w:szCs w:val="24"/>
                <w:lang w:eastAsia="en-GB"/>
              </w:rPr>
            </w:pPr>
            <w:r>
              <w:rPr>
                <w:color w:val="000000"/>
                <w:szCs w:val="24"/>
                <w:lang w:eastAsia="en-GB"/>
              </w:rPr>
              <w:t>23</w:t>
            </w:r>
          </w:p>
        </w:tc>
        <w:tc>
          <w:tcPr>
            <w:tcW w:w="2417" w:type="dxa"/>
            <w:gridSpan w:val="2"/>
            <w:shd w:val="clear" w:color="auto" w:fill="auto"/>
            <w:vAlign w:val="center"/>
          </w:tcPr>
          <w:p w14:paraId="176117E8"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3 </w:t>
            </w:r>
            <w:r w:rsidRPr="00BF1392">
              <w:rPr>
                <w:color w:val="000000"/>
                <w:sz w:val="18"/>
                <w:szCs w:val="24"/>
                <w:lang w:eastAsia="en-GB"/>
              </w:rPr>
              <w:t>%</w:t>
            </w:r>
          </w:p>
        </w:tc>
        <w:tc>
          <w:tcPr>
            <w:tcW w:w="715" w:type="dxa"/>
            <w:gridSpan w:val="2"/>
          </w:tcPr>
          <w:p w14:paraId="02DEEE8F" w14:textId="77777777" w:rsidR="008B27A0" w:rsidRDefault="008B27A0" w:rsidP="004B3AED">
            <w:pPr>
              <w:spacing w:before="120" w:after="120" w:line="240" w:lineRule="auto"/>
              <w:jc w:val="right"/>
              <w:rPr>
                <w:color w:val="000000"/>
                <w:szCs w:val="24"/>
                <w:lang w:eastAsia="en-GB"/>
              </w:rPr>
            </w:pPr>
          </w:p>
        </w:tc>
      </w:tr>
      <w:tr w:rsidR="008B27A0" w:rsidRPr="00B2469D" w14:paraId="0D73D67B" w14:textId="77777777" w:rsidTr="004B3AED">
        <w:trPr>
          <w:trHeight w:val="374"/>
        </w:trPr>
        <w:tc>
          <w:tcPr>
            <w:tcW w:w="704" w:type="dxa"/>
            <w:vAlign w:val="center"/>
          </w:tcPr>
          <w:p w14:paraId="712AB6A1" w14:textId="77777777" w:rsidR="008B27A0" w:rsidRPr="00F65B33" w:rsidRDefault="008B27A0" w:rsidP="004B3AED">
            <w:pPr>
              <w:spacing w:before="120" w:after="120" w:line="240" w:lineRule="auto"/>
              <w:rPr>
                <w:b/>
                <w:szCs w:val="24"/>
                <w:lang w:eastAsia="en-GB"/>
              </w:rPr>
            </w:pPr>
            <w:r>
              <w:rPr>
                <w:b/>
                <w:color w:val="000000"/>
                <w:szCs w:val="24"/>
                <w:lang w:eastAsia="en-GB"/>
              </w:rPr>
              <w:t>5.</w:t>
            </w:r>
          </w:p>
        </w:tc>
        <w:tc>
          <w:tcPr>
            <w:tcW w:w="4111" w:type="dxa"/>
            <w:gridSpan w:val="3"/>
            <w:vAlign w:val="center"/>
          </w:tcPr>
          <w:p w14:paraId="0EAD3B9F" w14:textId="77777777" w:rsidR="008B27A0" w:rsidRDefault="008B27A0" w:rsidP="004B3AED">
            <w:pPr>
              <w:spacing w:before="120" w:after="120" w:line="240" w:lineRule="auto"/>
              <w:rPr>
                <w:color w:val="000000"/>
                <w:szCs w:val="24"/>
                <w:lang w:eastAsia="en-GB"/>
              </w:rPr>
            </w:pPr>
            <w:r>
              <w:rPr>
                <w:szCs w:val="24"/>
                <w:lang w:eastAsia="en-GB"/>
              </w:rPr>
              <w:t>Identity / negative user types</w:t>
            </w:r>
          </w:p>
        </w:tc>
        <w:tc>
          <w:tcPr>
            <w:tcW w:w="1098" w:type="dxa"/>
            <w:vAlign w:val="center"/>
          </w:tcPr>
          <w:p w14:paraId="26D5036D" w14:textId="77777777" w:rsidR="008B27A0" w:rsidRDefault="008B27A0" w:rsidP="004B3AED">
            <w:pPr>
              <w:spacing w:before="120" w:after="120" w:line="240" w:lineRule="auto"/>
              <w:jc w:val="right"/>
              <w:rPr>
                <w:color w:val="000000"/>
                <w:szCs w:val="24"/>
                <w:lang w:eastAsia="en-GB"/>
              </w:rPr>
            </w:pPr>
            <w:r>
              <w:rPr>
                <w:color w:val="000000"/>
                <w:szCs w:val="24"/>
                <w:lang w:eastAsia="en-GB"/>
              </w:rPr>
              <w:t>21</w:t>
            </w:r>
          </w:p>
        </w:tc>
        <w:tc>
          <w:tcPr>
            <w:tcW w:w="2417" w:type="dxa"/>
            <w:gridSpan w:val="2"/>
            <w:shd w:val="clear" w:color="auto" w:fill="auto"/>
            <w:vAlign w:val="center"/>
          </w:tcPr>
          <w:p w14:paraId="54F13D12"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3 </w:t>
            </w:r>
            <w:r w:rsidRPr="00BF1392">
              <w:rPr>
                <w:color w:val="000000"/>
                <w:sz w:val="18"/>
                <w:szCs w:val="24"/>
                <w:lang w:eastAsia="en-GB"/>
              </w:rPr>
              <w:t>%</w:t>
            </w:r>
          </w:p>
        </w:tc>
        <w:tc>
          <w:tcPr>
            <w:tcW w:w="715" w:type="dxa"/>
            <w:gridSpan w:val="2"/>
          </w:tcPr>
          <w:p w14:paraId="45C0B886" w14:textId="77777777" w:rsidR="008B27A0" w:rsidRDefault="008B27A0" w:rsidP="004B3AED">
            <w:pPr>
              <w:spacing w:before="120" w:after="120" w:line="240" w:lineRule="auto"/>
              <w:jc w:val="right"/>
              <w:rPr>
                <w:color w:val="000000"/>
                <w:szCs w:val="24"/>
                <w:lang w:eastAsia="en-GB"/>
              </w:rPr>
            </w:pPr>
          </w:p>
        </w:tc>
      </w:tr>
      <w:tr w:rsidR="008B27A0" w:rsidRPr="00B2469D" w14:paraId="14CA5C23" w14:textId="77777777" w:rsidTr="004B3AED">
        <w:trPr>
          <w:trHeight w:val="374"/>
        </w:trPr>
        <w:tc>
          <w:tcPr>
            <w:tcW w:w="704" w:type="dxa"/>
            <w:vAlign w:val="center"/>
          </w:tcPr>
          <w:p w14:paraId="2FF7F271" w14:textId="77777777" w:rsidR="008B27A0" w:rsidRPr="00F65B33" w:rsidRDefault="008B27A0" w:rsidP="004B3AED">
            <w:pPr>
              <w:spacing w:before="120" w:after="120" w:line="240" w:lineRule="auto"/>
              <w:rPr>
                <w:b/>
                <w:szCs w:val="24"/>
                <w:lang w:eastAsia="en-GB"/>
              </w:rPr>
            </w:pPr>
            <w:r>
              <w:rPr>
                <w:b/>
                <w:szCs w:val="24"/>
                <w:lang w:eastAsia="en-GB"/>
              </w:rPr>
              <w:t>6.</w:t>
            </w:r>
          </w:p>
        </w:tc>
        <w:tc>
          <w:tcPr>
            <w:tcW w:w="4111" w:type="dxa"/>
            <w:gridSpan w:val="3"/>
            <w:vAlign w:val="center"/>
          </w:tcPr>
          <w:p w14:paraId="561CB703" w14:textId="77777777" w:rsidR="008B27A0" w:rsidRPr="00914809" w:rsidRDefault="008B27A0" w:rsidP="004B3AED">
            <w:pPr>
              <w:spacing w:before="120" w:after="120" w:line="240" w:lineRule="auto"/>
              <w:rPr>
                <w:szCs w:val="24"/>
                <w:lang w:eastAsia="en-GB"/>
              </w:rPr>
            </w:pPr>
            <w:r w:rsidRPr="00914809">
              <w:rPr>
                <w:szCs w:val="24"/>
                <w:lang w:eastAsia="en-GB"/>
              </w:rPr>
              <w:t xml:space="preserve">Social </w:t>
            </w:r>
            <w:r>
              <w:rPr>
                <w:szCs w:val="24"/>
                <w:lang w:eastAsia="en-GB"/>
              </w:rPr>
              <w:t>influences / disapproval</w:t>
            </w:r>
          </w:p>
        </w:tc>
        <w:tc>
          <w:tcPr>
            <w:tcW w:w="1098" w:type="dxa"/>
            <w:vAlign w:val="center"/>
          </w:tcPr>
          <w:p w14:paraId="26A5BF64" w14:textId="77777777" w:rsidR="008B27A0" w:rsidRPr="00914809" w:rsidRDefault="008B27A0" w:rsidP="004B3AED">
            <w:pPr>
              <w:spacing w:before="120" w:after="120" w:line="240" w:lineRule="auto"/>
              <w:jc w:val="right"/>
              <w:rPr>
                <w:szCs w:val="24"/>
                <w:lang w:eastAsia="en-GB"/>
              </w:rPr>
            </w:pPr>
            <w:r>
              <w:rPr>
                <w:szCs w:val="24"/>
                <w:lang w:eastAsia="en-GB"/>
              </w:rPr>
              <w:t>8</w:t>
            </w:r>
          </w:p>
        </w:tc>
        <w:tc>
          <w:tcPr>
            <w:tcW w:w="2417" w:type="dxa"/>
            <w:gridSpan w:val="2"/>
            <w:shd w:val="clear" w:color="auto" w:fill="auto"/>
            <w:vAlign w:val="center"/>
          </w:tcPr>
          <w:p w14:paraId="3FAC15E0" w14:textId="77777777" w:rsidR="008B27A0" w:rsidRPr="002C54A1" w:rsidRDefault="008B27A0" w:rsidP="004B3AED">
            <w:pPr>
              <w:spacing w:before="120" w:after="120" w:line="240" w:lineRule="auto"/>
              <w:jc w:val="right"/>
              <w:rPr>
                <w:szCs w:val="24"/>
                <w:lang w:eastAsia="en-GB"/>
              </w:rPr>
            </w:pPr>
            <w:r>
              <w:rPr>
                <w:szCs w:val="24"/>
                <w:lang w:eastAsia="en-GB"/>
              </w:rPr>
              <w:t xml:space="preserve">1 </w:t>
            </w:r>
            <w:r w:rsidRPr="00BF1392">
              <w:rPr>
                <w:color w:val="000000"/>
                <w:sz w:val="18"/>
                <w:szCs w:val="24"/>
                <w:lang w:eastAsia="en-GB"/>
              </w:rPr>
              <w:t>%</w:t>
            </w:r>
          </w:p>
        </w:tc>
        <w:tc>
          <w:tcPr>
            <w:tcW w:w="715" w:type="dxa"/>
            <w:gridSpan w:val="2"/>
          </w:tcPr>
          <w:p w14:paraId="47D01535" w14:textId="77777777" w:rsidR="008B27A0" w:rsidRDefault="008B27A0" w:rsidP="004B3AED">
            <w:pPr>
              <w:spacing w:before="120" w:after="120" w:line="240" w:lineRule="auto"/>
              <w:jc w:val="right"/>
              <w:rPr>
                <w:szCs w:val="24"/>
                <w:lang w:eastAsia="en-GB"/>
              </w:rPr>
            </w:pPr>
          </w:p>
        </w:tc>
      </w:tr>
      <w:tr w:rsidR="008B27A0" w:rsidRPr="00B2469D" w14:paraId="79E59F94" w14:textId="77777777" w:rsidTr="004B3AED">
        <w:trPr>
          <w:trHeight w:val="374"/>
        </w:trPr>
        <w:tc>
          <w:tcPr>
            <w:tcW w:w="704" w:type="dxa"/>
            <w:vAlign w:val="center"/>
          </w:tcPr>
          <w:p w14:paraId="323D61F0" w14:textId="77777777" w:rsidR="008B27A0" w:rsidRPr="00F65B33" w:rsidRDefault="008B27A0" w:rsidP="004B3AED">
            <w:pPr>
              <w:spacing w:before="120" w:after="120" w:line="240" w:lineRule="auto"/>
              <w:rPr>
                <w:b/>
                <w:color w:val="000000"/>
                <w:szCs w:val="24"/>
                <w:lang w:eastAsia="en-GB"/>
              </w:rPr>
            </w:pPr>
            <w:r>
              <w:rPr>
                <w:b/>
                <w:color w:val="000000"/>
                <w:szCs w:val="24"/>
                <w:lang w:eastAsia="en-GB"/>
              </w:rPr>
              <w:t>7.</w:t>
            </w:r>
          </w:p>
        </w:tc>
        <w:tc>
          <w:tcPr>
            <w:tcW w:w="4111" w:type="dxa"/>
            <w:gridSpan w:val="3"/>
            <w:vAlign w:val="center"/>
          </w:tcPr>
          <w:p w14:paraId="77E30901" w14:textId="77777777" w:rsidR="008B27A0" w:rsidRDefault="008B27A0" w:rsidP="004B3AED">
            <w:pPr>
              <w:spacing w:before="120" w:after="120" w:line="240" w:lineRule="auto"/>
              <w:rPr>
                <w:color w:val="000000"/>
                <w:szCs w:val="24"/>
                <w:lang w:eastAsia="en-GB"/>
              </w:rPr>
            </w:pPr>
            <w:r>
              <w:rPr>
                <w:color w:val="000000"/>
                <w:szCs w:val="24"/>
                <w:lang w:eastAsia="en-GB"/>
              </w:rPr>
              <w:t>Accessibility / hard to access</w:t>
            </w:r>
          </w:p>
        </w:tc>
        <w:tc>
          <w:tcPr>
            <w:tcW w:w="1098" w:type="dxa"/>
            <w:vAlign w:val="center"/>
          </w:tcPr>
          <w:p w14:paraId="5BDD5CE1" w14:textId="77777777" w:rsidR="008B27A0" w:rsidRDefault="008B27A0" w:rsidP="004B3AED">
            <w:pPr>
              <w:spacing w:before="120" w:after="120" w:line="240" w:lineRule="auto"/>
              <w:jc w:val="right"/>
              <w:rPr>
                <w:color w:val="000000"/>
                <w:szCs w:val="24"/>
                <w:lang w:eastAsia="en-GB"/>
              </w:rPr>
            </w:pPr>
            <w:r>
              <w:rPr>
                <w:color w:val="000000"/>
                <w:szCs w:val="24"/>
                <w:lang w:eastAsia="en-GB"/>
              </w:rPr>
              <w:t>3</w:t>
            </w:r>
          </w:p>
        </w:tc>
        <w:tc>
          <w:tcPr>
            <w:tcW w:w="2417" w:type="dxa"/>
            <w:gridSpan w:val="2"/>
            <w:shd w:val="clear" w:color="auto" w:fill="auto"/>
            <w:vAlign w:val="center"/>
          </w:tcPr>
          <w:p w14:paraId="564104C5" w14:textId="77777777" w:rsidR="008B27A0" w:rsidRPr="002C54A1" w:rsidRDefault="008B27A0" w:rsidP="004B3AED">
            <w:pPr>
              <w:spacing w:before="120" w:after="120" w:line="240" w:lineRule="auto"/>
              <w:jc w:val="right"/>
              <w:rPr>
                <w:color w:val="000000"/>
                <w:szCs w:val="24"/>
                <w:lang w:eastAsia="en-GB"/>
              </w:rPr>
            </w:pPr>
            <w:r>
              <w:rPr>
                <w:color w:val="000000"/>
                <w:szCs w:val="24"/>
                <w:lang w:eastAsia="en-GB"/>
              </w:rPr>
              <w:t xml:space="preserve">&lt; 1 </w:t>
            </w:r>
            <w:r w:rsidRPr="00FF26BE">
              <w:rPr>
                <w:color w:val="000000"/>
                <w:sz w:val="18"/>
                <w:szCs w:val="24"/>
                <w:lang w:eastAsia="en-GB"/>
              </w:rPr>
              <w:t>%</w:t>
            </w:r>
          </w:p>
        </w:tc>
        <w:tc>
          <w:tcPr>
            <w:tcW w:w="715" w:type="dxa"/>
            <w:gridSpan w:val="2"/>
          </w:tcPr>
          <w:p w14:paraId="1760DC06" w14:textId="77777777" w:rsidR="008B27A0" w:rsidRDefault="008B27A0" w:rsidP="004B3AED">
            <w:pPr>
              <w:spacing w:before="120" w:after="120" w:line="240" w:lineRule="auto"/>
              <w:jc w:val="right"/>
              <w:rPr>
                <w:color w:val="000000"/>
                <w:szCs w:val="24"/>
                <w:lang w:eastAsia="en-GB"/>
              </w:rPr>
            </w:pPr>
          </w:p>
        </w:tc>
      </w:tr>
      <w:tr w:rsidR="008B27A0" w:rsidRPr="00B23F3D" w14:paraId="3D759B4C" w14:textId="77777777" w:rsidTr="004B3AED">
        <w:trPr>
          <w:trHeight w:val="60"/>
        </w:trPr>
        <w:tc>
          <w:tcPr>
            <w:tcW w:w="704" w:type="dxa"/>
            <w:tcBorders>
              <w:bottom w:val="single" w:sz="4" w:space="0" w:color="auto"/>
            </w:tcBorders>
          </w:tcPr>
          <w:p w14:paraId="7927E2F4" w14:textId="77777777" w:rsidR="008B27A0" w:rsidRPr="00B23F3D" w:rsidRDefault="008B27A0" w:rsidP="004B3AED">
            <w:pPr>
              <w:spacing w:after="0" w:line="240" w:lineRule="auto"/>
              <w:rPr>
                <w:b/>
                <w:sz w:val="6"/>
                <w:szCs w:val="6"/>
                <w:lang w:eastAsia="en-GB"/>
              </w:rPr>
            </w:pPr>
          </w:p>
        </w:tc>
        <w:tc>
          <w:tcPr>
            <w:tcW w:w="4111" w:type="dxa"/>
            <w:gridSpan w:val="3"/>
            <w:tcBorders>
              <w:bottom w:val="single" w:sz="4" w:space="0" w:color="auto"/>
            </w:tcBorders>
            <w:vAlign w:val="center"/>
          </w:tcPr>
          <w:p w14:paraId="0A3AA3F4" w14:textId="77777777" w:rsidR="008B27A0" w:rsidRPr="00B23F3D" w:rsidRDefault="008B27A0" w:rsidP="004B3AED">
            <w:pPr>
              <w:spacing w:after="0" w:line="240" w:lineRule="auto"/>
              <w:rPr>
                <w:b/>
                <w:sz w:val="6"/>
                <w:szCs w:val="6"/>
                <w:lang w:eastAsia="en-GB"/>
              </w:rPr>
            </w:pPr>
          </w:p>
        </w:tc>
        <w:tc>
          <w:tcPr>
            <w:tcW w:w="1098" w:type="dxa"/>
            <w:tcBorders>
              <w:bottom w:val="single" w:sz="4" w:space="0" w:color="auto"/>
            </w:tcBorders>
            <w:vAlign w:val="center"/>
          </w:tcPr>
          <w:p w14:paraId="06B07E1E" w14:textId="77777777" w:rsidR="008B27A0" w:rsidRPr="00B23F3D" w:rsidRDefault="008B27A0" w:rsidP="004B3AED">
            <w:pPr>
              <w:spacing w:after="0" w:line="240" w:lineRule="auto"/>
              <w:jc w:val="right"/>
              <w:rPr>
                <w:b/>
                <w:sz w:val="6"/>
                <w:szCs w:val="6"/>
                <w:lang w:eastAsia="en-GB"/>
              </w:rPr>
            </w:pPr>
          </w:p>
        </w:tc>
        <w:tc>
          <w:tcPr>
            <w:tcW w:w="2417" w:type="dxa"/>
            <w:gridSpan w:val="2"/>
            <w:tcBorders>
              <w:bottom w:val="single" w:sz="4" w:space="0" w:color="auto"/>
            </w:tcBorders>
            <w:shd w:val="clear" w:color="auto" w:fill="auto"/>
            <w:vAlign w:val="center"/>
          </w:tcPr>
          <w:p w14:paraId="3BE2FA66" w14:textId="77777777" w:rsidR="008B27A0" w:rsidRPr="00B23F3D" w:rsidRDefault="008B27A0" w:rsidP="004B3AED">
            <w:pPr>
              <w:spacing w:after="0" w:line="240" w:lineRule="auto"/>
              <w:jc w:val="right"/>
              <w:rPr>
                <w:b/>
                <w:sz w:val="6"/>
                <w:szCs w:val="6"/>
                <w:lang w:eastAsia="en-GB"/>
              </w:rPr>
            </w:pPr>
          </w:p>
        </w:tc>
        <w:tc>
          <w:tcPr>
            <w:tcW w:w="715" w:type="dxa"/>
            <w:gridSpan w:val="2"/>
            <w:tcBorders>
              <w:bottom w:val="single" w:sz="4" w:space="0" w:color="auto"/>
            </w:tcBorders>
          </w:tcPr>
          <w:p w14:paraId="0DACE90F" w14:textId="77777777" w:rsidR="008B27A0" w:rsidRPr="00B23F3D" w:rsidRDefault="008B27A0" w:rsidP="004B3AED">
            <w:pPr>
              <w:spacing w:after="0" w:line="240" w:lineRule="auto"/>
              <w:jc w:val="right"/>
              <w:rPr>
                <w:b/>
                <w:sz w:val="6"/>
                <w:szCs w:val="6"/>
                <w:lang w:eastAsia="en-GB"/>
              </w:rPr>
            </w:pPr>
          </w:p>
        </w:tc>
      </w:tr>
      <w:tr w:rsidR="008B27A0" w:rsidRPr="00B23F3D" w14:paraId="2486356B" w14:textId="77777777" w:rsidTr="004B3AED">
        <w:trPr>
          <w:trHeight w:val="359"/>
        </w:trPr>
        <w:tc>
          <w:tcPr>
            <w:tcW w:w="704" w:type="dxa"/>
            <w:tcBorders>
              <w:top w:val="single" w:sz="4" w:space="0" w:color="auto"/>
              <w:bottom w:val="single" w:sz="4" w:space="0" w:color="auto"/>
            </w:tcBorders>
          </w:tcPr>
          <w:p w14:paraId="63D38AF3" w14:textId="77777777" w:rsidR="008B27A0" w:rsidRPr="00B23F3D" w:rsidRDefault="008B27A0" w:rsidP="004B3AED">
            <w:pPr>
              <w:spacing w:after="0" w:line="240" w:lineRule="auto"/>
              <w:rPr>
                <w:b/>
                <w:szCs w:val="24"/>
                <w:lang w:eastAsia="en-GB"/>
              </w:rPr>
            </w:pPr>
          </w:p>
        </w:tc>
        <w:tc>
          <w:tcPr>
            <w:tcW w:w="4111" w:type="dxa"/>
            <w:gridSpan w:val="3"/>
            <w:tcBorders>
              <w:top w:val="single" w:sz="4" w:space="0" w:color="auto"/>
              <w:bottom w:val="single" w:sz="4" w:space="0" w:color="auto"/>
            </w:tcBorders>
            <w:vAlign w:val="center"/>
          </w:tcPr>
          <w:p w14:paraId="45866C09" w14:textId="77777777" w:rsidR="008B27A0" w:rsidRPr="00B23F3D" w:rsidRDefault="008B27A0" w:rsidP="004B3AED">
            <w:pPr>
              <w:spacing w:after="0" w:line="240" w:lineRule="auto"/>
              <w:rPr>
                <w:b/>
                <w:szCs w:val="24"/>
                <w:lang w:eastAsia="en-GB"/>
              </w:rPr>
            </w:pPr>
            <w:r w:rsidRPr="00B23F3D">
              <w:rPr>
                <w:b/>
                <w:szCs w:val="24"/>
                <w:lang w:eastAsia="en-GB"/>
              </w:rPr>
              <w:t xml:space="preserve">Total </w:t>
            </w:r>
          </w:p>
        </w:tc>
        <w:tc>
          <w:tcPr>
            <w:tcW w:w="1098" w:type="dxa"/>
            <w:tcBorders>
              <w:top w:val="single" w:sz="4" w:space="0" w:color="auto"/>
              <w:bottom w:val="single" w:sz="4" w:space="0" w:color="auto"/>
            </w:tcBorders>
            <w:vAlign w:val="center"/>
          </w:tcPr>
          <w:p w14:paraId="50EB745A" w14:textId="77777777" w:rsidR="008B27A0" w:rsidRPr="00B23F3D" w:rsidRDefault="008B27A0" w:rsidP="004B3AED">
            <w:pPr>
              <w:spacing w:after="0" w:line="240" w:lineRule="auto"/>
              <w:jc w:val="right"/>
              <w:rPr>
                <w:b/>
                <w:szCs w:val="24"/>
                <w:lang w:eastAsia="en-GB"/>
              </w:rPr>
            </w:pPr>
            <w:r>
              <w:rPr>
                <w:b/>
                <w:szCs w:val="24"/>
                <w:lang w:eastAsia="en-GB"/>
              </w:rPr>
              <w:t>278</w:t>
            </w:r>
          </w:p>
        </w:tc>
        <w:tc>
          <w:tcPr>
            <w:tcW w:w="2417" w:type="dxa"/>
            <w:gridSpan w:val="2"/>
            <w:tcBorders>
              <w:top w:val="single" w:sz="4" w:space="0" w:color="auto"/>
              <w:bottom w:val="single" w:sz="4" w:space="0" w:color="auto"/>
            </w:tcBorders>
            <w:shd w:val="clear" w:color="auto" w:fill="auto"/>
            <w:vAlign w:val="center"/>
          </w:tcPr>
          <w:p w14:paraId="73DB8DCA" w14:textId="77777777" w:rsidR="008B27A0" w:rsidRPr="00B23F3D" w:rsidRDefault="008B27A0" w:rsidP="004B3AED">
            <w:pPr>
              <w:spacing w:after="0" w:line="240" w:lineRule="auto"/>
              <w:jc w:val="right"/>
              <w:rPr>
                <w:b/>
                <w:szCs w:val="24"/>
                <w:lang w:eastAsia="en-GB"/>
              </w:rPr>
            </w:pPr>
            <w:r>
              <w:rPr>
                <w:b/>
                <w:szCs w:val="24"/>
                <w:lang w:eastAsia="en-GB"/>
              </w:rPr>
              <w:t xml:space="preserve">37 </w:t>
            </w:r>
            <w:r w:rsidRPr="00BF1392">
              <w:rPr>
                <w:b/>
                <w:sz w:val="18"/>
                <w:szCs w:val="24"/>
                <w:lang w:eastAsia="en-GB"/>
              </w:rPr>
              <w:t>%</w:t>
            </w:r>
          </w:p>
        </w:tc>
        <w:tc>
          <w:tcPr>
            <w:tcW w:w="715" w:type="dxa"/>
            <w:gridSpan w:val="2"/>
            <w:tcBorders>
              <w:top w:val="single" w:sz="4" w:space="0" w:color="auto"/>
              <w:bottom w:val="single" w:sz="4" w:space="0" w:color="auto"/>
            </w:tcBorders>
          </w:tcPr>
          <w:p w14:paraId="48DB6A34" w14:textId="77777777" w:rsidR="008B27A0" w:rsidRDefault="008B27A0" w:rsidP="004B3AED">
            <w:pPr>
              <w:spacing w:after="0" w:line="240" w:lineRule="auto"/>
              <w:jc w:val="right"/>
              <w:rPr>
                <w:b/>
                <w:szCs w:val="24"/>
                <w:lang w:eastAsia="en-GB"/>
              </w:rPr>
            </w:pPr>
          </w:p>
        </w:tc>
      </w:tr>
    </w:tbl>
    <w:p w14:paraId="4BBC0C42" w14:textId="77777777" w:rsidR="008B27A0" w:rsidRDefault="008B27A0" w:rsidP="008B27A0">
      <w:pPr>
        <w:spacing w:after="160" w:line="259" w:lineRule="auto"/>
        <w:rPr>
          <w:b/>
        </w:rPr>
      </w:pPr>
    </w:p>
    <w:p w14:paraId="082F1746" w14:textId="77777777" w:rsidR="008B27A0" w:rsidRDefault="008B27A0" w:rsidP="008B27A0">
      <w:pPr>
        <w:rPr>
          <w:b/>
        </w:rPr>
      </w:pPr>
      <w:r>
        <w:rPr>
          <w:b/>
        </w:rPr>
        <w:br w:type="page"/>
      </w:r>
    </w:p>
    <w:p w14:paraId="119C7CFF" w14:textId="64254D3F" w:rsidR="008B27A0" w:rsidRDefault="008B27A0" w:rsidP="008B27A0">
      <w:pPr>
        <w:spacing w:line="480" w:lineRule="auto"/>
        <w:rPr>
          <w:color w:val="000000"/>
        </w:rPr>
      </w:pPr>
      <w:r w:rsidRPr="00735864">
        <w:t xml:space="preserve">Tables </w:t>
      </w:r>
      <w:r w:rsidR="00735864" w:rsidRPr="00735864">
        <w:t>6-</w:t>
      </w:r>
      <w:r w:rsidRPr="00735864">
        <w:t xml:space="preserve">6 and </w:t>
      </w:r>
      <w:r w:rsidR="00735864" w:rsidRPr="00735864">
        <w:t>6-</w:t>
      </w:r>
      <w:r w:rsidRPr="00735864">
        <w:t>7</w:t>
      </w:r>
      <w:r>
        <w:t xml:space="preserve"> show statements supporting </w:t>
      </w:r>
      <w:r w:rsidR="0012086A">
        <w:t xml:space="preserve">the </w:t>
      </w:r>
      <w:r>
        <w:t>use and non-use of NPS grouped by global theme and organising theme (see Chapter 7 section 4.7.3). The</w:t>
      </w:r>
      <w:r>
        <w:rPr>
          <w:color w:val="000000"/>
        </w:rPr>
        <w:t xml:space="preserve"> frequency with which each statement was expressed is shown in the table together with the number of focus group transcripts in which it occurred. </w:t>
      </w:r>
    </w:p>
    <w:p w14:paraId="3B740EB1" w14:textId="77777777" w:rsidR="008B27A0" w:rsidRDefault="008B27A0" w:rsidP="008B27A0">
      <w:pPr>
        <w:rPr>
          <w:b/>
        </w:rPr>
      </w:pPr>
    </w:p>
    <w:p w14:paraId="6E645DC9" w14:textId="77777777" w:rsidR="008B27A0" w:rsidRDefault="008B27A0" w:rsidP="008B27A0">
      <w:pPr>
        <w:rPr>
          <w:b/>
        </w:rPr>
      </w:pPr>
      <w:r>
        <w:rPr>
          <w:b/>
        </w:rPr>
        <w:br w:type="page"/>
      </w:r>
    </w:p>
    <w:p w14:paraId="1B6EDEC9" w14:textId="5841B33F" w:rsidR="008B27A0" w:rsidRPr="004B3AED" w:rsidRDefault="008B27A0" w:rsidP="004B3AED">
      <w:pPr>
        <w:pStyle w:val="TableHeader"/>
        <w:rPr>
          <w:b/>
        </w:rPr>
      </w:pPr>
      <w:bookmarkStart w:id="417" w:name="_Toc9509071"/>
      <w:r w:rsidRPr="004B3AED">
        <w:rPr>
          <w:b/>
        </w:rPr>
        <w:t xml:space="preserve">Table </w:t>
      </w:r>
      <w:r w:rsidR="00735864">
        <w:rPr>
          <w:b/>
        </w:rPr>
        <w:t>6-</w:t>
      </w:r>
      <w:r w:rsidRPr="004B3AED">
        <w:rPr>
          <w:b/>
        </w:rPr>
        <w:t>6. Beliefs, reasons and motives encouraging use of NPS</w:t>
      </w:r>
      <w:bookmarkEnd w:id="417"/>
      <w:r w:rsidRPr="004B3AED">
        <w:rPr>
          <w:b/>
        </w:rPr>
        <w:t xml:space="preserve"> </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9"/>
        <w:gridCol w:w="5134"/>
        <w:gridCol w:w="710"/>
        <w:gridCol w:w="643"/>
      </w:tblGrid>
      <w:tr w:rsidR="008B27A0" w:rsidRPr="00B2469D" w14:paraId="699CB6EE" w14:textId="77777777" w:rsidTr="004B3AED">
        <w:trPr>
          <w:trHeight w:val="290"/>
        </w:trPr>
        <w:tc>
          <w:tcPr>
            <w:tcW w:w="2660" w:type="dxa"/>
            <w:gridSpan w:val="2"/>
            <w:tcBorders>
              <w:top w:val="single" w:sz="4" w:space="0" w:color="auto"/>
              <w:left w:val="nil"/>
              <w:bottom w:val="single" w:sz="4" w:space="0" w:color="auto"/>
              <w:right w:val="nil"/>
            </w:tcBorders>
            <w:shd w:val="clear" w:color="auto" w:fill="auto"/>
            <w:noWrap/>
          </w:tcPr>
          <w:p w14:paraId="076574C1" w14:textId="77777777" w:rsidR="008B27A0" w:rsidRPr="00B2469D" w:rsidRDefault="008B27A0" w:rsidP="004B3AED">
            <w:pPr>
              <w:spacing w:after="0" w:line="240" w:lineRule="auto"/>
              <w:rPr>
                <w:b/>
                <w:color w:val="000000"/>
                <w:lang w:eastAsia="en-GB"/>
              </w:rPr>
            </w:pPr>
            <w:r>
              <w:rPr>
                <w:b/>
                <w:color w:val="000000"/>
                <w:lang w:eastAsia="en-GB"/>
              </w:rPr>
              <w:t>Global theme</w:t>
            </w:r>
          </w:p>
        </w:tc>
        <w:tc>
          <w:tcPr>
            <w:tcW w:w="5134" w:type="dxa"/>
            <w:tcBorders>
              <w:top w:val="single" w:sz="4" w:space="0" w:color="auto"/>
              <w:left w:val="nil"/>
              <w:bottom w:val="single" w:sz="4" w:space="0" w:color="auto"/>
              <w:right w:val="nil"/>
            </w:tcBorders>
            <w:shd w:val="clear" w:color="auto" w:fill="auto"/>
          </w:tcPr>
          <w:p w14:paraId="5A3CB846" w14:textId="77777777" w:rsidR="008B27A0" w:rsidRPr="00B2469D" w:rsidRDefault="008B27A0" w:rsidP="004B3AED">
            <w:pPr>
              <w:spacing w:after="0" w:line="240" w:lineRule="auto"/>
              <w:rPr>
                <w:b/>
                <w:color w:val="000000"/>
                <w:lang w:eastAsia="en-GB"/>
              </w:rPr>
            </w:pPr>
            <w:r>
              <w:rPr>
                <w:b/>
                <w:color w:val="000000"/>
                <w:lang w:eastAsia="en-GB"/>
              </w:rPr>
              <w:t xml:space="preserve">Organising theme </w:t>
            </w:r>
          </w:p>
        </w:tc>
        <w:tc>
          <w:tcPr>
            <w:tcW w:w="710" w:type="dxa"/>
            <w:tcBorders>
              <w:top w:val="single" w:sz="4" w:space="0" w:color="auto"/>
              <w:left w:val="nil"/>
              <w:bottom w:val="single" w:sz="4" w:space="0" w:color="auto"/>
              <w:right w:val="nil"/>
            </w:tcBorders>
            <w:shd w:val="clear" w:color="auto" w:fill="auto"/>
          </w:tcPr>
          <w:p w14:paraId="66763D0E" w14:textId="77777777" w:rsidR="008B27A0" w:rsidRPr="00B2469D" w:rsidRDefault="008B27A0" w:rsidP="004B3AED">
            <w:pPr>
              <w:spacing w:after="0" w:line="240" w:lineRule="auto"/>
              <w:rPr>
                <w:b/>
                <w:color w:val="000000"/>
                <w:lang w:eastAsia="en-GB"/>
              </w:rPr>
            </w:pPr>
            <w:r>
              <w:rPr>
                <w:b/>
                <w:color w:val="000000"/>
                <w:lang w:eastAsia="en-GB"/>
              </w:rPr>
              <w:t xml:space="preserve">Freq   </w:t>
            </w:r>
          </w:p>
        </w:tc>
        <w:tc>
          <w:tcPr>
            <w:tcW w:w="643" w:type="dxa"/>
            <w:tcBorders>
              <w:top w:val="single" w:sz="4" w:space="0" w:color="auto"/>
              <w:left w:val="nil"/>
              <w:bottom w:val="single" w:sz="4" w:space="0" w:color="auto"/>
              <w:right w:val="nil"/>
            </w:tcBorders>
            <w:shd w:val="clear" w:color="auto" w:fill="auto"/>
          </w:tcPr>
          <w:p w14:paraId="611123F1" w14:textId="77777777" w:rsidR="008B27A0" w:rsidRPr="00B2469D" w:rsidRDefault="008B27A0" w:rsidP="004B3AED">
            <w:pPr>
              <w:spacing w:after="0" w:line="240" w:lineRule="auto"/>
              <w:jc w:val="right"/>
              <w:rPr>
                <w:b/>
                <w:color w:val="000000"/>
                <w:lang w:eastAsia="en-GB"/>
              </w:rPr>
            </w:pPr>
            <w:r>
              <w:rPr>
                <w:b/>
                <w:color w:val="000000"/>
                <w:lang w:eastAsia="en-GB"/>
              </w:rPr>
              <w:t>FGs</w:t>
            </w:r>
          </w:p>
        </w:tc>
      </w:tr>
      <w:tr w:rsidR="008B27A0" w:rsidRPr="00895302" w14:paraId="3588D268" w14:textId="77777777" w:rsidTr="004B3AED">
        <w:trPr>
          <w:trHeight w:val="70"/>
        </w:trPr>
        <w:tc>
          <w:tcPr>
            <w:tcW w:w="7794" w:type="dxa"/>
            <w:gridSpan w:val="3"/>
            <w:tcBorders>
              <w:top w:val="nil"/>
              <w:left w:val="nil"/>
              <w:bottom w:val="nil"/>
              <w:right w:val="nil"/>
            </w:tcBorders>
            <w:shd w:val="clear" w:color="auto" w:fill="auto"/>
            <w:noWrap/>
            <w:vAlign w:val="bottom"/>
          </w:tcPr>
          <w:p w14:paraId="3C22B542" w14:textId="77777777" w:rsidR="008B27A0" w:rsidRPr="00895302" w:rsidRDefault="008B27A0" w:rsidP="004B3AED">
            <w:pPr>
              <w:spacing w:after="0" w:line="240" w:lineRule="auto"/>
              <w:rPr>
                <w:b/>
                <w:color w:val="000000"/>
                <w:sz w:val="2"/>
                <w:szCs w:val="2"/>
                <w:lang w:eastAsia="en-GB"/>
              </w:rPr>
            </w:pPr>
            <w:r w:rsidRPr="00895302">
              <w:rPr>
                <w:b/>
                <w:color w:val="FFFFFF" w:themeColor="background1"/>
                <w:sz w:val="2"/>
                <w:szCs w:val="2"/>
                <w:lang w:eastAsia="en-GB"/>
              </w:rPr>
              <w:t>n</w:t>
            </w:r>
          </w:p>
        </w:tc>
        <w:tc>
          <w:tcPr>
            <w:tcW w:w="710" w:type="dxa"/>
            <w:tcBorders>
              <w:top w:val="nil"/>
              <w:left w:val="nil"/>
              <w:bottom w:val="nil"/>
              <w:right w:val="nil"/>
            </w:tcBorders>
            <w:shd w:val="clear" w:color="auto" w:fill="auto"/>
            <w:vAlign w:val="bottom"/>
          </w:tcPr>
          <w:p w14:paraId="1A9074ED" w14:textId="77777777" w:rsidR="008B27A0" w:rsidRPr="00895302" w:rsidRDefault="008B27A0" w:rsidP="004B3AED">
            <w:pPr>
              <w:spacing w:after="0" w:line="240" w:lineRule="auto"/>
              <w:rPr>
                <w:b/>
                <w:color w:val="000000"/>
                <w:sz w:val="2"/>
                <w:szCs w:val="2"/>
                <w:lang w:eastAsia="en-GB"/>
              </w:rPr>
            </w:pPr>
          </w:p>
        </w:tc>
        <w:tc>
          <w:tcPr>
            <w:tcW w:w="643" w:type="dxa"/>
            <w:tcBorders>
              <w:top w:val="nil"/>
              <w:left w:val="nil"/>
              <w:bottom w:val="nil"/>
              <w:right w:val="nil"/>
            </w:tcBorders>
            <w:shd w:val="clear" w:color="auto" w:fill="auto"/>
          </w:tcPr>
          <w:p w14:paraId="32E27AAB" w14:textId="77777777" w:rsidR="008B27A0" w:rsidRPr="00895302" w:rsidRDefault="008B27A0" w:rsidP="004B3AED">
            <w:pPr>
              <w:spacing w:after="0" w:line="240" w:lineRule="auto"/>
              <w:jc w:val="right"/>
              <w:rPr>
                <w:b/>
                <w:color w:val="000000"/>
                <w:sz w:val="2"/>
                <w:szCs w:val="2"/>
                <w:lang w:eastAsia="en-GB"/>
              </w:rPr>
            </w:pPr>
          </w:p>
        </w:tc>
      </w:tr>
      <w:tr w:rsidR="008B27A0" w:rsidRPr="00B2469D" w14:paraId="63AD6C0D" w14:textId="77777777" w:rsidTr="004B3AED">
        <w:trPr>
          <w:trHeight w:val="290"/>
        </w:trPr>
        <w:tc>
          <w:tcPr>
            <w:tcW w:w="1951" w:type="dxa"/>
            <w:tcBorders>
              <w:top w:val="nil"/>
              <w:left w:val="nil"/>
              <w:bottom w:val="nil"/>
              <w:right w:val="nil"/>
            </w:tcBorders>
            <w:shd w:val="clear" w:color="auto" w:fill="auto"/>
            <w:noWrap/>
            <w:vAlign w:val="bottom"/>
          </w:tcPr>
          <w:p w14:paraId="5CFCA2EA" w14:textId="77777777" w:rsidR="008B27A0" w:rsidRPr="00B2469D" w:rsidRDefault="008B27A0" w:rsidP="004B3AED">
            <w:pPr>
              <w:spacing w:after="0" w:line="360" w:lineRule="auto"/>
              <w:rPr>
                <w:color w:val="000000"/>
                <w:lang w:eastAsia="en-GB"/>
              </w:rPr>
            </w:pPr>
            <w:r>
              <w:rPr>
                <w:b/>
                <w:color w:val="000000"/>
                <w:lang w:eastAsia="en-GB"/>
              </w:rPr>
              <w:t xml:space="preserve">Accessibility  </w:t>
            </w:r>
          </w:p>
        </w:tc>
        <w:tc>
          <w:tcPr>
            <w:tcW w:w="709" w:type="dxa"/>
            <w:tcBorders>
              <w:top w:val="nil"/>
              <w:left w:val="nil"/>
              <w:bottom w:val="nil"/>
              <w:right w:val="nil"/>
            </w:tcBorders>
            <w:shd w:val="clear" w:color="auto" w:fill="auto"/>
            <w:vAlign w:val="center"/>
          </w:tcPr>
          <w:p w14:paraId="6302E19E" w14:textId="77777777" w:rsidR="008B27A0" w:rsidRPr="00B2469D" w:rsidRDefault="008B27A0" w:rsidP="004B3AED">
            <w:pPr>
              <w:spacing w:after="0" w:line="360" w:lineRule="auto"/>
              <w:jc w:val="right"/>
              <w:rPr>
                <w:color w:val="000000"/>
                <w:lang w:eastAsia="en-GB"/>
              </w:rPr>
            </w:pPr>
            <w:r>
              <w:rPr>
                <w:b/>
                <w:color w:val="000000"/>
                <w:lang w:eastAsia="en-GB"/>
              </w:rPr>
              <w:t>79</w:t>
            </w:r>
          </w:p>
        </w:tc>
        <w:tc>
          <w:tcPr>
            <w:tcW w:w="5134" w:type="dxa"/>
            <w:tcBorders>
              <w:top w:val="nil"/>
              <w:left w:val="nil"/>
              <w:bottom w:val="nil"/>
              <w:right w:val="nil"/>
            </w:tcBorders>
            <w:shd w:val="clear" w:color="auto" w:fill="auto"/>
            <w:noWrap/>
            <w:vAlign w:val="bottom"/>
          </w:tcPr>
          <w:p w14:paraId="009658D9" w14:textId="77777777" w:rsidR="008B27A0" w:rsidRPr="00B2469D" w:rsidRDefault="008B27A0" w:rsidP="004B3AED">
            <w:pPr>
              <w:spacing w:after="0" w:line="360" w:lineRule="auto"/>
              <w:rPr>
                <w:color w:val="000000"/>
                <w:lang w:eastAsia="en-GB"/>
              </w:rPr>
            </w:pPr>
            <w:r w:rsidRPr="00B2469D">
              <w:rPr>
                <w:color w:val="000000"/>
                <w:lang w:eastAsia="en-GB"/>
              </w:rPr>
              <w:t>Sold in shops</w:t>
            </w:r>
          </w:p>
        </w:tc>
        <w:tc>
          <w:tcPr>
            <w:tcW w:w="710" w:type="dxa"/>
            <w:tcBorders>
              <w:top w:val="nil"/>
              <w:left w:val="nil"/>
              <w:bottom w:val="nil"/>
              <w:right w:val="nil"/>
            </w:tcBorders>
            <w:shd w:val="clear" w:color="auto" w:fill="auto"/>
            <w:vAlign w:val="bottom"/>
          </w:tcPr>
          <w:p w14:paraId="22DB2645" w14:textId="77777777" w:rsidR="008B27A0" w:rsidRPr="00B2469D" w:rsidRDefault="008B27A0" w:rsidP="004B3AED">
            <w:pPr>
              <w:spacing w:after="0" w:line="360" w:lineRule="auto"/>
              <w:rPr>
                <w:color w:val="000000"/>
                <w:lang w:eastAsia="en-GB"/>
              </w:rPr>
            </w:pPr>
            <w:r>
              <w:rPr>
                <w:color w:val="000000"/>
                <w:lang w:eastAsia="en-GB"/>
              </w:rPr>
              <w:t>32</w:t>
            </w:r>
          </w:p>
        </w:tc>
        <w:tc>
          <w:tcPr>
            <w:tcW w:w="643" w:type="dxa"/>
            <w:tcBorders>
              <w:top w:val="nil"/>
              <w:left w:val="nil"/>
              <w:bottom w:val="nil"/>
              <w:right w:val="nil"/>
            </w:tcBorders>
            <w:shd w:val="clear" w:color="auto" w:fill="auto"/>
          </w:tcPr>
          <w:p w14:paraId="4C57E9B4"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4AC08B03" w14:textId="77777777" w:rsidTr="004B3AED">
        <w:trPr>
          <w:trHeight w:val="290"/>
        </w:trPr>
        <w:tc>
          <w:tcPr>
            <w:tcW w:w="2660" w:type="dxa"/>
            <w:gridSpan w:val="2"/>
            <w:tcBorders>
              <w:top w:val="nil"/>
              <w:left w:val="nil"/>
              <w:bottom w:val="nil"/>
              <w:right w:val="nil"/>
            </w:tcBorders>
            <w:shd w:val="clear" w:color="auto" w:fill="auto"/>
            <w:noWrap/>
            <w:vAlign w:val="bottom"/>
          </w:tcPr>
          <w:p w14:paraId="0F172629"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061FBAE8" w14:textId="77777777" w:rsidR="008B27A0" w:rsidRPr="00B2469D" w:rsidRDefault="008B27A0" w:rsidP="004B3AED">
            <w:pPr>
              <w:spacing w:after="0" w:line="360" w:lineRule="auto"/>
              <w:rPr>
                <w:color w:val="000000"/>
                <w:lang w:eastAsia="en-GB"/>
              </w:rPr>
            </w:pPr>
            <w:r w:rsidRPr="00B2469D">
              <w:rPr>
                <w:color w:val="000000"/>
                <w:lang w:eastAsia="en-GB"/>
              </w:rPr>
              <w:t>Easy to get</w:t>
            </w:r>
          </w:p>
        </w:tc>
        <w:tc>
          <w:tcPr>
            <w:tcW w:w="710" w:type="dxa"/>
            <w:tcBorders>
              <w:top w:val="nil"/>
              <w:left w:val="nil"/>
              <w:bottom w:val="nil"/>
              <w:right w:val="nil"/>
            </w:tcBorders>
            <w:shd w:val="clear" w:color="auto" w:fill="auto"/>
            <w:vAlign w:val="bottom"/>
          </w:tcPr>
          <w:p w14:paraId="0A51F8C0" w14:textId="77777777" w:rsidR="008B27A0" w:rsidRPr="00B2469D" w:rsidRDefault="008B27A0" w:rsidP="004B3AED">
            <w:pPr>
              <w:spacing w:after="0" w:line="360" w:lineRule="auto"/>
              <w:rPr>
                <w:color w:val="000000"/>
                <w:lang w:eastAsia="en-GB"/>
              </w:rPr>
            </w:pPr>
            <w:r>
              <w:rPr>
                <w:color w:val="000000"/>
                <w:lang w:eastAsia="en-GB"/>
              </w:rPr>
              <w:t>30</w:t>
            </w:r>
          </w:p>
        </w:tc>
        <w:tc>
          <w:tcPr>
            <w:tcW w:w="643" w:type="dxa"/>
            <w:tcBorders>
              <w:top w:val="nil"/>
              <w:left w:val="nil"/>
              <w:bottom w:val="nil"/>
              <w:right w:val="nil"/>
            </w:tcBorders>
            <w:shd w:val="clear" w:color="auto" w:fill="auto"/>
          </w:tcPr>
          <w:p w14:paraId="05C0A682"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67CA62A5" w14:textId="77777777" w:rsidTr="004B3AED">
        <w:trPr>
          <w:trHeight w:val="290"/>
        </w:trPr>
        <w:tc>
          <w:tcPr>
            <w:tcW w:w="2660" w:type="dxa"/>
            <w:gridSpan w:val="2"/>
            <w:tcBorders>
              <w:top w:val="nil"/>
              <w:left w:val="nil"/>
              <w:bottom w:val="nil"/>
              <w:right w:val="nil"/>
            </w:tcBorders>
            <w:shd w:val="clear" w:color="auto" w:fill="auto"/>
            <w:noWrap/>
            <w:vAlign w:val="bottom"/>
          </w:tcPr>
          <w:p w14:paraId="57A1DE5C" w14:textId="77777777" w:rsidR="008B27A0" w:rsidRPr="00B2469D" w:rsidRDefault="008B27A0" w:rsidP="004B3AED">
            <w:pPr>
              <w:spacing w:after="0" w:line="360" w:lineRule="auto"/>
              <w:rPr>
                <w:color w:val="000000"/>
                <w:lang w:eastAsia="en-GB"/>
              </w:rPr>
            </w:pPr>
          </w:p>
        </w:tc>
        <w:tc>
          <w:tcPr>
            <w:tcW w:w="5134" w:type="dxa"/>
            <w:tcBorders>
              <w:top w:val="nil"/>
              <w:left w:val="nil"/>
              <w:bottom w:val="nil"/>
              <w:right w:val="nil"/>
            </w:tcBorders>
            <w:shd w:val="clear" w:color="auto" w:fill="auto"/>
            <w:noWrap/>
            <w:vAlign w:val="bottom"/>
          </w:tcPr>
          <w:p w14:paraId="77DC5B51" w14:textId="77777777" w:rsidR="008B27A0" w:rsidRPr="00B2469D" w:rsidRDefault="008B27A0" w:rsidP="004B3AED">
            <w:pPr>
              <w:spacing w:after="0" w:line="360" w:lineRule="auto"/>
              <w:rPr>
                <w:color w:val="000000"/>
                <w:lang w:eastAsia="en-GB"/>
              </w:rPr>
            </w:pPr>
            <w:r w:rsidRPr="00B2469D">
              <w:rPr>
                <w:color w:val="000000"/>
                <w:lang w:eastAsia="en-GB"/>
              </w:rPr>
              <w:t>Cheap</w:t>
            </w:r>
          </w:p>
        </w:tc>
        <w:tc>
          <w:tcPr>
            <w:tcW w:w="710" w:type="dxa"/>
            <w:tcBorders>
              <w:top w:val="nil"/>
              <w:left w:val="nil"/>
              <w:bottom w:val="nil"/>
              <w:right w:val="nil"/>
            </w:tcBorders>
            <w:shd w:val="clear" w:color="auto" w:fill="auto"/>
            <w:vAlign w:val="bottom"/>
          </w:tcPr>
          <w:p w14:paraId="5BA821D8" w14:textId="77777777" w:rsidR="008B27A0" w:rsidRPr="00B2469D" w:rsidRDefault="008B27A0" w:rsidP="004B3AED">
            <w:pPr>
              <w:spacing w:after="0" w:line="360" w:lineRule="auto"/>
              <w:rPr>
                <w:color w:val="000000"/>
                <w:lang w:eastAsia="en-GB"/>
              </w:rPr>
            </w:pPr>
            <w:r>
              <w:rPr>
                <w:color w:val="000000"/>
                <w:lang w:eastAsia="en-GB"/>
              </w:rPr>
              <w:t>17</w:t>
            </w:r>
          </w:p>
        </w:tc>
        <w:tc>
          <w:tcPr>
            <w:tcW w:w="643" w:type="dxa"/>
            <w:tcBorders>
              <w:top w:val="nil"/>
              <w:left w:val="nil"/>
              <w:bottom w:val="nil"/>
              <w:right w:val="nil"/>
            </w:tcBorders>
            <w:shd w:val="clear" w:color="auto" w:fill="auto"/>
          </w:tcPr>
          <w:p w14:paraId="5C273934"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2D3974FE" w14:textId="77777777" w:rsidTr="004B3AED">
        <w:trPr>
          <w:trHeight w:val="241"/>
        </w:trPr>
        <w:tc>
          <w:tcPr>
            <w:tcW w:w="2660" w:type="dxa"/>
            <w:gridSpan w:val="2"/>
            <w:tcBorders>
              <w:top w:val="nil"/>
              <w:left w:val="nil"/>
              <w:bottom w:val="nil"/>
              <w:right w:val="nil"/>
            </w:tcBorders>
            <w:shd w:val="clear" w:color="auto" w:fill="auto"/>
            <w:noWrap/>
            <w:vAlign w:val="bottom"/>
          </w:tcPr>
          <w:p w14:paraId="5A373D37"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143448B1" w14:textId="77777777" w:rsidR="008B27A0" w:rsidRPr="00B2469D" w:rsidRDefault="008B27A0" w:rsidP="004B3AED">
            <w:pPr>
              <w:spacing w:after="0" w:line="360" w:lineRule="auto"/>
              <w:rPr>
                <w:color w:val="000000"/>
                <w:lang w:eastAsia="en-GB"/>
              </w:rPr>
            </w:pPr>
            <w:r>
              <w:rPr>
                <w:color w:val="000000"/>
                <w:lang w:eastAsia="en-GB"/>
              </w:rPr>
              <w:t>Sold by dealers</w:t>
            </w:r>
          </w:p>
        </w:tc>
        <w:tc>
          <w:tcPr>
            <w:tcW w:w="710" w:type="dxa"/>
            <w:tcBorders>
              <w:top w:val="nil"/>
              <w:left w:val="nil"/>
              <w:bottom w:val="nil"/>
              <w:right w:val="nil"/>
            </w:tcBorders>
            <w:shd w:val="clear" w:color="auto" w:fill="auto"/>
            <w:vAlign w:val="bottom"/>
          </w:tcPr>
          <w:p w14:paraId="34D55C62" w14:textId="77777777" w:rsidR="008B27A0" w:rsidRPr="00B2469D" w:rsidRDefault="008B27A0" w:rsidP="004B3AED">
            <w:pPr>
              <w:spacing w:after="0" w:line="360" w:lineRule="auto"/>
              <w:rPr>
                <w:color w:val="000000"/>
                <w:lang w:eastAsia="en-GB"/>
              </w:rPr>
            </w:pPr>
            <w:r>
              <w:rPr>
                <w:color w:val="000000"/>
                <w:lang w:eastAsia="en-GB"/>
              </w:rPr>
              <w:t>7</w:t>
            </w:r>
          </w:p>
        </w:tc>
        <w:tc>
          <w:tcPr>
            <w:tcW w:w="643" w:type="dxa"/>
            <w:tcBorders>
              <w:top w:val="nil"/>
              <w:left w:val="nil"/>
              <w:bottom w:val="nil"/>
              <w:right w:val="nil"/>
            </w:tcBorders>
            <w:shd w:val="clear" w:color="auto" w:fill="auto"/>
          </w:tcPr>
          <w:p w14:paraId="7845EA46"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7E4533" w14:paraId="79F489C2"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104A0DF7"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04068078"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087B36DE"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7F90AF40" w14:textId="77777777" w:rsidTr="004B3AED">
        <w:trPr>
          <w:trHeight w:val="290"/>
        </w:trPr>
        <w:tc>
          <w:tcPr>
            <w:tcW w:w="1951" w:type="dxa"/>
            <w:tcBorders>
              <w:top w:val="nil"/>
              <w:left w:val="nil"/>
              <w:bottom w:val="nil"/>
              <w:right w:val="nil"/>
            </w:tcBorders>
            <w:shd w:val="clear" w:color="auto" w:fill="auto"/>
            <w:noWrap/>
            <w:vAlign w:val="bottom"/>
          </w:tcPr>
          <w:p w14:paraId="3555D0A3" w14:textId="77777777" w:rsidR="008B27A0" w:rsidRPr="00B2469D" w:rsidRDefault="008B27A0" w:rsidP="004B3AED">
            <w:pPr>
              <w:spacing w:after="0" w:line="360" w:lineRule="auto"/>
              <w:rPr>
                <w:sz w:val="20"/>
                <w:szCs w:val="20"/>
                <w:lang w:eastAsia="en-GB"/>
              </w:rPr>
            </w:pPr>
            <w:r>
              <w:rPr>
                <w:b/>
                <w:color w:val="000000"/>
                <w:lang w:eastAsia="en-GB"/>
              </w:rPr>
              <w:t>Legal status</w:t>
            </w:r>
          </w:p>
        </w:tc>
        <w:tc>
          <w:tcPr>
            <w:tcW w:w="709" w:type="dxa"/>
            <w:tcBorders>
              <w:top w:val="nil"/>
              <w:left w:val="nil"/>
              <w:bottom w:val="nil"/>
              <w:right w:val="nil"/>
            </w:tcBorders>
            <w:shd w:val="clear" w:color="auto" w:fill="auto"/>
            <w:vAlign w:val="center"/>
          </w:tcPr>
          <w:p w14:paraId="3831CC1D" w14:textId="77777777" w:rsidR="008B27A0" w:rsidRPr="003B1C17" w:rsidRDefault="008B27A0" w:rsidP="004B3AED">
            <w:pPr>
              <w:spacing w:after="0" w:line="360" w:lineRule="auto"/>
              <w:jc w:val="right"/>
              <w:rPr>
                <w:b/>
                <w:sz w:val="20"/>
                <w:szCs w:val="20"/>
                <w:lang w:eastAsia="en-GB"/>
              </w:rPr>
            </w:pPr>
            <w:r>
              <w:rPr>
                <w:b/>
                <w:szCs w:val="20"/>
                <w:lang w:eastAsia="en-GB"/>
              </w:rPr>
              <w:t>65</w:t>
            </w:r>
          </w:p>
        </w:tc>
        <w:tc>
          <w:tcPr>
            <w:tcW w:w="5134" w:type="dxa"/>
            <w:tcBorders>
              <w:top w:val="nil"/>
              <w:left w:val="nil"/>
              <w:bottom w:val="nil"/>
              <w:right w:val="nil"/>
            </w:tcBorders>
            <w:shd w:val="clear" w:color="auto" w:fill="auto"/>
            <w:noWrap/>
            <w:vAlign w:val="bottom"/>
            <w:hideMark/>
          </w:tcPr>
          <w:p w14:paraId="697058A3" w14:textId="77777777" w:rsidR="008B27A0" w:rsidRPr="00B2469D" w:rsidRDefault="008B27A0" w:rsidP="004B3AED">
            <w:pPr>
              <w:spacing w:after="0" w:line="360" w:lineRule="auto"/>
              <w:rPr>
                <w:color w:val="000000"/>
                <w:lang w:eastAsia="en-GB"/>
              </w:rPr>
            </w:pPr>
            <w:r w:rsidRPr="00B2469D">
              <w:rPr>
                <w:color w:val="000000"/>
                <w:lang w:eastAsia="en-GB"/>
              </w:rPr>
              <w:t>Because they are legal</w:t>
            </w:r>
          </w:p>
        </w:tc>
        <w:tc>
          <w:tcPr>
            <w:tcW w:w="710" w:type="dxa"/>
            <w:tcBorders>
              <w:top w:val="nil"/>
              <w:left w:val="nil"/>
              <w:bottom w:val="nil"/>
              <w:right w:val="nil"/>
            </w:tcBorders>
            <w:shd w:val="clear" w:color="auto" w:fill="auto"/>
            <w:vAlign w:val="bottom"/>
          </w:tcPr>
          <w:p w14:paraId="160558D5" w14:textId="77777777" w:rsidR="008B27A0" w:rsidRPr="00B2469D" w:rsidRDefault="008B27A0" w:rsidP="004B3AED">
            <w:pPr>
              <w:spacing w:after="0" w:line="360" w:lineRule="auto"/>
              <w:rPr>
                <w:color w:val="000000"/>
                <w:lang w:eastAsia="en-GB"/>
              </w:rPr>
            </w:pPr>
            <w:r>
              <w:rPr>
                <w:color w:val="000000"/>
                <w:lang w:eastAsia="en-GB"/>
              </w:rPr>
              <w:t>19</w:t>
            </w:r>
          </w:p>
        </w:tc>
        <w:tc>
          <w:tcPr>
            <w:tcW w:w="643" w:type="dxa"/>
            <w:tcBorders>
              <w:top w:val="nil"/>
              <w:left w:val="nil"/>
              <w:bottom w:val="nil"/>
              <w:right w:val="nil"/>
            </w:tcBorders>
            <w:shd w:val="clear" w:color="auto" w:fill="auto"/>
          </w:tcPr>
          <w:p w14:paraId="662DA145"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572A72FE" w14:textId="77777777" w:rsidTr="004B3AED">
        <w:trPr>
          <w:trHeight w:val="290"/>
        </w:trPr>
        <w:tc>
          <w:tcPr>
            <w:tcW w:w="2660" w:type="dxa"/>
            <w:gridSpan w:val="2"/>
            <w:tcBorders>
              <w:top w:val="nil"/>
              <w:left w:val="nil"/>
              <w:bottom w:val="nil"/>
              <w:right w:val="nil"/>
            </w:tcBorders>
            <w:shd w:val="clear" w:color="auto" w:fill="auto"/>
            <w:noWrap/>
            <w:vAlign w:val="bottom"/>
          </w:tcPr>
          <w:p w14:paraId="6CA02C9F"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57DCD210" w14:textId="77777777" w:rsidR="008B27A0" w:rsidRPr="00B2469D" w:rsidRDefault="008B27A0" w:rsidP="004B3AED">
            <w:pPr>
              <w:spacing w:after="0" w:line="360" w:lineRule="auto"/>
              <w:rPr>
                <w:color w:val="000000"/>
                <w:lang w:eastAsia="en-GB"/>
              </w:rPr>
            </w:pPr>
            <w:r>
              <w:rPr>
                <w:color w:val="000000"/>
                <w:lang w:eastAsia="en-GB"/>
              </w:rPr>
              <w:t>Won’t get into trouble because it’s legal</w:t>
            </w:r>
          </w:p>
        </w:tc>
        <w:tc>
          <w:tcPr>
            <w:tcW w:w="710" w:type="dxa"/>
            <w:tcBorders>
              <w:top w:val="nil"/>
              <w:left w:val="nil"/>
              <w:bottom w:val="nil"/>
              <w:right w:val="nil"/>
            </w:tcBorders>
            <w:shd w:val="clear" w:color="auto" w:fill="auto"/>
            <w:vAlign w:val="bottom"/>
          </w:tcPr>
          <w:p w14:paraId="4D7384DB" w14:textId="77777777" w:rsidR="008B27A0" w:rsidRPr="00B2469D" w:rsidRDefault="008B27A0" w:rsidP="004B3AED">
            <w:pPr>
              <w:spacing w:after="0" w:line="360" w:lineRule="auto"/>
              <w:rPr>
                <w:color w:val="000000"/>
                <w:lang w:eastAsia="en-GB"/>
              </w:rPr>
            </w:pPr>
            <w:r>
              <w:rPr>
                <w:color w:val="000000"/>
                <w:lang w:eastAsia="en-GB"/>
              </w:rPr>
              <w:t>14</w:t>
            </w:r>
          </w:p>
        </w:tc>
        <w:tc>
          <w:tcPr>
            <w:tcW w:w="643" w:type="dxa"/>
            <w:tcBorders>
              <w:top w:val="nil"/>
              <w:left w:val="nil"/>
              <w:bottom w:val="nil"/>
              <w:right w:val="nil"/>
            </w:tcBorders>
            <w:shd w:val="clear" w:color="auto" w:fill="auto"/>
          </w:tcPr>
          <w:p w14:paraId="63BCA59D"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2A79C607" w14:textId="77777777" w:rsidTr="004B3AED">
        <w:trPr>
          <w:trHeight w:val="290"/>
        </w:trPr>
        <w:tc>
          <w:tcPr>
            <w:tcW w:w="2660" w:type="dxa"/>
            <w:gridSpan w:val="2"/>
            <w:tcBorders>
              <w:top w:val="nil"/>
              <w:left w:val="nil"/>
              <w:bottom w:val="nil"/>
              <w:right w:val="nil"/>
            </w:tcBorders>
            <w:shd w:val="clear" w:color="auto" w:fill="auto"/>
            <w:noWrap/>
            <w:vAlign w:val="bottom"/>
          </w:tcPr>
          <w:p w14:paraId="128A56E3"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6034096C" w14:textId="77777777" w:rsidR="008B27A0" w:rsidRPr="00B2469D" w:rsidRDefault="008B27A0" w:rsidP="004B3AED">
            <w:pPr>
              <w:spacing w:after="0" w:line="360" w:lineRule="auto"/>
              <w:rPr>
                <w:color w:val="000000"/>
                <w:lang w:eastAsia="en-GB"/>
              </w:rPr>
            </w:pPr>
            <w:r w:rsidRPr="00B2469D">
              <w:rPr>
                <w:color w:val="000000"/>
                <w:lang w:eastAsia="en-GB"/>
              </w:rPr>
              <w:t>Legal status doesn't matter</w:t>
            </w:r>
          </w:p>
        </w:tc>
        <w:tc>
          <w:tcPr>
            <w:tcW w:w="710" w:type="dxa"/>
            <w:tcBorders>
              <w:top w:val="nil"/>
              <w:left w:val="nil"/>
              <w:bottom w:val="nil"/>
              <w:right w:val="nil"/>
            </w:tcBorders>
            <w:shd w:val="clear" w:color="auto" w:fill="auto"/>
            <w:vAlign w:val="bottom"/>
          </w:tcPr>
          <w:p w14:paraId="475A4E99" w14:textId="77777777" w:rsidR="008B27A0" w:rsidRPr="00B2469D" w:rsidRDefault="008B27A0" w:rsidP="004B3AED">
            <w:pPr>
              <w:spacing w:after="0" w:line="360" w:lineRule="auto"/>
              <w:rPr>
                <w:color w:val="000000"/>
                <w:lang w:eastAsia="en-GB"/>
              </w:rPr>
            </w:pPr>
            <w:r w:rsidRPr="00B2469D">
              <w:rPr>
                <w:color w:val="000000"/>
                <w:lang w:eastAsia="en-GB"/>
              </w:rPr>
              <w:t>11</w:t>
            </w:r>
          </w:p>
        </w:tc>
        <w:tc>
          <w:tcPr>
            <w:tcW w:w="643" w:type="dxa"/>
            <w:tcBorders>
              <w:top w:val="nil"/>
              <w:left w:val="nil"/>
              <w:bottom w:val="nil"/>
              <w:right w:val="nil"/>
            </w:tcBorders>
            <w:shd w:val="clear" w:color="auto" w:fill="auto"/>
          </w:tcPr>
          <w:p w14:paraId="6E861FAB"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34610C4C" w14:textId="77777777" w:rsidTr="004B3AED">
        <w:trPr>
          <w:trHeight w:val="290"/>
        </w:trPr>
        <w:tc>
          <w:tcPr>
            <w:tcW w:w="2660" w:type="dxa"/>
            <w:gridSpan w:val="2"/>
            <w:tcBorders>
              <w:top w:val="nil"/>
              <w:left w:val="nil"/>
              <w:bottom w:val="nil"/>
              <w:right w:val="nil"/>
            </w:tcBorders>
            <w:shd w:val="clear" w:color="auto" w:fill="auto"/>
            <w:noWrap/>
            <w:vAlign w:val="bottom"/>
          </w:tcPr>
          <w:p w14:paraId="1CAECB65"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78BD94CA" w14:textId="77777777" w:rsidR="008B27A0" w:rsidRPr="00B2469D" w:rsidRDefault="008B27A0" w:rsidP="004B3AED">
            <w:pPr>
              <w:spacing w:after="0" w:line="360" w:lineRule="auto"/>
              <w:rPr>
                <w:color w:val="000000"/>
                <w:lang w:eastAsia="en-GB"/>
              </w:rPr>
            </w:pPr>
            <w:r>
              <w:rPr>
                <w:color w:val="000000"/>
                <w:lang w:eastAsia="en-GB"/>
              </w:rPr>
              <w:t>Legal means safe to use</w:t>
            </w:r>
          </w:p>
        </w:tc>
        <w:tc>
          <w:tcPr>
            <w:tcW w:w="710" w:type="dxa"/>
            <w:tcBorders>
              <w:top w:val="nil"/>
              <w:left w:val="nil"/>
              <w:bottom w:val="nil"/>
              <w:right w:val="nil"/>
            </w:tcBorders>
            <w:shd w:val="clear" w:color="auto" w:fill="auto"/>
            <w:vAlign w:val="bottom"/>
          </w:tcPr>
          <w:p w14:paraId="1C0204F1" w14:textId="77777777" w:rsidR="008B27A0" w:rsidRPr="00B2469D" w:rsidRDefault="008B27A0" w:rsidP="004B3AED">
            <w:pPr>
              <w:spacing w:after="0" w:line="360" w:lineRule="auto"/>
              <w:rPr>
                <w:color w:val="000000"/>
                <w:lang w:eastAsia="en-GB"/>
              </w:rPr>
            </w:pPr>
            <w:r>
              <w:rPr>
                <w:color w:val="000000"/>
                <w:lang w:eastAsia="en-GB"/>
              </w:rPr>
              <w:t>8</w:t>
            </w:r>
          </w:p>
        </w:tc>
        <w:tc>
          <w:tcPr>
            <w:tcW w:w="643" w:type="dxa"/>
            <w:tcBorders>
              <w:top w:val="nil"/>
              <w:left w:val="nil"/>
              <w:bottom w:val="nil"/>
              <w:right w:val="nil"/>
            </w:tcBorders>
            <w:shd w:val="clear" w:color="auto" w:fill="auto"/>
          </w:tcPr>
          <w:p w14:paraId="14845943"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65591FA1" w14:textId="77777777" w:rsidTr="004B3AED">
        <w:trPr>
          <w:trHeight w:val="290"/>
        </w:trPr>
        <w:tc>
          <w:tcPr>
            <w:tcW w:w="2660" w:type="dxa"/>
            <w:gridSpan w:val="2"/>
            <w:tcBorders>
              <w:top w:val="nil"/>
              <w:left w:val="nil"/>
              <w:bottom w:val="nil"/>
              <w:right w:val="nil"/>
            </w:tcBorders>
            <w:shd w:val="clear" w:color="auto" w:fill="auto"/>
            <w:noWrap/>
            <w:vAlign w:val="bottom"/>
          </w:tcPr>
          <w:p w14:paraId="0A2198DA"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45F1A37C" w14:textId="77777777" w:rsidR="008B27A0" w:rsidRPr="00B2469D" w:rsidRDefault="008B27A0" w:rsidP="004B3AED">
            <w:pPr>
              <w:spacing w:after="0" w:line="360" w:lineRule="auto"/>
              <w:rPr>
                <w:color w:val="000000"/>
                <w:lang w:eastAsia="en-GB"/>
              </w:rPr>
            </w:pPr>
            <w:r>
              <w:rPr>
                <w:color w:val="000000"/>
                <w:lang w:eastAsia="en-GB"/>
              </w:rPr>
              <w:t xml:space="preserve">Fit in without doing something illegal  </w:t>
            </w:r>
          </w:p>
        </w:tc>
        <w:tc>
          <w:tcPr>
            <w:tcW w:w="710" w:type="dxa"/>
            <w:tcBorders>
              <w:top w:val="nil"/>
              <w:left w:val="nil"/>
              <w:bottom w:val="nil"/>
              <w:right w:val="nil"/>
            </w:tcBorders>
            <w:shd w:val="clear" w:color="auto" w:fill="auto"/>
            <w:vAlign w:val="bottom"/>
          </w:tcPr>
          <w:p w14:paraId="6219A00A" w14:textId="77777777" w:rsidR="008B27A0" w:rsidRPr="00B2469D" w:rsidRDefault="008B27A0" w:rsidP="004B3AED">
            <w:pPr>
              <w:spacing w:after="0" w:line="360" w:lineRule="auto"/>
              <w:rPr>
                <w:color w:val="000000"/>
                <w:lang w:eastAsia="en-GB"/>
              </w:rPr>
            </w:pPr>
            <w:r>
              <w:rPr>
                <w:color w:val="000000"/>
                <w:lang w:eastAsia="en-GB"/>
              </w:rPr>
              <w:t>6</w:t>
            </w:r>
          </w:p>
        </w:tc>
        <w:tc>
          <w:tcPr>
            <w:tcW w:w="643" w:type="dxa"/>
            <w:tcBorders>
              <w:top w:val="nil"/>
              <w:left w:val="nil"/>
              <w:bottom w:val="nil"/>
              <w:right w:val="nil"/>
            </w:tcBorders>
            <w:shd w:val="clear" w:color="auto" w:fill="auto"/>
          </w:tcPr>
          <w:p w14:paraId="0C1D913A" w14:textId="77777777" w:rsidR="008B27A0" w:rsidRPr="00B2469D" w:rsidRDefault="008B27A0" w:rsidP="004B3AED">
            <w:pPr>
              <w:spacing w:after="0" w:line="360" w:lineRule="auto"/>
              <w:jc w:val="right"/>
              <w:rPr>
                <w:color w:val="000000"/>
                <w:lang w:eastAsia="en-GB"/>
              </w:rPr>
            </w:pPr>
            <w:r>
              <w:rPr>
                <w:color w:val="000000"/>
                <w:lang w:eastAsia="en-GB"/>
              </w:rPr>
              <w:t>2</w:t>
            </w:r>
          </w:p>
        </w:tc>
      </w:tr>
      <w:tr w:rsidR="008B27A0" w:rsidRPr="007E4533" w14:paraId="29B91F5E"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271F6138" w14:textId="77777777" w:rsidR="008B27A0" w:rsidRPr="007E4533" w:rsidRDefault="008B27A0" w:rsidP="004B3AED">
            <w:pPr>
              <w:spacing w:after="0" w:line="360" w:lineRule="auto"/>
              <w:rPr>
                <w:b/>
                <w:color w:val="FFFFFF" w:themeColor="background1"/>
                <w:sz w:val="2"/>
                <w:szCs w:val="2"/>
                <w:lang w:eastAsia="en-GB"/>
              </w:rPr>
            </w:pPr>
          </w:p>
        </w:tc>
        <w:tc>
          <w:tcPr>
            <w:tcW w:w="710" w:type="dxa"/>
            <w:tcBorders>
              <w:top w:val="single" w:sz="4" w:space="0" w:color="auto"/>
              <w:left w:val="nil"/>
              <w:bottom w:val="nil"/>
              <w:right w:val="nil"/>
            </w:tcBorders>
            <w:shd w:val="clear" w:color="auto" w:fill="auto"/>
            <w:vAlign w:val="bottom"/>
          </w:tcPr>
          <w:p w14:paraId="79E1733D"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590ED974"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44664A5E" w14:textId="77777777" w:rsidTr="004B3AED">
        <w:trPr>
          <w:trHeight w:val="290"/>
        </w:trPr>
        <w:tc>
          <w:tcPr>
            <w:tcW w:w="1951" w:type="dxa"/>
            <w:tcBorders>
              <w:top w:val="nil"/>
              <w:left w:val="nil"/>
              <w:bottom w:val="nil"/>
              <w:right w:val="nil"/>
            </w:tcBorders>
            <w:shd w:val="clear" w:color="auto" w:fill="auto"/>
            <w:noWrap/>
            <w:vAlign w:val="bottom"/>
          </w:tcPr>
          <w:p w14:paraId="3DF52606" w14:textId="77777777" w:rsidR="008B27A0" w:rsidRPr="00B2469D" w:rsidRDefault="008B27A0" w:rsidP="004B3AED">
            <w:pPr>
              <w:spacing w:after="0" w:line="360" w:lineRule="auto"/>
              <w:rPr>
                <w:color w:val="000000"/>
                <w:lang w:eastAsia="en-GB"/>
              </w:rPr>
            </w:pPr>
            <w:r>
              <w:rPr>
                <w:b/>
                <w:color w:val="000000"/>
                <w:lang w:eastAsia="en-GB"/>
              </w:rPr>
              <w:t>Risk perception</w:t>
            </w:r>
          </w:p>
        </w:tc>
        <w:tc>
          <w:tcPr>
            <w:tcW w:w="709" w:type="dxa"/>
            <w:tcBorders>
              <w:top w:val="nil"/>
              <w:left w:val="nil"/>
              <w:bottom w:val="nil"/>
              <w:right w:val="nil"/>
            </w:tcBorders>
            <w:shd w:val="clear" w:color="auto" w:fill="auto"/>
            <w:vAlign w:val="center"/>
          </w:tcPr>
          <w:p w14:paraId="00C09BF6" w14:textId="77777777" w:rsidR="008B27A0" w:rsidRPr="00A454B5" w:rsidRDefault="008B27A0" w:rsidP="004B3AED">
            <w:pPr>
              <w:spacing w:after="0" w:line="360" w:lineRule="auto"/>
              <w:jc w:val="right"/>
              <w:rPr>
                <w:b/>
                <w:color w:val="000000"/>
                <w:lang w:eastAsia="en-GB"/>
              </w:rPr>
            </w:pPr>
            <w:r>
              <w:rPr>
                <w:b/>
                <w:color w:val="000000"/>
                <w:lang w:eastAsia="en-GB"/>
              </w:rPr>
              <w:t>62</w:t>
            </w:r>
          </w:p>
        </w:tc>
        <w:tc>
          <w:tcPr>
            <w:tcW w:w="5134" w:type="dxa"/>
            <w:tcBorders>
              <w:top w:val="nil"/>
              <w:left w:val="nil"/>
              <w:bottom w:val="nil"/>
              <w:right w:val="nil"/>
            </w:tcBorders>
            <w:shd w:val="clear" w:color="auto" w:fill="auto"/>
            <w:noWrap/>
            <w:vAlign w:val="bottom"/>
          </w:tcPr>
          <w:p w14:paraId="782BCF6E" w14:textId="77777777" w:rsidR="008B27A0" w:rsidRPr="00B2469D" w:rsidRDefault="008B27A0" w:rsidP="004B3AED">
            <w:pPr>
              <w:spacing w:after="0" w:line="360" w:lineRule="auto"/>
              <w:rPr>
                <w:color w:val="000000"/>
                <w:lang w:eastAsia="en-GB"/>
              </w:rPr>
            </w:pPr>
            <w:r w:rsidRPr="00B2469D">
              <w:rPr>
                <w:color w:val="000000"/>
                <w:lang w:eastAsia="en-GB"/>
              </w:rPr>
              <w:t xml:space="preserve">Lack of </w:t>
            </w:r>
            <w:r>
              <w:rPr>
                <w:color w:val="000000"/>
                <w:lang w:eastAsia="en-GB"/>
              </w:rPr>
              <w:t xml:space="preserve">risk </w:t>
            </w:r>
            <w:r w:rsidRPr="00B2469D">
              <w:rPr>
                <w:color w:val="000000"/>
                <w:lang w:eastAsia="en-GB"/>
              </w:rPr>
              <w:t>awareness</w:t>
            </w:r>
            <w:r>
              <w:rPr>
                <w:color w:val="000000"/>
                <w:lang w:eastAsia="en-GB"/>
              </w:rPr>
              <w:t xml:space="preserve"> / education</w:t>
            </w:r>
          </w:p>
        </w:tc>
        <w:tc>
          <w:tcPr>
            <w:tcW w:w="710" w:type="dxa"/>
            <w:tcBorders>
              <w:top w:val="nil"/>
              <w:left w:val="nil"/>
              <w:bottom w:val="nil"/>
              <w:right w:val="nil"/>
            </w:tcBorders>
            <w:shd w:val="clear" w:color="auto" w:fill="auto"/>
            <w:vAlign w:val="bottom"/>
          </w:tcPr>
          <w:p w14:paraId="43C1AF77" w14:textId="77777777" w:rsidR="008B27A0" w:rsidRPr="00B2469D" w:rsidRDefault="008B27A0" w:rsidP="004B3AED">
            <w:pPr>
              <w:spacing w:after="0" w:line="360" w:lineRule="auto"/>
              <w:rPr>
                <w:color w:val="000000"/>
                <w:lang w:eastAsia="en-GB"/>
              </w:rPr>
            </w:pPr>
            <w:r>
              <w:rPr>
                <w:color w:val="000000"/>
                <w:lang w:eastAsia="en-GB"/>
              </w:rPr>
              <w:t>36</w:t>
            </w:r>
          </w:p>
        </w:tc>
        <w:tc>
          <w:tcPr>
            <w:tcW w:w="643" w:type="dxa"/>
            <w:tcBorders>
              <w:top w:val="nil"/>
              <w:left w:val="nil"/>
              <w:bottom w:val="nil"/>
              <w:right w:val="nil"/>
            </w:tcBorders>
            <w:shd w:val="clear" w:color="auto" w:fill="auto"/>
          </w:tcPr>
          <w:p w14:paraId="78753B06"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4630A81C" w14:textId="77777777" w:rsidTr="004B3AED">
        <w:trPr>
          <w:trHeight w:val="290"/>
        </w:trPr>
        <w:tc>
          <w:tcPr>
            <w:tcW w:w="1951" w:type="dxa"/>
            <w:tcBorders>
              <w:top w:val="nil"/>
              <w:left w:val="nil"/>
              <w:bottom w:val="nil"/>
              <w:right w:val="nil"/>
            </w:tcBorders>
            <w:shd w:val="clear" w:color="auto" w:fill="auto"/>
            <w:noWrap/>
            <w:vAlign w:val="bottom"/>
          </w:tcPr>
          <w:p w14:paraId="233FD549" w14:textId="77777777" w:rsidR="008B27A0" w:rsidRDefault="008B27A0" w:rsidP="004B3AED">
            <w:pPr>
              <w:spacing w:after="0" w:line="360" w:lineRule="auto"/>
              <w:rPr>
                <w:b/>
                <w:color w:val="000000"/>
                <w:lang w:eastAsia="en-GB"/>
              </w:rPr>
            </w:pPr>
          </w:p>
        </w:tc>
        <w:tc>
          <w:tcPr>
            <w:tcW w:w="709" w:type="dxa"/>
            <w:tcBorders>
              <w:top w:val="nil"/>
              <w:left w:val="nil"/>
              <w:bottom w:val="nil"/>
              <w:right w:val="nil"/>
            </w:tcBorders>
            <w:shd w:val="clear" w:color="auto" w:fill="auto"/>
            <w:vAlign w:val="center"/>
          </w:tcPr>
          <w:p w14:paraId="62E622E4" w14:textId="77777777" w:rsidR="008B27A0" w:rsidRDefault="008B27A0" w:rsidP="004B3AED">
            <w:pPr>
              <w:spacing w:after="0" w:line="360" w:lineRule="auto"/>
              <w:jc w:val="right"/>
              <w:rPr>
                <w:b/>
                <w:color w:val="000000"/>
                <w:lang w:eastAsia="en-GB"/>
              </w:rPr>
            </w:pPr>
          </w:p>
        </w:tc>
        <w:tc>
          <w:tcPr>
            <w:tcW w:w="5134" w:type="dxa"/>
            <w:tcBorders>
              <w:top w:val="nil"/>
              <w:left w:val="nil"/>
              <w:bottom w:val="nil"/>
              <w:right w:val="nil"/>
            </w:tcBorders>
            <w:shd w:val="clear" w:color="auto" w:fill="auto"/>
            <w:noWrap/>
            <w:vAlign w:val="bottom"/>
          </w:tcPr>
          <w:p w14:paraId="31D568B5" w14:textId="77777777" w:rsidR="008B27A0" w:rsidRPr="00B2469D" w:rsidRDefault="008B27A0" w:rsidP="004B3AED">
            <w:pPr>
              <w:spacing w:after="0" w:line="360" w:lineRule="auto"/>
              <w:rPr>
                <w:color w:val="000000"/>
                <w:lang w:eastAsia="en-GB"/>
              </w:rPr>
            </w:pPr>
            <w:r w:rsidRPr="00B2469D">
              <w:rPr>
                <w:color w:val="000000"/>
                <w:lang w:eastAsia="en-GB"/>
              </w:rPr>
              <w:t>Safe to use</w:t>
            </w:r>
          </w:p>
        </w:tc>
        <w:tc>
          <w:tcPr>
            <w:tcW w:w="710" w:type="dxa"/>
            <w:tcBorders>
              <w:top w:val="nil"/>
              <w:left w:val="nil"/>
              <w:bottom w:val="nil"/>
              <w:right w:val="nil"/>
            </w:tcBorders>
            <w:shd w:val="clear" w:color="auto" w:fill="auto"/>
            <w:vAlign w:val="bottom"/>
          </w:tcPr>
          <w:p w14:paraId="631EC676" w14:textId="77777777" w:rsidR="008B27A0" w:rsidRDefault="008B27A0" w:rsidP="004B3AED">
            <w:pPr>
              <w:spacing w:after="0" w:line="360" w:lineRule="auto"/>
              <w:rPr>
                <w:color w:val="000000"/>
                <w:lang w:eastAsia="en-GB"/>
              </w:rPr>
            </w:pPr>
            <w:r>
              <w:rPr>
                <w:color w:val="000000"/>
                <w:lang w:eastAsia="en-GB"/>
              </w:rPr>
              <w:t>13</w:t>
            </w:r>
          </w:p>
        </w:tc>
        <w:tc>
          <w:tcPr>
            <w:tcW w:w="643" w:type="dxa"/>
            <w:tcBorders>
              <w:top w:val="nil"/>
              <w:left w:val="nil"/>
              <w:bottom w:val="nil"/>
              <w:right w:val="nil"/>
            </w:tcBorders>
            <w:shd w:val="clear" w:color="auto" w:fill="auto"/>
          </w:tcPr>
          <w:p w14:paraId="2EB08D7C"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2C2EDEE1" w14:textId="77777777" w:rsidTr="004B3AED">
        <w:trPr>
          <w:trHeight w:val="290"/>
        </w:trPr>
        <w:tc>
          <w:tcPr>
            <w:tcW w:w="2660" w:type="dxa"/>
            <w:gridSpan w:val="2"/>
            <w:tcBorders>
              <w:top w:val="nil"/>
              <w:left w:val="nil"/>
              <w:bottom w:val="nil"/>
              <w:right w:val="nil"/>
            </w:tcBorders>
            <w:shd w:val="clear" w:color="auto" w:fill="auto"/>
            <w:noWrap/>
            <w:vAlign w:val="bottom"/>
          </w:tcPr>
          <w:p w14:paraId="53AE20BF"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5A2B32C6" w14:textId="77777777" w:rsidR="008B27A0" w:rsidRPr="00B2469D" w:rsidRDefault="008B27A0" w:rsidP="004B3AED">
            <w:pPr>
              <w:spacing w:after="0" w:line="360" w:lineRule="auto"/>
              <w:rPr>
                <w:color w:val="000000"/>
                <w:lang w:eastAsia="en-GB"/>
              </w:rPr>
            </w:pPr>
            <w:r>
              <w:rPr>
                <w:color w:val="000000"/>
                <w:lang w:eastAsia="en-GB"/>
              </w:rPr>
              <w:t>Risk denial / try another</w:t>
            </w:r>
          </w:p>
        </w:tc>
        <w:tc>
          <w:tcPr>
            <w:tcW w:w="710" w:type="dxa"/>
            <w:tcBorders>
              <w:top w:val="nil"/>
              <w:left w:val="nil"/>
              <w:bottom w:val="nil"/>
              <w:right w:val="nil"/>
            </w:tcBorders>
            <w:shd w:val="clear" w:color="auto" w:fill="auto"/>
            <w:vAlign w:val="bottom"/>
          </w:tcPr>
          <w:p w14:paraId="4647CBA4" w14:textId="77777777" w:rsidR="008B27A0" w:rsidRPr="00B2469D" w:rsidRDefault="008B27A0" w:rsidP="004B3AED">
            <w:pPr>
              <w:spacing w:after="0" w:line="360" w:lineRule="auto"/>
              <w:rPr>
                <w:color w:val="000000"/>
                <w:lang w:eastAsia="en-GB"/>
              </w:rPr>
            </w:pPr>
            <w:r>
              <w:rPr>
                <w:color w:val="000000"/>
                <w:lang w:eastAsia="en-GB"/>
              </w:rPr>
              <w:t>13</w:t>
            </w:r>
          </w:p>
        </w:tc>
        <w:tc>
          <w:tcPr>
            <w:tcW w:w="643" w:type="dxa"/>
            <w:tcBorders>
              <w:top w:val="nil"/>
              <w:left w:val="nil"/>
              <w:bottom w:val="nil"/>
              <w:right w:val="nil"/>
            </w:tcBorders>
            <w:shd w:val="clear" w:color="auto" w:fill="auto"/>
          </w:tcPr>
          <w:p w14:paraId="4B5C3A21"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7E4533" w14:paraId="6F237BF0"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1D291DE1"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4D6C06CC"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444D9394"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3BA834A8" w14:textId="77777777" w:rsidTr="004B3AED">
        <w:trPr>
          <w:trHeight w:val="290"/>
        </w:trPr>
        <w:tc>
          <w:tcPr>
            <w:tcW w:w="1951" w:type="dxa"/>
            <w:tcBorders>
              <w:top w:val="nil"/>
              <w:left w:val="nil"/>
              <w:bottom w:val="nil"/>
              <w:right w:val="nil"/>
            </w:tcBorders>
            <w:shd w:val="clear" w:color="auto" w:fill="auto"/>
            <w:noWrap/>
            <w:vAlign w:val="bottom"/>
          </w:tcPr>
          <w:p w14:paraId="3F56AAF6" w14:textId="77777777" w:rsidR="008B27A0" w:rsidRPr="00B2469D" w:rsidRDefault="008B27A0" w:rsidP="004B3AED">
            <w:pPr>
              <w:spacing w:after="0" w:line="360" w:lineRule="auto"/>
              <w:rPr>
                <w:sz w:val="20"/>
                <w:szCs w:val="20"/>
                <w:lang w:eastAsia="en-GB"/>
              </w:rPr>
            </w:pPr>
            <w:r>
              <w:rPr>
                <w:b/>
                <w:color w:val="000000"/>
                <w:lang w:eastAsia="en-GB"/>
              </w:rPr>
              <w:t>Authority</w:t>
            </w:r>
          </w:p>
        </w:tc>
        <w:tc>
          <w:tcPr>
            <w:tcW w:w="709" w:type="dxa"/>
            <w:tcBorders>
              <w:top w:val="nil"/>
              <w:left w:val="nil"/>
              <w:bottom w:val="nil"/>
              <w:right w:val="nil"/>
            </w:tcBorders>
            <w:shd w:val="clear" w:color="auto" w:fill="auto"/>
            <w:vAlign w:val="center"/>
          </w:tcPr>
          <w:p w14:paraId="7AE9741C" w14:textId="77777777" w:rsidR="008B27A0" w:rsidRPr="00A454B5" w:rsidRDefault="008B27A0" w:rsidP="004B3AED">
            <w:pPr>
              <w:spacing w:after="0" w:line="360" w:lineRule="auto"/>
              <w:jc w:val="right"/>
              <w:rPr>
                <w:b/>
                <w:sz w:val="20"/>
                <w:szCs w:val="20"/>
                <w:lang w:eastAsia="en-GB"/>
              </w:rPr>
            </w:pPr>
            <w:r>
              <w:rPr>
                <w:b/>
                <w:szCs w:val="20"/>
                <w:lang w:eastAsia="en-GB"/>
              </w:rPr>
              <w:t>51</w:t>
            </w:r>
          </w:p>
        </w:tc>
        <w:tc>
          <w:tcPr>
            <w:tcW w:w="5134" w:type="dxa"/>
            <w:tcBorders>
              <w:top w:val="nil"/>
              <w:left w:val="nil"/>
              <w:bottom w:val="nil"/>
              <w:right w:val="nil"/>
            </w:tcBorders>
            <w:shd w:val="clear" w:color="auto" w:fill="auto"/>
            <w:noWrap/>
            <w:vAlign w:val="bottom"/>
          </w:tcPr>
          <w:p w14:paraId="691840B8" w14:textId="77777777" w:rsidR="008B27A0" w:rsidRPr="00B2469D" w:rsidRDefault="008B27A0" w:rsidP="004B3AED">
            <w:pPr>
              <w:spacing w:after="0" w:line="360" w:lineRule="auto"/>
              <w:rPr>
                <w:color w:val="000000"/>
                <w:lang w:eastAsia="en-GB"/>
              </w:rPr>
            </w:pPr>
            <w:r w:rsidRPr="00B2469D">
              <w:rPr>
                <w:color w:val="000000"/>
                <w:lang w:eastAsia="en-GB"/>
              </w:rPr>
              <w:t>Won't get into trouble</w:t>
            </w:r>
          </w:p>
        </w:tc>
        <w:tc>
          <w:tcPr>
            <w:tcW w:w="710" w:type="dxa"/>
            <w:tcBorders>
              <w:top w:val="nil"/>
              <w:left w:val="nil"/>
              <w:bottom w:val="nil"/>
              <w:right w:val="nil"/>
            </w:tcBorders>
            <w:shd w:val="clear" w:color="auto" w:fill="auto"/>
            <w:vAlign w:val="bottom"/>
          </w:tcPr>
          <w:p w14:paraId="6277B812" w14:textId="77777777" w:rsidR="008B27A0" w:rsidRPr="00B2469D" w:rsidRDefault="008B27A0" w:rsidP="004B3AED">
            <w:pPr>
              <w:spacing w:after="0" w:line="360" w:lineRule="auto"/>
              <w:rPr>
                <w:color w:val="000000"/>
                <w:lang w:eastAsia="en-GB"/>
              </w:rPr>
            </w:pPr>
            <w:r>
              <w:rPr>
                <w:color w:val="000000"/>
                <w:lang w:eastAsia="en-GB"/>
              </w:rPr>
              <w:t>20</w:t>
            </w:r>
          </w:p>
        </w:tc>
        <w:tc>
          <w:tcPr>
            <w:tcW w:w="643" w:type="dxa"/>
            <w:tcBorders>
              <w:top w:val="nil"/>
              <w:left w:val="nil"/>
              <w:bottom w:val="nil"/>
              <w:right w:val="nil"/>
            </w:tcBorders>
            <w:shd w:val="clear" w:color="auto" w:fill="auto"/>
          </w:tcPr>
          <w:p w14:paraId="25DD7397"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4BDFC4D0" w14:textId="77777777" w:rsidTr="004B3AED">
        <w:trPr>
          <w:trHeight w:val="290"/>
        </w:trPr>
        <w:tc>
          <w:tcPr>
            <w:tcW w:w="2660" w:type="dxa"/>
            <w:gridSpan w:val="2"/>
            <w:tcBorders>
              <w:top w:val="nil"/>
              <w:left w:val="nil"/>
              <w:bottom w:val="nil"/>
              <w:right w:val="nil"/>
            </w:tcBorders>
            <w:shd w:val="clear" w:color="auto" w:fill="auto"/>
            <w:noWrap/>
            <w:vAlign w:val="bottom"/>
          </w:tcPr>
          <w:p w14:paraId="3EF8F1D7" w14:textId="77777777" w:rsidR="008B27A0" w:rsidRPr="00B2469D" w:rsidRDefault="008B27A0" w:rsidP="004B3AED">
            <w:pPr>
              <w:spacing w:after="0" w:line="360" w:lineRule="auto"/>
              <w:rPr>
                <w:color w:val="000000"/>
                <w:lang w:eastAsia="en-GB"/>
              </w:rPr>
            </w:pPr>
          </w:p>
        </w:tc>
        <w:tc>
          <w:tcPr>
            <w:tcW w:w="5134" w:type="dxa"/>
            <w:tcBorders>
              <w:top w:val="nil"/>
              <w:left w:val="nil"/>
              <w:bottom w:val="nil"/>
              <w:right w:val="nil"/>
            </w:tcBorders>
            <w:shd w:val="clear" w:color="auto" w:fill="auto"/>
            <w:noWrap/>
            <w:vAlign w:val="bottom"/>
            <w:hideMark/>
          </w:tcPr>
          <w:p w14:paraId="6F6292A7" w14:textId="77777777" w:rsidR="008B27A0" w:rsidRPr="00B2469D" w:rsidRDefault="008B27A0" w:rsidP="004B3AED">
            <w:pPr>
              <w:spacing w:after="0" w:line="360" w:lineRule="auto"/>
              <w:rPr>
                <w:color w:val="000000"/>
                <w:lang w:eastAsia="en-GB"/>
              </w:rPr>
            </w:pPr>
            <w:r w:rsidRPr="00B2469D">
              <w:rPr>
                <w:color w:val="000000"/>
                <w:lang w:eastAsia="en-GB"/>
              </w:rPr>
              <w:t>Rebel</w:t>
            </w:r>
            <w:r>
              <w:rPr>
                <w:color w:val="000000"/>
                <w:lang w:eastAsia="en-GB"/>
              </w:rPr>
              <w:t>lion / do what you want</w:t>
            </w:r>
          </w:p>
        </w:tc>
        <w:tc>
          <w:tcPr>
            <w:tcW w:w="710" w:type="dxa"/>
            <w:tcBorders>
              <w:top w:val="nil"/>
              <w:left w:val="nil"/>
              <w:bottom w:val="nil"/>
              <w:right w:val="nil"/>
            </w:tcBorders>
            <w:shd w:val="clear" w:color="auto" w:fill="auto"/>
            <w:vAlign w:val="bottom"/>
          </w:tcPr>
          <w:p w14:paraId="33A110CC" w14:textId="77777777" w:rsidR="008B27A0" w:rsidRPr="00B2469D" w:rsidRDefault="008B27A0" w:rsidP="004B3AED">
            <w:pPr>
              <w:spacing w:after="0" w:line="360" w:lineRule="auto"/>
              <w:rPr>
                <w:color w:val="000000"/>
                <w:lang w:eastAsia="en-GB"/>
              </w:rPr>
            </w:pPr>
            <w:r>
              <w:rPr>
                <w:color w:val="000000"/>
                <w:lang w:eastAsia="en-GB"/>
              </w:rPr>
              <w:t>20</w:t>
            </w:r>
          </w:p>
        </w:tc>
        <w:tc>
          <w:tcPr>
            <w:tcW w:w="643" w:type="dxa"/>
            <w:tcBorders>
              <w:top w:val="nil"/>
              <w:left w:val="nil"/>
              <w:bottom w:val="nil"/>
              <w:right w:val="nil"/>
            </w:tcBorders>
            <w:shd w:val="clear" w:color="auto" w:fill="auto"/>
          </w:tcPr>
          <w:p w14:paraId="450E2CF6"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1BF53416" w14:textId="77777777" w:rsidTr="004B3AED">
        <w:trPr>
          <w:trHeight w:val="290"/>
        </w:trPr>
        <w:tc>
          <w:tcPr>
            <w:tcW w:w="2660" w:type="dxa"/>
            <w:gridSpan w:val="2"/>
            <w:tcBorders>
              <w:top w:val="nil"/>
              <w:left w:val="nil"/>
              <w:bottom w:val="nil"/>
              <w:right w:val="nil"/>
            </w:tcBorders>
            <w:shd w:val="clear" w:color="auto" w:fill="auto"/>
            <w:noWrap/>
            <w:vAlign w:val="bottom"/>
          </w:tcPr>
          <w:p w14:paraId="628E4B88"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07F496CC" w14:textId="77777777" w:rsidR="008B27A0" w:rsidRPr="00B2469D" w:rsidRDefault="008B27A0" w:rsidP="004B3AED">
            <w:pPr>
              <w:spacing w:after="0" w:line="360" w:lineRule="auto"/>
              <w:rPr>
                <w:color w:val="000000"/>
                <w:lang w:eastAsia="en-GB"/>
              </w:rPr>
            </w:pPr>
            <w:r w:rsidRPr="00B2469D">
              <w:rPr>
                <w:color w:val="000000"/>
                <w:lang w:eastAsia="en-GB"/>
              </w:rPr>
              <w:t>Parents approve of use</w:t>
            </w:r>
          </w:p>
        </w:tc>
        <w:tc>
          <w:tcPr>
            <w:tcW w:w="710" w:type="dxa"/>
            <w:tcBorders>
              <w:top w:val="nil"/>
              <w:left w:val="nil"/>
              <w:bottom w:val="nil"/>
              <w:right w:val="nil"/>
            </w:tcBorders>
            <w:shd w:val="clear" w:color="auto" w:fill="auto"/>
            <w:vAlign w:val="bottom"/>
          </w:tcPr>
          <w:p w14:paraId="4D49C349" w14:textId="77777777" w:rsidR="008B27A0" w:rsidRPr="00B2469D" w:rsidRDefault="008B27A0" w:rsidP="004B3AED">
            <w:pPr>
              <w:spacing w:after="0" w:line="360" w:lineRule="auto"/>
              <w:rPr>
                <w:color w:val="000000"/>
                <w:lang w:eastAsia="en-GB"/>
              </w:rPr>
            </w:pPr>
            <w:r>
              <w:rPr>
                <w:color w:val="000000"/>
                <w:lang w:eastAsia="en-GB"/>
              </w:rPr>
              <w:t>6</w:t>
            </w:r>
          </w:p>
        </w:tc>
        <w:tc>
          <w:tcPr>
            <w:tcW w:w="643" w:type="dxa"/>
            <w:tcBorders>
              <w:top w:val="nil"/>
              <w:left w:val="nil"/>
              <w:bottom w:val="nil"/>
              <w:right w:val="nil"/>
            </w:tcBorders>
            <w:shd w:val="clear" w:color="auto" w:fill="auto"/>
          </w:tcPr>
          <w:p w14:paraId="21D5A3AF" w14:textId="77777777" w:rsidR="008B27A0" w:rsidRPr="00B2469D" w:rsidRDefault="008B27A0" w:rsidP="004B3AED">
            <w:pPr>
              <w:spacing w:after="0" w:line="360" w:lineRule="auto"/>
              <w:jc w:val="right"/>
              <w:rPr>
                <w:color w:val="000000"/>
                <w:lang w:eastAsia="en-GB"/>
              </w:rPr>
            </w:pPr>
            <w:r w:rsidRPr="00B2469D">
              <w:rPr>
                <w:color w:val="000000"/>
                <w:lang w:eastAsia="en-GB"/>
              </w:rPr>
              <w:t>1</w:t>
            </w:r>
          </w:p>
        </w:tc>
      </w:tr>
      <w:tr w:rsidR="008B27A0" w:rsidRPr="00B2469D" w14:paraId="1919CF19" w14:textId="77777777" w:rsidTr="004B3AED">
        <w:trPr>
          <w:trHeight w:val="290"/>
        </w:trPr>
        <w:tc>
          <w:tcPr>
            <w:tcW w:w="2660" w:type="dxa"/>
            <w:gridSpan w:val="2"/>
            <w:tcBorders>
              <w:top w:val="nil"/>
              <w:left w:val="nil"/>
              <w:bottom w:val="nil"/>
              <w:right w:val="nil"/>
            </w:tcBorders>
            <w:shd w:val="clear" w:color="auto" w:fill="auto"/>
            <w:noWrap/>
            <w:vAlign w:val="bottom"/>
          </w:tcPr>
          <w:p w14:paraId="28DBFCB8" w14:textId="77777777" w:rsidR="008B27A0" w:rsidRPr="00B2469D" w:rsidRDefault="008B27A0" w:rsidP="004B3AED">
            <w:pPr>
              <w:spacing w:after="0" w:line="360" w:lineRule="auto"/>
              <w:rPr>
                <w:color w:val="000000"/>
                <w:lang w:eastAsia="en-GB"/>
              </w:rPr>
            </w:pPr>
          </w:p>
        </w:tc>
        <w:tc>
          <w:tcPr>
            <w:tcW w:w="5134" w:type="dxa"/>
            <w:tcBorders>
              <w:top w:val="nil"/>
              <w:left w:val="nil"/>
              <w:bottom w:val="nil"/>
              <w:right w:val="nil"/>
            </w:tcBorders>
            <w:shd w:val="clear" w:color="auto" w:fill="auto"/>
            <w:noWrap/>
            <w:vAlign w:val="bottom"/>
          </w:tcPr>
          <w:p w14:paraId="1A7AF8AF" w14:textId="77777777" w:rsidR="008B27A0" w:rsidRPr="00B2469D" w:rsidRDefault="008B27A0" w:rsidP="004B3AED">
            <w:pPr>
              <w:spacing w:after="0" w:line="360" w:lineRule="auto"/>
              <w:rPr>
                <w:color w:val="000000"/>
                <w:lang w:eastAsia="en-GB"/>
              </w:rPr>
            </w:pPr>
            <w:r>
              <w:rPr>
                <w:color w:val="000000"/>
                <w:lang w:eastAsia="en-GB"/>
              </w:rPr>
              <w:t>Government approves of use</w:t>
            </w:r>
          </w:p>
        </w:tc>
        <w:tc>
          <w:tcPr>
            <w:tcW w:w="710" w:type="dxa"/>
            <w:tcBorders>
              <w:top w:val="nil"/>
              <w:left w:val="nil"/>
              <w:bottom w:val="nil"/>
              <w:right w:val="nil"/>
            </w:tcBorders>
            <w:shd w:val="clear" w:color="auto" w:fill="auto"/>
            <w:vAlign w:val="bottom"/>
          </w:tcPr>
          <w:p w14:paraId="7AA3233E" w14:textId="77777777" w:rsidR="008B27A0" w:rsidRPr="00B2469D" w:rsidRDefault="008B27A0" w:rsidP="004B3AED">
            <w:pPr>
              <w:spacing w:after="0" w:line="360" w:lineRule="auto"/>
              <w:rPr>
                <w:color w:val="000000"/>
                <w:lang w:eastAsia="en-GB"/>
              </w:rPr>
            </w:pPr>
            <w:r>
              <w:rPr>
                <w:color w:val="000000"/>
                <w:lang w:eastAsia="en-GB"/>
              </w:rPr>
              <w:t>5</w:t>
            </w:r>
          </w:p>
        </w:tc>
        <w:tc>
          <w:tcPr>
            <w:tcW w:w="643" w:type="dxa"/>
            <w:tcBorders>
              <w:top w:val="nil"/>
              <w:left w:val="nil"/>
              <w:bottom w:val="nil"/>
              <w:right w:val="nil"/>
            </w:tcBorders>
            <w:shd w:val="clear" w:color="auto" w:fill="auto"/>
          </w:tcPr>
          <w:p w14:paraId="5F8C0146" w14:textId="77777777" w:rsidR="008B27A0" w:rsidRPr="00B2469D" w:rsidRDefault="008B27A0" w:rsidP="004B3AED">
            <w:pPr>
              <w:spacing w:after="0" w:line="360" w:lineRule="auto"/>
              <w:jc w:val="right"/>
              <w:rPr>
                <w:color w:val="000000"/>
                <w:lang w:eastAsia="en-GB"/>
              </w:rPr>
            </w:pPr>
            <w:r>
              <w:rPr>
                <w:color w:val="000000"/>
                <w:lang w:eastAsia="en-GB"/>
              </w:rPr>
              <w:t>2</w:t>
            </w:r>
          </w:p>
        </w:tc>
      </w:tr>
      <w:tr w:rsidR="008B27A0" w:rsidRPr="007E4533" w14:paraId="5DE56C21"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0E2A9E71"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140D1CE9"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561AD18A"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3C151235" w14:textId="77777777" w:rsidTr="004B3AED">
        <w:trPr>
          <w:trHeight w:val="290"/>
        </w:trPr>
        <w:tc>
          <w:tcPr>
            <w:tcW w:w="1951" w:type="dxa"/>
            <w:tcBorders>
              <w:top w:val="nil"/>
              <w:left w:val="nil"/>
              <w:bottom w:val="nil"/>
              <w:right w:val="nil"/>
            </w:tcBorders>
            <w:shd w:val="clear" w:color="auto" w:fill="auto"/>
            <w:noWrap/>
            <w:vAlign w:val="bottom"/>
          </w:tcPr>
          <w:p w14:paraId="45721564" w14:textId="77777777" w:rsidR="008B27A0" w:rsidRPr="00B2469D" w:rsidRDefault="008B27A0" w:rsidP="004B3AED">
            <w:pPr>
              <w:spacing w:after="0" w:line="360" w:lineRule="auto"/>
              <w:rPr>
                <w:color w:val="000000"/>
                <w:lang w:eastAsia="en-GB"/>
              </w:rPr>
            </w:pPr>
            <w:r>
              <w:rPr>
                <w:b/>
                <w:color w:val="000000"/>
                <w:lang w:eastAsia="en-GB"/>
              </w:rPr>
              <w:t xml:space="preserve">Pleasure </w:t>
            </w:r>
          </w:p>
        </w:tc>
        <w:tc>
          <w:tcPr>
            <w:tcW w:w="709" w:type="dxa"/>
            <w:tcBorders>
              <w:top w:val="nil"/>
              <w:left w:val="nil"/>
              <w:bottom w:val="nil"/>
              <w:right w:val="nil"/>
            </w:tcBorders>
            <w:shd w:val="clear" w:color="auto" w:fill="auto"/>
            <w:vAlign w:val="center"/>
          </w:tcPr>
          <w:p w14:paraId="44AB6A48" w14:textId="77777777" w:rsidR="008B27A0" w:rsidRPr="00A454B5" w:rsidRDefault="008B27A0" w:rsidP="004B3AED">
            <w:pPr>
              <w:spacing w:after="0" w:line="360" w:lineRule="auto"/>
              <w:jc w:val="right"/>
              <w:rPr>
                <w:b/>
                <w:color w:val="000000"/>
                <w:lang w:eastAsia="en-GB"/>
              </w:rPr>
            </w:pPr>
            <w:r>
              <w:rPr>
                <w:b/>
                <w:color w:val="000000"/>
                <w:lang w:eastAsia="en-GB"/>
              </w:rPr>
              <w:t>46</w:t>
            </w:r>
          </w:p>
        </w:tc>
        <w:tc>
          <w:tcPr>
            <w:tcW w:w="5134" w:type="dxa"/>
            <w:tcBorders>
              <w:top w:val="nil"/>
              <w:left w:val="nil"/>
              <w:bottom w:val="nil"/>
              <w:right w:val="nil"/>
            </w:tcBorders>
            <w:shd w:val="clear" w:color="auto" w:fill="auto"/>
            <w:noWrap/>
          </w:tcPr>
          <w:p w14:paraId="7F191489" w14:textId="77777777" w:rsidR="008B27A0" w:rsidRPr="00B2469D" w:rsidRDefault="008B27A0" w:rsidP="004B3AED">
            <w:pPr>
              <w:spacing w:after="0" w:line="360" w:lineRule="auto"/>
              <w:rPr>
                <w:color w:val="000000"/>
                <w:lang w:eastAsia="en-GB"/>
              </w:rPr>
            </w:pPr>
            <w:r>
              <w:rPr>
                <w:color w:val="000000"/>
                <w:lang w:eastAsia="en-GB"/>
              </w:rPr>
              <w:t>For the</w:t>
            </w:r>
            <w:r w:rsidRPr="00B2469D">
              <w:rPr>
                <w:color w:val="000000"/>
                <w:lang w:eastAsia="en-GB"/>
              </w:rPr>
              <w:t xml:space="preserve"> high</w:t>
            </w:r>
            <w:r>
              <w:rPr>
                <w:color w:val="000000"/>
                <w:lang w:eastAsia="en-GB"/>
              </w:rPr>
              <w:t xml:space="preserve"> </w:t>
            </w:r>
          </w:p>
        </w:tc>
        <w:tc>
          <w:tcPr>
            <w:tcW w:w="710" w:type="dxa"/>
            <w:tcBorders>
              <w:top w:val="nil"/>
              <w:left w:val="nil"/>
              <w:bottom w:val="nil"/>
              <w:right w:val="nil"/>
            </w:tcBorders>
            <w:shd w:val="clear" w:color="auto" w:fill="auto"/>
          </w:tcPr>
          <w:p w14:paraId="0035B772" w14:textId="77777777" w:rsidR="008B27A0" w:rsidRPr="00B2469D" w:rsidRDefault="008B27A0" w:rsidP="004B3AED">
            <w:pPr>
              <w:spacing w:after="0" w:line="360" w:lineRule="auto"/>
              <w:rPr>
                <w:color w:val="000000"/>
                <w:lang w:eastAsia="en-GB"/>
              </w:rPr>
            </w:pPr>
            <w:r>
              <w:rPr>
                <w:color w:val="000000"/>
                <w:lang w:eastAsia="en-GB"/>
              </w:rPr>
              <w:t>34</w:t>
            </w:r>
          </w:p>
        </w:tc>
        <w:tc>
          <w:tcPr>
            <w:tcW w:w="643" w:type="dxa"/>
            <w:tcBorders>
              <w:top w:val="nil"/>
              <w:left w:val="nil"/>
              <w:bottom w:val="nil"/>
              <w:right w:val="nil"/>
            </w:tcBorders>
            <w:shd w:val="clear" w:color="auto" w:fill="auto"/>
          </w:tcPr>
          <w:p w14:paraId="27CB44A4"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72BAF1E6" w14:textId="77777777" w:rsidTr="004B3AED">
        <w:trPr>
          <w:trHeight w:val="290"/>
        </w:trPr>
        <w:tc>
          <w:tcPr>
            <w:tcW w:w="2660" w:type="dxa"/>
            <w:gridSpan w:val="2"/>
            <w:tcBorders>
              <w:top w:val="nil"/>
              <w:left w:val="nil"/>
              <w:bottom w:val="nil"/>
              <w:right w:val="nil"/>
            </w:tcBorders>
            <w:shd w:val="clear" w:color="auto" w:fill="auto"/>
            <w:noWrap/>
            <w:vAlign w:val="bottom"/>
          </w:tcPr>
          <w:p w14:paraId="0F686030"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hideMark/>
          </w:tcPr>
          <w:p w14:paraId="323EB840" w14:textId="77777777" w:rsidR="008B27A0" w:rsidRPr="00B2469D" w:rsidRDefault="008B27A0" w:rsidP="004B3AED">
            <w:pPr>
              <w:spacing w:after="0" w:line="360" w:lineRule="auto"/>
              <w:rPr>
                <w:color w:val="000000"/>
                <w:lang w:eastAsia="en-GB"/>
              </w:rPr>
            </w:pPr>
            <w:r>
              <w:rPr>
                <w:color w:val="000000"/>
                <w:lang w:eastAsia="en-GB"/>
              </w:rPr>
              <w:t>Enjoyable / fun</w:t>
            </w:r>
          </w:p>
        </w:tc>
        <w:tc>
          <w:tcPr>
            <w:tcW w:w="710" w:type="dxa"/>
            <w:tcBorders>
              <w:top w:val="nil"/>
              <w:left w:val="nil"/>
              <w:bottom w:val="nil"/>
              <w:right w:val="nil"/>
            </w:tcBorders>
            <w:shd w:val="clear" w:color="auto" w:fill="auto"/>
          </w:tcPr>
          <w:p w14:paraId="2B2F4C8A" w14:textId="77777777" w:rsidR="008B27A0" w:rsidRPr="00B2469D" w:rsidRDefault="008B27A0" w:rsidP="004B3AED">
            <w:pPr>
              <w:spacing w:after="0" w:line="360" w:lineRule="auto"/>
              <w:rPr>
                <w:color w:val="000000"/>
                <w:lang w:eastAsia="en-GB"/>
              </w:rPr>
            </w:pPr>
            <w:r>
              <w:rPr>
                <w:color w:val="000000"/>
                <w:lang w:eastAsia="en-GB"/>
              </w:rPr>
              <w:t>12</w:t>
            </w:r>
          </w:p>
        </w:tc>
        <w:tc>
          <w:tcPr>
            <w:tcW w:w="643" w:type="dxa"/>
            <w:tcBorders>
              <w:top w:val="nil"/>
              <w:left w:val="nil"/>
              <w:bottom w:val="nil"/>
              <w:right w:val="nil"/>
            </w:tcBorders>
            <w:shd w:val="clear" w:color="auto" w:fill="auto"/>
          </w:tcPr>
          <w:p w14:paraId="50980314"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7E4533" w14:paraId="160E3688"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08DF0A61"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6F9DEE99"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18D748BD"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0DF7EAD6" w14:textId="77777777" w:rsidTr="004B3AED">
        <w:trPr>
          <w:trHeight w:val="290"/>
        </w:trPr>
        <w:tc>
          <w:tcPr>
            <w:tcW w:w="1951" w:type="dxa"/>
            <w:tcBorders>
              <w:top w:val="nil"/>
              <w:left w:val="nil"/>
              <w:bottom w:val="nil"/>
              <w:right w:val="nil"/>
            </w:tcBorders>
            <w:shd w:val="clear" w:color="auto" w:fill="auto"/>
            <w:noWrap/>
            <w:vAlign w:val="bottom"/>
          </w:tcPr>
          <w:p w14:paraId="3A4EB7E7" w14:textId="77777777" w:rsidR="008B27A0" w:rsidRPr="00A454B5" w:rsidRDefault="008B27A0" w:rsidP="004B3AED">
            <w:pPr>
              <w:spacing w:after="0" w:line="360" w:lineRule="auto"/>
              <w:rPr>
                <w:b/>
                <w:color w:val="000000"/>
                <w:lang w:eastAsia="en-GB"/>
              </w:rPr>
            </w:pPr>
            <w:r w:rsidRPr="00A454B5">
              <w:rPr>
                <w:b/>
                <w:color w:val="000000"/>
                <w:lang w:eastAsia="en-GB"/>
              </w:rPr>
              <w:t xml:space="preserve">Social </w:t>
            </w:r>
            <w:r>
              <w:rPr>
                <w:b/>
                <w:color w:val="000000"/>
                <w:lang w:eastAsia="en-GB"/>
              </w:rPr>
              <w:t>influences</w:t>
            </w:r>
          </w:p>
        </w:tc>
        <w:tc>
          <w:tcPr>
            <w:tcW w:w="709" w:type="dxa"/>
            <w:tcBorders>
              <w:top w:val="nil"/>
              <w:left w:val="nil"/>
              <w:bottom w:val="nil"/>
              <w:right w:val="nil"/>
            </w:tcBorders>
            <w:shd w:val="clear" w:color="auto" w:fill="auto"/>
            <w:vAlign w:val="center"/>
          </w:tcPr>
          <w:p w14:paraId="78F1F11B" w14:textId="77777777" w:rsidR="008B27A0" w:rsidRPr="00A454B5" w:rsidRDefault="008B27A0" w:rsidP="004B3AED">
            <w:pPr>
              <w:spacing w:after="0" w:line="360" w:lineRule="auto"/>
              <w:jc w:val="right"/>
              <w:rPr>
                <w:b/>
                <w:color w:val="000000"/>
                <w:lang w:eastAsia="en-GB"/>
              </w:rPr>
            </w:pPr>
            <w:r>
              <w:rPr>
                <w:b/>
                <w:color w:val="000000"/>
                <w:lang w:eastAsia="en-GB"/>
              </w:rPr>
              <w:t>42</w:t>
            </w:r>
          </w:p>
        </w:tc>
        <w:tc>
          <w:tcPr>
            <w:tcW w:w="5134" w:type="dxa"/>
            <w:tcBorders>
              <w:top w:val="nil"/>
              <w:left w:val="nil"/>
              <w:bottom w:val="nil"/>
              <w:right w:val="nil"/>
            </w:tcBorders>
            <w:shd w:val="clear" w:color="auto" w:fill="auto"/>
            <w:noWrap/>
            <w:vAlign w:val="bottom"/>
          </w:tcPr>
          <w:p w14:paraId="74BB90FE" w14:textId="77777777" w:rsidR="008B27A0" w:rsidRPr="00B2469D" w:rsidRDefault="008B27A0" w:rsidP="004B3AED">
            <w:pPr>
              <w:spacing w:after="0" w:line="360" w:lineRule="auto"/>
              <w:rPr>
                <w:color w:val="000000"/>
                <w:lang w:eastAsia="en-GB"/>
              </w:rPr>
            </w:pPr>
            <w:r w:rsidRPr="00B2469D">
              <w:rPr>
                <w:color w:val="000000"/>
                <w:lang w:eastAsia="en-GB"/>
              </w:rPr>
              <w:t xml:space="preserve">Friends </w:t>
            </w:r>
            <w:r>
              <w:rPr>
                <w:color w:val="000000"/>
                <w:lang w:eastAsia="en-GB"/>
              </w:rPr>
              <w:t>approval / peer pressure</w:t>
            </w:r>
          </w:p>
        </w:tc>
        <w:tc>
          <w:tcPr>
            <w:tcW w:w="710" w:type="dxa"/>
            <w:tcBorders>
              <w:top w:val="nil"/>
              <w:left w:val="nil"/>
              <w:bottom w:val="nil"/>
              <w:right w:val="nil"/>
            </w:tcBorders>
            <w:shd w:val="clear" w:color="auto" w:fill="auto"/>
            <w:vAlign w:val="bottom"/>
          </w:tcPr>
          <w:p w14:paraId="5AB64799" w14:textId="77777777" w:rsidR="008B27A0" w:rsidRPr="00B2469D" w:rsidRDefault="008B27A0" w:rsidP="004B3AED">
            <w:pPr>
              <w:spacing w:after="0" w:line="360" w:lineRule="auto"/>
              <w:rPr>
                <w:color w:val="000000"/>
                <w:lang w:eastAsia="en-GB"/>
              </w:rPr>
            </w:pPr>
            <w:r>
              <w:rPr>
                <w:color w:val="000000"/>
                <w:lang w:eastAsia="en-GB"/>
              </w:rPr>
              <w:t>28</w:t>
            </w:r>
          </w:p>
        </w:tc>
        <w:tc>
          <w:tcPr>
            <w:tcW w:w="643" w:type="dxa"/>
            <w:tcBorders>
              <w:top w:val="nil"/>
              <w:left w:val="nil"/>
              <w:bottom w:val="nil"/>
              <w:right w:val="nil"/>
            </w:tcBorders>
            <w:shd w:val="clear" w:color="auto" w:fill="auto"/>
          </w:tcPr>
          <w:p w14:paraId="1DE5A501"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7C6C3B3F" w14:textId="77777777" w:rsidTr="004B3AED">
        <w:trPr>
          <w:trHeight w:val="290"/>
        </w:trPr>
        <w:tc>
          <w:tcPr>
            <w:tcW w:w="2660" w:type="dxa"/>
            <w:gridSpan w:val="2"/>
            <w:tcBorders>
              <w:top w:val="nil"/>
              <w:left w:val="nil"/>
              <w:bottom w:val="nil"/>
              <w:right w:val="nil"/>
            </w:tcBorders>
            <w:shd w:val="clear" w:color="auto" w:fill="auto"/>
            <w:noWrap/>
            <w:vAlign w:val="bottom"/>
          </w:tcPr>
          <w:p w14:paraId="7AF8D48D"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36FF29FF" w14:textId="77777777" w:rsidR="008B27A0" w:rsidRPr="00B2469D" w:rsidRDefault="008B27A0" w:rsidP="004B3AED">
            <w:pPr>
              <w:spacing w:after="0" w:line="360" w:lineRule="auto"/>
              <w:rPr>
                <w:color w:val="000000"/>
                <w:lang w:eastAsia="en-GB"/>
              </w:rPr>
            </w:pPr>
            <w:r>
              <w:rPr>
                <w:color w:val="000000"/>
                <w:lang w:eastAsia="en-GB"/>
              </w:rPr>
              <w:t>Normal / acceptable to use</w:t>
            </w:r>
          </w:p>
        </w:tc>
        <w:tc>
          <w:tcPr>
            <w:tcW w:w="710" w:type="dxa"/>
            <w:tcBorders>
              <w:top w:val="nil"/>
              <w:left w:val="nil"/>
              <w:bottom w:val="nil"/>
              <w:right w:val="nil"/>
            </w:tcBorders>
            <w:shd w:val="clear" w:color="auto" w:fill="auto"/>
            <w:vAlign w:val="bottom"/>
          </w:tcPr>
          <w:p w14:paraId="75FAF061" w14:textId="77777777" w:rsidR="008B27A0" w:rsidRPr="00B2469D" w:rsidRDefault="008B27A0" w:rsidP="004B3AED">
            <w:pPr>
              <w:spacing w:after="0" w:line="360" w:lineRule="auto"/>
              <w:rPr>
                <w:color w:val="000000"/>
                <w:lang w:eastAsia="en-GB"/>
              </w:rPr>
            </w:pPr>
            <w:r>
              <w:rPr>
                <w:color w:val="000000"/>
                <w:lang w:eastAsia="en-GB"/>
              </w:rPr>
              <w:t>14</w:t>
            </w:r>
          </w:p>
        </w:tc>
        <w:tc>
          <w:tcPr>
            <w:tcW w:w="643" w:type="dxa"/>
            <w:tcBorders>
              <w:top w:val="nil"/>
              <w:left w:val="nil"/>
              <w:bottom w:val="nil"/>
              <w:right w:val="nil"/>
            </w:tcBorders>
            <w:shd w:val="clear" w:color="auto" w:fill="auto"/>
          </w:tcPr>
          <w:p w14:paraId="36E4A3CA"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7E4533" w14:paraId="1175992E"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5F29C8EF"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610E6C23"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01576977"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775EAFD7" w14:textId="77777777" w:rsidTr="004B3AED">
        <w:trPr>
          <w:trHeight w:val="290"/>
        </w:trPr>
        <w:tc>
          <w:tcPr>
            <w:tcW w:w="1951" w:type="dxa"/>
            <w:tcBorders>
              <w:top w:val="nil"/>
              <w:left w:val="nil"/>
              <w:bottom w:val="nil"/>
              <w:right w:val="nil"/>
            </w:tcBorders>
            <w:shd w:val="clear" w:color="auto" w:fill="auto"/>
            <w:noWrap/>
            <w:vAlign w:val="bottom"/>
          </w:tcPr>
          <w:p w14:paraId="67822DDC" w14:textId="77777777" w:rsidR="008B27A0" w:rsidRPr="00B2469D" w:rsidRDefault="008B27A0" w:rsidP="004B3AED">
            <w:pPr>
              <w:spacing w:after="0" w:line="360" w:lineRule="auto"/>
              <w:rPr>
                <w:sz w:val="20"/>
                <w:szCs w:val="20"/>
                <w:lang w:eastAsia="en-GB"/>
              </w:rPr>
            </w:pPr>
            <w:r>
              <w:rPr>
                <w:b/>
                <w:color w:val="000000"/>
                <w:lang w:eastAsia="en-GB"/>
              </w:rPr>
              <w:t>Identity</w:t>
            </w:r>
          </w:p>
        </w:tc>
        <w:tc>
          <w:tcPr>
            <w:tcW w:w="709" w:type="dxa"/>
            <w:tcBorders>
              <w:top w:val="nil"/>
              <w:left w:val="nil"/>
              <w:bottom w:val="nil"/>
              <w:right w:val="nil"/>
            </w:tcBorders>
            <w:shd w:val="clear" w:color="auto" w:fill="auto"/>
            <w:vAlign w:val="center"/>
          </w:tcPr>
          <w:p w14:paraId="08264673" w14:textId="77777777" w:rsidR="008B27A0" w:rsidRPr="00A454B5" w:rsidRDefault="008B27A0" w:rsidP="004B3AED">
            <w:pPr>
              <w:spacing w:after="0" w:line="360" w:lineRule="auto"/>
              <w:jc w:val="right"/>
              <w:rPr>
                <w:b/>
                <w:sz w:val="20"/>
                <w:szCs w:val="20"/>
                <w:lang w:eastAsia="en-GB"/>
              </w:rPr>
            </w:pPr>
            <w:r>
              <w:rPr>
                <w:b/>
                <w:szCs w:val="20"/>
                <w:lang w:eastAsia="en-GB"/>
              </w:rPr>
              <w:t>37</w:t>
            </w:r>
          </w:p>
        </w:tc>
        <w:tc>
          <w:tcPr>
            <w:tcW w:w="5134" w:type="dxa"/>
            <w:tcBorders>
              <w:top w:val="nil"/>
              <w:left w:val="nil"/>
              <w:bottom w:val="nil"/>
              <w:right w:val="nil"/>
            </w:tcBorders>
            <w:shd w:val="clear" w:color="auto" w:fill="auto"/>
            <w:noWrap/>
            <w:vAlign w:val="bottom"/>
          </w:tcPr>
          <w:p w14:paraId="3F696CC3" w14:textId="77777777" w:rsidR="008B27A0" w:rsidRPr="00B2469D" w:rsidRDefault="008B27A0" w:rsidP="004B3AED">
            <w:pPr>
              <w:spacing w:after="0" w:line="360" w:lineRule="auto"/>
              <w:rPr>
                <w:color w:val="000000"/>
                <w:lang w:eastAsia="en-GB"/>
              </w:rPr>
            </w:pPr>
            <w:r>
              <w:rPr>
                <w:color w:val="000000"/>
                <w:lang w:eastAsia="en-GB"/>
              </w:rPr>
              <w:t>Users are</w:t>
            </w:r>
            <w:r w:rsidRPr="00B2469D">
              <w:rPr>
                <w:color w:val="000000"/>
                <w:lang w:eastAsia="en-GB"/>
              </w:rPr>
              <w:t xml:space="preserve"> </w:t>
            </w:r>
            <w:r>
              <w:rPr>
                <w:color w:val="000000"/>
                <w:lang w:eastAsia="en-GB"/>
              </w:rPr>
              <w:t>from good backgrounds</w:t>
            </w:r>
          </w:p>
        </w:tc>
        <w:tc>
          <w:tcPr>
            <w:tcW w:w="710" w:type="dxa"/>
            <w:tcBorders>
              <w:top w:val="nil"/>
              <w:left w:val="nil"/>
              <w:bottom w:val="nil"/>
              <w:right w:val="nil"/>
            </w:tcBorders>
            <w:shd w:val="clear" w:color="auto" w:fill="auto"/>
            <w:vAlign w:val="bottom"/>
          </w:tcPr>
          <w:p w14:paraId="4A7E5D84" w14:textId="77777777" w:rsidR="008B27A0" w:rsidRPr="00B2469D" w:rsidRDefault="008B27A0" w:rsidP="004B3AED">
            <w:pPr>
              <w:spacing w:after="0" w:line="360" w:lineRule="auto"/>
              <w:rPr>
                <w:color w:val="000000"/>
                <w:lang w:eastAsia="en-GB"/>
              </w:rPr>
            </w:pPr>
            <w:r w:rsidRPr="00B2469D">
              <w:rPr>
                <w:color w:val="000000"/>
                <w:lang w:eastAsia="en-GB"/>
              </w:rPr>
              <w:t>1</w:t>
            </w:r>
            <w:r>
              <w:rPr>
                <w:color w:val="000000"/>
                <w:lang w:eastAsia="en-GB"/>
              </w:rPr>
              <w:t>9</w:t>
            </w:r>
          </w:p>
        </w:tc>
        <w:tc>
          <w:tcPr>
            <w:tcW w:w="643" w:type="dxa"/>
            <w:tcBorders>
              <w:top w:val="nil"/>
              <w:left w:val="nil"/>
              <w:bottom w:val="nil"/>
              <w:right w:val="nil"/>
            </w:tcBorders>
            <w:shd w:val="clear" w:color="auto" w:fill="auto"/>
          </w:tcPr>
          <w:p w14:paraId="6CD66146"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6D3BE619" w14:textId="77777777" w:rsidTr="004B3AED">
        <w:trPr>
          <w:trHeight w:val="290"/>
        </w:trPr>
        <w:tc>
          <w:tcPr>
            <w:tcW w:w="1951" w:type="dxa"/>
            <w:tcBorders>
              <w:top w:val="nil"/>
              <w:left w:val="nil"/>
              <w:bottom w:val="nil"/>
              <w:right w:val="nil"/>
            </w:tcBorders>
            <w:shd w:val="clear" w:color="auto" w:fill="auto"/>
            <w:noWrap/>
            <w:vAlign w:val="bottom"/>
          </w:tcPr>
          <w:p w14:paraId="068CBD3A" w14:textId="77777777" w:rsidR="008B27A0" w:rsidRDefault="008B27A0" w:rsidP="004B3AED">
            <w:pPr>
              <w:spacing w:after="0" w:line="360" w:lineRule="auto"/>
              <w:rPr>
                <w:b/>
                <w:color w:val="000000"/>
                <w:lang w:eastAsia="en-GB"/>
              </w:rPr>
            </w:pPr>
          </w:p>
        </w:tc>
        <w:tc>
          <w:tcPr>
            <w:tcW w:w="709" w:type="dxa"/>
            <w:tcBorders>
              <w:top w:val="nil"/>
              <w:left w:val="nil"/>
              <w:bottom w:val="nil"/>
              <w:right w:val="nil"/>
            </w:tcBorders>
            <w:shd w:val="clear" w:color="auto" w:fill="auto"/>
            <w:vAlign w:val="center"/>
          </w:tcPr>
          <w:p w14:paraId="6043FFC2" w14:textId="77777777" w:rsidR="008B27A0" w:rsidRDefault="008B27A0" w:rsidP="004B3AED">
            <w:pPr>
              <w:spacing w:after="0" w:line="360" w:lineRule="auto"/>
              <w:jc w:val="right"/>
              <w:rPr>
                <w:b/>
                <w:szCs w:val="20"/>
                <w:lang w:eastAsia="en-GB"/>
              </w:rPr>
            </w:pPr>
          </w:p>
        </w:tc>
        <w:tc>
          <w:tcPr>
            <w:tcW w:w="5134" w:type="dxa"/>
            <w:tcBorders>
              <w:top w:val="nil"/>
              <w:left w:val="nil"/>
              <w:bottom w:val="nil"/>
              <w:right w:val="nil"/>
            </w:tcBorders>
            <w:shd w:val="clear" w:color="auto" w:fill="auto"/>
            <w:noWrap/>
            <w:vAlign w:val="bottom"/>
          </w:tcPr>
          <w:p w14:paraId="2BB79D54" w14:textId="77777777" w:rsidR="008B27A0" w:rsidRDefault="008B27A0" w:rsidP="004B3AED">
            <w:pPr>
              <w:spacing w:after="0" w:line="360" w:lineRule="auto"/>
              <w:rPr>
                <w:color w:val="000000"/>
                <w:lang w:eastAsia="en-GB"/>
              </w:rPr>
            </w:pPr>
            <w:r>
              <w:rPr>
                <w:color w:val="000000"/>
                <w:lang w:eastAsia="en-GB"/>
              </w:rPr>
              <w:t>Anyone could be a user</w:t>
            </w:r>
          </w:p>
        </w:tc>
        <w:tc>
          <w:tcPr>
            <w:tcW w:w="710" w:type="dxa"/>
            <w:tcBorders>
              <w:top w:val="nil"/>
              <w:left w:val="nil"/>
              <w:bottom w:val="nil"/>
              <w:right w:val="nil"/>
            </w:tcBorders>
            <w:shd w:val="clear" w:color="auto" w:fill="auto"/>
            <w:vAlign w:val="bottom"/>
          </w:tcPr>
          <w:p w14:paraId="3E1B6FEA" w14:textId="77777777" w:rsidR="008B27A0" w:rsidRPr="00B2469D" w:rsidRDefault="008B27A0" w:rsidP="004B3AED">
            <w:pPr>
              <w:spacing w:after="0" w:line="360" w:lineRule="auto"/>
              <w:rPr>
                <w:color w:val="000000"/>
                <w:lang w:eastAsia="en-GB"/>
              </w:rPr>
            </w:pPr>
            <w:r w:rsidRPr="00B2469D">
              <w:rPr>
                <w:color w:val="000000"/>
                <w:lang w:eastAsia="en-GB"/>
              </w:rPr>
              <w:t>13</w:t>
            </w:r>
          </w:p>
        </w:tc>
        <w:tc>
          <w:tcPr>
            <w:tcW w:w="643" w:type="dxa"/>
            <w:tcBorders>
              <w:top w:val="nil"/>
              <w:left w:val="nil"/>
              <w:bottom w:val="nil"/>
              <w:right w:val="nil"/>
            </w:tcBorders>
            <w:shd w:val="clear" w:color="auto" w:fill="auto"/>
          </w:tcPr>
          <w:p w14:paraId="3DA13A07"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4205C96D" w14:textId="77777777" w:rsidTr="004B3AED">
        <w:trPr>
          <w:trHeight w:val="290"/>
        </w:trPr>
        <w:tc>
          <w:tcPr>
            <w:tcW w:w="2660" w:type="dxa"/>
            <w:gridSpan w:val="2"/>
            <w:tcBorders>
              <w:top w:val="nil"/>
              <w:left w:val="nil"/>
              <w:bottom w:val="nil"/>
              <w:right w:val="nil"/>
            </w:tcBorders>
            <w:shd w:val="clear" w:color="auto" w:fill="auto"/>
            <w:noWrap/>
            <w:vAlign w:val="bottom"/>
          </w:tcPr>
          <w:p w14:paraId="2DF738D5"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hideMark/>
          </w:tcPr>
          <w:p w14:paraId="004BFEA7" w14:textId="77777777" w:rsidR="008B27A0" w:rsidRPr="00B2469D" w:rsidRDefault="008B27A0" w:rsidP="004B3AED">
            <w:pPr>
              <w:spacing w:after="0" w:line="360" w:lineRule="auto"/>
              <w:rPr>
                <w:color w:val="000000"/>
                <w:lang w:eastAsia="en-GB"/>
              </w:rPr>
            </w:pPr>
            <w:r w:rsidRPr="00B2469D">
              <w:rPr>
                <w:color w:val="000000"/>
                <w:lang w:eastAsia="en-GB"/>
              </w:rPr>
              <w:t>Non-users are straight</w:t>
            </w:r>
          </w:p>
        </w:tc>
        <w:tc>
          <w:tcPr>
            <w:tcW w:w="710" w:type="dxa"/>
            <w:tcBorders>
              <w:top w:val="nil"/>
              <w:left w:val="nil"/>
              <w:bottom w:val="nil"/>
              <w:right w:val="nil"/>
            </w:tcBorders>
            <w:shd w:val="clear" w:color="auto" w:fill="auto"/>
            <w:vAlign w:val="bottom"/>
          </w:tcPr>
          <w:p w14:paraId="7E74F3C7" w14:textId="77777777" w:rsidR="008B27A0" w:rsidRPr="00B2469D" w:rsidRDefault="008B27A0" w:rsidP="004B3AED">
            <w:pPr>
              <w:spacing w:after="0" w:line="360" w:lineRule="auto"/>
              <w:rPr>
                <w:color w:val="000000"/>
                <w:lang w:eastAsia="en-GB"/>
              </w:rPr>
            </w:pPr>
            <w:r w:rsidRPr="00B2469D">
              <w:rPr>
                <w:color w:val="000000"/>
                <w:lang w:eastAsia="en-GB"/>
              </w:rPr>
              <w:t>5</w:t>
            </w:r>
          </w:p>
        </w:tc>
        <w:tc>
          <w:tcPr>
            <w:tcW w:w="643" w:type="dxa"/>
            <w:tcBorders>
              <w:top w:val="nil"/>
              <w:left w:val="nil"/>
              <w:bottom w:val="nil"/>
              <w:right w:val="nil"/>
            </w:tcBorders>
            <w:shd w:val="clear" w:color="auto" w:fill="auto"/>
          </w:tcPr>
          <w:p w14:paraId="67B91274" w14:textId="77777777" w:rsidR="008B27A0" w:rsidRPr="00B2469D" w:rsidRDefault="008B27A0" w:rsidP="004B3AED">
            <w:pPr>
              <w:spacing w:after="0" w:line="360" w:lineRule="auto"/>
              <w:jc w:val="right"/>
              <w:rPr>
                <w:color w:val="000000"/>
                <w:lang w:eastAsia="en-GB"/>
              </w:rPr>
            </w:pPr>
            <w:r w:rsidRPr="00B2469D">
              <w:rPr>
                <w:color w:val="000000"/>
                <w:lang w:eastAsia="en-GB"/>
              </w:rPr>
              <w:t>2</w:t>
            </w:r>
          </w:p>
        </w:tc>
      </w:tr>
      <w:tr w:rsidR="008B27A0" w:rsidRPr="007E4533" w14:paraId="4F7C8076"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730D39E7"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5D7354EB"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2C8D9AE8"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3C406AFE" w14:textId="77777777" w:rsidTr="004B3AED">
        <w:trPr>
          <w:trHeight w:val="290"/>
        </w:trPr>
        <w:tc>
          <w:tcPr>
            <w:tcW w:w="1951" w:type="dxa"/>
            <w:tcBorders>
              <w:top w:val="nil"/>
              <w:left w:val="nil"/>
              <w:bottom w:val="nil"/>
              <w:right w:val="nil"/>
            </w:tcBorders>
            <w:shd w:val="clear" w:color="auto" w:fill="auto"/>
            <w:noWrap/>
            <w:vAlign w:val="bottom"/>
          </w:tcPr>
          <w:p w14:paraId="765901F6" w14:textId="77777777" w:rsidR="008B27A0" w:rsidRPr="00A454B5" w:rsidRDefault="008B27A0" w:rsidP="004B3AED">
            <w:pPr>
              <w:spacing w:after="0" w:line="360" w:lineRule="auto"/>
              <w:rPr>
                <w:b/>
                <w:szCs w:val="24"/>
                <w:lang w:eastAsia="en-GB"/>
              </w:rPr>
            </w:pPr>
            <w:r w:rsidRPr="00A454B5">
              <w:rPr>
                <w:b/>
                <w:color w:val="000000"/>
                <w:szCs w:val="24"/>
                <w:lang w:eastAsia="en-GB"/>
              </w:rPr>
              <w:t>Curiosity</w:t>
            </w:r>
          </w:p>
        </w:tc>
        <w:tc>
          <w:tcPr>
            <w:tcW w:w="709" w:type="dxa"/>
            <w:tcBorders>
              <w:top w:val="nil"/>
              <w:left w:val="nil"/>
              <w:bottom w:val="nil"/>
              <w:right w:val="nil"/>
            </w:tcBorders>
            <w:shd w:val="clear" w:color="auto" w:fill="auto"/>
            <w:vAlign w:val="center"/>
          </w:tcPr>
          <w:p w14:paraId="4FAD2510" w14:textId="77777777" w:rsidR="008B27A0" w:rsidRPr="00A454B5" w:rsidRDefault="008B27A0" w:rsidP="004B3AED">
            <w:pPr>
              <w:spacing w:after="0" w:line="360" w:lineRule="auto"/>
              <w:jc w:val="right"/>
              <w:rPr>
                <w:b/>
                <w:szCs w:val="24"/>
                <w:lang w:eastAsia="en-GB"/>
              </w:rPr>
            </w:pPr>
            <w:r>
              <w:rPr>
                <w:b/>
                <w:szCs w:val="24"/>
                <w:lang w:eastAsia="en-GB"/>
              </w:rPr>
              <w:t>35</w:t>
            </w:r>
          </w:p>
        </w:tc>
        <w:tc>
          <w:tcPr>
            <w:tcW w:w="5134" w:type="dxa"/>
            <w:tcBorders>
              <w:top w:val="nil"/>
              <w:left w:val="nil"/>
              <w:bottom w:val="nil"/>
              <w:right w:val="nil"/>
            </w:tcBorders>
            <w:shd w:val="clear" w:color="auto" w:fill="auto"/>
            <w:noWrap/>
            <w:vAlign w:val="bottom"/>
            <w:hideMark/>
          </w:tcPr>
          <w:p w14:paraId="4073C9D4" w14:textId="77777777" w:rsidR="008B27A0" w:rsidRPr="00B2469D" w:rsidRDefault="008B27A0" w:rsidP="004B3AED">
            <w:pPr>
              <w:spacing w:after="0" w:line="360" w:lineRule="auto"/>
              <w:rPr>
                <w:color w:val="000000"/>
                <w:lang w:eastAsia="en-GB"/>
              </w:rPr>
            </w:pPr>
            <w:r w:rsidRPr="00B2469D">
              <w:rPr>
                <w:color w:val="000000"/>
                <w:lang w:eastAsia="en-GB"/>
              </w:rPr>
              <w:t>Curiosity</w:t>
            </w:r>
          </w:p>
        </w:tc>
        <w:tc>
          <w:tcPr>
            <w:tcW w:w="710" w:type="dxa"/>
            <w:tcBorders>
              <w:top w:val="nil"/>
              <w:left w:val="nil"/>
              <w:bottom w:val="nil"/>
              <w:right w:val="nil"/>
            </w:tcBorders>
            <w:shd w:val="clear" w:color="auto" w:fill="auto"/>
            <w:vAlign w:val="bottom"/>
          </w:tcPr>
          <w:p w14:paraId="35129CE3" w14:textId="77777777" w:rsidR="008B27A0" w:rsidRPr="00B2469D" w:rsidRDefault="008B27A0" w:rsidP="004B3AED">
            <w:pPr>
              <w:spacing w:after="0" w:line="360" w:lineRule="auto"/>
              <w:rPr>
                <w:color w:val="000000"/>
                <w:lang w:eastAsia="en-GB"/>
              </w:rPr>
            </w:pPr>
            <w:r w:rsidRPr="00B2469D">
              <w:rPr>
                <w:color w:val="000000"/>
                <w:lang w:eastAsia="en-GB"/>
              </w:rPr>
              <w:t>21</w:t>
            </w:r>
          </w:p>
        </w:tc>
        <w:tc>
          <w:tcPr>
            <w:tcW w:w="643" w:type="dxa"/>
            <w:tcBorders>
              <w:top w:val="nil"/>
              <w:left w:val="nil"/>
              <w:bottom w:val="nil"/>
              <w:right w:val="nil"/>
            </w:tcBorders>
            <w:shd w:val="clear" w:color="auto" w:fill="auto"/>
          </w:tcPr>
          <w:p w14:paraId="26198642"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30D94165" w14:textId="77777777" w:rsidTr="004B3AED">
        <w:trPr>
          <w:trHeight w:val="87"/>
        </w:trPr>
        <w:tc>
          <w:tcPr>
            <w:tcW w:w="2660" w:type="dxa"/>
            <w:gridSpan w:val="2"/>
            <w:tcBorders>
              <w:top w:val="nil"/>
              <w:left w:val="nil"/>
              <w:bottom w:val="nil"/>
              <w:right w:val="nil"/>
            </w:tcBorders>
            <w:shd w:val="clear" w:color="auto" w:fill="auto"/>
            <w:noWrap/>
            <w:vAlign w:val="bottom"/>
          </w:tcPr>
          <w:p w14:paraId="0E556406"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hideMark/>
          </w:tcPr>
          <w:p w14:paraId="7CEAF42C" w14:textId="77777777" w:rsidR="008B27A0" w:rsidRPr="00B2469D" w:rsidRDefault="008B27A0" w:rsidP="004B3AED">
            <w:pPr>
              <w:spacing w:after="0" w:line="360" w:lineRule="auto"/>
              <w:rPr>
                <w:color w:val="000000"/>
                <w:lang w:eastAsia="en-GB"/>
              </w:rPr>
            </w:pPr>
            <w:r w:rsidRPr="00B2469D">
              <w:rPr>
                <w:color w:val="000000"/>
                <w:lang w:eastAsia="en-GB"/>
              </w:rPr>
              <w:t>Appealing marketing</w:t>
            </w:r>
          </w:p>
        </w:tc>
        <w:tc>
          <w:tcPr>
            <w:tcW w:w="710" w:type="dxa"/>
            <w:tcBorders>
              <w:top w:val="nil"/>
              <w:left w:val="nil"/>
              <w:bottom w:val="nil"/>
              <w:right w:val="nil"/>
            </w:tcBorders>
            <w:shd w:val="clear" w:color="auto" w:fill="auto"/>
          </w:tcPr>
          <w:p w14:paraId="5CA62C73" w14:textId="77777777" w:rsidR="008B27A0" w:rsidRPr="00B2469D" w:rsidRDefault="008B27A0" w:rsidP="004B3AED">
            <w:pPr>
              <w:spacing w:after="0" w:line="360" w:lineRule="auto"/>
              <w:rPr>
                <w:color w:val="000000"/>
                <w:lang w:eastAsia="en-GB"/>
              </w:rPr>
            </w:pPr>
            <w:r w:rsidRPr="00B2469D">
              <w:rPr>
                <w:color w:val="000000"/>
                <w:lang w:eastAsia="en-GB"/>
              </w:rPr>
              <w:t>9</w:t>
            </w:r>
          </w:p>
        </w:tc>
        <w:tc>
          <w:tcPr>
            <w:tcW w:w="643" w:type="dxa"/>
            <w:tcBorders>
              <w:top w:val="nil"/>
              <w:left w:val="nil"/>
              <w:bottom w:val="nil"/>
              <w:right w:val="nil"/>
            </w:tcBorders>
            <w:shd w:val="clear" w:color="auto" w:fill="auto"/>
          </w:tcPr>
          <w:p w14:paraId="6E042A57" w14:textId="77777777" w:rsidR="008B27A0" w:rsidRPr="00B2469D" w:rsidRDefault="008B27A0" w:rsidP="004B3AED">
            <w:pPr>
              <w:spacing w:after="0" w:line="360" w:lineRule="auto"/>
              <w:jc w:val="right"/>
              <w:rPr>
                <w:color w:val="000000"/>
                <w:lang w:eastAsia="en-GB"/>
              </w:rPr>
            </w:pPr>
            <w:r w:rsidRPr="00B2469D">
              <w:rPr>
                <w:color w:val="000000"/>
                <w:lang w:eastAsia="en-GB"/>
              </w:rPr>
              <w:t>2</w:t>
            </w:r>
          </w:p>
        </w:tc>
      </w:tr>
      <w:tr w:rsidR="008B27A0" w:rsidRPr="00B2469D" w14:paraId="705ED3A5" w14:textId="77777777" w:rsidTr="004B3AED">
        <w:trPr>
          <w:trHeight w:val="87"/>
        </w:trPr>
        <w:tc>
          <w:tcPr>
            <w:tcW w:w="2660" w:type="dxa"/>
            <w:gridSpan w:val="2"/>
            <w:tcBorders>
              <w:top w:val="nil"/>
              <w:left w:val="nil"/>
              <w:bottom w:val="nil"/>
              <w:right w:val="nil"/>
            </w:tcBorders>
            <w:shd w:val="clear" w:color="auto" w:fill="auto"/>
            <w:noWrap/>
            <w:vAlign w:val="bottom"/>
          </w:tcPr>
          <w:p w14:paraId="19AE87DA"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tcPr>
          <w:p w14:paraId="579E6699" w14:textId="77777777" w:rsidR="008B27A0" w:rsidRPr="00B2469D" w:rsidRDefault="008B27A0" w:rsidP="004B3AED">
            <w:pPr>
              <w:spacing w:after="0" w:line="360" w:lineRule="auto"/>
              <w:rPr>
                <w:color w:val="000000"/>
                <w:lang w:eastAsia="en-GB"/>
              </w:rPr>
            </w:pPr>
            <w:r w:rsidRPr="00B2469D">
              <w:rPr>
                <w:color w:val="000000"/>
                <w:lang w:eastAsia="en-GB"/>
              </w:rPr>
              <w:t>Awareness encourages use</w:t>
            </w:r>
          </w:p>
        </w:tc>
        <w:tc>
          <w:tcPr>
            <w:tcW w:w="710" w:type="dxa"/>
            <w:tcBorders>
              <w:top w:val="nil"/>
              <w:left w:val="nil"/>
              <w:bottom w:val="nil"/>
              <w:right w:val="nil"/>
            </w:tcBorders>
            <w:shd w:val="clear" w:color="auto" w:fill="auto"/>
            <w:vAlign w:val="bottom"/>
          </w:tcPr>
          <w:p w14:paraId="72D2E275" w14:textId="77777777" w:rsidR="008B27A0" w:rsidRPr="00B2469D" w:rsidRDefault="008B27A0" w:rsidP="004B3AED">
            <w:pPr>
              <w:spacing w:after="0" w:line="360" w:lineRule="auto"/>
              <w:rPr>
                <w:color w:val="000000"/>
                <w:lang w:eastAsia="en-GB"/>
              </w:rPr>
            </w:pPr>
            <w:r w:rsidRPr="00B2469D">
              <w:rPr>
                <w:color w:val="000000"/>
                <w:lang w:eastAsia="en-GB"/>
              </w:rPr>
              <w:t>5</w:t>
            </w:r>
          </w:p>
        </w:tc>
        <w:tc>
          <w:tcPr>
            <w:tcW w:w="643" w:type="dxa"/>
            <w:tcBorders>
              <w:top w:val="nil"/>
              <w:left w:val="nil"/>
              <w:bottom w:val="nil"/>
              <w:right w:val="nil"/>
            </w:tcBorders>
            <w:shd w:val="clear" w:color="auto" w:fill="auto"/>
          </w:tcPr>
          <w:p w14:paraId="1F468B68" w14:textId="77777777" w:rsidR="008B27A0" w:rsidRPr="00B2469D" w:rsidRDefault="008B27A0" w:rsidP="004B3AED">
            <w:pPr>
              <w:spacing w:after="0" w:line="360" w:lineRule="auto"/>
              <w:jc w:val="right"/>
              <w:rPr>
                <w:color w:val="000000"/>
                <w:lang w:eastAsia="en-GB"/>
              </w:rPr>
            </w:pPr>
            <w:r w:rsidRPr="00B2469D">
              <w:rPr>
                <w:color w:val="000000"/>
                <w:lang w:eastAsia="en-GB"/>
              </w:rPr>
              <w:t>2</w:t>
            </w:r>
          </w:p>
        </w:tc>
      </w:tr>
      <w:tr w:rsidR="008B27A0" w:rsidRPr="007E4533" w14:paraId="259519EA"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00EA49FF"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3725623A" w14:textId="77777777" w:rsidR="008B27A0" w:rsidRPr="007E4533" w:rsidRDefault="008B27A0" w:rsidP="004B3AED">
            <w:pPr>
              <w:spacing w:after="0" w:line="36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30361374"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07679012" w14:textId="77777777" w:rsidTr="004B3AED">
        <w:trPr>
          <w:trHeight w:val="290"/>
        </w:trPr>
        <w:tc>
          <w:tcPr>
            <w:tcW w:w="1951" w:type="dxa"/>
            <w:tcBorders>
              <w:top w:val="nil"/>
              <w:left w:val="nil"/>
              <w:bottom w:val="nil"/>
              <w:right w:val="nil"/>
            </w:tcBorders>
            <w:shd w:val="clear" w:color="auto" w:fill="auto"/>
            <w:noWrap/>
            <w:vAlign w:val="bottom"/>
          </w:tcPr>
          <w:p w14:paraId="640FF881" w14:textId="77777777" w:rsidR="008B27A0" w:rsidRPr="00B2469D" w:rsidRDefault="008B27A0" w:rsidP="004B3AED">
            <w:pPr>
              <w:spacing w:after="0" w:line="360" w:lineRule="auto"/>
              <w:rPr>
                <w:sz w:val="20"/>
                <w:szCs w:val="20"/>
                <w:lang w:eastAsia="en-GB"/>
              </w:rPr>
            </w:pPr>
            <w:r>
              <w:rPr>
                <w:b/>
                <w:color w:val="000000"/>
                <w:lang w:eastAsia="en-GB"/>
              </w:rPr>
              <w:t>Coping</w:t>
            </w:r>
          </w:p>
        </w:tc>
        <w:tc>
          <w:tcPr>
            <w:tcW w:w="709" w:type="dxa"/>
            <w:tcBorders>
              <w:top w:val="nil"/>
              <w:left w:val="nil"/>
              <w:bottom w:val="nil"/>
              <w:right w:val="nil"/>
            </w:tcBorders>
            <w:shd w:val="clear" w:color="auto" w:fill="auto"/>
            <w:vAlign w:val="center"/>
          </w:tcPr>
          <w:p w14:paraId="53BD462D" w14:textId="77777777" w:rsidR="008B27A0" w:rsidRPr="00A454B5" w:rsidRDefault="008B27A0" w:rsidP="004B3AED">
            <w:pPr>
              <w:spacing w:after="0" w:line="360" w:lineRule="auto"/>
              <w:jc w:val="right"/>
              <w:rPr>
                <w:b/>
                <w:szCs w:val="24"/>
                <w:lang w:eastAsia="en-GB"/>
              </w:rPr>
            </w:pPr>
            <w:r>
              <w:rPr>
                <w:b/>
                <w:szCs w:val="24"/>
                <w:lang w:eastAsia="en-GB"/>
              </w:rPr>
              <w:t>33</w:t>
            </w:r>
          </w:p>
        </w:tc>
        <w:tc>
          <w:tcPr>
            <w:tcW w:w="5134" w:type="dxa"/>
            <w:tcBorders>
              <w:top w:val="nil"/>
              <w:left w:val="nil"/>
              <w:bottom w:val="nil"/>
              <w:right w:val="nil"/>
            </w:tcBorders>
            <w:shd w:val="clear" w:color="auto" w:fill="auto"/>
            <w:noWrap/>
          </w:tcPr>
          <w:p w14:paraId="1F3A19F8" w14:textId="77777777" w:rsidR="008B27A0" w:rsidRPr="00B2469D" w:rsidRDefault="008B27A0" w:rsidP="004B3AED">
            <w:pPr>
              <w:spacing w:after="0" w:line="360" w:lineRule="auto"/>
              <w:rPr>
                <w:color w:val="000000"/>
                <w:lang w:eastAsia="en-GB"/>
              </w:rPr>
            </w:pPr>
            <w:r>
              <w:rPr>
                <w:color w:val="000000"/>
                <w:lang w:eastAsia="en-GB"/>
              </w:rPr>
              <w:t>Coping / escapism</w:t>
            </w:r>
          </w:p>
        </w:tc>
        <w:tc>
          <w:tcPr>
            <w:tcW w:w="710" w:type="dxa"/>
            <w:tcBorders>
              <w:top w:val="nil"/>
              <w:left w:val="nil"/>
              <w:bottom w:val="nil"/>
              <w:right w:val="nil"/>
            </w:tcBorders>
            <w:shd w:val="clear" w:color="auto" w:fill="auto"/>
          </w:tcPr>
          <w:p w14:paraId="13030EF8" w14:textId="77777777" w:rsidR="008B27A0" w:rsidRPr="00B2469D" w:rsidRDefault="008B27A0" w:rsidP="004B3AED">
            <w:pPr>
              <w:spacing w:after="0" w:line="360" w:lineRule="auto"/>
              <w:rPr>
                <w:color w:val="000000"/>
                <w:lang w:eastAsia="en-GB"/>
              </w:rPr>
            </w:pPr>
            <w:r>
              <w:rPr>
                <w:color w:val="000000"/>
                <w:lang w:eastAsia="en-GB"/>
              </w:rPr>
              <w:t>14</w:t>
            </w:r>
          </w:p>
        </w:tc>
        <w:tc>
          <w:tcPr>
            <w:tcW w:w="643" w:type="dxa"/>
            <w:tcBorders>
              <w:top w:val="nil"/>
              <w:left w:val="nil"/>
              <w:bottom w:val="nil"/>
              <w:right w:val="nil"/>
            </w:tcBorders>
            <w:shd w:val="clear" w:color="auto" w:fill="auto"/>
          </w:tcPr>
          <w:p w14:paraId="77620BB1"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62212183" w14:textId="77777777" w:rsidTr="004B3AED">
        <w:trPr>
          <w:trHeight w:val="290"/>
        </w:trPr>
        <w:tc>
          <w:tcPr>
            <w:tcW w:w="1951" w:type="dxa"/>
            <w:tcBorders>
              <w:top w:val="nil"/>
              <w:left w:val="nil"/>
              <w:bottom w:val="nil"/>
              <w:right w:val="nil"/>
            </w:tcBorders>
            <w:shd w:val="clear" w:color="auto" w:fill="auto"/>
            <w:noWrap/>
            <w:vAlign w:val="bottom"/>
          </w:tcPr>
          <w:p w14:paraId="2B0EC54D" w14:textId="77777777" w:rsidR="008B27A0" w:rsidRDefault="008B27A0" w:rsidP="004B3AED">
            <w:pPr>
              <w:spacing w:after="0" w:line="360" w:lineRule="auto"/>
              <w:rPr>
                <w:b/>
                <w:color w:val="000000"/>
                <w:lang w:eastAsia="en-GB"/>
              </w:rPr>
            </w:pPr>
          </w:p>
        </w:tc>
        <w:tc>
          <w:tcPr>
            <w:tcW w:w="709" w:type="dxa"/>
            <w:tcBorders>
              <w:top w:val="nil"/>
              <w:left w:val="nil"/>
              <w:bottom w:val="nil"/>
              <w:right w:val="nil"/>
            </w:tcBorders>
            <w:shd w:val="clear" w:color="auto" w:fill="auto"/>
            <w:vAlign w:val="center"/>
          </w:tcPr>
          <w:p w14:paraId="70B3EEBD" w14:textId="77777777" w:rsidR="008B27A0" w:rsidRDefault="008B27A0" w:rsidP="004B3AED">
            <w:pPr>
              <w:spacing w:after="0" w:line="360" w:lineRule="auto"/>
              <w:jc w:val="right"/>
              <w:rPr>
                <w:b/>
                <w:szCs w:val="24"/>
                <w:lang w:eastAsia="en-GB"/>
              </w:rPr>
            </w:pPr>
          </w:p>
        </w:tc>
        <w:tc>
          <w:tcPr>
            <w:tcW w:w="5134" w:type="dxa"/>
            <w:tcBorders>
              <w:top w:val="nil"/>
              <w:left w:val="nil"/>
              <w:bottom w:val="nil"/>
              <w:right w:val="nil"/>
            </w:tcBorders>
            <w:shd w:val="clear" w:color="auto" w:fill="auto"/>
            <w:noWrap/>
          </w:tcPr>
          <w:p w14:paraId="41DACBB6" w14:textId="77777777" w:rsidR="008B27A0" w:rsidRPr="00133A66" w:rsidRDefault="008B27A0" w:rsidP="004B3AED">
            <w:pPr>
              <w:spacing w:after="0" w:line="360" w:lineRule="auto"/>
              <w:rPr>
                <w:color w:val="000000" w:themeColor="text1"/>
                <w:szCs w:val="24"/>
                <w:lang w:eastAsia="en-GB"/>
              </w:rPr>
            </w:pPr>
            <w:r w:rsidRPr="00133A66">
              <w:rPr>
                <w:color w:val="000000" w:themeColor="text1"/>
                <w:szCs w:val="24"/>
                <w:lang w:eastAsia="en-GB"/>
              </w:rPr>
              <w:t xml:space="preserve">Tough life </w:t>
            </w:r>
            <w:r>
              <w:rPr>
                <w:color w:val="000000" w:themeColor="text1"/>
                <w:szCs w:val="24"/>
                <w:lang w:eastAsia="en-GB"/>
              </w:rPr>
              <w:t xml:space="preserve">/ </w:t>
            </w:r>
            <w:r w:rsidRPr="00133A66">
              <w:rPr>
                <w:color w:val="000000" w:themeColor="text1"/>
                <w:szCs w:val="24"/>
                <w:lang w:eastAsia="en-GB"/>
              </w:rPr>
              <w:t>vulnerable</w:t>
            </w:r>
          </w:p>
        </w:tc>
        <w:tc>
          <w:tcPr>
            <w:tcW w:w="710" w:type="dxa"/>
            <w:tcBorders>
              <w:top w:val="nil"/>
              <w:left w:val="nil"/>
              <w:bottom w:val="nil"/>
              <w:right w:val="nil"/>
            </w:tcBorders>
            <w:shd w:val="clear" w:color="auto" w:fill="auto"/>
          </w:tcPr>
          <w:p w14:paraId="01C5D31F" w14:textId="77777777" w:rsidR="008B27A0" w:rsidRDefault="008B27A0" w:rsidP="004B3AED">
            <w:pPr>
              <w:spacing w:after="0" w:line="360" w:lineRule="auto"/>
              <w:rPr>
                <w:color w:val="000000"/>
                <w:lang w:eastAsia="en-GB"/>
              </w:rPr>
            </w:pPr>
            <w:r>
              <w:rPr>
                <w:color w:val="000000"/>
                <w:lang w:eastAsia="en-GB"/>
              </w:rPr>
              <w:t>10</w:t>
            </w:r>
          </w:p>
        </w:tc>
        <w:tc>
          <w:tcPr>
            <w:tcW w:w="643" w:type="dxa"/>
            <w:tcBorders>
              <w:top w:val="nil"/>
              <w:left w:val="nil"/>
              <w:bottom w:val="nil"/>
              <w:right w:val="nil"/>
            </w:tcBorders>
            <w:shd w:val="clear" w:color="auto" w:fill="auto"/>
          </w:tcPr>
          <w:p w14:paraId="1D41031D" w14:textId="77777777" w:rsidR="008B27A0" w:rsidRDefault="008B27A0" w:rsidP="004B3AED">
            <w:pPr>
              <w:spacing w:after="0" w:line="360" w:lineRule="auto"/>
              <w:jc w:val="right"/>
              <w:rPr>
                <w:color w:val="000000"/>
                <w:lang w:eastAsia="en-GB"/>
              </w:rPr>
            </w:pPr>
            <w:r>
              <w:rPr>
                <w:color w:val="000000"/>
                <w:lang w:eastAsia="en-GB"/>
              </w:rPr>
              <w:t>3</w:t>
            </w:r>
          </w:p>
        </w:tc>
      </w:tr>
      <w:tr w:rsidR="008B27A0" w:rsidRPr="00B2469D" w14:paraId="655A869E" w14:textId="77777777" w:rsidTr="004B3AED">
        <w:trPr>
          <w:trHeight w:val="290"/>
        </w:trPr>
        <w:tc>
          <w:tcPr>
            <w:tcW w:w="1951" w:type="dxa"/>
            <w:tcBorders>
              <w:top w:val="nil"/>
              <w:left w:val="nil"/>
              <w:bottom w:val="single" w:sz="4" w:space="0" w:color="auto"/>
              <w:right w:val="nil"/>
            </w:tcBorders>
            <w:shd w:val="clear" w:color="auto" w:fill="auto"/>
            <w:noWrap/>
            <w:vAlign w:val="bottom"/>
          </w:tcPr>
          <w:p w14:paraId="2C0F955A" w14:textId="77777777" w:rsidR="008B27A0" w:rsidRDefault="008B27A0" w:rsidP="004B3AED">
            <w:pPr>
              <w:spacing w:after="0" w:line="360" w:lineRule="auto"/>
              <w:rPr>
                <w:b/>
                <w:color w:val="000000"/>
                <w:lang w:eastAsia="en-GB"/>
              </w:rPr>
            </w:pPr>
          </w:p>
        </w:tc>
        <w:tc>
          <w:tcPr>
            <w:tcW w:w="709" w:type="dxa"/>
            <w:tcBorders>
              <w:top w:val="nil"/>
              <w:left w:val="nil"/>
              <w:bottom w:val="single" w:sz="4" w:space="0" w:color="auto"/>
              <w:right w:val="nil"/>
            </w:tcBorders>
            <w:shd w:val="clear" w:color="auto" w:fill="auto"/>
            <w:vAlign w:val="center"/>
          </w:tcPr>
          <w:p w14:paraId="6CE173B6" w14:textId="77777777" w:rsidR="008B27A0" w:rsidRDefault="008B27A0" w:rsidP="004B3AED">
            <w:pPr>
              <w:spacing w:after="0" w:line="360" w:lineRule="auto"/>
              <w:jc w:val="right"/>
              <w:rPr>
                <w:b/>
                <w:szCs w:val="24"/>
                <w:lang w:eastAsia="en-GB"/>
              </w:rPr>
            </w:pPr>
          </w:p>
        </w:tc>
        <w:tc>
          <w:tcPr>
            <w:tcW w:w="5134" w:type="dxa"/>
            <w:tcBorders>
              <w:top w:val="nil"/>
              <w:left w:val="nil"/>
              <w:bottom w:val="single" w:sz="4" w:space="0" w:color="auto"/>
              <w:right w:val="nil"/>
            </w:tcBorders>
            <w:shd w:val="clear" w:color="auto" w:fill="auto"/>
            <w:noWrap/>
          </w:tcPr>
          <w:p w14:paraId="2020FB0A" w14:textId="77777777" w:rsidR="008B27A0" w:rsidRPr="00133A66" w:rsidRDefault="008B27A0" w:rsidP="004B3AED">
            <w:pPr>
              <w:spacing w:after="0" w:line="360" w:lineRule="auto"/>
              <w:rPr>
                <w:color w:val="000000" w:themeColor="text1"/>
                <w:szCs w:val="24"/>
                <w:lang w:eastAsia="en-GB"/>
              </w:rPr>
            </w:pPr>
            <w:r>
              <w:rPr>
                <w:color w:val="000000" w:themeColor="text1"/>
                <w:szCs w:val="24"/>
                <w:lang w:eastAsia="en-GB"/>
              </w:rPr>
              <w:t>Addiction</w:t>
            </w:r>
          </w:p>
        </w:tc>
        <w:tc>
          <w:tcPr>
            <w:tcW w:w="710" w:type="dxa"/>
            <w:tcBorders>
              <w:top w:val="nil"/>
              <w:left w:val="nil"/>
              <w:bottom w:val="single" w:sz="4" w:space="0" w:color="auto"/>
              <w:right w:val="nil"/>
            </w:tcBorders>
            <w:shd w:val="clear" w:color="auto" w:fill="auto"/>
          </w:tcPr>
          <w:p w14:paraId="2C4B7418" w14:textId="77777777" w:rsidR="008B27A0" w:rsidRDefault="008B27A0" w:rsidP="004B3AED">
            <w:pPr>
              <w:spacing w:after="0" w:line="360" w:lineRule="auto"/>
              <w:rPr>
                <w:color w:val="000000"/>
                <w:lang w:eastAsia="en-GB"/>
              </w:rPr>
            </w:pPr>
            <w:r>
              <w:rPr>
                <w:color w:val="000000"/>
                <w:lang w:eastAsia="en-GB"/>
              </w:rPr>
              <w:t>9</w:t>
            </w:r>
          </w:p>
        </w:tc>
        <w:tc>
          <w:tcPr>
            <w:tcW w:w="643" w:type="dxa"/>
            <w:tcBorders>
              <w:top w:val="nil"/>
              <w:left w:val="nil"/>
              <w:bottom w:val="single" w:sz="4" w:space="0" w:color="auto"/>
              <w:right w:val="nil"/>
            </w:tcBorders>
            <w:shd w:val="clear" w:color="auto" w:fill="auto"/>
          </w:tcPr>
          <w:p w14:paraId="65B17ECE" w14:textId="77777777" w:rsidR="008B27A0" w:rsidRDefault="008B27A0" w:rsidP="004B3AED">
            <w:pPr>
              <w:spacing w:after="0" w:line="360" w:lineRule="auto"/>
              <w:jc w:val="right"/>
              <w:rPr>
                <w:color w:val="000000"/>
                <w:lang w:eastAsia="en-GB"/>
              </w:rPr>
            </w:pPr>
            <w:r>
              <w:rPr>
                <w:color w:val="000000"/>
                <w:lang w:eastAsia="en-GB"/>
              </w:rPr>
              <w:t>2</w:t>
            </w:r>
          </w:p>
        </w:tc>
      </w:tr>
      <w:tr w:rsidR="008B27A0" w:rsidRPr="00B2469D" w14:paraId="2817FB40" w14:textId="77777777" w:rsidTr="004B3AED">
        <w:trPr>
          <w:trHeight w:val="290"/>
        </w:trPr>
        <w:tc>
          <w:tcPr>
            <w:tcW w:w="2660" w:type="dxa"/>
            <w:gridSpan w:val="2"/>
            <w:tcBorders>
              <w:top w:val="single" w:sz="4" w:space="0" w:color="auto"/>
              <w:left w:val="nil"/>
              <w:bottom w:val="nil"/>
              <w:right w:val="nil"/>
            </w:tcBorders>
            <w:shd w:val="clear" w:color="auto" w:fill="auto"/>
            <w:noWrap/>
          </w:tcPr>
          <w:p w14:paraId="5CEB36CF" w14:textId="77777777" w:rsidR="008B27A0" w:rsidRPr="00B2469D" w:rsidRDefault="008B27A0" w:rsidP="004B3AED">
            <w:pPr>
              <w:spacing w:after="0" w:line="240" w:lineRule="auto"/>
              <w:rPr>
                <w:b/>
                <w:color w:val="000000"/>
                <w:lang w:eastAsia="en-GB"/>
              </w:rPr>
            </w:pPr>
          </w:p>
        </w:tc>
        <w:tc>
          <w:tcPr>
            <w:tcW w:w="5134" w:type="dxa"/>
            <w:tcBorders>
              <w:top w:val="single" w:sz="4" w:space="0" w:color="auto"/>
              <w:left w:val="nil"/>
              <w:bottom w:val="nil"/>
              <w:right w:val="nil"/>
            </w:tcBorders>
            <w:shd w:val="clear" w:color="auto" w:fill="auto"/>
          </w:tcPr>
          <w:p w14:paraId="46A2941E" w14:textId="77777777" w:rsidR="008B27A0" w:rsidRPr="00B2469D" w:rsidRDefault="008B27A0" w:rsidP="004B3AED">
            <w:pPr>
              <w:spacing w:after="0" w:line="240" w:lineRule="auto"/>
              <w:rPr>
                <w:b/>
                <w:color w:val="000000"/>
                <w:lang w:eastAsia="en-GB"/>
              </w:rPr>
            </w:pPr>
          </w:p>
        </w:tc>
        <w:tc>
          <w:tcPr>
            <w:tcW w:w="710" w:type="dxa"/>
            <w:tcBorders>
              <w:top w:val="single" w:sz="4" w:space="0" w:color="auto"/>
              <w:left w:val="nil"/>
              <w:bottom w:val="nil"/>
              <w:right w:val="nil"/>
            </w:tcBorders>
            <w:shd w:val="clear" w:color="auto" w:fill="auto"/>
          </w:tcPr>
          <w:p w14:paraId="66191278" w14:textId="77777777" w:rsidR="008B27A0" w:rsidRPr="00B2469D" w:rsidRDefault="008B27A0" w:rsidP="004B3AED">
            <w:pPr>
              <w:spacing w:after="0" w:line="240" w:lineRule="auto"/>
              <w:rPr>
                <w:b/>
                <w:color w:val="000000"/>
                <w:lang w:eastAsia="en-GB"/>
              </w:rPr>
            </w:pPr>
          </w:p>
        </w:tc>
        <w:tc>
          <w:tcPr>
            <w:tcW w:w="643" w:type="dxa"/>
            <w:tcBorders>
              <w:top w:val="single" w:sz="4" w:space="0" w:color="auto"/>
              <w:left w:val="nil"/>
              <w:bottom w:val="nil"/>
              <w:right w:val="nil"/>
            </w:tcBorders>
            <w:shd w:val="clear" w:color="auto" w:fill="auto"/>
          </w:tcPr>
          <w:p w14:paraId="6AE6820C" w14:textId="77777777" w:rsidR="008B27A0" w:rsidRPr="00B2469D" w:rsidRDefault="008B27A0" w:rsidP="004B3AED">
            <w:pPr>
              <w:spacing w:after="0" w:line="240" w:lineRule="auto"/>
              <w:jc w:val="right"/>
              <w:rPr>
                <w:b/>
                <w:color w:val="000000"/>
                <w:lang w:eastAsia="en-GB"/>
              </w:rPr>
            </w:pPr>
          </w:p>
        </w:tc>
      </w:tr>
      <w:tr w:rsidR="008B27A0" w:rsidRPr="00B2469D" w14:paraId="37718E72" w14:textId="77777777" w:rsidTr="004B3AED">
        <w:trPr>
          <w:trHeight w:val="290"/>
        </w:trPr>
        <w:tc>
          <w:tcPr>
            <w:tcW w:w="9147" w:type="dxa"/>
            <w:gridSpan w:val="5"/>
            <w:tcBorders>
              <w:top w:val="nil"/>
              <w:left w:val="nil"/>
              <w:bottom w:val="single" w:sz="4" w:space="0" w:color="auto"/>
              <w:right w:val="nil"/>
            </w:tcBorders>
            <w:shd w:val="clear" w:color="auto" w:fill="auto"/>
            <w:noWrap/>
          </w:tcPr>
          <w:p w14:paraId="3B0E8783" w14:textId="68F9F53A" w:rsidR="008B27A0" w:rsidRPr="00BE49B3" w:rsidRDefault="008B27A0" w:rsidP="004B3AED">
            <w:pPr>
              <w:rPr>
                <w:b/>
              </w:rPr>
            </w:pPr>
            <w:r w:rsidRPr="006533CF">
              <w:rPr>
                <w:b/>
              </w:rPr>
              <w:t xml:space="preserve">Table </w:t>
            </w:r>
            <w:r w:rsidR="00735864">
              <w:rPr>
                <w:b/>
              </w:rPr>
              <w:t>6-</w:t>
            </w:r>
            <w:r>
              <w:rPr>
                <w:b/>
              </w:rPr>
              <w:t>6</w:t>
            </w:r>
            <w:r w:rsidRPr="006533CF">
              <w:rPr>
                <w:b/>
              </w:rPr>
              <w:t xml:space="preserve">. </w:t>
            </w:r>
            <w:r>
              <w:rPr>
                <w:b/>
              </w:rPr>
              <w:t xml:space="preserve">Continued </w:t>
            </w:r>
          </w:p>
        </w:tc>
      </w:tr>
      <w:tr w:rsidR="008B27A0" w:rsidRPr="00B2469D" w14:paraId="1FB027FB" w14:textId="77777777" w:rsidTr="004B3AED">
        <w:trPr>
          <w:trHeight w:val="290"/>
        </w:trPr>
        <w:tc>
          <w:tcPr>
            <w:tcW w:w="2660" w:type="dxa"/>
            <w:gridSpan w:val="2"/>
            <w:tcBorders>
              <w:top w:val="single" w:sz="4" w:space="0" w:color="auto"/>
              <w:left w:val="nil"/>
              <w:bottom w:val="single" w:sz="4" w:space="0" w:color="auto"/>
              <w:right w:val="nil"/>
            </w:tcBorders>
            <w:shd w:val="clear" w:color="auto" w:fill="auto"/>
            <w:noWrap/>
          </w:tcPr>
          <w:p w14:paraId="1A728DCC" w14:textId="77777777" w:rsidR="008B27A0" w:rsidRPr="00B2469D" w:rsidRDefault="008B27A0" w:rsidP="004B3AED">
            <w:pPr>
              <w:spacing w:after="0" w:line="240" w:lineRule="auto"/>
              <w:rPr>
                <w:b/>
                <w:color w:val="000000"/>
                <w:lang w:eastAsia="en-GB"/>
              </w:rPr>
            </w:pPr>
            <w:r>
              <w:rPr>
                <w:b/>
                <w:color w:val="000000"/>
                <w:lang w:eastAsia="en-GB"/>
              </w:rPr>
              <w:t>Global theme</w:t>
            </w:r>
          </w:p>
        </w:tc>
        <w:tc>
          <w:tcPr>
            <w:tcW w:w="5134" w:type="dxa"/>
            <w:tcBorders>
              <w:top w:val="single" w:sz="4" w:space="0" w:color="auto"/>
              <w:left w:val="nil"/>
              <w:bottom w:val="single" w:sz="4" w:space="0" w:color="auto"/>
              <w:right w:val="nil"/>
            </w:tcBorders>
            <w:shd w:val="clear" w:color="auto" w:fill="auto"/>
          </w:tcPr>
          <w:p w14:paraId="37B6918B" w14:textId="77777777" w:rsidR="008B27A0" w:rsidRPr="00B2469D" w:rsidRDefault="008B27A0" w:rsidP="004B3AED">
            <w:pPr>
              <w:spacing w:after="0" w:line="240" w:lineRule="auto"/>
              <w:rPr>
                <w:b/>
                <w:color w:val="000000"/>
                <w:lang w:eastAsia="en-GB"/>
              </w:rPr>
            </w:pPr>
            <w:r>
              <w:rPr>
                <w:b/>
                <w:color w:val="000000"/>
                <w:lang w:eastAsia="en-GB"/>
              </w:rPr>
              <w:t xml:space="preserve">Organising theme </w:t>
            </w:r>
          </w:p>
        </w:tc>
        <w:tc>
          <w:tcPr>
            <w:tcW w:w="710" w:type="dxa"/>
            <w:tcBorders>
              <w:top w:val="single" w:sz="4" w:space="0" w:color="auto"/>
              <w:left w:val="nil"/>
              <w:bottom w:val="single" w:sz="4" w:space="0" w:color="auto"/>
              <w:right w:val="nil"/>
            </w:tcBorders>
            <w:shd w:val="clear" w:color="auto" w:fill="auto"/>
          </w:tcPr>
          <w:p w14:paraId="71FA5171" w14:textId="77777777" w:rsidR="008B27A0" w:rsidRPr="00B2469D" w:rsidRDefault="008B27A0" w:rsidP="004B3AED">
            <w:pPr>
              <w:spacing w:after="0" w:line="240" w:lineRule="auto"/>
              <w:rPr>
                <w:b/>
                <w:color w:val="000000"/>
                <w:lang w:eastAsia="en-GB"/>
              </w:rPr>
            </w:pPr>
            <w:r>
              <w:rPr>
                <w:b/>
                <w:color w:val="000000"/>
                <w:lang w:eastAsia="en-GB"/>
              </w:rPr>
              <w:t xml:space="preserve">Freq   </w:t>
            </w:r>
          </w:p>
        </w:tc>
        <w:tc>
          <w:tcPr>
            <w:tcW w:w="643" w:type="dxa"/>
            <w:tcBorders>
              <w:top w:val="single" w:sz="4" w:space="0" w:color="auto"/>
              <w:left w:val="nil"/>
              <w:bottom w:val="single" w:sz="4" w:space="0" w:color="auto"/>
              <w:right w:val="nil"/>
            </w:tcBorders>
            <w:shd w:val="clear" w:color="auto" w:fill="auto"/>
          </w:tcPr>
          <w:p w14:paraId="2B1354FD" w14:textId="77777777" w:rsidR="008B27A0" w:rsidRPr="00B2469D" w:rsidRDefault="008B27A0" w:rsidP="004B3AED">
            <w:pPr>
              <w:spacing w:after="0" w:line="240" w:lineRule="auto"/>
              <w:jc w:val="right"/>
              <w:rPr>
                <w:b/>
                <w:color w:val="000000"/>
                <w:lang w:eastAsia="en-GB"/>
              </w:rPr>
            </w:pPr>
            <w:r>
              <w:rPr>
                <w:b/>
                <w:color w:val="000000"/>
                <w:lang w:eastAsia="en-GB"/>
              </w:rPr>
              <w:t>FGs</w:t>
            </w:r>
          </w:p>
        </w:tc>
      </w:tr>
      <w:tr w:rsidR="008B27A0" w:rsidRPr="00B2469D" w14:paraId="6AB7C881" w14:textId="77777777" w:rsidTr="004B3AED">
        <w:trPr>
          <w:trHeight w:val="290"/>
        </w:trPr>
        <w:tc>
          <w:tcPr>
            <w:tcW w:w="1951" w:type="dxa"/>
            <w:tcBorders>
              <w:top w:val="single" w:sz="4" w:space="0" w:color="auto"/>
              <w:left w:val="nil"/>
              <w:bottom w:val="nil"/>
              <w:right w:val="nil"/>
            </w:tcBorders>
            <w:shd w:val="clear" w:color="auto" w:fill="auto"/>
            <w:noWrap/>
            <w:vAlign w:val="bottom"/>
          </w:tcPr>
          <w:p w14:paraId="43FA9942" w14:textId="77777777" w:rsidR="008B27A0" w:rsidRPr="00B2469D" w:rsidRDefault="008B27A0" w:rsidP="004B3AED">
            <w:pPr>
              <w:spacing w:before="120" w:after="0" w:line="360" w:lineRule="auto"/>
              <w:rPr>
                <w:sz w:val="20"/>
                <w:szCs w:val="20"/>
                <w:lang w:eastAsia="en-GB"/>
              </w:rPr>
            </w:pPr>
            <w:r>
              <w:rPr>
                <w:b/>
                <w:color w:val="000000"/>
                <w:lang w:eastAsia="en-GB"/>
              </w:rPr>
              <w:t>Substitution</w:t>
            </w:r>
          </w:p>
        </w:tc>
        <w:tc>
          <w:tcPr>
            <w:tcW w:w="709" w:type="dxa"/>
            <w:tcBorders>
              <w:top w:val="single" w:sz="4" w:space="0" w:color="auto"/>
              <w:left w:val="nil"/>
              <w:bottom w:val="nil"/>
              <w:right w:val="nil"/>
            </w:tcBorders>
            <w:shd w:val="clear" w:color="auto" w:fill="auto"/>
            <w:vAlign w:val="center"/>
          </w:tcPr>
          <w:p w14:paraId="7FD640FB" w14:textId="77777777" w:rsidR="008B27A0" w:rsidRPr="00A454B5" w:rsidRDefault="008B27A0" w:rsidP="004B3AED">
            <w:pPr>
              <w:spacing w:before="120" w:after="0" w:line="360" w:lineRule="auto"/>
              <w:jc w:val="right"/>
              <w:rPr>
                <w:b/>
                <w:sz w:val="20"/>
                <w:szCs w:val="20"/>
                <w:lang w:eastAsia="en-GB"/>
              </w:rPr>
            </w:pPr>
            <w:r>
              <w:rPr>
                <w:b/>
                <w:szCs w:val="20"/>
                <w:lang w:eastAsia="en-GB"/>
              </w:rPr>
              <w:t>22</w:t>
            </w:r>
          </w:p>
        </w:tc>
        <w:tc>
          <w:tcPr>
            <w:tcW w:w="5134" w:type="dxa"/>
            <w:tcBorders>
              <w:top w:val="single" w:sz="4" w:space="0" w:color="auto"/>
              <w:left w:val="nil"/>
              <w:bottom w:val="nil"/>
              <w:right w:val="nil"/>
            </w:tcBorders>
            <w:shd w:val="clear" w:color="auto" w:fill="auto"/>
            <w:noWrap/>
            <w:vAlign w:val="bottom"/>
          </w:tcPr>
          <w:p w14:paraId="5987CC60" w14:textId="77777777" w:rsidR="008B27A0" w:rsidRPr="00B2469D" w:rsidRDefault="008B27A0" w:rsidP="004B3AED">
            <w:pPr>
              <w:spacing w:before="120" w:after="0" w:line="360" w:lineRule="auto"/>
              <w:rPr>
                <w:color w:val="000000"/>
                <w:lang w:eastAsia="en-GB"/>
              </w:rPr>
            </w:pPr>
            <w:r>
              <w:rPr>
                <w:color w:val="000000"/>
                <w:lang w:eastAsia="en-GB"/>
              </w:rPr>
              <w:t>Traditional</w:t>
            </w:r>
            <w:r w:rsidRPr="00B2469D">
              <w:rPr>
                <w:color w:val="000000"/>
                <w:lang w:eastAsia="en-GB"/>
              </w:rPr>
              <w:t xml:space="preserve"> drugs hard to get</w:t>
            </w:r>
          </w:p>
        </w:tc>
        <w:tc>
          <w:tcPr>
            <w:tcW w:w="710" w:type="dxa"/>
            <w:tcBorders>
              <w:top w:val="single" w:sz="4" w:space="0" w:color="auto"/>
              <w:left w:val="nil"/>
              <w:bottom w:val="nil"/>
              <w:right w:val="nil"/>
            </w:tcBorders>
            <w:shd w:val="clear" w:color="auto" w:fill="auto"/>
            <w:vAlign w:val="bottom"/>
          </w:tcPr>
          <w:p w14:paraId="49B86DFE" w14:textId="77777777" w:rsidR="008B27A0" w:rsidRPr="00B2469D" w:rsidRDefault="008B27A0" w:rsidP="004B3AED">
            <w:pPr>
              <w:spacing w:before="120" w:after="0" w:line="360" w:lineRule="auto"/>
              <w:rPr>
                <w:color w:val="000000"/>
                <w:lang w:eastAsia="en-GB"/>
              </w:rPr>
            </w:pPr>
            <w:r w:rsidRPr="00B2469D">
              <w:rPr>
                <w:color w:val="000000"/>
                <w:lang w:eastAsia="en-GB"/>
              </w:rPr>
              <w:t>9</w:t>
            </w:r>
          </w:p>
        </w:tc>
        <w:tc>
          <w:tcPr>
            <w:tcW w:w="643" w:type="dxa"/>
            <w:tcBorders>
              <w:top w:val="single" w:sz="4" w:space="0" w:color="auto"/>
              <w:left w:val="nil"/>
              <w:bottom w:val="nil"/>
              <w:right w:val="nil"/>
            </w:tcBorders>
            <w:shd w:val="clear" w:color="auto" w:fill="auto"/>
          </w:tcPr>
          <w:p w14:paraId="4360916D" w14:textId="77777777" w:rsidR="008B27A0" w:rsidRPr="00B2469D" w:rsidRDefault="008B27A0" w:rsidP="004B3AED">
            <w:pPr>
              <w:spacing w:before="120" w:after="0" w:line="360" w:lineRule="auto"/>
              <w:jc w:val="right"/>
              <w:rPr>
                <w:color w:val="000000"/>
                <w:lang w:eastAsia="en-GB"/>
              </w:rPr>
            </w:pPr>
            <w:r w:rsidRPr="00B2469D">
              <w:rPr>
                <w:color w:val="000000"/>
                <w:lang w:eastAsia="en-GB"/>
              </w:rPr>
              <w:t>3</w:t>
            </w:r>
          </w:p>
        </w:tc>
      </w:tr>
      <w:tr w:rsidR="008B27A0" w:rsidRPr="00B2469D" w14:paraId="39598352" w14:textId="77777777" w:rsidTr="004B3AED">
        <w:trPr>
          <w:trHeight w:val="87"/>
        </w:trPr>
        <w:tc>
          <w:tcPr>
            <w:tcW w:w="2660" w:type="dxa"/>
            <w:gridSpan w:val="2"/>
            <w:tcBorders>
              <w:top w:val="nil"/>
              <w:left w:val="nil"/>
              <w:bottom w:val="nil"/>
              <w:right w:val="nil"/>
            </w:tcBorders>
            <w:shd w:val="clear" w:color="auto" w:fill="auto"/>
            <w:noWrap/>
            <w:vAlign w:val="bottom"/>
          </w:tcPr>
          <w:p w14:paraId="2793E8C3"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hideMark/>
          </w:tcPr>
          <w:p w14:paraId="705549E4" w14:textId="77777777" w:rsidR="008B27A0" w:rsidRPr="00B2469D" w:rsidRDefault="008B27A0" w:rsidP="004B3AED">
            <w:pPr>
              <w:spacing w:after="0" w:line="360" w:lineRule="auto"/>
              <w:rPr>
                <w:color w:val="000000"/>
                <w:lang w:eastAsia="en-GB"/>
              </w:rPr>
            </w:pPr>
            <w:r w:rsidRPr="00B2469D">
              <w:rPr>
                <w:color w:val="000000"/>
                <w:lang w:eastAsia="en-GB"/>
              </w:rPr>
              <w:t>Don't want to do illicit drugs</w:t>
            </w:r>
          </w:p>
        </w:tc>
        <w:tc>
          <w:tcPr>
            <w:tcW w:w="710" w:type="dxa"/>
            <w:tcBorders>
              <w:top w:val="nil"/>
              <w:left w:val="nil"/>
              <w:bottom w:val="nil"/>
              <w:right w:val="nil"/>
            </w:tcBorders>
            <w:shd w:val="clear" w:color="auto" w:fill="auto"/>
            <w:vAlign w:val="bottom"/>
          </w:tcPr>
          <w:p w14:paraId="1300B3DB" w14:textId="77777777" w:rsidR="008B27A0" w:rsidRPr="00B2469D" w:rsidRDefault="008B27A0" w:rsidP="004B3AED">
            <w:pPr>
              <w:spacing w:after="0" w:line="360" w:lineRule="auto"/>
              <w:rPr>
                <w:color w:val="000000"/>
                <w:lang w:eastAsia="en-GB"/>
              </w:rPr>
            </w:pPr>
            <w:r w:rsidRPr="00B2469D">
              <w:rPr>
                <w:color w:val="000000"/>
                <w:lang w:eastAsia="en-GB"/>
              </w:rPr>
              <w:t>7</w:t>
            </w:r>
          </w:p>
        </w:tc>
        <w:tc>
          <w:tcPr>
            <w:tcW w:w="643" w:type="dxa"/>
            <w:tcBorders>
              <w:top w:val="nil"/>
              <w:left w:val="nil"/>
              <w:bottom w:val="nil"/>
              <w:right w:val="nil"/>
            </w:tcBorders>
            <w:shd w:val="clear" w:color="auto" w:fill="auto"/>
          </w:tcPr>
          <w:p w14:paraId="1D008E23" w14:textId="77777777" w:rsidR="008B27A0" w:rsidRPr="00B2469D" w:rsidRDefault="008B27A0" w:rsidP="004B3AED">
            <w:pPr>
              <w:spacing w:after="0" w:line="360" w:lineRule="auto"/>
              <w:jc w:val="right"/>
              <w:rPr>
                <w:color w:val="000000"/>
                <w:lang w:eastAsia="en-GB"/>
              </w:rPr>
            </w:pPr>
            <w:r w:rsidRPr="00B2469D">
              <w:rPr>
                <w:color w:val="000000"/>
                <w:lang w:eastAsia="en-GB"/>
              </w:rPr>
              <w:t>2</w:t>
            </w:r>
          </w:p>
        </w:tc>
      </w:tr>
      <w:tr w:rsidR="008B27A0" w:rsidRPr="00B2469D" w14:paraId="559A0973" w14:textId="77777777" w:rsidTr="004B3AED">
        <w:trPr>
          <w:trHeight w:val="290"/>
        </w:trPr>
        <w:tc>
          <w:tcPr>
            <w:tcW w:w="2660" w:type="dxa"/>
            <w:gridSpan w:val="2"/>
            <w:tcBorders>
              <w:top w:val="nil"/>
              <w:left w:val="nil"/>
              <w:bottom w:val="nil"/>
              <w:right w:val="nil"/>
            </w:tcBorders>
            <w:shd w:val="clear" w:color="auto" w:fill="auto"/>
            <w:noWrap/>
            <w:vAlign w:val="bottom"/>
          </w:tcPr>
          <w:p w14:paraId="3A0FB9E1"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hideMark/>
          </w:tcPr>
          <w:p w14:paraId="085AC575" w14:textId="77777777" w:rsidR="008B27A0" w:rsidRPr="00B2469D" w:rsidRDefault="008B27A0" w:rsidP="004B3AED">
            <w:pPr>
              <w:spacing w:after="0" w:line="360" w:lineRule="auto"/>
              <w:rPr>
                <w:color w:val="000000"/>
                <w:lang w:eastAsia="en-GB"/>
              </w:rPr>
            </w:pPr>
            <w:r>
              <w:rPr>
                <w:color w:val="000000"/>
                <w:lang w:eastAsia="en-GB"/>
              </w:rPr>
              <w:t>Safer</w:t>
            </w:r>
            <w:r w:rsidRPr="00B2469D">
              <w:rPr>
                <w:color w:val="000000"/>
                <w:lang w:eastAsia="en-GB"/>
              </w:rPr>
              <w:t xml:space="preserve"> than </w:t>
            </w:r>
            <w:r>
              <w:rPr>
                <w:color w:val="000000"/>
                <w:lang w:eastAsia="en-GB"/>
              </w:rPr>
              <w:t>traditional</w:t>
            </w:r>
            <w:r w:rsidRPr="00B2469D">
              <w:rPr>
                <w:color w:val="000000"/>
                <w:lang w:eastAsia="en-GB"/>
              </w:rPr>
              <w:t xml:space="preserve"> drugs</w:t>
            </w:r>
          </w:p>
        </w:tc>
        <w:tc>
          <w:tcPr>
            <w:tcW w:w="710" w:type="dxa"/>
            <w:tcBorders>
              <w:top w:val="nil"/>
              <w:left w:val="nil"/>
              <w:bottom w:val="nil"/>
              <w:right w:val="nil"/>
            </w:tcBorders>
            <w:shd w:val="clear" w:color="auto" w:fill="auto"/>
            <w:vAlign w:val="bottom"/>
          </w:tcPr>
          <w:p w14:paraId="1D55CF61" w14:textId="77777777" w:rsidR="008B27A0" w:rsidRPr="00B2469D" w:rsidRDefault="008B27A0" w:rsidP="004B3AED">
            <w:pPr>
              <w:spacing w:after="0" w:line="360" w:lineRule="auto"/>
              <w:rPr>
                <w:color w:val="000000"/>
                <w:lang w:eastAsia="en-GB"/>
              </w:rPr>
            </w:pPr>
            <w:r>
              <w:rPr>
                <w:color w:val="000000"/>
                <w:lang w:eastAsia="en-GB"/>
              </w:rPr>
              <w:t>4</w:t>
            </w:r>
          </w:p>
        </w:tc>
        <w:tc>
          <w:tcPr>
            <w:tcW w:w="643" w:type="dxa"/>
            <w:tcBorders>
              <w:top w:val="nil"/>
              <w:left w:val="nil"/>
              <w:bottom w:val="nil"/>
              <w:right w:val="nil"/>
            </w:tcBorders>
            <w:shd w:val="clear" w:color="auto" w:fill="auto"/>
          </w:tcPr>
          <w:p w14:paraId="000186B9"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30D7060C" w14:textId="77777777" w:rsidTr="004B3AED">
        <w:trPr>
          <w:trHeight w:val="290"/>
        </w:trPr>
        <w:tc>
          <w:tcPr>
            <w:tcW w:w="2660" w:type="dxa"/>
            <w:gridSpan w:val="2"/>
            <w:tcBorders>
              <w:top w:val="nil"/>
              <w:left w:val="nil"/>
              <w:bottom w:val="nil"/>
              <w:right w:val="nil"/>
            </w:tcBorders>
            <w:shd w:val="clear" w:color="auto" w:fill="auto"/>
            <w:noWrap/>
            <w:vAlign w:val="bottom"/>
          </w:tcPr>
          <w:p w14:paraId="11695AFF" w14:textId="77777777" w:rsidR="008B27A0" w:rsidRPr="00B2469D" w:rsidRDefault="008B27A0" w:rsidP="004B3AED">
            <w:pPr>
              <w:spacing w:after="0" w:line="360" w:lineRule="auto"/>
              <w:rPr>
                <w:sz w:val="20"/>
                <w:szCs w:val="20"/>
                <w:lang w:eastAsia="en-GB"/>
              </w:rPr>
            </w:pPr>
          </w:p>
        </w:tc>
        <w:tc>
          <w:tcPr>
            <w:tcW w:w="5134" w:type="dxa"/>
            <w:tcBorders>
              <w:top w:val="nil"/>
              <w:left w:val="nil"/>
              <w:bottom w:val="nil"/>
              <w:right w:val="nil"/>
            </w:tcBorders>
            <w:shd w:val="clear" w:color="auto" w:fill="auto"/>
            <w:noWrap/>
            <w:vAlign w:val="bottom"/>
            <w:hideMark/>
          </w:tcPr>
          <w:p w14:paraId="11D49E4A" w14:textId="77777777" w:rsidR="008B27A0" w:rsidRPr="00B2469D" w:rsidRDefault="008B27A0" w:rsidP="004B3AED">
            <w:pPr>
              <w:spacing w:after="0" w:line="360" w:lineRule="auto"/>
              <w:rPr>
                <w:color w:val="000000"/>
                <w:lang w:eastAsia="en-GB"/>
              </w:rPr>
            </w:pPr>
            <w:r w:rsidRPr="00B2469D">
              <w:rPr>
                <w:color w:val="000000"/>
                <w:lang w:eastAsia="en-GB"/>
              </w:rPr>
              <w:t xml:space="preserve">Cheaper than </w:t>
            </w:r>
            <w:r>
              <w:rPr>
                <w:color w:val="000000"/>
                <w:lang w:eastAsia="en-GB"/>
              </w:rPr>
              <w:t>traditional</w:t>
            </w:r>
            <w:r w:rsidRPr="00B2469D">
              <w:rPr>
                <w:color w:val="000000"/>
                <w:lang w:eastAsia="en-GB"/>
              </w:rPr>
              <w:t xml:space="preserve"> drugs</w:t>
            </w:r>
          </w:p>
        </w:tc>
        <w:tc>
          <w:tcPr>
            <w:tcW w:w="710" w:type="dxa"/>
            <w:tcBorders>
              <w:top w:val="nil"/>
              <w:left w:val="nil"/>
              <w:bottom w:val="nil"/>
              <w:right w:val="nil"/>
            </w:tcBorders>
            <w:shd w:val="clear" w:color="auto" w:fill="auto"/>
            <w:vAlign w:val="bottom"/>
          </w:tcPr>
          <w:p w14:paraId="24C93275" w14:textId="77777777" w:rsidR="008B27A0" w:rsidRPr="00B2469D" w:rsidRDefault="008B27A0" w:rsidP="004B3AED">
            <w:pPr>
              <w:spacing w:after="0" w:line="360" w:lineRule="auto"/>
              <w:rPr>
                <w:color w:val="000000"/>
                <w:lang w:eastAsia="en-GB"/>
              </w:rPr>
            </w:pPr>
            <w:r>
              <w:rPr>
                <w:color w:val="000000"/>
                <w:lang w:eastAsia="en-GB"/>
              </w:rPr>
              <w:t>2</w:t>
            </w:r>
          </w:p>
        </w:tc>
        <w:tc>
          <w:tcPr>
            <w:tcW w:w="643" w:type="dxa"/>
            <w:tcBorders>
              <w:top w:val="nil"/>
              <w:left w:val="nil"/>
              <w:bottom w:val="nil"/>
              <w:right w:val="nil"/>
            </w:tcBorders>
            <w:shd w:val="clear" w:color="auto" w:fill="auto"/>
          </w:tcPr>
          <w:p w14:paraId="55A18779" w14:textId="77777777" w:rsidR="008B27A0" w:rsidRPr="00B2469D" w:rsidRDefault="008B27A0" w:rsidP="004B3AED">
            <w:pPr>
              <w:spacing w:after="0" w:line="360" w:lineRule="auto"/>
              <w:jc w:val="right"/>
              <w:rPr>
                <w:color w:val="000000"/>
                <w:lang w:eastAsia="en-GB"/>
              </w:rPr>
            </w:pPr>
            <w:r>
              <w:rPr>
                <w:color w:val="000000"/>
                <w:lang w:eastAsia="en-GB"/>
              </w:rPr>
              <w:t>2</w:t>
            </w:r>
          </w:p>
        </w:tc>
      </w:tr>
      <w:tr w:rsidR="008B27A0" w:rsidRPr="007E4533" w14:paraId="20D4858F" w14:textId="77777777" w:rsidTr="004B3AED">
        <w:trPr>
          <w:trHeight w:val="77"/>
        </w:trPr>
        <w:tc>
          <w:tcPr>
            <w:tcW w:w="7794" w:type="dxa"/>
            <w:gridSpan w:val="3"/>
            <w:tcBorders>
              <w:top w:val="nil"/>
              <w:left w:val="nil"/>
              <w:bottom w:val="single" w:sz="4" w:space="0" w:color="auto"/>
              <w:right w:val="nil"/>
            </w:tcBorders>
            <w:shd w:val="clear" w:color="auto" w:fill="auto"/>
            <w:noWrap/>
            <w:vAlign w:val="bottom"/>
          </w:tcPr>
          <w:p w14:paraId="440FD313"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710" w:type="dxa"/>
            <w:tcBorders>
              <w:top w:val="nil"/>
              <w:left w:val="nil"/>
              <w:bottom w:val="single" w:sz="4" w:space="0" w:color="auto"/>
              <w:right w:val="nil"/>
            </w:tcBorders>
            <w:shd w:val="clear" w:color="auto" w:fill="auto"/>
            <w:vAlign w:val="bottom"/>
          </w:tcPr>
          <w:p w14:paraId="2E215C24" w14:textId="77777777" w:rsidR="008B27A0" w:rsidRPr="007E4533" w:rsidRDefault="008B27A0" w:rsidP="004B3AED">
            <w:pPr>
              <w:spacing w:after="0" w:line="360" w:lineRule="auto"/>
              <w:rPr>
                <w:b/>
                <w:color w:val="000000"/>
                <w:sz w:val="2"/>
                <w:szCs w:val="2"/>
                <w:lang w:eastAsia="en-GB"/>
              </w:rPr>
            </w:pPr>
          </w:p>
        </w:tc>
        <w:tc>
          <w:tcPr>
            <w:tcW w:w="643" w:type="dxa"/>
            <w:tcBorders>
              <w:top w:val="nil"/>
              <w:left w:val="nil"/>
              <w:bottom w:val="single" w:sz="4" w:space="0" w:color="auto"/>
              <w:right w:val="nil"/>
            </w:tcBorders>
            <w:shd w:val="clear" w:color="auto" w:fill="auto"/>
          </w:tcPr>
          <w:p w14:paraId="50D89B8E" w14:textId="77777777" w:rsidR="008B27A0" w:rsidRPr="007E4533" w:rsidRDefault="008B27A0" w:rsidP="004B3AED">
            <w:pPr>
              <w:spacing w:after="0" w:line="360" w:lineRule="auto"/>
              <w:jc w:val="right"/>
              <w:rPr>
                <w:b/>
                <w:color w:val="000000"/>
                <w:sz w:val="2"/>
                <w:szCs w:val="2"/>
                <w:lang w:eastAsia="en-GB"/>
              </w:rPr>
            </w:pPr>
          </w:p>
        </w:tc>
      </w:tr>
      <w:tr w:rsidR="008B27A0" w:rsidRPr="007E4533" w14:paraId="304D30E5" w14:textId="77777777" w:rsidTr="004B3AED">
        <w:trPr>
          <w:trHeight w:val="77"/>
        </w:trPr>
        <w:tc>
          <w:tcPr>
            <w:tcW w:w="7794" w:type="dxa"/>
            <w:gridSpan w:val="3"/>
            <w:tcBorders>
              <w:top w:val="single" w:sz="4" w:space="0" w:color="auto"/>
              <w:left w:val="nil"/>
              <w:bottom w:val="nil"/>
              <w:right w:val="nil"/>
            </w:tcBorders>
            <w:shd w:val="clear" w:color="auto" w:fill="auto"/>
            <w:noWrap/>
            <w:vAlign w:val="bottom"/>
          </w:tcPr>
          <w:p w14:paraId="141472CD" w14:textId="77777777" w:rsidR="008B27A0" w:rsidRPr="007E4533" w:rsidRDefault="008B27A0" w:rsidP="004B3AED">
            <w:pPr>
              <w:spacing w:after="0" w:line="240" w:lineRule="auto"/>
              <w:rPr>
                <w:b/>
                <w:color w:val="000000"/>
                <w:sz w:val="2"/>
                <w:szCs w:val="2"/>
                <w:lang w:eastAsia="en-GB"/>
              </w:rPr>
            </w:pPr>
            <w:r w:rsidRPr="007E4533">
              <w:rPr>
                <w:b/>
                <w:color w:val="FFFFFF" w:themeColor="background1"/>
                <w:sz w:val="2"/>
                <w:szCs w:val="2"/>
                <w:lang w:eastAsia="en-GB"/>
              </w:rPr>
              <w:t>N</w:t>
            </w:r>
          </w:p>
        </w:tc>
        <w:tc>
          <w:tcPr>
            <w:tcW w:w="710" w:type="dxa"/>
            <w:tcBorders>
              <w:top w:val="single" w:sz="4" w:space="0" w:color="auto"/>
              <w:left w:val="nil"/>
              <w:bottom w:val="nil"/>
              <w:right w:val="nil"/>
            </w:tcBorders>
            <w:shd w:val="clear" w:color="auto" w:fill="auto"/>
            <w:vAlign w:val="bottom"/>
          </w:tcPr>
          <w:p w14:paraId="6F84F09F" w14:textId="77777777" w:rsidR="008B27A0" w:rsidRPr="007E4533" w:rsidRDefault="008B27A0" w:rsidP="004B3AED">
            <w:pPr>
              <w:spacing w:after="0" w:line="240" w:lineRule="auto"/>
              <w:rPr>
                <w:b/>
                <w:color w:val="000000"/>
                <w:sz w:val="2"/>
                <w:szCs w:val="2"/>
                <w:lang w:eastAsia="en-GB"/>
              </w:rPr>
            </w:pPr>
          </w:p>
        </w:tc>
        <w:tc>
          <w:tcPr>
            <w:tcW w:w="643" w:type="dxa"/>
            <w:tcBorders>
              <w:top w:val="single" w:sz="4" w:space="0" w:color="auto"/>
              <w:left w:val="nil"/>
              <w:bottom w:val="nil"/>
              <w:right w:val="nil"/>
            </w:tcBorders>
            <w:shd w:val="clear" w:color="auto" w:fill="auto"/>
          </w:tcPr>
          <w:p w14:paraId="5A0FEEE8" w14:textId="77777777" w:rsidR="008B27A0" w:rsidRPr="007E4533" w:rsidRDefault="008B27A0" w:rsidP="004B3AED">
            <w:pPr>
              <w:spacing w:after="0" w:line="240" w:lineRule="auto"/>
              <w:jc w:val="right"/>
              <w:rPr>
                <w:b/>
                <w:color w:val="000000"/>
                <w:sz w:val="2"/>
                <w:szCs w:val="2"/>
                <w:lang w:eastAsia="en-GB"/>
              </w:rPr>
            </w:pPr>
          </w:p>
        </w:tc>
      </w:tr>
    </w:tbl>
    <w:p w14:paraId="1C598946" w14:textId="77777777" w:rsidR="008B27A0" w:rsidRDefault="008B27A0" w:rsidP="008B27A0">
      <w:pPr>
        <w:rPr>
          <w:b/>
        </w:rPr>
      </w:pPr>
    </w:p>
    <w:p w14:paraId="31F4123B" w14:textId="77777777" w:rsidR="008B27A0" w:rsidRDefault="008B27A0" w:rsidP="008B27A0">
      <w:pPr>
        <w:rPr>
          <w:b/>
        </w:rPr>
      </w:pPr>
    </w:p>
    <w:p w14:paraId="7B6C2611" w14:textId="77777777" w:rsidR="008B27A0" w:rsidRDefault="008B27A0" w:rsidP="008B27A0">
      <w:pPr>
        <w:rPr>
          <w:b/>
        </w:rPr>
      </w:pPr>
      <w:r>
        <w:rPr>
          <w:b/>
        </w:rPr>
        <w:br/>
      </w:r>
    </w:p>
    <w:p w14:paraId="7EFD42B2" w14:textId="77777777" w:rsidR="008B27A0" w:rsidRDefault="008B27A0" w:rsidP="008B27A0">
      <w:pPr>
        <w:rPr>
          <w:b/>
        </w:rPr>
      </w:pPr>
      <w:r>
        <w:rPr>
          <w:b/>
        </w:rPr>
        <w:br w:type="page"/>
      </w:r>
    </w:p>
    <w:p w14:paraId="54F4B5DA" w14:textId="05715C98" w:rsidR="008B27A0" w:rsidRPr="004B3AED" w:rsidRDefault="008B27A0" w:rsidP="004B3AED">
      <w:pPr>
        <w:pStyle w:val="TableHeader"/>
        <w:rPr>
          <w:b/>
        </w:rPr>
      </w:pPr>
      <w:bookmarkStart w:id="418" w:name="_Toc9509072"/>
      <w:r w:rsidRPr="004B3AED">
        <w:rPr>
          <w:b/>
        </w:rPr>
        <w:t xml:space="preserve">Table </w:t>
      </w:r>
      <w:r w:rsidR="00735864">
        <w:rPr>
          <w:b/>
        </w:rPr>
        <w:t>6-</w:t>
      </w:r>
      <w:r w:rsidRPr="004B3AED">
        <w:rPr>
          <w:b/>
        </w:rPr>
        <w:t>7. Beliefs, reasons and motives discouraging use of NPS</w:t>
      </w:r>
      <w:bookmarkEnd w:id="418"/>
      <w:r w:rsidRPr="004B3AED">
        <w:rPr>
          <w:b/>
        </w:rPr>
        <w:t xml:space="preserve"> </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96"/>
        <w:gridCol w:w="283"/>
        <w:gridCol w:w="562"/>
        <w:gridCol w:w="4692"/>
        <w:gridCol w:w="874"/>
        <w:gridCol w:w="643"/>
      </w:tblGrid>
      <w:tr w:rsidR="008B27A0" w:rsidRPr="00B2469D" w14:paraId="0DCE9530" w14:textId="77777777" w:rsidTr="004B3AED">
        <w:trPr>
          <w:trHeight w:val="290"/>
        </w:trPr>
        <w:tc>
          <w:tcPr>
            <w:tcW w:w="3071" w:type="dxa"/>
            <w:gridSpan w:val="4"/>
            <w:tcBorders>
              <w:top w:val="single" w:sz="4" w:space="0" w:color="auto"/>
              <w:left w:val="nil"/>
              <w:bottom w:val="single" w:sz="4" w:space="0" w:color="auto"/>
              <w:right w:val="nil"/>
            </w:tcBorders>
            <w:shd w:val="clear" w:color="auto" w:fill="auto"/>
            <w:noWrap/>
          </w:tcPr>
          <w:p w14:paraId="4AF14A88" w14:textId="77777777" w:rsidR="008B27A0" w:rsidRPr="00B2469D" w:rsidRDefault="008B27A0" w:rsidP="004B3AED">
            <w:pPr>
              <w:spacing w:after="0" w:line="360" w:lineRule="auto"/>
              <w:rPr>
                <w:b/>
                <w:color w:val="000000"/>
                <w:lang w:eastAsia="en-GB"/>
              </w:rPr>
            </w:pPr>
            <w:r>
              <w:rPr>
                <w:b/>
                <w:color w:val="000000"/>
                <w:lang w:eastAsia="en-GB"/>
              </w:rPr>
              <w:t>Global t</w:t>
            </w:r>
            <w:r w:rsidRPr="00B2469D">
              <w:rPr>
                <w:b/>
                <w:color w:val="000000"/>
                <w:lang w:eastAsia="en-GB"/>
              </w:rPr>
              <w:t>heme</w:t>
            </w:r>
          </w:p>
        </w:tc>
        <w:tc>
          <w:tcPr>
            <w:tcW w:w="4692" w:type="dxa"/>
            <w:tcBorders>
              <w:top w:val="single" w:sz="4" w:space="0" w:color="auto"/>
              <w:left w:val="nil"/>
              <w:bottom w:val="single" w:sz="4" w:space="0" w:color="auto"/>
              <w:right w:val="nil"/>
            </w:tcBorders>
            <w:shd w:val="clear" w:color="auto" w:fill="auto"/>
          </w:tcPr>
          <w:p w14:paraId="25C5112F" w14:textId="77777777" w:rsidR="008B27A0" w:rsidRPr="00B2469D" w:rsidRDefault="008B27A0" w:rsidP="004B3AED">
            <w:pPr>
              <w:spacing w:after="0" w:line="360" w:lineRule="auto"/>
              <w:rPr>
                <w:b/>
                <w:color w:val="000000"/>
                <w:lang w:eastAsia="en-GB"/>
              </w:rPr>
            </w:pPr>
            <w:r>
              <w:rPr>
                <w:b/>
                <w:color w:val="000000"/>
                <w:lang w:eastAsia="en-GB"/>
              </w:rPr>
              <w:t xml:space="preserve">Organising theme </w:t>
            </w:r>
          </w:p>
        </w:tc>
        <w:tc>
          <w:tcPr>
            <w:tcW w:w="876" w:type="dxa"/>
            <w:tcBorders>
              <w:top w:val="single" w:sz="4" w:space="0" w:color="auto"/>
              <w:left w:val="nil"/>
              <w:bottom w:val="single" w:sz="4" w:space="0" w:color="auto"/>
              <w:right w:val="nil"/>
            </w:tcBorders>
            <w:shd w:val="clear" w:color="auto" w:fill="auto"/>
          </w:tcPr>
          <w:p w14:paraId="14310062" w14:textId="77777777" w:rsidR="008B27A0" w:rsidRPr="00B2469D" w:rsidRDefault="008B27A0" w:rsidP="004B3AED">
            <w:pPr>
              <w:spacing w:after="0" w:line="360" w:lineRule="auto"/>
              <w:rPr>
                <w:b/>
                <w:color w:val="000000"/>
                <w:lang w:eastAsia="en-GB"/>
              </w:rPr>
            </w:pPr>
            <w:r>
              <w:rPr>
                <w:b/>
                <w:color w:val="000000"/>
                <w:lang w:eastAsia="en-GB"/>
              </w:rPr>
              <w:t xml:space="preserve">Freq   </w:t>
            </w:r>
          </w:p>
        </w:tc>
        <w:tc>
          <w:tcPr>
            <w:tcW w:w="641" w:type="dxa"/>
            <w:tcBorders>
              <w:top w:val="single" w:sz="4" w:space="0" w:color="auto"/>
              <w:left w:val="nil"/>
              <w:bottom w:val="single" w:sz="4" w:space="0" w:color="auto"/>
              <w:right w:val="nil"/>
            </w:tcBorders>
            <w:shd w:val="clear" w:color="auto" w:fill="auto"/>
          </w:tcPr>
          <w:p w14:paraId="36E86DF1" w14:textId="77777777" w:rsidR="008B27A0" w:rsidRPr="00B2469D" w:rsidRDefault="008B27A0" w:rsidP="004B3AED">
            <w:pPr>
              <w:spacing w:after="0" w:line="360" w:lineRule="auto"/>
              <w:jc w:val="right"/>
              <w:rPr>
                <w:b/>
                <w:color w:val="000000"/>
                <w:lang w:eastAsia="en-GB"/>
              </w:rPr>
            </w:pPr>
            <w:r>
              <w:rPr>
                <w:b/>
                <w:color w:val="000000"/>
                <w:lang w:eastAsia="en-GB"/>
              </w:rPr>
              <w:t>FGs</w:t>
            </w:r>
          </w:p>
        </w:tc>
      </w:tr>
      <w:tr w:rsidR="008B27A0" w:rsidRPr="00895302" w14:paraId="48C643F4" w14:textId="77777777" w:rsidTr="004B3AED">
        <w:trPr>
          <w:trHeight w:val="70"/>
        </w:trPr>
        <w:tc>
          <w:tcPr>
            <w:tcW w:w="7763" w:type="dxa"/>
            <w:gridSpan w:val="5"/>
            <w:tcBorders>
              <w:top w:val="nil"/>
              <w:left w:val="nil"/>
              <w:bottom w:val="nil"/>
              <w:right w:val="nil"/>
            </w:tcBorders>
            <w:shd w:val="clear" w:color="auto" w:fill="auto"/>
            <w:noWrap/>
            <w:vAlign w:val="bottom"/>
          </w:tcPr>
          <w:p w14:paraId="493E15B9" w14:textId="77777777" w:rsidR="008B27A0" w:rsidRPr="00895302" w:rsidRDefault="008B27A0" w:rsidP="004B3AED">
            <w:pPr>
              <w:spacing w:after="0" w:line="360" w:lineRule="auto"/>
              <w:rPr>
                <w:b/>
                <w:color w:val="000000"/>
                <w:sz w:val="2"/>
                <w:szCs w:val="2"/>
                <w:lang w:eastAsia="en-GB"/>
              </w:rPr>
            </w:pPr>
            <w:r w:rsidRPr="00895302">
              <w:rPr>
                <w:b/>
                <w:color w:val="FFFFFF" w:themeColor="background1"/>
                <w:sz w:val="2"/>
                <w:szCs w:val="2"/>
                <w:lang w:eastAsia="en-GB"/>
              </w:rPr>
              <w:t>N</w:t>
            </w:r>
          </w:p>
        </w:tc>
        <w:tc>
          <w:tcPr>
            <w:tcW w:w="876" w:type="dxa"/>
            <w:tcBorders>
              <w:top w:val="nil"/>
              <w:left w:val="nil"/>
              <w:bottom w:val="nil"/>
              <w:right w:val="nil"/>
            </w:tcBorders>
            <w:shd w:val="clear" w:color="auto" w:fill="auto"/>
            <w:vAlign w:val="bottom"/>
          </w:tcPr>
          <w:p w14:paraId="6DD43864" w14:textId="77777777" w:rsidR="008B27A0" w:rsidRPr="00895302" w:rsidRDefault="008B27A0" w:rsidP="004B3AED">
            <w:pPr>
              <w:spacing w:after="0" w:line="360" w:lineRule="auto"/>
              <w:rPr>
                <w:b/>
                <w:color w:val="000000"/>
                <w:sz w:val="2"/>
                <w:szCs w:val="2"/>
                <w:lang w:eastAsia="en-GB"/>
              </w:rPr>
            </w:pPr>
          </w:p>
        </w:tc>
        <w:tc>
          <w:tcPr>
            <w:tcW w:w="641" w:type="dxa"/>
            <w:tcBorders>
              <w:top w:val="nil"/>
              <w:left w:val="nil"/>
              <w:bottom w:val="nil"/>
              <w:right w:val="nil"/>
            </w:tcBorders>
            <w:shd w:val="clear" w:color="auto" w:fill="auto"/>
          </w:tcPr>
          <w:p w14:paraId="01843A89" w14:textId="77777777" w:rsidR="008B27A0" w:rsidRPr="00895302" w:rsidRDefault="008B27A0" w:rsidP="004B3AED">
            <w:pPr>
              <w:spacing w:after="0" w:line="360" w:lineRule="auto"/>
              <w:jc w:val="right"/>
              <w:rPr>
                <w:b/>
                <w:color w:val="000000"/>
                <w:sz w:val="2"/>
                <w:szCs w:val="2"/>
                <w:lang w:eastAsia="en-GB"/>
              </w:rPr>
            </w:pPr>
          </w:p>
        </w:tc>
      </w:tr>
      <w:tr w:rsidR="008B27A0" w:rsidRPr="00B2469D" w14:paraId="1A5B081C" w14:textId="77777777" w:rsidTr="004B3AED">
        <w:trPr>
          <w:trHeight w:val="290"/>
        </w:trPr>
        <w:tc>
          <w:tcPr>
            <w:tcW w:w="1930" w:type="dxa"/>
            <w:tcBorders>
              <w:top w:val="nil"/>
              <w:left w:val="nil"/>
              <w:bottom w:val="nil"/>
              <w:right w:val="nil"/>
            </w:tcBorders>
            <w:shd w:val="clear" w:color="auto" w:fill="auto"/>
            <w:noWrap/>
            <w:vAlign w:val="bottom"/>
          </w:tcPr>
          <w:p w14:paraId="7929CB98" w14:textId="77777777" w:rsidR="008B27A0" w:rsidRPr="00B2469D" w:rsidRDefault="008B27A0" w:rsidP="004B3AED">
            <w:pPr>
              <w:spacing w:after="0" w:line="360" w:lineRule="auto"/>
              <w:rPr>
                <w:color w:val="000000"/>
                <w:lang w:eastAsia="en-GB"/>
              </w:rPr>
            </w:pPr>
            <w:r>
              <w:rPr>
                <w:b/>
                <w:color w:val="000000"/>
                <w:lang w:eastAsia="en-GB"/>
              </w:rPr>
              <w:t xml:space="preserve">Risk perception  </w:t>
            </w:r>
          </w:p>
        </w:tc>
        <w:tc>
          <w:tcPr>
            <w:tcW w:w="1141" w:type="dxa"/>
            <w:gridSpan w:val="3"/>
            <w:tcBorders>
              <w:top w:val="nil"/>
              <w:left w:val="nil"/>
              <w:bottom w:val="nil"/>
              <w:right w:val="nil"/>
            </w:tcBorders>
            <w:shd w:val="clear" w:color="auto" w:fill="auto"/>
            <w:vAlign w:val="center"/>
          </w:tcPr>
          <w:p w14:paraId="5374775C" w14:textId="77777777" w:rsidR="008B27A0" w:rsidRPr="00B2469D" w:rsidRDefault="008B27A0" w:rsidP="004B3AED">
            <w:pPr>
              <w:spacing w:after="0" w:line="360" w:lineRule="auto"/>
              <w:jc w:val="right"/>
              <w:rPr>
                <w:color w:val="000000"/>
                <w:lang w:eastAsia="en-GB"/>
              </w:rPr>
            </w:pPr>
            <w:r>
              <w:rPr>
                <w:b/>
                <w:color w:val="000000"/>
                <w:lang w:eastAsia="en-GB"/>
              </w:rPr>
              <w:t>160</w:t>
            </w:r>
          </w:p>
        </w:tc>
        <w:tc>
          <w:tcPr>
            <w:tcW w:w="4692" w:type="dxa"/>
            <w:tcBorders>
              <w:top w:val="nil"/>
              <w:left w:val="nil"/>
              <w:bottom w:val="nil"/>
              <w:right w:val="nil"/>
            </w:tcBorders>
            <w:shd w:val="clear" w:color="auto" w:fill="auto"/>
            <w:noWrap/>
            <w:vAlign w:val="bottom"/>
          </w:tcPr>
          <w:p w14:paraId="3613E90D" w14:textId="77777777" w:rsidR="008B27A0" w:rsidRPr="00B2469D" w:rsidRDefault="008B27A0" w:rsidP="004B3AED">
            <w:pPr>
              <w:spacing w:after="0" w:line="360" w:lineRule="auto"/>
              <w:rPr>
                <w:color w:val="000000"/>
                <w:lang w:eastAsia="en-GB"/>
              </w:rPr>
            </w:pPr>
            <w:r>
              <w:rPr>
                <w:color w:val="000000"/>
                <w:lang w:eastAsia="en-GB"/>
              </w:rPr>
              <w:t>Risk aware / educated / media awareness</w:t>
            </w:r>
          </w:p>
        </w:tc>
        <w:tc>
          <w:tcPr>
            <w:tcW w:w="876" w:type="dxa"/>
            <w:tcBorders>
              <w:top w:val="nil"/>
              <w:left w:val="nil"/>
              <w:bottom w:val="nil"/>
              <w:right w:val="nil"/>
            </w:tcBorders>
            <w:shd w:val="clear" w:color="auto" w:fill="auto"/>
            <w:vAlign w:val="bottom"/>
          </w:tcPr>
          <w:p w14:paraId="34E06F64" w14:textId="77777777" w:rsidR="008B27A0" w:rsidRPr="00B2469D" w:rsidRDefault="008B27A0" w:rsidP="004B3AED">
            <w:pPr>
              <w:spacing w:after="0" w:line="360" w:lineRule="auto"/>
              <w:rPr>
                <w:color w:val="000000"/>
                <w:lang w:eastAsia="en-GB"/>
              </w:rPr>
            </w:pPr>
            <w:r>
              <w:rPr>
                <w:color w:val="000000"/>
                <w:lang w:eastAsia="en-GB"/>
              </w:rPr>
              <w:t>42</w:t>
            </w:r>
          </w:p>
        </w:tc>
        <w:tc>
          <w:tcPr>
            <w:tcW w:w="641" w:type="dxa"/>
            <w:tcBorders>
              <w:top w:val="nil"/>
              <w:left w:val="nil"/>
              <w:bottom w:val="nil"/>
              <w:right w:val="nil"/>
            </w:tcBorders>
            <w:shd w:val="clear" w:color="auto" w:fill="auto"/>
          </w:tcPr>
          <w:p w14:paraId="211E16BD"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4A9E5773" w14:textId="77777777" w:rsidTr="004B3AED">
        <w:trPr>
          <w:trHeight w:val="290"/>
        </w:trPr>
        <w:tc>
          <w:tcPr>
            <w:tcW w:w="3071" w:type="dxa"/>
            <w:gridSpan w:val="4"/>
            <w:tcBorders>
              <w:top w:val="nil"/>
              <w:left w:val="nil"/>
              <w:bottom w:val="nil"/>
              <w:right w:val="nil"/>
            </w:tcBorders>
            <w:shd w:val="clear" w:color="auto" w:fill="auto"/>
            <w:noWrap/>
            <w:vAlign w:val="bottom"/>
          </w:tcPr>
          <w:p w14:paraId="3152DD89"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53098F8F" w14:textId="77777777" w:rsidR="008B27A0" w:rsidRDefault="008B27A0" w:rsidP="004B3AED">
            <w:pPr>
              <w:spacing w:after="0" w:line="360" w:lineRule="auto"/>
              <w:rPr>
                <w:color w:val="000000"/>
                <w:lang w:eastAsia="en-GB"/>
              </w:rPr>
            </w:pPr>
            <w:r>
              <w:rPr>
                <w:color w:val="000000"/>
                <w:lang w:eastAsia="en-GB"/>
              </w:rPr>
              <w:t>Not regulated / inconsistent ingredients</w:t>
            </w:r>
          </w:p>
        </w:tc>
        <w:tc>
          <w:tcPr>
            <w:tcW w:w="876" w:type="dxa"/>
            <w:tcBorders>
              <w:top w:val="nil"/>
              <w:left w:val="nil"/>
              <w:bottom w:val="nil"/>
              <w:right w:val="nil"/>
            </w:tcBorders>
            <w:shd w:val="clear" w:color="auto" w:fill="auto"/>
            <w:vAlign w:val="bottom"/>
          </w:tcPr>
          <w:p w14:paraId="30D54308" w14:textId="77777777" w:rsidR="008B27A0" w:rsidRDefault="008B27A0" w:rsidP="004B3AED">
            <w:pPr>
              <w:spacing w:after="0" w:line="360" w:lineRule="auto"/>
              <w:rPr>
                <w:color w:val="000000"/>
                <w:lang w:eastAsia="en-GB"/>
              </w:rPr>
            </w:pPr>
            <w:r>
              <w:rPr>
                <w:color w:val="000000"/>
                <w:lang w:eastAsia="en-GB"/>
              </w:rPr>
              <w:t>30</w:t>
            </w:r>
          </w:p>
        </w:tc>
        <w:tc>
          <w:tcPr>
            <w:tcW w:w="641" w:type="dxa"/>
            <w:tcBorders>
              <w:top w:val="nil"/>
              <w:left w:val="nil"/>
              <w:bottom w:val="nil"/>
              <w:right w:val="nil"/>
            </w:tcBorders>
            <w:shd w:val="clear" w:color="auto" w:fill="auto"/>
          </w:tcPr>
          <w:p w14:paraId="00795AD5" w14:textId="77777777" w:rsidR="008B27A0" w:rsidRDefault="008B27A0" w:rsidP="004B3AED">
            <w:pPr>
              <w:spacing w:after="0" w:line="360" w:lineRule="auto"/>
              <w:jc w:val="right"/>
              <w:rPr>
                <w:color w:val="000000"/>
                <w:lang w:eastAsia="en-GB"/>
              </w:rPr>
            </w:pPr>
            <w:r>
              <w:rPr>
                <w:color w:val="000000"/>
                <w:lang w:eastAsia="en-GB"/>
              </w:rPr>
              <w:t>3</w:t>
            </w:r>
          </w:p>
        </w:tc>
      </w:tr>
      <w:tr w:rsidR="008B27A0" w:rsidRPr="00B2469D" w14:paraId="20EA928B" w14:textId="77777777" w:rsidTr="004B3AED">
        <w:trPr>
          <w:trHeight w:val="290"/>
        </w:trPr>
        <w:tc>
          <w:tcPr>
            <w:tcW w:w="3071" w:type="dxa"/>
            <w:gridSpan w:val="4"/>
            <w:tcBorders>
              <w:top w:val="nil"/>
              <w:left w:val="nil"/>
              <w:bottom w:val="nil"/>
              <w:right w:val="nil"/>
            </w:tcBorders>
            <w:shd w:val="clear" w:color="auto" w:fill="auto"/>
            <w:noWrap/>
            <w:vAlign w:val="bottom"/>
          </w:tcPr>
          <w:p w14:paraId="378DA7DA"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506D29AA" w14:textId="77777777" w:rsidR="008B27A0" w:rsidRPr="00B2469D" w:rsidRDefault="008B27A0" w:rsidP="004B3AED">
            <w:pPr>
              <w:spacing w:after="0" w:line="360" w:lineRule="auto"/>
              <w:rPr>
                <w:color w:val="000000"/>
                <w:lang w:eastAsia="en-GB"/>
              </w:rPr>
            </w:pPr>
            <w:r>
              <w:rPr>
                <w:color w:val="000000"/>
                <w:lang w:eastAsia="en-GB"/>
              </w:rPr>
              <w:t>Risks unknown / unknown effects</w:t>
            </w:r>
          </w:p>
        </w:tc>
        <w:tc>
          <w:tcPr>
            <w:tcW w:w="876" w:type="dxa"/>
            <w:tcBorders>
              <w:top w:val="nil"/>
              <w:left w:val="nil"/>
              <w:bottom w:val="nil"/>
              <w:right w:val="nil"/>
            </w:tcBorders>
            <w:shd w:val="clear" w:color="auto" w:fill="auto"/>
            <w:vAlign w:val="bottom"/>
          </w:tcPr>
          <w:p w14:paraId="06E445F0" w14:textId="77777777" w:rsidR="008B27A0" w:rsidRPr="00B2469D" w:rsidRDefault="008B27A0" w:rsidP="004B3AED">
            <w:pPr>
              <w:spacing w:after="0" w:line="360" w:lineRule="auto"/>
              <w:rPr>
                <w:color w:val="000000"/>
                <w:lang w:eastAsia="en-GB"/>
              </w:rPr>
            </w:pPr>
            <w:r>
              <w:rPr>
                <w:color w:val="000000"/>
                <w:lang w:eastAsia="en-GB"/>
              </w:rPr>
              <w:t>25</w:t>
            </w:r>
          </w:p>
        </w:tc>
        <w:tc>
          <w:tcPr>
            <w:tcW w:w="641" w:type="dxa"/>
            <w:tcBorders>
              <w:top w:val="nil"/>
              <w:left w:val="nil"/>
              <w:bottom w:val="nil"/>
              <w:right w:val="nil"/>
            </w:tcBorders>
            <w:shd w:val="clear" w:color="auto" w:fill="auto"/>
          </w:tcPr>
          <w:p w14:paraId="7E5BC03B"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5D271CA3" w14:textId="77777777" w:rsidTr="004B3AED">
        <w:trPr>
          <w:trHeight w:val="290"/>
        </w:trPr>
        <w:tc>
          <w:tcPr>
            <w:tcW w:w="3071" w:type="dxa"/>
            <w:gridSpan w:val="4"/>
            <w:tcBorders>
              <w:top w:val="nil"/>
              <w:left w:val="nil"/>
              <w:bottom w:val="nil"/>
              <w:right w:val="nil"/>
            </w:tcBorders>
            <w:shd w:val="clear" w:color="auto" w:fill="auto"/>
            <w:noWrap/>
            <w:vAlign w:val="bottom"/>
          </w:tcPr>
          <w:p w14:paraId="6204A2C1"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66E4B228" w14:textId="77777777" w:rsidR="008B27A0" w:rsidRPr="00B2469D" w:rsidRDefault="008B27A0" w:rsidP="004B3AED">
            <w:pPr>
              <w:spacing w:after="0" w:line="360" w:lineRule="auto"/>
              <w:rPr>
                <w:color w:val="000000"/>
                <w:lang w:eastAsia="en-GB"/>
              </w:rPr>
            </w:pPr>
            <w:r>
              <w:rPr>
                <w:color w:val="000000"/>
                <w:lang w:eastAsia="en-GB"/>
              </w:rPr>
              <w:t>Dangerous / deadly</w:t>
            </w:r>
          </w:p>
        </w:tc>
        <w:tc>
          <w:tcPr>
            <w:tcW w:w="876" w:type="dxa"/>
            <w:tcBorders>
              <w:top w:val="nil"/>
              <w:left w:val="nil"/>
              <w:bottom w:val="nil"/>
              <w:right w:val="nil"/>
            </w:tcBorders>
            <w:shd w:val="clear" w:color="auto" w:fill="auto"/>
            <w:vAlign w:val="bottom"/>
          </w:tcPr>
          <w:p w14:paraId="6E93A5E2" w14:textId="77777777" w:rsidR="008B27A0" w:rsidRPr="00B2469D" w:rsidRDefault="008B27A0" w:rsidP="004B3AED">
            <w:pPr>
              <w:spacing w:after="0" w:line="360" w:lineRule="auto"/>
              <w:rPr>
                <w:color w:val="000000"/>
                <w:lang w:eastAsia="en-GB"/>
              </w:rPr>
            </w:pPr>
            <w:r>
              <w:rPr>
                <w:color w:val="000000"/>
                <w:lang w:eastAsia="en-GB"/>
              </w:rPr>
              <w:t>24</w:t>
            </w:r>
          </w:p>
        </w:tc>
        <w:tc>
          <w:tcPr>
            <w:tcW w:w="641" w:type="dxa"/>
            <w:tcBorders>
              <w:top w:val="nil"/>
              <w:left w:val="nil"/>
              <w:bottom w:val="nil"/>
              <w:right w:val="nil"/>
            </w:tcBorders>
            <w:shd w:val="clear" w:color="auto" w:fill="auto"/>
          </w:tcPr>
          <w:p w14:paraId="314FCAE2"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52CB5DC0" w14:textId="77777777" w:rsidTr="004B3AED">
        <w:trPr>
          <w:trHeight w:val="290"/>
        </w:trPr>
        <w:tc>
          <w:tcPr>
            <w:tcW w:w="3071" w:type="dxa"/>
            <w:gridSpan w:val="4"/>
            <w:tcBorders>
              <w:top w:val="nil"/>
              <w:left w:val="nil"/>
              <w:bottom w:val="nil"/>
              <w:right w:val="nil"/>
            </w:tcBorders>
            <w:shd w:val="clear" w:color="auto" w:fill="auto"/>
            <w:noWrap/>
            <w:vAlign w:val="bottom"/>
          </w:tcPr>
          <w:p w14:paraId="40827F91"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6964BC28" w14:textId="77777777" w:rsidR="008B27A0" w:rsidRPr="00B2469D" w:rsidRDefault="008B27A0" w:rsidP="004B3AED">
            <w:pPr>
              <w:spacing w:after="0" w:line="360" w:lineRule="auto"/>
              <w:rPr>
                <w:color w:val="000000"/>
                <w:lang w:eastAsia="en-GB"/>
              </w:rPr>
            </w:pPr>
            <w:r>
              <w:rPr>
                <w:color w:val="000000"/>
                <w:lang w:eastAsia="en-GB"/>
              </w:rPr>
              <w:t>Too strong / lose control</w:t>
            </w:r>
          </w:p>
        </w:tc>
        <w:tc>
          <w:tcPr>
            <w:tcW w:w="876" w:type="dxa"/>
            <w:tcBorders>
              <w:top w:val="nil"/>
              <w:left w:val="nil"/>
              <w:bottom w:val="nil"/>
              <w:right w:val="nil"/>
            </w:tcBorders>
            <w:shd w:val="clear" w:color="auto" w:fill="auto"/>
            <w:vAlign w:val="bottom"/>
          </w:tcPr>
          <w:p w14:paraId="58934C9B" w14:textId="77777777" w:rsidR="008B27A0" w:rsidRPr="00B2469D" w:rsidRDefault="008B27A0" w:rsidP="004B3AED">
            <w:pPr>
              <w:spacing w:after="0" w:line="360" w:lineRule="auto"/>
              <w:rPr>
                <w:color w:val="000000"/>
                <w:lang w:eastAsia="en-GB"/>
              </w:rPr>
            </w:pPr>
            <w:r>
              <w:rPr>
                <w:color w:val="000000"/>
                <w:lang w:eastAsia="en-GB"/>
              </w:rPr>
              <w:t>22</w:t>
            </w:r>
          </w:p>
        </w:tc>
        <w:tc>
          <w:tcPr>
            <w:tcW w:w="641" w:type="dxa"/>
            <w:tcBorders>
              <w:top w:val="nil"/>
              <w:left w:val="nil"/>
              <w:bottom w:val="nil"/>
              <w:right w:val="nil"/>
            </w:tcBorders>
            <w:shd w:val="clear" w:color="auto" w:fill="auto"/>
          </w:tcPr>
          <w:p w14:paraId="25EEBCBD"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609D35E7" w14:textId="77777777" w:rsidTr="004B3AED">
        <w:trPr>
          <w:trHeight w:val="290"/>
        </w:trPr>
        <w:tc>
          <w:tcPr>
            <w:tcW w:w="3071" w:type="dxa"/>
            <w:gridSpan w:val="4"/>
            <w:tcBorders>
              <w:top w:val="nil"/>
              <w:left w:val="nil"/>
              <w:bottom w:val="nil"/>
              <w:right w:val="nil"/>
            </w:tcBorders>
            <w:shd w:val="clear" w:color="auto" w:fill="auto"/>
            <w:noWrap/>
            <w:vAlign w:val="bottom"/>
          </w:tcPr>
          <w:p w14:paraId="5ED86657"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2EDAFE69" w14:textId="77777777" w:rsidR="008B27A0" w:rsidRPr="00B2469D" w:rsidRDefault="008B27A0" w:rsidP="004B3AED">
            <w:pPr>
              <w:spacing w:after="0" w:line="360" w:lineRule="auto"/>
              <w:rPr>
                <w:color w:val="000000"/>
                <w:lang w:eastAsia="en-GB"/>
              </w:rPr>
            </w:pPr>
            <w:r>
              <w:rPr>
                <w:color w:val="000000"/>
                <w:lang w:eastAsia="en-GB"/>
              </w:rPr>
              <w:t xml:space="preserve">Harmful </w:t>
            </w:r>
          </w:p>
        </w:tc>
        <w:tc>
          <w:tcPr>
            <w:tcW w:w="876" w:type="dxa"/>
            <w:tcBorders>
              <w:top w:val="nil"/>
              <w:left w:val="nil"/>
              <w:bottom w:val="nil"/>
              <w:right w:val="nil"/>
            </w:tcBorders>
            <w:shd w:val="clear" w:color="auto" w:fill="auto"/>
            <w:vAlign w:val="bottom"/>
          </w:tcPr>
          <w:p w14:paraId="225EBDB7" w14:textId="77777777" w:rsidR="008B27A0" w:rsidRPr="00B2469D" w:rsidRDefault="008B27A0" w:rsidP="004B3AED">
            <w:pPr>
              <w:spacing w:after="0" w:line="360" w:lineRule="auto"/>
              <w:rPr>
                <w:color w:val="000000"/>
                <w:lang w:eastAsia="en-GB"/>
              </w:rPr>
            </w:pPr>
            <w:r>
              <w:rPr>
                <w:color w:val="000000"/>
                <w:lang w:eastAsia="en-GB"/>
              </w:rPr>
              <w:t>17</w:t>
            </w:r>
          </w:p>
        </w:tc>
        <w:tc>
          <w:tcPr>
            <w:tcW w:w="641" w:type="dxa"/>
            <w:tcBorders>
              <w:top w:val="nil"/>
              <w:left w:val="nil"/>
              <w:bottom w:val="nil"/>
              <w:right w:val="nil"/>
            </w:tcBorders>
            <w:shd w:val="clear" w:color="auto" w:fill="auto"/>
          </w:tcPr>
          <w:p w14:paraId="27A0D878"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7E4533" w14:paraId="77000574"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0A29D59C"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01F46A5D"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18A1171A"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64DB31F3" w14:textId="77777777" w:rsidTr="004B3AED">
        <w:trPr>
          <w:trHeight w:val="290"/>
        </w:trPr>
        <w:tc>
          <w:tcPr>
            <w:tcW w:w="1930" w:type="dxa"/>
            <w:tcBorders>
              <w:top w:val="nil"/>
              <w:left w:val="nil"/>
              <w:bottom w:val="nil"/>
              <w:right w:val="nil"/>
            </w:tcBorders>
            <w:shd w:val="clear" w:color="auto" w:fill="auto"/>
            <w:noWrap/>
            <w:vAlign w:val="bottom"/>
          </w:tcPr>
          <w:p w14:paraId="56DE2F25" w14:textId="77777777" w:rsidR="008B27A0" w:rsidRPr="00A454B5" w:rsidRDefault="008B27A0" w:rsidP="004B3AED">
            <w:pPr>
              <w:spacing w:after="0" w:line="360" w:lineRule="auto"/>
              <w:rPr>
                <w:b/>
                <w:color w:val="000000"/>
                <w:lang w:eastAsia="en-GB"/>
              </w:rPr>
            </w:pPr>
            <w:r>
              <w:rPr>
                <w:b/>
                <w:color w:val="000000"/>
                <w:lang w:eastAsia="en-GB"/>
              </w:rPr>
              <w:t>Substitution</w:t>
            </w:r>
          </w:p>
        </w:tc>
        <w:tc>
          <w:tcPr>
            <w:tcW w:w="1141" w:type="dxa"/>
            <w:gridSpan w:val="3"/>
            <w:tcBorders>
              <w:top w:val="nil"/>
              <w:left w:val="nil"/>
              <w:bottom w:val="nil"/>
              <w:right w:val="nil"/>
            </w:tcBorders>
            <w:shd w:val="clear" w:color="auto" w:fill="auto"/>
            <w:vAlign w:val="center"/>
          </w:tcPr>
          <w:p w14:paraId="24C38FF6" w14:textId="77777777" w:rsidR="008B27A0" w:rsidRPr="00A454B5" w:rsidRDefault="008B27A0" w:rsidP="004B3AED">
            <w:pPr>
              <w:spacing w:after="0" w:line="360" w:lineRule="auto"/>
              <w:jc w:val="right"/>
              <w:rPr>
                <w:b/>
                <w:color w:val="000000"/>
                <w:lang w:eastAsia="en-GB"/>
              </w:rPr>
            </w:pPr>
            <w:r>
              <w:rPr>
                <w:b/>
                <w:color w:val="000000"/>
                <w:lang w:eastAsia="en-GB"/>
              </w:rPr>
              <w:t>36</w:t>
            </w:r>
          </w:p>
        </w:tc>
        <w:tc>
          <w:tcPr>
            <w:tcW w:w="4692" w:type="dxa"/>
            <w:tcBorders>
              <w:top w:val="nil"/>
              <w:left w:val="nil"/>
              <w:bottom w:val="nil"/>
              <w:right w:val="nil"/>
            </w:tcBorders>
            <w:shd w:val="clear" w:color="auto" w:fill="auto"/>
            <w:noWrap/>
            <w:vAlign w:val="bottom"/>
          </w:tcPr>
          <w:p w14:paraId="7D768AF5" w14:textId="77777777" w:rsidR="008B27A0" w:rsidRPr="00B2469D" w:rsidRDefault="008B27A0" w:rsidP="004B3AED">
            <w:pPr>
              <w:spacing w:after="0" w:line="360" w:lineRule="auto"/>
              <w:rPr>
                <w:color w:val="000000"/>
                <w:lang w:eastAsia="en-GB"/>
              </w:rPr>
            </w:pPr>
            <w:r>
              <w:rPr>
                <w:color w:val="000000"/>
                <w:lang w:eastAsia="en-GB"/>
              </w:rPr>
              <w:t>More dangerous than traditional drugs</w:t>
            </w:r>
          </w:p>
        </w:tc>
        <w:tc>
          <w:tcPr>
            <w:tcW w:w="876" w:type="dxa"/>
            <w:tcBorders>
              <w:top w:val="nil"/>
              <w:left w:val="nil"/>
              <w:bottom w:val="nil"/>
              <w:right w:val="nil"/>
            </w:tcBorders>
            <w:shd w:val="clear" w:color="auto" w:fill="auto"/>
            <w:vAlign w:val="bottom"/>
          </w:tcPr>
          <w:p w14:paraId="47BDDADB" w14:textId="77777777" w:rsidR="008B27A0" w:rsidRPr="00B2469D" w:rsidRDefault="008B27A0" w:rsidP="004B3AED">
            <w:pPr>
              <w:spacing w:after="0" w:line="360" w:lineRule="auto"/>
              <w:rPr>
                <w:color w:val="000000"/>
                <w:lang w:eastAsia="en-GB"/>
              </w:rPr>
            </w:pPr>
            <w:r>
              <w:rPr>
                <w:color w:val="000000"/>
                <w:lang w:eastAsia="en-GB"/>
              </w:rPr>
              <w:t>32</w:t>
            </w:r>
          </w:p>
        </w:tc>
        <w:tc>
          <w:tcPr>
            <w:tcW w:w="641" w:type="dxa"/>
            <w:tcBorders>
              <w:top w:val="nil"/>
              <w:left w:val="nil"/>
              <w:bottom w:val="nil"/>
              <w:right w:val="nil"/>
            </w:tcBorders>
            <w:shd w:val="clear" w:color="auto" w:fill="auto"/>
          </w:tcPr>
          <w:p w14:paraId="5981D527"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5877F637" w14:textId="77777777" w:rsidTr="004B3AED">
        <w:trPr>
          <w:trHeight w:val="290"/>
        </w:trPr>
        <w:tc>
          <w:tcPr>
            <w:tcW w:w="3071" w:type="dxa"/>
            <w:gridSpan w:val="4"/>
            <w:tcBorders>
              <w:top w:val="nil"/>
              <w:left w:val="nil"/>
              <w:bottom w:val="nil"/>
              <w:right w:val="nil"/>
            </w:tcBorders>
            <w:shd w:val="clear" w:color="auto" w:fill="auto"/>
            <w:noWrap/>
            <w:vAlign w:val="bottom"/>
          </w:tcPr>
          <w:p w14:paraId="48182FFD"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62F5C849" w14:textId="77777777" w:rsidR="008B27A0" w:rsidRPr="00B2469D" w:rsidRDefault="008B27A0" w:rsidP="004B3AED">
            <w:pPr>
              <w:spacing w:after="0" w:line="360" w:lineRule="auto"/>
              <w:rPr>
                <w:color w:val="000000"/>
                <w:lang w:eastAsia="en-GB"/>
              </w:rPr>
            </w:pPr>
            <w:r>
              <w:rPr>
                <w:color w:val="000000"/>
                <w:lang w:eastAsia="en-GB"/>
              </w:rPr>
              <w:t>Traditional drugs are better</w:t>
            </w:r>
          </w:p>
        </w:tc>
        <w:tc>
          <w:tcPr>
            <w:tcW w:w="876" w:type="dxa"/>
            <w:tcBorders>
              <w:top w:val="nil"/>
              <w:left w:val="nil"/>
              <w:bottom w:val="nil"/>
              <w:right w:val="nil"/>
            </w:tcBorders>
            <w:shd w:val="clear" w:color="auto" w:fill="auto"/>
            <w:vAlign w:val="bottom"/>
          </w:tcPr>
          <w:p w14:paraId="0A118E63" w14:textId="77777777" w:rsidR="008B27A0" w:rsidRPr="00B2469D" w:rsidRDefault="008B27A0" w:rsidP="004B3AED">
            <w:pPr>
              <w:spacing w:after="0" w:line="360" w:lineRule="auto"/>
              <w:rPr>
                <w:color w:val="000000"/>
                <w:lang w:eastAsia="en-GB"/>
              </w:rPr>
            </w:pPr>
            <w:r>
              <w:rPr>
                <w:color w:val="000000"/>
                <w:lang w:eastAsia="en-GB"/>
              </w:rPr>
              <w:t>4</w:t>
            </w:r>
          </w:p>
        </w:tc>
        <w:tc>
          <w:tcPr>
            <w:tcW w:w="641" w:type="dxa"/>
            <w:tcBorders>
              <w:top w:val="nil"/>
              <w:left w:val="nil"/>
              <w:bottom w:val="nil"/>
              <w:right w:val="nil"/>
            </w:tcBorders>
            <w:shd w:val="clear" w:color="auto" w:fill="auto"/>
          </w:tcPr>
          <w:p w14:paraId="5E9014B9" w14:textId="77777777" w:rsidR="008B27A0" w:rsidRPr="00B2469D" w:rsidRDefault="008B27A0" w:rsidP="004B3AED">
            <w:pPr>
              <w:spacing w:after="0" w:line="360" w:lineRule="auto"/>
              <w:jc w:val="right"/>
              <w:rPr>
                <w:color w:val="000000"/>
                <w:lang w:eastAsia="en-GB"/>
              </w:rPr>
            </w:pPr>
            <w:r>
              <w:rPr>
                <w:color w:val="000000"/>
                <w:lang w:eastAsia="en-GB"/>
              </w:rPr>
              <w:t>1</w:t>
            </w:r>
          </w:p>
        </w:tc>
      </w:tr>
      <w:tr w:rsidR="008B27A0" w:rsidRPr="007E4533" w14:paraId="5E8EACFF"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0D2D833C"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261053D0"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5B6C232F"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5D7B9C64" w14:textId="77777777" w:rsidTr="004B3AED">
        <w:trPr>
          <w:trHeight w:val="290"/>
        </w:trPr>
        <w:tc>
          <w:tcPr>
            <w:tcW w:w="1930" w:type="dxa"/>
            <w:tcBorders>
              <w:top w:val="nil"/>
              <w:left w:val="nil"/>
              <w:bottom w:val="nil"/>
              <w:right w:val="nil"/>
            </w:tcBorders>
            <w:shd w:val="clear" w:color="auto" w:fill="auto"/>
            <w:noWrap/>
            <w:vAlign w:val="bottom"/>
          </w:tcPr>
          <w:p w14:paraId="228F9432" w14:textId="77777777" w:rsidR="008B27A0" w:rsidRPr="00B2469D" w:rsidRDefault="008B27A0" w:rsidP="004B3AED">
            <w:pPr>
              <w:spacing w:after="0" w:line="360" w:lineRule="auto"/>
              <w:rPr>
                <w:color w:val="000000"/>
                <w:lang w:eastAsia="en-GB"/>
              </w:rPr>
            </w:pPr>
            <w:r>
              <w:rPr>
                <w:b/>
                <w:color w:val="000000"/>
                <w:lang w:eastAsia="en-GB"/>
              </w:rPr>
              <w:t>Pleasure</w:t>
            </w:r>
          </w:p>
        </w:tc>
        <w:tc>
          <w:tcPr>
            <w:tcW w:w="1141" w:type="dxa"/>
            <w:gridSpan w:val="3"/>
            <w:tcBorders>
              <w:top w:val="nil"/>
              <w:left w:val="nil"/>
              <w:bottom w:val="nil"/>
              <w:right w:val="nil"/>
            </w:tcBorders>
            <w:shd w:val="clear" w:color="auto" w:fill="auto"/>
            <w:vAlign w:val="center"/>
          </w:tcPr>
          <w:p w14:paraId="793508AB" w14:textId="77777777" w:rsidR="008B27A0" w:rsidRPr="00A454B5" w:rsidRDefault="008B27A0" w:rsidP="004B3AED">
            <w:pPr>
              <w:spacing w:after="0" w:line="360" w:lineRule="auto"/>
              <w:jc w:val="right"/>
              <w:rPr>
                <w:b/>
                <w:color w:val="000000"/>
                <w:lang w:eastAsia="en-GB"/>
              </w:rPr>
            </w:pPr>
            <w:r>
              <w:rPr>
                <w:b/>
                <w:color w:val="000000"/>
                <w:lang w:eastAsia="en-GB"/>
              </w:rPr>
              <w:t>27</w:t>
            </w:r>
          </w:p>
        </w:tc>
        <w:tc>
          <w:tcPr>
            <w:tcW w:w="4692" w:type="dxa"/>
            <w:tcBorders>
              <w:top w:val="nil"/>
              <w:left w:val="nil"/>
              <w:bottom w:val="nil"/>
              <w:right w:val="nil"/>
            </w:tcBorders>
            <w:shd w:val="clear" w:color="auto" w:fill="auto"/>
            <w:noWrap/>
          </w:tcPr>
          <w:p w14:paraId="029A8568" w14:textId="77777777" w:rsidR="008B27A0" w:rsidRPr="00B2469D" w:rsidRDefault="008B27A0" w:rsidP="004B3AED">
            <w:pPr>
              <w:spacing w:after="0" w:line="360" w:lineRule="auto"/>
              <w:rPr>
                <w:color w:val="000000"/>
                <w:lang w:eastAsia="en-GB"/>
              </w:rPr>
            </w:pPr>
            <w:r>
              <w:rPr>
                <w:color w:val="000000"/>
                <w:lang w:eastAsia="en-GB"/>
              </w:rPr>
              <w:t>Unpleasant effects</w:t>
            </w:r>
          </w:p>
        </w:tc>
        <w:tc>
          <w:tcPr>
            <w:tcW w:w="876" w:type="dxa"/>
            <w:tcBorders>
              <w:top w:val="nil"/>
              <w:left w:val="nil"/>
              <w:bottom w:val="nil"/>
              <w:right w:val="nil"/>
            </w:tcBorders>
            <w:shd w:val="clear" w:color="auto" w:fill="auto"/>
          </w:tcPr>
          <w:p w14:paraId="7CFC8EDD" w14:textId="77777777" w:rsidR="008B27A0" w:rsidRPr="00B2469D" w:rsidRDefault="008B27A0" w:rsidP="004B3AED">
            <w:pPr>
              <w:spacing w:after="0" w:line="360" w:lineRule="auto"/>
              <w:rPr>
                <w:color w:val="000000"/>
                <w:lang w:eastAsia="en-GB"/>
              </w:rPr>
            </w:pPr>
            <w:r>
              <w:rPr>
                <w:color w:val="000000"/>
                <w:lang w:eastAsia="en-GB"/>
              </w:rPr>
              <w:t>18</w:t>
            </w:r>
          </w:p>
        </w:tc>
        <w:tc>
          <w:tcPr>
            <w:tcW w:w="641" w:type="dxa"/>
            <w:tcBorders>
              <w:top w:val="nil"/>
              <w:left w:val="nil"/>
              <w:bottom w:val="nil"/>
              <w:right w:val="nil"/>
            </w:tcBorders>
            <w:shd w:val="clear" w:color="auto" w:fill="auto"/>
          </w:tcPr>
          <w:p w14:paraId="0001BB50"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B2469D" w14:paraId="2D22FB35" w14:textId="77777777" w:rsidTr="004B3AED">
        <w:trPr>
          <w:trHeight w:val="290"/>
        </w:trPr>
        <w:tc>
          <w:tcPr>
            <w:tcW w:w="3071" w:type="dxa"/>
            <w:gridSpan w:val="4"/>
            <w:tcBorders>
              <w:top w:val="nil"/>
              <w:left w:val="nil"/>
              <w:bottom w:val="nil"/>
              <w:right w:val="nil"/>
            </w:tcBorders>
            <w:shd w:val="clear" w:color="auto" w:fill="auto"/>
            <w:noWrap/>
            <w:vAlign w:val="bottom"/>
          </w:tcPr>
          <w:p w14:paraId="6A2B883C"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tcPr>
          <w:p w14:paraId="231660AE" w14:textId="77777777" w:rsidR="008B27A0" w:rsidRPr="00B2469D" w:rsidRDefault="008B27A0" w:rsidP="004B3AED">
            <w:pPr>
              <w:spacing w:after="0" w:line="360" w:lineRule="auto"/>
              <w:rPr>
                <w:color w:val="000000"/>
                <w:lang w:eastAsia="en-GB"/>
              </w:rPr>
            </w:pPr>
            <w:r>
              <w:rPr>
                <w:color w:val="000000"/>
                <w:lang w:eastAsia="en-GB"/>
              </w:rPr>
              <w:t>Bad trip</w:t>
            </w:r>
          </w:p>
        </w:tc>
        <w:tc>
          <w:tcPr>
            <w:tcW w:w="876" w:type="dxa"/>
            <w:tcBorders>
              <w:top w:val="nil"/>
              <w:left w:val="nil"/>
              <w:bottom w:val="nil"/>
              <w:right w:val="nil"/>
            </w:tcBorders>
            <w:shd w:val="clear" w:color="auto" w:fill="auto"/>
          </w:tcPr>
          <w:p w14:paraId="2C87C8DB" w14:textId="77777777" w:rsidR="008B27A0" w:rsidRPr="00B2469D" w:rsidRDefault="008B27A0" w:rsidP="004B3AED">
            <w:pPr>
              <w:spacing w:after="0" w:line="360" w:lineRule="auto"/>
              <w:rPr>
                <w:color w:val="000000"/>
                <w:lang w:eastAsia="en-GB"/>
              </w:rPr>
            </w:pPr>
            <w:r>
              <w:rPr>
                <w:color w:val="000000"/>
                <w:lang w:eastAsia="en-GB"/>
              </w:rPr>
              <w:t>9</w:t>
            </w:r>
          </w:p>
        </w:tc>
        <w:tc>
          <w:tcPr>
            <w:tcW w:w="641" w:type="dxa"/>
            <w:tcBorders>
              <w:top w:val="nil"/>
              <w:left w:val="nil"/>
              <w:bottom w:val="nil"/>
              <w:right w:val="nil"/>
            </w:tcBorders>
            <w:shd w:val="clear" w:color="auto" w:fill="auto"/>
          </w:tcPr>
          <w:p w14:paraId="703144A2"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7E4533" w14:paraId="5633E611"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320BD993"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0BA6B486"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15681D2C"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18DD0C12" w14:textId="77777777" w:rsidTr="004B3AED">
        <w:trPr>
          <w:trHeight w:val="290"/>
        </w:trPr>
        <w:tc>
          <w:tcPr>
            <w:tcW w:w="2226" w:type="dxa"/>
            <w:gridSpan w:val="2"/>
            <w:tcBorders>
              <w:top w:val="nil"/>
              <w:left w:val="nil"/>
              <w:bottom w:val="nil"/>
              <w:right w:val="nil"/>
            </w:tcBorders>
            <w:shd w:val="clear" w:color="auto" w:fill="auto"/>
            <w:noWrap/>
            <w:vAlign w:val="bottom"/>
          </w:tcPr>
          <w:p w14:paraId="200E0626" w14:textId="77777777" w:rsidR="008B27A0" w:rsidRPr="00B2469D" w:rsidRDefault="008B27A0" w:rsidP="004B3AED">
            <w:pPr>
              <w:spacing w:after="0" w:line="360" w:lineRule="auto"/>
              <w:rPr>
                <w:sz w:val="20"/>
                <w:szCs w:val="20"/>
                <w:lang w:eastAsia="en-GB"/>
              </w:rPr>
            </w:pPr>
            <w:r>
              <w:rPr>
                <w:b/>
                <w:color w:val="000000"/>
                <w:lang w:eastAsia="en-GB"/>
              </w:rPr>
              <w:t xml:space="preserve">Authority </w:t>
            </w:r>
          </w:p>
        </w:tc>
        <w:tc>
          <w:tcPr>
            <w:tcW w:w="845" w:type="dxa"/>
            <w:gridSpan w:val="2"/>
            <w:tcBorders>
              <w:top w:val="nil"/>
              <w:left w:val="nil"/>
              <w:bottom w:val="nil"/>
              <w:right w:val="nil"/>
            </w:tcBorders>
            <w:shd w:val="clear" w:color="auto" w:fill="auto"/>
            <w:vAlign w:val="bottom"/>
          </w:tcPr>
          <w:p w14:paraId="550EAFD4" w14:textId="77777777" w:rsidR="008B27A0" w:rsidRPr="00A454B5" w:rsidRDefault="008B27A0" w:rsidP="004B3AED">
            <w:pPr>
              <w:spacing w:after="0" w:line="360" w:lineRule="auto"/>
              <w:jc w:val="right"/>
              <w:rPr>
                <w:b/>
                <w:sz w:val="20"/>
                <w:szCs w:val="20"/>
                <w:lang w:eastAsia="en-GB"/>
              </w:rPr>
            </w:pPr>
            <w:r>
              <w:rPr>
                <w:b/>
                <w:szCs w:val="20"/>
                <w:lang w:eastAsia="en-GB"/>
              </w:rPr>
              <w:t>23</w:t>
            </w:r>
          </w:p>
        </w:tc>
        <w:tc>
          <w:tcPr>
            <w:tcW w:w="4692" w:type="dxa"/>
            <w:tcBorders>
              <w:top w:val="nil"/>
              <w:left w:val="nil"/>
              <w:bottom w:val="nil"/>
              <w:right w:val="nil"/>
            </w:tcBorders>
            <w:shd w:val="clear" w:color="auto" w:fill="auto"/>
            <w:noWrap/>
            <w:vAlign w:val="bottom"/>
          </w:tcPr>
          <w:p w14:paraId="2F7C318E" w14:textId="77777777" w:rsidR="008B27A0" w:rsidRPr="00B2469D" w:rsidRDefault="008B27A0" w:rsidP="004B3AED">
            <w:pPr>
              <w:spacing w:after="0" w:line="360" w:lineRule="auto"/>
              <w:rPr>
                <w:color w:val="000000"/>
                <w:lang w:eastAsia="en-GB"/>
              </w:rPr>
            </w:pPr>
            <w:r>
              <w:rPr>
                <w:color w:val="000000"/>
                <w:lang w:eastAsia="en-GB"/>
              </w:rPr>
              <w:t xml:space="preserve">Parents disapprove of use </w:t>
            </w:r>
          </w:p>
        </w:tc>
        <w:tc>
          <w:tcPr>
            <w:tcW w:w="876" w:type="dxa"/>
            <w:tcBorders>
              <w:top w:val="nil"/>
              <w:left w:val="nil"/>
              <w:bottom w:val="nil"/>
              <w:right w:val="nil"/>
            </w:tcBorders>
            <w:shd w:val="clear" w:color="auto" w:fill="auto"/>
            <w:vAlign w:val="bottom"/>
          </w:tcPr>
          <w:p w14:paraId="4A85F0BF" w14:textId="77777777" w:rsidR="008B27A0" w:rsidRPr="00B2469D" w:rsidRDefault="008B27A0" w:rsidP="004B3AED">
            <w:pPr>
              <w:spacing w:after="0" w:line="360" w:lineRule="auto"/>
              <w:rPr>
                <w:color w:val="000000"/>
                <w:lang w:eastAsia="en-GB"/>
              </w:rPr>
            </w:pPr>
            <w:r>
              <w:rPr>
                <w:color w:val="000000"/>
                <w:lang w:eastAsia="en-GB"/>
              </w:rPr>
              <w:t>13</w:t>
            </w:r>
          </w:p>
        </w:tc>
        <w:tc>
          <w:tcPr>
            <w:tcW w:w="641" w:type="dxa"/>
            <w:tcBorders>
              <w:top w:val="nil"/>
              <w:left w:val="nil"/>
              <w:bottom w:val="nil"/>
              <w:right w:val="nil"/>
            </w:tcBorders>
            <w:shd w:val="clear" w:color="auto" w:fill="auto"/>
          </w:tcPr>
          <w:p w14:paraId="0F71B944" w14:textId="77777777" w:rsidR="008B27A0" w:rsidRPr="00B2469D" w:rsidRDefault="008B27A0" w:rsidP="004B3AED">
            <w:pPr>
              <w:spacing w:after="0" w:line="360" w:lineRule="auto"/>
              <w:jc w:val="right"/>
              <w:rPr>
                <w:color w:val="000000"/>
                <w:lang w:eastAsia="en-GB"/>
              </w:rPr>
            </w:pPr>
            <w:r w:rsidRPr="00B2469D">
              <w:rPr>
                <w:color w:val="000000"/>
                <w:lang w:eastAsia="en-GB"/>
              </w:rPr>
              <w:t>3</w:t>
            </w:r>
          </w:p>
        </w:tc>
      </w:tr>
      <w:tr w:rsidR="008B27A0" w:rsidRPr="00B2469D" w14:paraId="5E2F231D" w14:textId="77777777" w:rsidTr="004B3AED">
        <w:trPr>
          <w:trHeight w:val="290"/>
        </w:trPr>
        <w:tc>
          <w:tcPr>
            <w:tcW w:w="1930" w:type="dxa"/>
            <w:tcBorders>
              <w:top w:val="nil"/>
              <w:left w:val="nil"/>
              <w:bottom w:val="nil"/>
              <w:right w:val="nil"/>
            </w:tcBorders>
            <w:shd w:val="clear" w:color="auto" w:fill="auto"/>
            <w:noWrap/>
            <w:vAlign w:val="bottom"/>
          </w:tcPr>
          <w:p w14:paraId="7324C203" w14:textId="77777777" w:rsidR="008B27A0" w:rsidRPr="00A454B5" w:rsidRDefault="008B27A0" w:rsidP="004B3AED">
            <w:pPr>
              <w:spacing w:after="0" w:line="360" w:lineRule="auto"/>
              <w:rPr>
                <w:b/>
                <w:szCs w:val="24"/>
                <w:lang w:eastAsia="en-GB"/>
              </w:rPr>
            </w:pPr>
          </w:p>
        </w:tc>
        <w:tc>
          <w:tcPr>
            <w:tcW w:w="1141" w:type="dxa"/>
            <w:gridSpan w:val="3"/>
            <w:tcBorders>
              <w:top w:val="nil"/>
              <w:left w:val="nil"/>
              <w:bottom w:val="nil"/>
              <w:right w:val="nil"/>
            </w:tcBorders>
            <w:shd w:val="clear" w:color="auto" w:fill="auto"/>
            <w:vAlign w:val="bottom"/>
          </w:tcPr>
          <w:p w14:paraId="6433E520" w14:textId="77777777" w:rsidR="008B27A0" w:rsidRPr="00A454B5" w:rsidRDefault="008B27A0" w:rsidP="004B3AED">
            <w:pPr>
              <w:spacing w:after="0" w:line="360" w:lineRule="auto"/>
              <w:rPr>
                <w:b/>
                <w:szCs w:val="24"/>
                <w:lang w:eastAsia="en-GB"/>
              </w:rPr>
            </w:pPr>
          </w:p>
        </w:tc>
        <w:tc>
          <w:tcPr>
            <w:tcW w:w="4692" w:type="dxa"/>
            <w:tcBorders>
              <w:top w:val="nil"/>
              <w:left w:val="nil"/>
              <w:bottom w:val="nil"/>
              <w:right w:val="nil"/>
            </w:tcBorders>
            <w:shd w:val="clear" w:color="auto" w:fill="auto"/>
            <w:noWrap/>
            <w:vAlign w:val="bottom"/>
          </w:tcPr>
          <w:p w14:paraId="35E9D62A" w14:textId="77777777" w:rsidR="008B27A0" w:rsidRPr="00B2469D" w:rsidRDefault="008B27A0" w:rsidP="004B3AED">
            <w:pPr>
              <w:spacing w:after="0" w:line="360" w:lineRule="auto"/>
              <w:rPr>
                <w:color w:val="000000"/>
                <w:lang w:eastAsia="en-GB"/>
              </w:rPr>
            </w:pPr>
            <w:r>
              <w:rPr>
                <w:color w:val="000000"/>
                <w:lang w:eastAsia="en-GB"/>
              </w:rPr>
              <w:t>Authority figures disapprove</w:t>
            </w:r>
          </w:p>
        </w:tc>
        <w:tc>
          <w:tcPr>
            <w:tcW w:w="876" w:type="dxa"/>
            <w:tcBorders>
              <w:top w:val="nil"/>
              <w:left w:val="nil"/>
              <w:bottom w:val="nil"/>
              <w:right w:val="nil"/>
            </w:tcBorders>
            <w:shd w:val="clear" w:color="auto" w:fill="auto"/>
            <w:vAlign w:val="bottom"/>
          </w:tcPr>
          <w:p w14:paraId="66C9E56B" w14:textId="77777777" w:rsidR="008B27A0" w:rsidRPr="00B2469D" w:rsidRDefault="008B27A0" w:rsidP="004B3AED">
            <w:pPr>
              <w:spacing w:after="0" w:line="360" w:lineRule="auto"/>
              <w:rPr>
                <w:color w:val="000000"/>
                <w:lang w:eastAsia="en-GB"/>
              </w:rPr>
            </w:pPr>
            <w:r>
              <w:rPr>
                <w:color w:val="000000"/>
                <w:lang w:eastAsia="en-GB"/>
              </w:rPr>
              <w:t>10</w:t>
            </w:r>
          </w:p>
        </w:tc>
        <w:tc>
          <w:tcPr>
            <w:tcW w:w="641" w:type="dxa"/>
            <w:tcBorders>
              <w:top w:val="nil"/>
              <w:left w:val="nil"/>
              <w:bottom w:val="nil"/>
              <w:right w:val="nil"/>
            </w:tcBorders>
            <w:shd w:val="clear" w:color="auto" w:fill="auto"/>
          </w:tcPr>
          <w:p w14:paraId="6A7323BE" w14:textId="77777777" w:rsidR="008B27A0" w:rsidRPr="00B2469D" w:rsidRDefault="008B27A0" w:rsidP="004B3AED">
            <w:pPr>
              <w:spacing w:after="0" w:line="360" w:lineRule="auto"/>
              <w:jc w:val="right"/>
              <w:rPr>
                <w:color w:val="000000"/>
                <w:lang w:eastAsia="en-GB"/>
              </w:rPr>
            </w:pPr>
            <w:r>
              <w:rPr>
                <w:color w:val="000000"/>
                <w:lang w:eastAsia="en-GB"/>
              </w:rPr>
              <w:t>2</w:t>
            </w:r>
          </w:p>
        </w:tc>
      </w:tr>
      <w:tr w:rsidR="008B27A0" w:rsidRPr="007E4533" w14:paraId="0D8ECA7B"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5162E960"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5A9FD98C"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4169A940"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151B488E" w14:textId="77777777" w:rsidTr="004B3AED">
        <w:trPr>
          <w:trHeight w:val="290"/>
        </w:trPr>
        <w:tc>
          <w:tcPr>
            <w:tcW w:w="1930" w:type="dxa"/>
            <w:tcBorders>
              <w:top w:val="nil"/>
              <w:left w:val="nil"/>
              <w:bottom w:val="nil"/>
              <w:right w:val="nil"/>
            </w:tcBorders>
            <w:shd w:val="clear" w:color="auto" w:fill="auto"/>
            <w:noWrap/>
            <w:vAlign w:val="bottom"/>
          </w:tcPr>
          <w:p w14:paraId="39FA7613" w14:textId="77777777" w:rsidR="008B27A0" w:rsidRPr="00B2469D" w:rsidRDefault="008B27A0" w:rsidP="004B3AED">
            <w:pPr>
              <w:spacing w:after="0" w:line="360" w:lineRule="auto"/>
              <w:rPr>
                <w:sz w:val="20"/>
                <w:szCs w:val="20"/>
                <w:lang w:eastAsia="en-GB"/>
              </w:rPr>
            </w:pPr>
            <w:r>
              <w:rPr>
                <w:b/>
                <w:color w:val="000000"/>
                <w:lang w:eastAsia="en-GB"/>
              </w:rPr>
              <w:t>Identity</w:t>
            </w:r>
          </w:p>
        </w:tc>
        <w:tc>
          <w:tcPr>
            <w:tcW w:w="1141" w:type="dxa"/>
            <w:gridSpan w:val="3"/>
            <w:tcBorders>
              <w:top w:val="nil"/>
              <w:left w:val="nil"/>
              <w:bottom w:val="nil"/>
              <w:right w:val="nil"/>
            </w:tcBorders>
            <w:shd w:val="clear" w:color="auto" w:fill="auto"/>
            <w:vAlign w:val="center"/>
          </w:tcPr>
          <w:p w14:paraId="589082E1" w14:textId="77777777" w:rsidR="008B27A0" w:rsidRPr="00A454B5" w:rsidRDefault="008B27A0" w:rsidP="004B3AED">
            <w:pPr>
              <w:spacing w:after="0" w:line="360" w:lineRule="auto"/>
              <w:jc w:val="right"/>
              <w:rPr>
                <w:b/>
                <w:sz w:val="20"/>
                <w:szCs w:val="20"/>
                <w:lang w:eastAsia="en-GB"/>
              </w:rPr>
            </w:pPr>
            <w:r>
              <w:rPr>
                <w:b/>
                <w:szCs w:val="20"/>
                <w:lang w:eastAsia="en-GB"/>
              </w:rPr>
              <w:t>21</w:t>
            </w:r>
          </w:p>
        </w:tc>
        <w:tc>
          <w:tcPr>
            <w:tcW w:w="4692" w:type="dxa"/>
            <w:tcBorders>
              <w:top w:val="nil"/>
              <w:left w:val="nil"/>
              <w:bottom w:val="nil"/>
              <w:right w:val="nil"/>
            </w:tcBorders>
            <w:shd w:val="clear" w:color="auto" w:fill="auto"/>
            <w:noWrap/>
            <w:vAlign w:val="bottom"/>
          </w:tcPr>
          <w:p w14:paraId="3AF9D29F" w14:textId="77777777" w:rsidR="008B27A0" w:rsidRPr="00B2469D" w:rsidRDefault="008B27A0" w:rsidP="004B3AED">
            <w:pPr>
              <w:spacing w:after="0" w:line="360" w:lineRule="auto"/>
              <w:rPr>
                <w:color w:val="000000"/>
                <w:lang w:eastAsia="en-GB"/>
              </w:rPr>
            </w:pPr>
            <w:r>
              <w:rPr>
                <w:color w:val="000000"/>
                <w:lang w:eastAsia="en-GB"/>
              </w:rPr>
              <w:t xml:space="preserve">Users are underage kids </w:t>
            </w:r>
          </w:p>
        </w:tc>
        <w:tc>
          <w:tcPr>
            <w:tcW w:w="876" w:type="dxa"/>
            <w:tcBorders>
              <w:top w:val="nil"/>
              <w:left w:val="nil"/>
              <w:bottom w:val="nil"/>
              <w:right w:val="nil"/>
            </w:tcBorders>
            <w:shd w:val="clear" w:color="auto" w:fill="auto"/>
            <w:vAlign w:val="bottom"/>
          </w:tcPr>
          <w:p w14:paraId="1D11F249" w14:textId="77777777" w:rsidR="008B27A0" w:rsidRPr="00B2469D" w:rsidRDefault="008B27A0" w:rsidP="004B3AED">
            <w:pPr>
              <w:spacing w:after="0" w:line="360" w:lineRule="auto"/>
              <w:rPr>
                <w:color w:val="000000"/>
                <w:lang w:eastAsia="en-GB"/>
              </w:rPr>
            </w:pPr>
            <w:r>
              <w:rPr>
                <w:color w:val="000000"/>
                <w:lang w:eastAsia="en-GB"/>
              </w:rPr>
              <w:t>8</w:t>
            </w:r>
          </w:p>
        </w:tc>
        <w:tc>
          <w:tcPr>
            <w:tcW w:w="641" w:type="dxa"/>
            <w:tcBorders>
              <w:top w:val="nil"/>
              <w:left w:val="nil"/>
              <w:bottom w:val="nil"/>
              <w:right w:val="nil"/>
            </w:tcBorders>
            <w:shd w:val="clear" w:color="auto" w:fill="auto"/>
          </w:tcPr>
          <w:p w14:paraId="548889CC" w14:textId="77777777" w:rsidR="008B27A0" w:rsidRPr="00B2469D" w:rsidRDefault="008B27A0" w:rsidP="004B3AED">
            <w:pPr>
              <w:spacing w:after="0" w:line="360" w:lineRule="auto"/>
              <w:jc w:val="right"/>
              <w:rPr>
                <w:color w:val="000000"/>
                <w:lang w:eastAsia="en-GB"/>
              </w:rPr>
            </w:pPr>
            <w:r>
              <w:rPr>
                <w:color w:val="000000"/>
                <w:lang w:eastAsia="en-GB"/>
              </w:rPr>
              <w:t>2</w:t>
            </w:r>
          </w:p>
        </w:tc>
      </w:tr>
      <w:tr w:rsidR="008B27A0" w:rsidRPr="00B2469D" w14:paraId="464E1A85" w14:textId="77777777" w:rsidTr="004B3AED">
        <w:trPr>
          <w:trHeight w:val="290"/>
        </w:trPr>
        <w:tc>
          <w:tcPr>
            <w:tcW w:w="1930" w:type="dxa"/>
            <w:tcBorders>
              <w:top w:val="nil"/>
              <w:left w:val="nil"/>
              <w:bottom w:val="nil"/>
              <w:right w:val="nil"/>
            </w:tcBorders>
            <w:shd w:val="clear" w:color="auto" w:fill="auto"/>
            <w:noWrap/>
            <w:vAlign w:val="bottom"/>
          </w:tcPr>
          <w:p w14:paraId="52BB2336" w14:textId="77777777" w:rsidR="008B27A0" w:rsidRDefault="008B27A0" w:rsidP="004B3AED">
            <w:pPr>
              <w:spacing w:after="0" w:line="360" w:lineRule="auto"/>
              <w:rPr>
                <w:b/>
                <w:color w:val="000000"/>
                <w:lang w:eastAsia="en-GB"/>
              </w:rPr>
            </w:pPr>
          </w:p>
        </w:tc>
        <w:tc>
          <w:tcPr>
            <w:tcW w:w="1141" w:type="dxa"/>
            <w:gridSpan w:val="3"/>
            <w:tcBorders>
              <w:top w:val="nil"/>
              <w:left w:val="nil"/>
              <w:bottom w:val="nil"/>
              <w:right w:val="nil"/>
            </w:tcBorders>
            <w:shd w:val="clear" w:color="auto" w:fill="auto"/>
            <w:vAlign w:val="center"/>
          </w:tcPr>
          <w:p w14:paraId="7042AE39" w14:textId="77777777" w:rsidR="008B27A0" w:rsidRDefault="008B27A0" w:rsidP="004B3AED">
            <w:pPr>
              <w:spacing w:after="0" w:line="360" w:lineRule="auto"/>
              <w:jc w:val="right"/>
              <w:rPr>
                <w:b/>
                <w:szCs w:val="20"/>
                <w:lang w:eastAsia="en-GB"/>
              </w:rPr>
            </w:pPr>
          </w:p>
        </w:tc>
        <w:tc>
          <w:tcPr>
            <w:tcW w:w="4692" w:type="dxa"/>
            <w:tcBorders>
              <w:top w:val="nil"/>
              <w:left w:val="nil"/>
              <w:bottom w:val="nil"/>
              <w:right w:val="nil"/>
            </w:tcBorders>
            <w:shd w:val="clear" w:color="auto" w:fill="auto"/>
            <w:noWrap/>
            <w:vAlign w:val="bottom"/>
          </w:tcPr>
          <w:p w14:paraId="4922B838" w14:textId="77777777" w:rsidR="008B27A0" w:rsidRDefault="008B27A0" w:rsidP="004B3AED">
            <w:pPr>
              <w:spacing w:after="0" w:line="360" w:lineRule="auto"/>
              <w:rPr>
                <w:color w:val="000000"/>
                <w:lang w:eastAsia="en-GB"/>
              </w:rPr>
            </w:pPr>
            <w:r>
              <w:rPr>
                <w:color w:val="000000"/>
                <w:lang w:eastAsia="en-GB"/>
              </w:rPr>
              <w:t>Non-users are clued up</w:t>
            </w:r>
          </w:p>
        </w:tc>
        <w:tc>
          <w:tcPr>
            <w:tcW w:w="876" w:type="dxa"/>
            <w:tcBorders>
              <w:top w:val="nil"/>
              <w:left w:val="nil"/>
              <w:bottom w:val="nil"/>
              <w:right w:val="nil"/>
            </w:tcBorders>
            <w:shd w:val="clear" w:color="auto" w:fill="auto"/>
            <w:vAlign w:val="bottom"/>
          </w:tcPr>
          <w:p w14:paraId="54020B64" w14:textId="77777777" w:rsidR="008B27A0" w:rsidRDefault="008B27A0" w:rsidP="004B3AED">
            <w:pPr>
              <w:spacing w:after="0" w:line="360" w:lineRule="auto"/>
              <w:rPr>
                <w:color w:val="000000"/>
                <w:lang w:eastAsia="en-GB"/>
              </w:rPr>
            </w:pPr>
            <w:r>
              <w:rPr>
                <w:color w:val="000000"/>
                <w:lang w:eastAsia="en-GB"/>
              </w:rPr>
              <w:t>7</w:t>
            </w:r>
          </w:p>
        </w:tc>
        <w:tc>
          <w:tcPr>
            <w:tcW w:w="641" w:type="dxa"/>
            <w:tcBorders>
              <w:top w:val="nil"/>
              <w:left w:val="nil"/>
              <w:bottom w:val="nil"/>
              <w:right w:val="nil"/>
            </w:tcBorders>
            <w:shd w:val="clear" w:color="auto" w:fill="auto"/>
          </w:tcPr>
          <w:p w14:paraId="6D7BED5E" w14:textId="77777777" w:rsidR="008B27A0" w:rsidRDefault="008B27A0" w:rsidP="004B3AED">
            <w:pPr>
              <w:spacing w:after="0" w:line="360" w:lineRule="auto"/>
              <w:jc w:val="right"/>
              <w:rPr>
                <w:color w:val="000000"/>
                <w:lang w:eastAsia="en-GB"/>
              </w:rPr>
            </w:pPr>
            <w:r>
              <w:rPr>
                <w:color w:val="000000"/>
                <w:lang w:eastAsia="en-GB"/>
              </w:rPr>
              <w:t>2</w:t>
            </w:r>
          </w:p>
        </w:tc>
      </w:tr>
      <w:tr w:rsidR="008B27A0" w:rsidRPr="00B2469D" w14:paraId="4F4412B4" w14:textId="77777777" w:rsidTr="004B3AED">
        <w:trPr>
          <w:trHeight w:val="290"/>
        </w:trPr>
        <w:tc>
          <w:tcPr>
            <w:tcW w:w="3071" w:type="dxa"/>
            <w:gridSpan w:val="4"/>
            <w:tcBorders>
              <w:top w:val="nil"/>
              <w:left w:val="nil"/>
              <w:bottom w:val="nil"/>
              <w:right w:val="nil"/>
            </w:tcBorders>
            <w:shd w:val="clear" w:color="auto" w:fill="auto"/>
            <w:noWrap/>
            <w:vAlign w:val="bottom"/>
          </w:tcPr>
          <w:p w14:paraId="3D5C4565" w14:textId="77777777" w:rsidR="008B27A0" w:rsidRPr="00B2469D" w:rsidRDefault="008B27A0" w:rsidP="004B3AED">
            <w:pPr>
              <w:spacing w:after="0" w:line="360" w:lineRule="auto"/>
              <w:rPr>
                <w:color w:val="000000"/>
                <w:lang w:eastAsia="en-GB"/>
              </w:rPr>
            </w:pPr>
          </w:p>
        </w:tc>
        <w:tc>
          <w:tcPr>
            <w:tcW w:w="4692" w:type="dxa"/>
            <w:tcBorders>
              <w:top w:val="nil"/>
              <w:left w:val="nil"/>
              <w:bottom w:val="nil"/>
              <w:right w:val="nil"/>
            </w:tcBorders>
            <w:shd w:val="clear" w:color="auto" w:fill="auto"/>
            <w:noWrap/>
            <w:vAlign w:val="bottom"/>
          </w:tcPr>
          <w:p w14:paraId="17DF0ECF" w14:textId="77777777" w:rsidR="008B27A0" w:rsidRPr="00B2469D" w:rsidRDefault="008B27A0" w:rsidP="004B3AED">
            <w:pPr>
              <w:spacing w:after="0" w:line="360" w:lineRule="auto"/>
              <w:rPr>
                <w:color w:val="000000"/>
                <w:lang w:eastAsia="en-GB"/>
              </w:rPr>
            </w:pPr>
            <w:r>
              <w:rPr>
                <w:color w:val="000000"/>
                <w:lang w:eastAsia="en-GB"/>
              </w:rPr>
              <w:t>Users are homeless people</w:t>
            </w:r>
          </w:p>
        </w:tc>
        <w:tc>
          <w:tcPr>
            <w:tcW w:w="876" w:type="dxa"/>
            <w:tcBorders>
              <w:top w:val="nil"/>
              <w:left w:val="nil"/>
              <w:bottom w:val="nil"/>
              <w:right w:val="nil"/>
            </w:tcBorders>
            <w:shd w:val="clear" w:color="auto" w:fill="auto"/>
            <w:vAlign w:val="bottom"/>
          </w:tcPr>
          <w:p w14:paraId="6347C9E1" w14:textId="77777777" w:rsidR="008B27A0" w:rsidRPr="00B2469D" w:rsidRDefault="008B27A0" w:rsidP="004B3AED">
            <w:pPr>
              <w:spacing w:after="0" w:line="360" w:lineRule="auto"/>
              <w:rPr>
                <w:color w:val="000000"/>
                <w:lang w:eastAsia="en-GB"/>
              </w:rPr>
            </w:pPr>
            <w:r>
              <w:rPr>
                <w:color w:val="000000"/>
                <w:lang w:eastAsia="en-GB"/>
              </w:rPr>
              <w:t>6</w:t>
            </w:r>
          </w:p>
        </w:tc>
        <w:tc>
          <w:tcPr>
            <w:tcW w:w="641" w:type="dxa"/>
            <w:tcBorders>
              <w:top w:val="nil"/>
              <w:left w:val="nil"/>
              <w:bottom w:val="nil"/>
              <w:right w:val="nil"/>
            </w:tcBorders>
            <w:shd w:val="clear" w:color="auto" w:fill="auto"/>
          </w:tcPr>
          <w:p w14:paraId="54189CCC" w14:textId="77777777" w:rsidR="008B27A0" w:rsidRPr="00B2469D" w:rsidRDefault="008B27A0" w:rsidP="004B3AED">
            <w:pPr>
              <w:spacing w:after="0" w:line="360" w:lineRule="auto"/>
              <w:jc w:val="right"/>
              <w:rPr>
                <w:color w:val="000000"/>
                <w:lang w:eastAsia="en-GB"/>
              </w:rPr>
            </w:pPr>
            <w:r>
              <w:rPr>
                <w:color w:val="000000"/>
                <w:lang w:eastAsia="en-GB"/>
              </w:rPr>
              <w:t>1</w:t>
            </w:r>
          </w:p>
        </w:tc>
      </w:tr>
      <w:tr w:rsidR="008B27A0" w:rsidRPr="007E4533" w14:paraId="2C73C8B8"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018E6002"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4E05CD52"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4FA29D27"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46F147B5" w14:textId="77777777" w:rsidTr="004B3AED">
        <w:trPr>
          <w:trHeight w:val="290"/>
        </w:trPr>
        <w:tc>
          <w:tcPr>
            <w:tcW w:w="1930" w:type="dxa"/>
            <w:tcBorders>
              <w:top w:val="nil"/>
              <w:left w:val="nil"/>
              <w:bottom w:val="nil"/>
              <w:right w:val="nil"/>
            </w:tcBorders>
            <w:shd w:val="clear" w:color="auto" w:fill="auto"/>
            <w:noWrap/>
            <w:vAlign w:val="bottom"/>
          </w:tcPr>
          <w:p w14:paraId="70E815BB" w14:textId="77777777" w:rsidR="008B27A0" w:rsidRPr="00A454B5" w:rsidRDefault="008B27A0" w:rsidP="004B3AED">
            <w:pPr>
              <w:spacing w:after="0" w:line="360" w:lineRule="auto"/>
              <w:rPr>
                <w:b/>
                <w:szCs w:val="24"/>
                <w:lang w:eastAsia="en-GB"/>
              </w:rPr>
            </w:pPr>
            <w:r>
              <w:rPr>
                <w:b/>
                <w:color w:val="000000"/>
                <w:szCs w:val="24"/>
                <w:lang w:eastAsia="en-GB"/>
              </w:rPr>
              <w:t xml:space="preserve">Social influence </w:t>
            </w:r>
          </w:p>
        </w:tc>
        <w:tc>
          <w:tcPr>
            <w:tcW w:w="1141" w:type="dxa"/>
            <w:gridSpan w:val="3"/>
            <w:tcBorders>
              <w:top w:val="nil"/>
              <w:left w:val="nil"/>
              <w:bottom w:val="nil"/>
              <w:right w:val="nil"/>
            </w:tcBorders>
            <w:shd w:val="clear" w:color="auto" w:fill="auto"/>
            <w:vAlign w:val="center"/>
          </w:tcPr>
          <w:p w14:paraId="12968D70" w14:textId="77777777" w:rsidR="008B27A0" w:rsidRPr="00A454B5" w:rsidRDefault="008B27A0" w:rsidP="004B3AED">
            <w:pPr>
              <w:spacing w:after="0" w:line="360" w:lineRule="auto"/>
              <w:jc w:val="right"/>
              <w:rPr>
                <w:b/>
                <w:szCs w:val="24"/>
                <w:lang w:eastAsia="en-GB"/>
              </w:rPr>
            </w:pPr>
            <w:r>
              <w:rPr>
                <w:b/>
                <w:szCs w:val="24"/>
                <w:lang w:eastAsia="en-GB"/>
              </w:rPr>
              <w:t>8</w:t>
            </w:r>
          </w:p>
        </w:tc>
        <w:tc>
          <w:tcPr>
            <w:tcW w:w="4692" w:type="dxa"/>
            <w:tcBorders>
              <w:top w:val="nil"/>
              <w:left w:val="nil"/>
              <w:bottom w:val="nil"/>
              <w:right w:val="nil"/>
            </w:tcBorders>
            <w:shd w:val="clear" w:color="auto" w:fill="auto"/>
            <w:noWrap/>
            <w:vAlign w:val="bottom"/>
          </w:tcPr>
          <w:p w14:paraId="34BCC7BF" w14:textId="77777777" w:rsidR="008B27A0" w:rsidRPr="00B2469D" w:rsidRDefault="008B27A0" w:rsidP="004B3AED">
            <w:pPr>
              <w:spacing w:after="0" w:line="360" w:lineRule="auto"/>
              <w:rPr>
                <w:color w:val="000000"/>
                <w:lang w:eastAsia="en-GB"/>
              </w:rPr>
            </w:pPr>
            <w:r>
              <w:rPr>
                <w:color w:val="000000"/>
                <w:lang w:eastAsia="en-GB"/>
              </w:rPr>
              <w:t xml:space="preserve">Friends disapprove of use </w:t>
            </w:r>
          </w:p>
        </w:tc>
        <w:tc>
          <w:tcPr>
            <w:tcW w:w="876" w:type="dxa"/>
            <w:tcBorders>
              <w:top w:val="nil"/>
              <w:left w:val="nil"/>
              <w:bottom w:val="nil"/>
              <w:right w:val="nil"/>
            </w:tcBorders>
            <w:shd w:val="clear" w:color="auto" w:fill="auto"/>
            <w:vAlign w:val="bottom"/>
          </w:tcPr>
          <w:p w14:paraId="4947BDDB" w14:textId="77777777" w:rsidR="008B27A0" w:rsidRPr="00B2469D" w:rsidRDefault="008B27A0" w:rsidP="004B3AED">
            <w:pPr>
              <w:spacing w:after="0" w:line="360" w:lineRule="auto"/>
              <w:rPr>
                <w:color w:val="000000"/>
                <w:lang w:eastAsia="en-GB"/>
              </w:rPr>
            </w:pPr>
            <w:r>
              <w:rPr>
                <w:color w:val="000000"/>
                <w:lang w:eastAsia="en-GB"/>
              </w:rPr>
              <w:t>3</w:t>
            </w:r>
          </w:p>
        </w:tc>
        <w:tc>
          <w:tcPr>
            <w:tcW w:w="641" w:type="dxa"/>
            <w:tcBorders>
              <w:top w:val="nil"/>
              <w:left w:val="nil"/>
              <w:bottom w:val="nil"/>
              <w:right w:val="nil"/>
            </w:tcBorders>
            <w:shd w:val="clear" w:color="auto" w:fill="auto"/>
          </w:tcPr>
          <w:p w14:paraId="604B61BC" w14:textId="77777777" w:rsidR="008B27A0" w:rsidRPr="00B2469D" w:rsidRDefault="008B27A0" w:rsidP="004B3AED">
            <w:pPr>
              <w:spacing w:after="0" w:line="360" w:lineRule="auto"/>
              <w:jc w:val="right"/>
              <w:rPr>
                <w:color w:val="000000"/>
                <w:lang w:eastAsia="en-GB"/>
              </w:rPr>
            </w:pPr>
            <w:r>
              <w:rPr>
                <w:color w:val="000000"/>
                <w:lang w:eastAsia="en-GB"/>
              </w:rPr>
              <w:t>1</w:t>
            </w:r>
          </w:p>
        </w:tc>
      </w:tr>
      <w:tr w:rsidR="008B27A0" w:rsidRPr="00B2469D" w14:paraId="7D2CC1B2" w14:textId="77777777" w:rsidTr="004B3AED">
        <w:trPr>
          <w:trHeight w:val="290"/>
        </w:trPr>
        <w:tc>
          <w:tcPr>
            <w:tcW w:w="3071" w:type="dxa"/>
            <w:gridSpan w:val="4"/>
            <w:tcBorders>
              <w:top w:val="nil"/>
              <w:left w:val="nil"/>
              <w:bottom w:val="nil"/>
              <w:right w:val="nil"/>
            </w:tcBorders>
            <w:shd w:val="clear" w:color="auto" w:fill="auto"/>
            <w:noWrap/>
            <w:vAlign w:val="bottom"/>
          </w:tcPr>
          <w:p w14:paraId="3158BF80"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34B755B0" w14:textId="77777777" w:rsidR="008B27A0" w:rsidRPr="00B2469D" w:rsidRDefault="008B27A0" w:rsidP="004B3AED">
            <w:pPr>
              <w:spacing w:after="0" w:line="360" w:lineRule="auto"/>
              <w:rPr>
                <w:color w:val="000000"/>
                <w:lang w:eastAsia="en-GB"/>
              </w:rPr>
            </w:pPr>
            <w:r>
              <w:rPr>
                <w:color w:val="000000"/>
                <w:lang w:eastAsia="en-GB"/>
              </w:rPr>
              <w:t xml:space="preserve">Socially unacceptable </w:t>
            </w:r>
          </w:p>
        </w:tc>
        <w:tc>
          <w:tcPr>
            <w:tcW w:w="876" w:type="dxa"/>
            <w:tcBorders>
              <w:top w:val="nil"/>
              <w:left w:val="nil"/>
              <w:bottom w:val="nil"/>
              <w:right w:val="nil"/>
            </w:tcBorders>
            <w:shd w:val="clear" w:color="auto" w:fill="auto"/>
            <w:vAlign w:val="bottom"/>
          </w:tcPr>
          <w:p w14:paraId="785EFFA6" w14:textId="77777777" w:rsidR="008B27A0" w:rsidRPr="00B2469D" w:rsidRDefault="008B27A0" w:rsidP="004B3AED">
            <w:pPr>
              <w:spacing w:after="0" w:line="360" w:lineRule="auto"/>
              <w:rPr>
                <w:color w:val="000000"/>
                <w:lang w:eastAsia="en-GB"/>
              </w:rPr>
            </w:pPr>
            <w:r>
              <w:rPr>
                <w:color w:val="000000"/>
                <w:lang w:eastAsia="en-GB"/>
              </w:rPr>
              <w:t>3</w:t>
            </w:r>
          </w:p>
        </w:tc>
        <w:tc>
          <w:tcPr>
            <w:tcW w:w="641" w:type="dxa"/>
            <w:tcBorders>
              <w:top w:val="nil"/>
              <w:left w:val="nil"/>
              <w:bottom w:val="nil"/>
              <w:right w:val="nil"/>
            </w:tcBorders>
            <w:shd w:val="clear" w:color="auto" w:fill="auto"/>
          </w:tcPr>
          <w:p w14:paraId="6F8284C7" w14:textId="77777777" w:rsidR="008B27A0" w:rsidRPr="00B2469D" w:rsidRDefault="008B27A0" w:rsidP="004B3AED">
            <w:pPr>
              <w:spacing w:after="0" w:line="360" w:lineRule="auto"/>
              <w:jc w:val="right"/>
              <w:rPr>
                <w:color w:val="000000"/>
                <w:lang w:eastAsia="en-GB"/>
              </w:rPr>
            </w:pPr>
            <w:r>
              <w:rPr>
                <w:color w:val="000000"/>
                <w:lang w:eastAsia="en-GB"/>
              </w:rPr>
              <w:t>1</w:t>
            </w:r>
          </w:p>
        </w:tc>
      </w:tr>
      <w:tr w:rsidR="008B27A0" w:rsidRPr="00B2469D" w14:paraId="3B436A37" w14:textId="77777777" w:rsidTr="004B3AED">
        <w:trPr>
          <w:trHeight w:val="290"/>
        </w:trPr>
        <w:tc>
          <w:tcPr>
            <w:tcW w:w="3071" w:type="dxa"/>
            <w:gridSpan w:val="4"/>
            <w:tcBorders>
              <w:top w:val="nil"/>
              <w:left w:val="nil"/>
              <w:bottom w:val="nil"/>
              <w:right w:val="nil"/>
            </w:tcBorders>
            <w:shd w:val="clear" w:color="auto" w:fill="auto"/>
            <w:noWrap/>
            <w:vAlign w:val="bottom"/>
          </w:tcPr>
          <w:p w14:paraId="390FD029" w14:textId="77777777" w:rsidR="008B27A0" w:rsidRPr="00B2469D" w:rsidRDefault="008B27A0" w:rsidP="004B3AED">
            <w:pPr>
              <w:spacing w:after="0" w:line="360" w:lineRule="auto"/>
              <w:rPr>
                <w:sz w:val="20"/>
                <w:szCs w:val="20"/>
                <w:lang w:eastAsia="en-GB"/>
              </w:rPr>
            </w:pPr>
          </w:p>
        </w:tc>
        <w:tc>
          <w:tcPr>
            <w:tcW w:w="4692" w:type="dxa"/>
            <w:tcBorders>
              <w:top w:val="nil"/>
              <w:left w:val="nil"/>
              <w:bottom w:val="nil"/>
              <w:right w:val="nil"/>
            </w:tcBorders>
            <w:shd w:val="clear" w:color="auto" w:fill="auto"/>
            <w:noWrap/>
            <w:vAlign w:val="bottom"/>
          </w:tcPr>
          <w:p w14:paraId="2EB19089" w14:textId="77777777" w:rsidR="008B27A0" w:rsidRDefault="008B27A0" w:rsidP="004B3AED">
            <w:pPr>
              <w:spacing w:after="0" w:line="360" w:lineRule="auto"/>
              <w:rPr>
                <w:color w:val="000000"/>
                <w:lang w:eastAsia="en-GB"/>
              </w:rPr>
            </w:pPr>
            <w:r>
              <w:rPr>
                <w:color w:val="000000"/>
                <w:lang w:eastAsia="en-GB"/>
              </w:rPr>
              <w:t xml:space="preserve">Resist social pressure </w:t>
            </w:r>
          </w:p>
        </w:tc>
        <w:tc>
          <w:tcPr>
            <w:tcW w:w="876" w:type="dxa"/>
            <w:tcBorders>
              <w:top w:val="nil"/>
              <w:left w:val="nil"/>
              <w:bottom w:val="nil"/>
              <w:right w:val="nil"/>
            </w:tcBorders>
            <w:shd w:val="clear" w:color="auto" w:fill="auto"/>
            <w:vAlign w:val="bottom"/>
          </w:tcPr>
          <w:p w14:paraId="6D0290DD" w14:textId="77777777" w:rsidR="008B27A0" w:rsidRDefault="008B27A0" w:rsidP="004B3AED">
            <w:pPr>
              <w:spacing w:after="0" w:line="360" w:lineRule="auto"/>
              <w:rPr>
                <w:color w:val="000000"/>
                <w:lang w:eastAsia="en-GB"/>
              </w:rPr>
            </w:pPr>
            <w:r>
              <w:rPr>
                <w:color w:val="000000"/>
                <w:lang w:eastAsia="en-GB"/>
              </w:rPr>
              <w:t>2</w:t>
            </w:r>
          </w:p>
        </w:tc>
        <w:tc>
          <w:tcPr>
            <w:tcW w:w="641" w:type="dxa"/>
            <w:tcBorders>
              <w:top w:val="nil"/>
              <w:left w:val="nil"/>
              <w:bottom w:val="nil"/>
              <w:right w:val="nil"/>
            </w:tcBorders>
            <w:shd w:val="clear" w:color="auto" w:fill="auto"/>
          </w:tcPr>
          <w:p w14:paraId="167C57DD" w14:textId="77777777" w:rsidR="008B27A0" w:rsidRDefault="008B27A0" w:rsidP="004B3AED">
            <w:pPr>
              <w:spacing w:after="0" w:line="360" w:lineRule="auto"/>
              <w:jc w:val="right"/>
              <w:rPr>
                <w:color w:val="000000"/>
                <w:lang w:eastAsia="en-GB"/>
              </w:rPr>
            </w:pPr>
            <w:r>
              <w:rPr>
                <w:color w:val="000000"/>
                <w:lang w:eastAsia="en-GB"/>
              </w:rPr>
              <w:t>1</w:t>
            </w:r>
          </w:p>
        </w:tc>
      </w:tr>
      <w:tr w:rsidR="008B27A0" w:rsidRPr="007E4533" w14:paraId="03A5F481"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244E8AE9"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7433D8B2"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040D0C85" w14:textId="77777777" w:rsidR="008B27A0" w:rsidRPr="007E4533" w:rsidRDefault="008B27A0" w:rsidP="004B3AED">
            <w:pPr>
              <w:spacing w:after="0" w:line="360" w:lineRule="auto"/>
              <w:jc w:val="right"/>
              <w:rPr>
                <w:b/>
                <w:color w:val="000000"/>
                <w:sz w:val="2"/>
                <w:szCs w:val="2"/>
                <w:lang w:eastAsia="en-GB"/>
              </w:rPr>
            </w:pPr>
          </w:p>
        </w:tc>
      </w:tr>
      <w:tr w:rsidR="008B27A0" w:rsidRPr="00B2469D" w14:paraId="65A7ADEA" w14:textId="77777777" w:rsidTr="004B3AED">
        <w:trPr>
          <w:trHeight w:val="290"/>
        </w:trPr>
        <w:tc>
          <w:tcPr>
            <w:tcW w:w="2509" w:type="dxa"/>
            <w:gridSpan w:val="3"/>
            <w:tcBorders>
              <w:top w:val="nil"/>
              <w:left w:val="nil"/>
              <w:bottom w:val="nil"/>
              <w:right w:val="nil"/>
            </w:tcBorders>
            <w:shd w:val="clear" w:color="auto" w:fill="auto"/>
            <w:noWrap/>
            <w:vAlign w:val="bottom"/>
          </w:tcPr>
          <w:p w14:paraId="10A1B675" w14:textId="77777777" w:rsidR="008B27A0" w:rsidRPr="00B2469D" w:rsidRDefault="008B27A0" w:rsidP="004B3AED">
            <w:pPr>
              <w:spacing w:after="0" w:line="360" w:lineRule="auto"/>
              <w:rPr>
                <w:sz w:val="20"/>
                <w:szCs w:val="20"/>
                <w:lang w:eastAsia="en-GB"/>
              </w:rPr>
            </w:pPr>
            <w:r>
              <w:rPr>
                <w:b/>
                <w:color w:val="000000"/>
                <w:lang w:eastAsia="en-GB"/>
              </w:rPr>
              <w:t xml:space="preserve">Accessibility </w:t>
            </w:r>
          </w:p>
        </w:tc>
        <w:tc>
          <w:tcPr>
            <w:tcW w:w="562" w:type="dxa"/>
            <w:tcBorders>
              <w:top w:val="nil"/>
              <w:left w:val="nil"/>
              <w:bottom w:val="nil"/>
              <w:right w:val="nil"/>
            </w:tcBorders>
            <w:shd w:val="clear" w:color="auto" w:fill="auto"/>
            <w:vAlign w:val="center"/>
          </w:tcPr>
          <w:p w14:paraId="26E165D2" w14:textId="77777777" w:rsidR="008B27A0" w:rsidRPr="00A454B5" w:rsidRDefault="008B27A0" w:rsidP="004B3AED">
            <w:pPr>
              <w:spacing w:after="0" w:line="360" w:lineRule="auto"/>
              <w:jc w:val="right"/>
              <w:rPr>
                <w:b/>
                <w:sz w:val="20"/>
                <w:szCs w:val="20"/>
                <w:lang w:eastAsia="en-GB"/>
              </w:rPr>
            </w:pPr>
            <w:r>
              <w:rPr>
                <w:b/>
                <w:szCs w:val="20"/>
                <w:lang w:eastAsia="en-GB"/>
              </w:rPr>
              <w:t>3</w:t>
            </w:r>
          </w:p>
        </w:tc>
        <w:tc>
          <w:tcPr>
            <w:tcW w:w="4692" w:type="dxa"/>
            <w:tcBorders>
              <w:top w:val="nil"/>
              <w:left w:val="nil"/>
              <w:bottom w:val="nil"/>
              <w:right w:val="nil"/>
            </w:tcBorders>
            <w:shd w:val="clear" w:color="auto" w:fill="auto"/>
            <w:noWrap/>
            <w:vAlign w:val="bottom"/>
          </w:tcPr>
          <w:p w14:paraId="300BEF6C" w14:textId="77777777" w:rsidR="008B27A0" w:rsidRPr="00B2469D" w:rsidRDefault="008B27A0" w:rsidP="004B3AED">
            <w:pPr>
              <w:spacing w:after="0" w:line="360" w:lineRule="auto"/>
              <w:rPr>
                <w:color w:val="000000"/>
                <w:lang w:eastAsia="en-GB"/>
              </w:rPr>
            </w:pPr>
            <w:r>
              <w:rPr>
                <w:color w:val="000000"/>
                <w:lang w:eastAsia="en-GB"/>
              </w:rPr>
              <w:t>Waste of money</w:t>
            </w:r>
          </w:p>
        </w:tc>
        <w:tc>
          <w:tcPr>
            <w:tcW w:w="876" w:type="dxa"/>
            <w:tcBorders>
              <w:top w:val="nil"/>
              <w:left w:val="nil"/>
              <w:bottom w:val="nil"/>
              <w:right w:val="nil"/>
            </w:tcBorders>
            <w:shd w:val="clear" w:color="auto" w:fill="auto"/>
            <w:vAlign w:val="bottom"/>
          </w:tcPr>
          <w:p w14:paraId="54ECDCAC" w14:textId="77777777" w:rsidR="008B27A0" w:rsidRPr="00B2469D" w:rsidRDefault="008B27A0" w:rsidP="004B3AED">
            <w:pPr>
              <w:spacing w:after="0" w:line="360" w:lineRule="auto"/>
              <w:rPr>
                <w:color w:val="000000"/>
                <w:lang w:eastAsia="en-GB"/>
              </w:rPr>
            </w:pPr>
            <w:r>
              <w:rPr>
                <w:color w:val="000000"/>
                <w:lang w:eastAsia="en-GB"/>
              </w:rPr>
              <w:t>3</w:t>
            </w:r>
          </w:p>
        </w:tc>
        <w:tc>
          <w:tcPr>
            <w:tcW w:w="641" w:type="dxa"/>
            <w:tcBorders>
              <w:top w:val="nil"/>
              <w:left w:val="nil"/>
              <w:bottom w:val="nil"/>
              <w:right w:val="nil"/>
            </w:tcBorders>
            <w:shd w:val="clear" w:color="auto" w:fill="auto"/>
          </w:tcPr>
          <w:p w14:paraId="1DDA958B" w14:textId="77777777" w:rsidR="008B27A0" w:rsidRPr="00B2469D" w:rsidRDefault="008B27A0" w:rsidP="004B3AED">
            <w:pPr>
              <w:spacing w:after="0" w:line="360" w:lineRule="auto"/>
              <w:jc w:val="right"/>
              <w:rPr>
                <w:color w:val="000000"/>
                <w:lang w:eastAsia="en-GB"/>
              </w:rPr>
            </w:pPr>
            <w:r>
              <w:rPr>
                <w:color w:val="000000"/>
                <w:lang w:eastAsia="en-GB"/>
              </w:rPr>
              <w:t>3</w:t>
            </w:r>
          </w:p>
        </w:tc>
      </w:tr>
      <w:tr w:rsidR="008B27A0" w:rsidRPr="007E4533" w14:paraId="3C4BD735" w14:textId="77777777" w:rsidTr="004B3AED">
        <w:trPr>
          <w:trHeight w:val="77"/>
        </w:trPr>
        <w:tc>
          <w:tcPr>
            <w:tcW w:w="7763" w:type="dxa"/>
            <w:gridSpan w:val="5"/>
            <w:tcBorders>
              <w:top w:val="single" w:sz="4" w:space="0" w:color="auto"/>
              <w:left w:val="nil"/>
              <w:bottom w:val="nil"/>
              <w:right w:val="nil"/>
            </w:tcBorders>
            <w:shd w:val="clear" w:color="auto" w:fill="auto"/>
            <w:noWrap/>
            <w:vAlign w:val="bottom"/>
          </w:tcPr>
          <w:p w14:paraId="6CC7E197" w14:textId="77777777" w:rsidR="008B27A0" w:rsidRPr="007E4533" w:rsidRDefault="008B27A0" w:rsidP="004B3AED">
            <w:pPr>
              <w:spacing w:after="0" w:line="360" w:lineRule="auto"/>
              <w:rPr>
                <w:b/>
                <w:color w:val="000000"/>
                <w:sz w:val="2"/>
                <w:szCs w:val="2"/>
                <w:lang w:eastAsia="en-GB"/>
              </w:rPr>
            </w:pPr>
            <w:r w:rsidRPr="007E4533">
              <w:rPr>
                <w:b/>
                <w:color w:val="FFFFFF" w:themeColor="background1"/>
                <w:sz w:val="2"/>
                <w:szCs w:val="2"/>
                <w:lang w:eastAsia="en-GB"/>
              </w:rPr>
              <w:t>N</w:t>
            </w:r>
          </w:p>
        </w:tc>
        <w:tc>
          <w:tcPr>
            <w:tcW w:w="876" w:type="dxa"/>
            <w:tcBorders>
              <w:top w:val="single" w:sz="4" w:space="0" w:color="auto"/>
              <w:left w:val="nil"/>
              <w:bottom w:val="nil"/>
              <w:right w:val="nil"/>
            </w:tcBorders>
            <w:shd w:val="clear" w:color="auto" w:fill="auto"/>
            <w:vAlign w:val="bottom"/>
          </w:tcPr>
          <w:p w14:paraId="4B265A29" w14:textId="77777777" w:rsidR="008B27A0" w:rsidRPr="007E4533" w:rsidRDefault="008B27A0" w:rsidP="004B3AED">
            <w:pPr>
              <w:spacing w:after="0" w:line="360" w:lineRule="auto"/>
              <w:rPr>
                <w:b/>
                <w:color w:val="000000"/>
                <w:sz w:val="2"/>
                <w:szCs w:val="2"/>
                <w:lang w:eastAsia="en-GB"/>
              </w:rPr>
            </w:pPr>
          </w:p>
        </w:tc>
        <w:tc>
          <w:tcPr>
            <w:tcW w:w="641" w:type="dxa"/>
            <w:tcBorders>
              <w:top w:val="single" w:sz="4" w:space="0" w:color="auto"/>
              <w:left w:val="nil"/>
              <w:bottom w:val="nil"/>
              <w:right w:val="nil"/>
            </w:tcBorders>
            <w:shd w:val="clear" w:color="auto" w:fill="auto"/>
          </w:tcPr>
          <w:p w14:paraId="195DBDEC" w14:textId="77777777" w:rsidR="008B27A0" w:rsidRPr="007E4533" w:rsidRDefault="008B27A0" w:rsidP="004B3AED">
            <w:pPr>
              <w:spacing w:after="0" w:line="360" w:lineRule="auto"/>
              <w:jc w:val="right"/>
              <w:rPr>
                <w:b/>
                <w:color w:val="000000"/>
                <w:sz w:val="2"/>
                <w:szCs w:val="2"/>
                <w:lang w:eastAsia="en-GB"/>
              </w:rPr>
            </w:pPr>
          </w:p>
        </w:tc>
      </w:tr>
    </w:tbl>
    <w:p w14:paraId="448BE93D" w14:textId="77777777" w:rsidR="008B27A0" w:rsidRDefault="008B27A0" w:rsidP="008B27A0">
      <w:pPr>
        <w:rPr>
          <w:rStyle w:val="Heading3Char"/>
          <w:b w:val="0"/>
        </w:rPr>
      </w:pPr>
    </w:p>
    <w:p w14:paraId="467FB2F5" w14:textId="77777777" w:rsidR="008B27A0" w:rsidRDefault="008B27A0" w:rsidP="008B27A0">
      <w:pPr>
        <w:rPr>
          <w:rStyle w:val="Heading4Char"/>
          <w:iCs w:val="0"/>
          <w:color w:val="000000"/>
          <w:sz w:val="22"/>
        </w:rPr>
      </w:pPr>
      <w:r>
        <w:rPr>
          <w:rStyle w:val="Heading4Char"/>
          <w:b w:val="0"/>
          <w:bCs w:val="0"/>
          <w:iCs w:val="0"/>
        </w:rPr>
        <w:br w:type="page"/>
      </w:r>
    </w:p>
    <w:p w14:paraId="2C014D21" w14:textId="429E09CB" w:rsidR="008B27A0" w:rsidRPr="0048055C" w:rsidRDefault="008B27A0" w:rsidP="008B27A0">
      <w:pPr>
        <w:pStyle w:val="Heading3"/>
        <w:rPr>
          <w:rStyle w:val="Heading4Char"/>
          <w:b/>
          <w:bCs/>
          <w:iCs w:val="0"/>
        </w:rPr>
      </w:pPr>
      <w:bookmarkStart w:id="419" w:name="_Toc35892680"/>
      <w:r>
        <w:rPr>
          <w:rStyle w:val="Heading4Char"/>
          <w:b/>
          <w:bCs/>
          <w:iCs w:val="0"/>
        </w:rPr>
        <w:t>M</w:t>
      </w:r>
      <w:r w:rsidRPr="0048055C">
        <w:rPr>
          <w:rStyle w:val="Heading4Char"/>
          <w:b/>
          <w:bCs/>
          <w:iCs w:val="0"/>
        </w:rPr>
        <w:t>otivations</w:t>
      </w:r>
      <w:r>
        <w:rPr>
          <w:rStyle w:val="Heading4Char"/>
          <w:b/>
          <w:bCs/>
          <w:iCs w:val="0"/>
        </w:rPr>
        <w:t xml:space="preserve"> and model fit</w:t>
      </w:r>
      <w:bookmarkEnd w:id="419"/>
    </w:p>
    <w:p w14:paraId="48F8A296" w14:textId="60F27623" w:rsidR="008B27A0" w:rsidRDefault="008B27A0" w:rsidP="00735864">
      <w:pPr>
        <w:spacing w:line="480" w:lineRule="auto"/>
      </w:pPr>
      <w:r>
        <w:t xml:space="preserve">Motivations </w:t>
      </w:r>
      <w:r w:rsidRPr="005041BE">
        <w:t xml:space="preserve">were identified using </w:t>
      </w:r>
      <w:r>
        <w:t>the</w:t>
      </w:r>
      <w:r w:rsidRPr="005041BE">
        <w:t xml:space="preserve"> two-step process</w:t>
      </w:r>
      <w:r>
        <w:t xml:space="preserve"> described in Chapter 4 Section 4.7.6. Table 8 presents the results as a set of outcome expectancies for taking NPS, comprising 12 expectancies for positive outcomes assesses as encouraging use of NPS, and 8 expectancies for negative outcomes assessed as discouraging use of NPS. The expectancies are shown in Table </w:t>
      </w:r>
      <w:r w:rsidR="00735864" w:rsidRPr="00735864">
        <w:t>6-</w:t>
      </w:r>
      <w:r>
        <w:t xml:space="preserve">8 mapped onto the 10 motivational domains and 5 corresponding social cognition model constructs. The 5 model constructs were selected </w:t>
      </w:r>
      <w:r w:rsidR="0012086A">
        <w:t>based on</w:t>
      </w:r>
      <w:r>
        <w:t xml:space="preserve"> their goodness of fit with the 10 motivational domains identified. See Chapter 4 Section 4.7.7 for a more detailed description of the selection process. </w:t>
      </w:r>
    </w:p>
    <w:p w14:paraId="058225CB" w14:textId="77777777" w:rsidR="008B27A0" w:rsidRPr="001F7FB3" w:rsidRDefault="008B27A0" w:rsidP="008B27A0"/>
    <w:p w14:paraId="6CF0934B" w14:textId="77777777" w:rsidR="008B27A0" w:rsidRDefault="008B27A0" w:rsidP="008B27A0">
      <w:pPr>
        <w:pStyle w:val="Heading3"/>
        <w:numPr>
          <w:ilvl w:val="0"/>
          <w:numId w:val="0"/>
        </w:numPr>
        <w:ind w:left="720"/>
        <w:rPr>
          <w:b w:val="0"/>
          <w:bCs w:val="0"/>
          <w:color w:val="auto"/>
        </w:rPr>
      </w:pPr>
    </w:p>
    <w:p w14:paraId="644F8713" w14:textId="77777777" w:rsidR="008B27A0" w:rsidRPr="001F7FB3" w:rsidRDefault="008B27A0" w:rsidP="008B27A0">
      <w:pPr>
        <w:sectPr w:rsidR="008B27A0" w:rsidRPr="001F7FB3" w:rsidSect="006419B7">
          <w:headerReference w:type="default" r:id="rId65"/>
          <w:pgSz w:w="11900" w:h="16840"/>
          <w:pgMar w:top="1418" w:right="1418" w:bottom="1135" w:left="1418" w:header="709" w:footer="709" w:gutter="0"/>
          <w:cols w:space="708"/>
          <w:docGrid w:linePitch="360"/>
        </w:sectPr>
      </w:pPr>
    </w:p>
    <w:p w14:paraId="59FDD438" w14:textId="720E4E8F" w:rsidR="008B27A0" w:rsidRPr="004B3AED" w:rsidRDefault="008B27A0" w:rsidP="004B3AED">
      <w:pPr>
        <w:pStyle w:val="TableHeader"/>
        <w:rPr>
          <w:rStyle w:val="Heading3Char"/>
          <w:b w:val="0"/>
          <w:bCs w:val="0"/>
          <w:color w:val="auto"/>
        </w:rPr>
      </w:pPr>
      <w:bookmarkStart w:id="420" w:name="_Toc9509073"/>
      <w:r w:rsidRPr="004B3AED">
        <w:rPr>
          <w:b/>
        </w:rPr>
        <w:t xml:space="preserve">Table </w:t>
      </w:r>
      <w:r w:rsidR="00735864">
        <w:rPr>
          <w:b/>
        </w:rPr>
        <w:t>6-</w:t>
      </w:r>
      <w:r w:rsidRPr="004B3AED">
        <w:rPr>
          <w:b/>
        </w:rPr>
        <w:t>8. Taking NPS: Outcome expectancies, behavioural beliefs and motivations mapped onto social cognition model constructs</w:t>
      </w:r>
      <w:bookmarkEnd w:id="420"/>
    </w:p>
    <w:tbl>
      <w:tblPr>
        <w:tblW w:w="14142" w:type="dxa"/>
        <w:tblLayout w:type="fixed"/>
        <w:tblLook w:val="04A0" w:firstRow="1" w:lastRow="0" w:firstColumn="1" w:lastColumn="0" w:noHBand="0" w:noVBand="1"/>
      </w:tblPr>
      <w:tblGrid>
        <w:gridCol w:w="6062"/>
        <w:gridCol w:w="4252"/>
        <w:gridCol w:w="3828"/>
      </w:tblGrid>
      <w:tr w:rsidR="008B27A0" w:rsidRPr="00B2469D" w14:paraId="7D665D36" w14:textId="77777777" w:rsidTr="004B3AED">
        <w:trPr>
          <w:trHeight w:val="290"/>
        </w:trPr>
        <w:tc>
          <w:tcPr>
            <w:tcW w:w="6062" w:type="dxa"/>
            <w:tcBorders>
              <w:top w:val="single" w:sz="4" w:space="0" w:color="auto"/>
            </w:tcBorders>
            <w:shd w:val="clear" w:color="auto" w:fill="auto"/>
            <w:noWrap/>
          </w:tcPr>
          <w:p w14:paraId="79C34CE5" w14:textId="77777777" w:rsidR="008B27A0" w:rsidRPr="00B2469D" w:rsidRDefault="008B27A0" w:rsidP="004B3AED">
            <w:pPr>
              <w:spacing w:before="120" w:after="120" w:line="240" w:lineRule="auto"/>
              <w:rPr>
                <w:b/>
                <w:color w:val="000000"/>
                <w:lang w:eastAsia="en-GB"/>
              </w:rPr>
            </w:pPr>
            <w:r>
              <w:rPr>
                <w:b/>
                <w:color w:val="000000"/>
                <w:lang w:eastAsia="en-GB"/>
              </w:rPr>
              <w:t>Model construct</w:t>
            </w:r>
            <w:r w:rsidRPr="00F77C59">
              <w:rPr>
                <w:i/>
                <w:color w:val="000000"/>
                <w:lang w:eastAsia="en-GB"/>
              </w:rPr>
              <w:t xml:space="preserve"> </w:t>
            </w:r>
            <w:r>
              <w:rPr>
                <w:i/>
                <w:color w:val="000000"/>
                <w:lang w:eastAsia="en-GB"/>
              </w:rPr>
              <w:tab/>
            </w:r>
            <w:r>
              <w:rPr>
                <w:i/>
                <w:color w:val="000000"/>
                <w:lang w:eastAsia="en-GB"/>
              </w:rPr>
              <w:tab/>
            </w:r>
            <w:r>
              <w:rPr>
                <w:i/>
                <w:color w:val="000000"/>
                <w:lang w:eastAsia="en-GB"/>
              </w:rPr>
              <w:tab/>
            </w:r>
            <w:r w:rsidRPr="00F77C59">
              <w:rPr>
                <w:i/>
                <w:color w:val="000000"/>
                <w:lang w:eastAsia="en-GB"/>
              </w:rPr>
              <w:t>Motivational domain</w:t>
            </w:r>
          </w:p>
        </w:tc>
        <w:tc>
          <w:tcPr>
            <w:tcW w:w="8080" w:type="dxa"/>
            <w:gridSpan w:val="2"/>
            <w:tcBorders>
              <w:top w:val="single" w:sz="4" w:space="0" w:color="auto"/>
              <w:bottom w:val="single" w:sz="4" w:space="0" w:color="auto"/>
            </w:tcBorders>
            <w:shd w:val="clear" w:color="auto" w:fill="auto"/>
          </w:tcPr>
          <w:p w14:paraId="5469E440" w14:textId="77777777" w:rsidR="008B27A0" w:rsidRPr="00B2469D" w:rsidRDefault="008B27A0" w:rsidP="004B3AED">
            <w:pPr>
              <w:spacing w:before="120" w:after="120" w:line="240" w:lineRule="auto"/>
              <w:jc w:val="center"/>
              <w:rPr>
                <w:b/>
                <w:color w:val="000000"/>
                <w:lang w:eastAsia="en-GB"/>
              </w:rPr>
            </w:pPr>
            <w:r>
              <w:rPr>
                <w:b/>
                <w:color w:val="000000"/>
                <w:lang w:eastAsia="en-GB"/>
              </w:rPr>
              <w:t>Outcome expectancies for taking NPS</w:t>
            </w:r>
          </w:p>
        </w:tc>
      </w:tr>
      <w:tr w:rsidR="008B27A0" w:rsidRPr="003B5878" w14:paraId="534DDC71" w14:textId="77777777" w:rsidTr="004B3AED">
        <w:trPr>
          <w:trHeight w:val="290"/>
        </w:trPr>
        <w:tc>
          <w:tcPr>
            <w:tcW w:w="6062" w:type="dxa"/>
            <w:tcBorders>
              <w:bottom w:val="single" w:sz="4" w:space="0" w:color="auto"/>
            </w:tcBorders>
            <w:shd w:val="clear" w:color="auto" w:fill="auto"/>
            <w:noWrap/>
          </w:tcPr>
          <w:p w14:paraId="5B12EB62" w14:textId="77777777" w:rsidR="008B27A0" w:rsidRPr="00F77C59" w:rsidRDefault="008B27A0" w:rsidP="004B3AED">
            <w:pPr>
              <w:spacing w:before="120" w:after="120" w:line="240" w:lineRule="auto"/>
              <w:rPr>
                <w:i/>
                <w:color w:val="000000"/>
                <w:sz w:val="22"/>
                <w:lang w:eastAsia="en-GB"/>
              </w:rPr>
            </w:pPr>
          </w:p>
        </w:tc>
        <w:tc>
          <w:tcPr>
            <w:tcW w:w="4252" w:type="dxa"/>
            <w:tcBorders>
              <w:top w:val="single" w:sz="4" w:space="0" w:color="auto"/>
              <w:bottom w:val="single" w:sz="4" w:space="0" w:color="auto"/>
            </w:tcBorders>
            <w:shd w:val="clear" w:color="auto" w:fill="auto"/>
          </w:tcPr>
          <w:p w14:paraId="7FDCF7B9" w14:textId="77777777" w:rsidR="008B27A0" w:rsidRPr="003B5878" w:rsidRDefault="008B27A0" w:rsidP="004B3AED">
            <w:pPr>
              <w:spacing w:before="120" w:after="120" w:line="240" w:lineRule="auto"/>
              <w:rPr>
                <w:b/>
                <w:color w:val="000000"/>
                <w:sz w:val="22"/>
                <w:lang w:eastAsia="en-GB"/>
              </w:rPr>
            </w:pPr>
            <w:r>
              <w:rPr>
                <w:b/>
                <w:color w:val="000000"/>
                <w:sz w:val="22"/>
                <w:lang w:eastAsia="en-GB"/>
              </w:rPr>
              <w:t xml:space="preserve">Positive outcomes </w:t>
            </w:r>
          </w:p>
        </w:tc>
        <w:tc>
          <w:tcPr>
            <w:tcW w:w="3828" w:type="dxa"/>
            <w:tcBorders>
              <w:top w:val="single" w:sz="4" w:space="0" w:color="auto"/>
              <w:bottom w:val="single" w:sz="4" w:space="0" w:color="auto"/>
            </w:tcBorders>
            <w:shd w:val="clear" w:color="auto" w:fill="auto"/>
          </w:tcPr>
          <w:p w14:paraId="5B186E57" w14:textId="77777777" w:rsidR="008B27A0" w:rsidRPr="003B5878" w:rsidRDefault="008B27A0" w:rsidP="004B3AED">
            <w:pPr>
              <w:spacing w:before="120" w:after="120" w:line="240" w:lineRule="auto"/>
              <w:rPr>
                <w:b/>
                <w:color w:val="000000"/>
                <w:sz w:val="22"/>
                <w:lang w:eastAsia="en-GB"/>
              </w:rPr>
            </w:pPr>
            <w:r>
              <w:rPr>
                <w:b/>
                <w:color w:val="000000"/>
                <w:sz w:val="22"/>
                <w:lang w:eastAsia="en-GB"/>
              </w:rPr>
              <w:t xml:space="preserve">Negative outcomes </w:t>
            </w:r>
          </w:p>
        </w:tc>
      </w:tr>
      <w:tr w:rsidR="008B27A0" w:rsidRPr="00B2469D" w14:paraId="15C43967" w14:textId="77777777" w:rsidTr="004B3AED">
        <w:trPr>
          <w:trHeight w:val="142"/>
        </w:trPr>
        <w:tc>
          <w:tcPr>
            <w:tcW w:w="6062" w:type="dxa"/>
            <w:tcBorders>
              <w:bottom w:val="single" w:sz="4" w:space="0" w:color="auto"/>
            </w:tcBorders>
            <w:shd w:val="clear" w:color="auto" w:fill="auto"/>
            <w:noWrap/>
          </w:tcPr>
          <w:p w14:paraId="6D0EB6E9" w14:textId="77777777" w:rsidR="008B27A0" w:rsidRPr="00525EED" w:rsidRDefault="008B27A0" w:rsidP="004B3AED">
            <w:pPr>
              <w:spacing w:before="240" w:after="240" w:line="240" w:lineRule="auto"/>
              <w:rPr>
                <w:i/>
                <w:color w:val="000000"/>
                <w:szCs w:val="24"/>
                <w:lang w:eastAsia="en-GB"/>
              </w:rPr>
            </w:pPr>
            <w:r w:rsidRPr="00525EED">
              <w:rPr>
                <w:b/>
                <w:color w:val="000000"/>
                <w:szCs w:val="24"/>
                <w:lang w:eastAsia="en-GB"/>
              </w:rPr>
              <w:t xml:space="preserve">Cognitive </w:t>
            </w:r>
            <w:r>
              <w:rPr>
                <w:b/>
                <w:color w:val="000000"/>
                <w:szCs w:val="24"/>
                <w:lang w:eastAsia="en-GB"/>
              </w:rPr>
              <w:t>attitude</w:t>
            </w:r>
            <w:r w:rsidRPr="00525EED">
              <w:rPr>
                <w:b/>
                <w:color w:val="000000"/>
                <w:szCs w:val="24"/>
                <w:lang w:eastAsia="en-GB"/>
              </w:rPr>
              <w:tab/>
            </w:r>
            <w:r>
              <w:rPr>
                <w:b/>
                <w:color w:val="000000"/>
                <w:szCs w:val="24"/>
                <w:lang w:eastAsia="en-GB"/>
              </w:rPr>
              <w:tab/>
            </w:r>
            <w:r>
              <w:rPr>
                <w:b/>
                <w:color w:val="000000"/>
                <w:szCs w:val="24"/>
                <w:lang w:eastAsia="en-GB"/>
              </w:rPr>
              <w:tab/>
            </w:r>
            <w:r w:rsidRPr="00525EED">
              <w:rPr>
                <w:i/>
                <w:color w:val="000000"/>
                <w:szCs w:val="24"/>
                <w:lang w:eastAsia="en-GB"/>
              </w:rPr>
              <w:t xml:space="preserve">Health </w:t>
            </w:r>
          </w:p>
        </w:tc>
        <w:tc>
          <w:tcPr>
            <w:tcW w:w="4252" w:type="dxa"/>
            <w:tcBorders>
              <w:bottom w:val="single" w:sz="4" w:space="0" w:color="auto"/>
            </w:tcBorders>
            <w:shd w:val="clear" w:color="auto" w:fill="auto"/>
          </w:tcPr>
          <w:p w14:paraId="688BFD02" w14:textId="77777777" w:rsidR="008B27A0" w:rsidRPr="00BF6839" w:rsidRDefault="008B27A0" w:rsidP="004B3AED">
            <w:pPr>
              <w:spacing w:before="240" w:after="240" w:line="240" w:lineRule="auto"/>
              <w:rPr>
                <w:color w:val="000000"/>
                <w:lang w:eastAsia="en-GB"/>
              </w:rPr>
            </w:pPr>
            <w:r w:rsidRPr="00BF6839">
              <w:rPr>
                <w:color w:val="000000"/>
                <w:lang w:eastAsia="en-GB"/>
              </w:rPr>
              <w:t xml:space="preserve">No / less harm will result </w:t>
            </w:r>
          </w:p>
        </w:tc>
        <w:tc>
          <w:tcPr>
            <w:tcW w:w="3828" w:type="dxa"/>
            <w:tcBorders>
              <w:bottom w:val="single" w:sz="4" w:space="0" w:color="auto"/>
            </w:tcBorders>
            <w:shd w:val="clear" w:color="auto" w:fill="auto"/>
          </w:tcPr>
          <w:p w14:paraId="5D761303" w14:textId="77777777" w:rsidR="008B27A0" w:rsidRPr="00BF6839" w:rsidRDefault="008B27A0" w:rsidP="004B3AED">
            <w:pPr>
              <w:spacing w:before="240" w:after="240" w:line="240" w:lineRule="auto"/>
              <w:rPr>
                <w:color w:val="000000"/>
                <w:lang w:eastAsia="en-GB"/>
              </w:rPr>
            </w:pPr>
            <w:r w:rsidRPr="00BF6839">
              <w:rPr>
                <w:color w:val="000000"/>
                <w:lang w:eastAsia="en-GB"/>
              </w:rPr>
              <w:t>Harm / more harm will result</w:t>
            </w:r>
          </w:p>
        </w:tc>
      </w:tr>
      <w:tr w:rsidR="008B27A0" w:rsidRPr="00B2469D" w14:paraId="7F04DFF0" w14:textId="77777777" w:rsidTr="004B3AED">
        <w:trPr>
          <w:trHeight w:val="77"/>
        </w:trPr>
        <w:tc>
          <w:tcPr>
            <w:tcW w:w="6062" w:type="dxa"/>
            <w:shd w:val="clear" w:color="auto" w:fill="auto"/>
            <w:noWrap/>
          </w:tcPr>
          <w:p w14:paraId="23DAD9B2" w14:textId="77777777" w:rsidR="008B27A0" w:rsidRPr="00525EED" w:rsidRDefault="008B27A0" w:rsidP="004B3AED">
            <w:pPr>
              <w:spacing w:before="240" w:after="120" w:line="240" w:lineRule="auto"/>
              <w:rPr>
                <w:i/>
                <w:color w:val="000000"/>
                <w:szCs w:val="24"/>
                <w:lang w:eastAsia="en-GB"/>
              </w:rPr>
            </w:pPr>
            <w:r w:rsidRPr="00525EED">
              <w:rPr>
                <w:b/>
                <w:color w:val="000000"/>
                <w:szCs w:val="24"/>
                <w:lang w:eastAsia="en-GB"/>
              </w:rPr>
              <w:t xml:space="preserve">Affective </w:t>
            </w:r>
            <w:r>
              <w:rPr>
                <w:b/>
                <w:color w:val="000000"/>
                <w:szCs w:val="24"/>
                <w:lang w:eastAsia="en-GB"/>
              </w:rPr>
              <w:t>attitude</w:t>
            </w:r>
            <w:r>
              <w:rPr>
                <w:b/>
                <w:color w:val="000000"/>
                <w:szCs w:val="24"/>
                <w:lang w:eastAsia="en-GB"/>
              </w:rPr>
              <w:tab/>
            </w:r>
            <w:r>
              <w:rPr>
                <w:b/>
                <w:color w:val="000000"/>
                <w:szCs w:val="24"/>
                <w:lang w:eastAsia="en-GB"/>
              </w:rPr>
              <w:tab/>
            </w:r>
            <w:r w:rsidRPr="00525EED">
              <w:rPr>
                <w:i/>
                <w:color w:val="000000"/>
                <w:szCs w:val="24"/>
                <w:lang w:eastAsia="en-GB"/>
              </w:rPr>
              <w:tab/>
              <w:t xml:space="preserve">Pleasure </w:t>
            </w:r>
          </w:p>
        </w:tc>
        <w:tc>
          <w:tcPr>
            <w:tcW w:w="4252" w:type="dxa"/>
            <w:shd w:val="clear" w:color="auto" w:fill="auto"/>
          </w:tcPr>
          <w:p w14:paraId="1DDE3AC3" w14:textId="77777777" w:rsidR="008B27A0" w:rsidRPr="00BF6839" w:rsidRDefault="008B27A0" w:rsidP="004B3AED">
            <w:pPr>
              <w:spacing w:before="240" w:after="120" w:line="240" w:lineRule="auto"/>
              <w:rPr>
                <w:color w:val="000000"/>
                <w:lang w:eastAsia="en-GB"/>
              </w:rPr>
            </w:pPr>
            <w:r w:rsidRPr="00BF6839">
              <w:rPr>
                <w:color w:val="000000"/>
                <w:lang w:eastAsia="en-GB"/>
              </w:rPr>
              <w:t>Gain pleasurable experience</w:t>
            </w:r>
          </w:p>
        </w:tc>
        <w:tc>
          <w:tcPr>
            <w:tcW w:w="3828" w:type="dxa"/>
            <w:shd w:val="clear" w:color="auto" w:fill="auto"/>
          </w:tcPr>
          <w:p w14:paraId="71810E0C" w14:textId="77777777" w:rsidR="008B27A0" w:rsidRPr="00BF6839" w:rsidRDefault="008B27A0" w:rsidP="004B3AED">
            <w:pPr>
              <w:spacing w:before="240" w:after="120" w:line="240" w:lineRule="auto"/>
              <w:rPr>
                <w:color w:val="000000"/>
                <w:lang w:eastAsia="en-GB"/>
              </w:rPr>
            </w:pPr>
            <w:r w:rsidRPr="00BF6839">
              <w:rPr>
                <w:color w:val="000000"/>
                <w:lang w:eastAsia="en-GB"/>
              </w:rPr>
              <w:t>Unpleasant experience will result</w:t>
            </w:r>
          </w:p>
        </w:tc>
      </w:tr>
      <w:tr w:rsidR="008B27A0" w:rsidRPr="00B2469D" w14:paraId="6AC50E2E" w14:textId="77777777" w:rsidTr="004B3AED">
        <w:trPr>
          <w:trHeight w:val="201"/>
        </w:trPr>
        <w:tc>
          <w:tcPr>
            <w:tcW w:w="6062" w:type="dxa"/>
            <w:tcBorders>
              <w:bottom w:val="single" w:sz="4" w:space="0" w:color="auto"/>
            </w:tcBorders>
            <w:shd w:val="clear" w:color="auto" w:fill="auto"/>
            <w:noWrap/>
          </w:tcPr>
          <w:p w14:paraId="790FE482" w14:textId="77777777" w:rsidR="008B27A0" w:rsidRPr="00DB02DB" w:rsidRDefault="008B27A0" w:rsidP="004B3AED">
            <w:pPr>
              <w:spacing w:before="120" w:after="240" w:line="240" w:lineRule="auto"/>
              <w:rPr>
                <w:i/>
                <w:color w:val="000000"/>
                <w:lang w:eastAsia="en-GB"/>
              </w:rPr>
            </w:pPr>
            <w:r w:rsidRPr="00DB02DB">
              <w:rPr>
                <w:i/>
                <w:color w:val="000000"/>
                <w:lang w:eastAsia="en-GB"/>
              </w:rPr>
              <w:tab/>
            </w:r>
            <w:r>
              <w:rPr>
                <w:i/>
                <w:color w:val="000000"/>
                <w:lang w:eastAsia="en-GB"/>
              </w:rPr>
              <w:tab/>
            </w:r>
            <w:r>
              <w:rPr>
                <w:i/>
                <w:color w:val="000000"/>
                <w:lang w:eastAsia="en-GB"/>
              </w:rPr>
              <w:tab/>
            </w:r>
            <w:r>
              <w:rPr>
                <w:i/>
                <w:color w:val="000000"/>
                <w:lang w:eastAsia="en-GB"/>
              </w:rPr>
              <w:tab/>
            </w:r>
            <w:r>
              <w:rPr>
                <w:i/>
                <w:color w:val="000000"/>
                <w:lang w:eastAsia="en-GB"/>
              </w:rPr>
              <w:tab/>
            </w:r>
            <w:r w:rsidRPr="00DB02DB">
              <w:rPr>
                <w:i/>
                <w:color w:val="000000"/>
                <w:lang w:eastAsia="en-GB"/>
              </w:rPr>
              <w:t>Coping</w:t>
            </w:r>
          </w:p>
        </w:tc>
        <w:tc>
          <w:tcPr>
            <w:tcW w:w="4252" w:type="dxa"/>
            <w:tcBorders>
              <w:bottom w:val="single" w:sz="4" w:space="0" w:color="auto"/>
            </w:tcBorders>
            <w:shd w:val="clear" w:color="auto" w:fill="auto"/>
          </w:tcPr>
          <w:p w14:paraId="71BE45D6" w14:textId="77777777" w:rsidR="008B27A0" w:rsidRPr="00BF6839" w:rsidRDefault="008B27A0" w:rsidP="004B3AED">
            <w:pPr>
              <w:spacing w:before="120" w:after="240" w:line="240" w:lineRule="auto"/>
              <w:rPr>
                <w:color w:val="000000"/>
                <w:lang w:eastAsia="en-GB"/>
              </w:rPr>
            </w:pPr>
            <w:r w:rsidRPr="00BF6839">
              <w:rPr>
                <w:color w:val="000000"/>
                <w:lang w:eastAsia="en-GB"/>
              </w:rPr>
              <w:t xml:space="preserve">Avoid negative feelings </w:t>
            </w:r>
          </w:p>
        </w:tc>
        <w:tc>
          <w:tcPr>
            <w:tcW w:w="3828" w:type="dxa"/>
            <w:tcBorders>
              <w:bottom w:val="single" w:sz="4" w:space="0" w:color="auto"/>
            </w:tcBorders>
            <w:shd w:val="clear" w:color="auto" w:fill="auto"/>
          </w:tcPr>
          <w:p w14:paraId="2B8A1143" w14:textId="77777777" w:rsidR="008B27A0" w:rsidRPr="00BF6839" w:rsidRDefault="008B27A0" w:rsidP="004B3AED">
            <w:pPr>
              <w:spacing w:before="120" w:after="240" w:line="240" w:lineRule="auto"/>
              <w:rPr>
                <w:color w:val="000000"/>
                <w:lang w:eastAsia="en-GB"/>
              </w:rPr>
            </w:pPr>
          </w:p>
        </w:tc>
      </w:tr>
      <w:tr w:rsidR="008B27A0" w:rsidRPr="00B2469D" w14:paraId="754C0445" w14:textId="77777777" w:rsidTr="004B3AED">
        <w:trPr>
          <w:trHeight w:val="77"/>
        </w:trPr>
        <w:tc>
          <w:tcPr>
            <w:tcW w:w="6062" w:type="dxa"/>
            <w:shd w:val="clear" w:color="auto" w:fill="auto"/>
            <w:noWrap/>
          </w:tcPr>
          <w:p w14:paraId="24BDE88F" w14:textId="77777777" w:rsidR="008B27A0" w:rsidRPr="00DB02DB" w:rsidRDefault="008B27A0" w:rsidP="004B3AED">
            <w:pPr>
              <w:spacing w:before="240" w:after="120" w:line="240" w:lineRule="auto"/>
              <w:rPr>
                <w:i/>
                <w:color w:val="000000"/>
                <w:lang w:eastAsia="en-GB"/>
              </w:rPr>
            </w:pPr>
            <w:r>
              <w:rPr>
                <w:b/>
                <w:color w:val="000000"/>
                <w:lang w:eastAsia="en-GB"/>
              </w:rPr>
              <w:t>Subjective norm</w:t>
            </w:r>
            <w:r w:rsidRPr="00DB02DB">
              <w:rPr>
                <w:i/>
                <w:color w:val="000000"/>
                <w:lang w:eastAsia="en-GB"/>
              </w:rPr>
              <w:tab/>
            </w:r>
            <w:r>
              <w:rPr>
                <w:i/>
                <w:color w:val="000000"/>
                <w:lang w:eastAsia="en-GB"/>
              </w:rPr>
              <w:tab/>
            </w:r>
            <w:r>
              <w:rPr>
                <w:i/>
                <w:color w:val="000000"/>
                <w:lang w:eastAsia="en-GB"/>
              </w:rPr>
              <w:tab/>
            </w:r>
            <w:r w:rsidRPr="00DB02DB">
              <w:rPr>
                <w:i/>
                <w:color w:val="000000"/>
                <w:lang w:eastAsia="en-GB"/>
              </w:rPr>
              <w:t>Peers</w:t>
            </w:r>
          </w:p>
        </w:tc>
        <w:tc>
          <w:tcPr>
            <w:tcW w:w="4252" w:type="dxa"/>
            <w:shd w:val="clear" w:color="auto" w:fill="auto"/>
          </w:tcPr>
          <w:p w14:paraId="248F7484" w14:textId="77777777" w:rsidR="008B27A0" w:rsidRPr="00BF6839" w:rsidRDefault="008B27A0" w:rsidP="004B3AED">
            <w:pPr>
              <w:spacing w:before="240" w:after="120" w:line="240" w:lineRule="auto"/>
              <w:rPr>
                <w:color w:val="000000"/>
                <w:lang w:eastAsia="en-GB"/>
              </w:rPr>
            </w:pPr>
            <w:r w:rsidRPr="00BF6839">
              <w:rPr>
                <w:color w:val="000000"/>
                <w:lang w:eastAsia="en-GB"/>
              </w:rPr>
              <w:t xml:space="preserve">Gain peer approval </w:t>
            </w:r>
            <w:r w:rsidRPr="00BF6839">
              <w:rPr>
                <w:color w:val="000000"/>
                <w:lang w:eastAsia="en-GB"/>
              </w:rPr>
              <w:br/>
              <w:t xml:space="preserve">Avoid peer disapproval </w:t>
            </w:r>
          </w:p>
        </w:tc>
        <w:tc>
          <w:tcPr>
            <w:tcW w:w="3828" w:type="dxa"/>
            <w:shd w:val="clear" w:color="auto" w:fill="auto"/>
          </w:tcPr>
          <w:p w14:paraId="2E75B921" w14:textId="77777777" w:rsidR="008B27A0" w:rsidRPr="00BF6839" w:rsidRDefault="008B27A0" w:rsidP="004B3AED">
            <w:pPr>
              <w:spacing w:before="240" w:after="120" w:line="240" w:lineRule="auto"/>
              <w:rPr>
                <w:color w:val="000000"/>
                <w:lang w:eastAsia="en-GB"/>
              </w:rPr>
            </w:pPr>
            <w:r w:rsidRPr="00BF6839">
              <w:rPr>
                <w:color w:val="000000"/>
                <w:lang w:eastAsia="en-GB"/>
              </w:rPr>
              <w:t>Peer disapproval will result</w:t>
            </w:r>
          </w:p>
        </w:tc>
      </w:tr>
      <w:tr w:rsidR="008B27A0" w:rsidRPr="00B2469D" w14:paraId="0D1D0924" w14:textId="77777777" w:rsidTr="004B3AED">
        <w:trPr>
          <w:trHeight w:val="261"/>
        </w:trPr>
        <w:tc>
          <w:tcPr>
            <w:tcW w:w="6062" w:type="dxa"/>
            <w:tcBorders>
              <w:bottom w:val="single" w:sz="4" w:space="0" w:color="auto"/>
            </w:tcBorders>
            <w:shd w:val="clear" w:color="auto" w:fill="auto"/>
            <w:noWrap/>
          </w:tcPr>
          <w:p w14:paraId="004CD0BE" w14:textId="77777777" w:rsidR="008B27A0" w:rsidRPr="00DB02DB" w:rsidRDefault="008B27A0" w:rsidP="004B3AED">
            <w:pPr>
              <w:spacing w:before="120" w:after="240" w:line="240" w:lineRule="auto"/>
              <w:rPr>
                <w:i/>
                <w:color w:val="000000"/>
                <w:lang w:eastAsia="en-GB"/>
              </w:rPr>
            </w:pPr>
            <w:r w:rsidRPr="00DB02DB">
              <w:rPr>
                <w:i/>
                <w:color w:val="000000"/>
                <w:lang w:eastAsia="en-GB"/>
              </w:rPr>
              <w:tab/>
            </w:r>
            <w:r>
              <w:rPr>
                <w:i/>
                <w:color w:val="000000"/>
                <w:lang w:eastAsia="en-GB"/>
              </w:rPr>
              <w:tab/>
            </w:r>
            <w:r>
              <w:rPr>
                <w:i/>
                <w:color w:val="000000"/>
                <w:lang w:eastAsia="en-GB"/>
              </w:rPr>
              <w:tab/>
            </w:r>
            <w:r>
              <w:rPr>
                <w:i/>
                <w:color w:val="000000"/>
                <w:lang w:eastAsia="en-GB"/>
              </w:rPr>
              <w:tab/>
            </w:r>
            <w:r>
              <w:rPr>
                <w:i/>
                <w:color w:val="000000"/>
                <w:lang w:eastAsia="en-GB"/>
              </w:rPr>
              <w:tab/>
            </w:r>
            <w:r w:rsidRPr="00DB02DB">
              <w:rPr>
                <w:i/>
                <w:color w:val="000000"/>
                <w:lang w:eastAsia="en-GB"/>
              </w:rPr>
              <w:t>Parent</w:t>
            </w:r>
            <w:r>
              <w:rPr>
                <w:i/>
                <w:color w:val="000000"/>
                <w:lang w:eastAsia="en-GB"/>
              </w:rPr>
              <w:t xml:space="preserve"> / carer</w:t>
            </w:r>
          </w:p>
        </w:tc>
        <w:tc>
          <w:tcPr>
            <w:tcW w:w="4252" w:type="dxa"/>
            <w:tcBorders>
              <w:bottom w:val="single" w:sz="4" w:space="0" w:color="auto"/>
            </w:tcBorders>
            <w:shd w:val="clear" w:color="auto" w:fill="auto"/>
          </w:tcPr>
          <w:p w14:paraId="1DF0BE4D" w14:textId="77777777" w:rsidR="008B27A0" w:rsidRPr="00BF6839" w:rsidRDefault="008B27A0" w:rsidP="004B3AED">
            <w:pPr>
              <w:spacing w:before="120" w:after="240" w:line="240" w:lineRule="auto"/>
              <w:rPr>
                <w:color w:val="000000"/>
                <w:lang w:eastAsia="en-GB"/>
              </w:rPr>
            </w:pPr>
            <w:r w:rsidRPr="00BF6839">
              <w:rPr>
                <w:color w:val="000000"/>
                <w:lang w:eastAsia="en-GB"/>
              </w:rPr>
              <w:t>Gain parent / carer approval</w:t>
            </w:r>
          </w:p>
        </w:tc>
        <w:tc>
          <w:tcPr>
            <w:tcW w:w="3828" w:type="dxa"/>
            <w:tcBorders>
              <w:bottom w:val="single" w:sz="4" w:space="0" w:color="auto"/>
            </w:tcBorders>
            <w:shd w:val="clear" w:color="auto" w:fill="auto"/>
          </w:tcPr>
          <w:p w14:paraId="37C14912" w14:textId="77777777" w:rsidR="008B27A0" w:rsidRPr="00BF6839" w:rsidRDefault="008B27A0" w:rsidP="004B3AED">
            <w:pPr>
              <w:spacing w:before="120" w:after="240" w:line="240" w:lineRule="auto"/>
              <w:rPr>
                <w:color w:val="000000"/>
                <w:lang w:eastAsia="en-GB"/>
              </w:rPr>
            </w:pPr>
            <w:r w:rsidRPr="00BF6839">
              <w:rPr>
                <w:color w:val="000000"/>
                <w:lang w:eastAsia="en-GB"/>
              </w:rPr>
              <w:t>Parent /carer disapproval will result</w:t>
            </w:r>
          </w:p>
        </w:tc>
      </w:tr>
      <w:tr w:rsidR="008B27A0" w:rsidRPr="00B2469D" w14:paraId="2290FB4D" w14:textId="77777777" w:rsidTr="004B3AED">
        <w:trPr>
          <w:trHeight w:val="87"/>
        </w:trPr>
        <w:tc>
          <w:tcPr>
            <w:tcW w:w="6062" w:type="dxa"/>
            <w:shd w:val="clear" w:color="auto" w:fill="auto"/>
            <w:noWrap/>
          </w:tcPr>
          <w:p w14:paraId="2DF45623" w14:textId="77777777" w:rsidR="008B27A0" w:rsidRPr="00DB02DB" w:rsidRDefault="008B27A0" w:rsidP="004B3AED">
            <w:pPr>
              <w:spacing w:before="240" w:after="120" w:line="240" w:lineRule="auto"/>
              <w:rPr>
                <w:i/>
                <w:color w:val="000000"/>
                <w:lang w:eastAsia="en-GB"/>
              </w:rPr>
            </w:pPr>
            <w:r>
              <w:rPr>
                <w:b/>
                <w:color w:val="000000"/>
                <w:lang w:eastAsia="en-GB"/>
              </w:rPr>
              <w:t xml:space="preserve">Perceived behavioural </w:t>
            </w:r>
            <w:r>
              <w:rPr>
                <w:b/>
                <w:color w:val="000000"/>
                <w:lang w:eastAsia="en-GB"/>
              </w:rPr>
              <w:tab/>
            </w:r>
            <w:r>
              <w:rPr>
                <w:b/>
                <w:color w:val="000000"/>
                <w:lang w:eastAsia="en-GB"/>
              </w:rPr>
              <w:tab/>
            </w:r>
            <w:r w:rsidRPr="00DB02DB">
              <w:rPr>
                <w:i/>
                <w:color w:val="000000"/>
                <w:lang w:eastAsia="en-GB"/>
              </w:rPr>
              <w:t>Autonomy</w:t>
            </w:r>
            <w:r>
              <w:rPr>
                <w:b/>
                <w:color w:val="000000"/>
                <w:lang w:eastAsia="en-GB"/>
              </w:rPr>
              <w:br/>
              <w:t>control / self-efficacy</w:t>
            </w:r>
            <w:r w:rsidRPr="00DB02DB">
              <w:rPr>
                <w:i/>
                <w:color w:val="000000"/>
                <w:lang w:eastAsia="en-GB"/>
              </w:rPr>
              <w:t xml:space="preserve"> </w:t>
            </w:r>
          </w:p>
        </w:tc>
        <w:tc>
          <w:tcPr>
            <w:tcW w:w="4252" w:type="dxa"/>
            <w:shd w:val="clear" w:color="auto" w:fill="auto"/>
          </w:tcPr>
          <w:p w14:paraId="11994F10" w14:textId="77777777" w:rsidR="008B27A0" w:rsidRPr="00BF6839" w:rsidRDefault="008B27A0" w:rsidP="004B3AED">
            <w:pPr>
              <w:spacing w:before="240" w:after="120" w:line="240" w:lineRule="auto"/>
              <w:rPr>
                <w:color w:val="000000"/>
                <w:lang w:eastAsia="en-GB"/>
              </w:rPr>
            </w:pPr>
            <w:r w:rsidRPr="00BF6839">
              <w:rPr>
                <w:color w:val="000000"/>
                <w:lang w:eastAsia="en-GB"/>
              </w:rPr>
              <w:t xml:space="preserve">Avoid restrictions </w:t>
            </w:r>
            <w:r w:rsidRPr="00BF6839">
              <w:rPr>
                <w:color w:val="000000"/>
                <w:lang w:eastAsia="en-GB"/>
              </w:rPr>
              <w:br/>
              <w:t xml:space="preserve">Express freedom of choice </w:t>
            </w:r>
            <w:r>
              <w:rPr>
                <w:color w:val="000000"/>
                <w:lang w:eastAsia="en-GB"/>
              </w:rPr>
              <w:t>/ rebel</w:t>
            </w:r>
          </w:p>
        </w:tc>
        <w:tc>
          <w:tcPr>
            <w:tcW w:w="3828" w:type="dxa"/>
            <w:shd w:val="clear" w:color="auto" w:fill="auto"/>
          </w:tcPr>
          <w:p w14:paraId="417AE431" w14:textId="77777777" w:rsidR="008B27A0" w:rsidRPr="00BF6839" w:rsidRDefault="008B27A0" w:rsidP="004B3AED">
            <w:pPr>
              <w:spacing w:before="240" w:after="120" w:line="240" w:lineRule="auto"/>
              <w:rPr>
                <w:color w:val="000000"/>
                <w:lang w:eastAsia="en-GB"/>
              </w:rPr>
            </w:pPr>
            <w:r w:rsidRPr="00BF6839">
              <w:rPr>
                <w:color w:val="000000"/>
                <w:lang w:eastAsia="en-GB"/>
              </w:rPr>
              <w:t xml:space="preserve">Fail to express freedom of choice  </w:t>
            </w:r>
          </w:p>
        </w:tc>
      </w:tr>
      <w:tr w:rsidR="008B27A0" w:rsidRPr="00B2469D" w14:paraId="05CACCAC" w14:textId="77777777" w:rsidTr="004B3AED">
        <w:trPr>
          <w:trHeight w:val="206"/>
        </w:trPr>
        <w:tc>
          <w:tcPr>
            <w:tcW w:w="6062" w:type="dxa"/>
            <w:shd w:val="clear" w:color="auto" w:fill="auto"/>
            <w:noWrap/>
          </w:tcPr>
          <w:p w14:paraId="2F058819" w14:textId="77777777" w:rsidR="008B27A0" w:rsidRPr="00DB02DB" w:rsidRDefault="008B27A0" w:rsidP="004B3AED">
            <w:pPr>
              <w:spacing w:before="120" w:after="120" w:line="240" w:lineRule="auto"/>
              <w:rPr>
                <w:i/>
                <w:color w:val="000000"/>
                <w:lang w:eastAsia="en-GB"/>
              </w:rPr>
            </w:pPr>
            <w:r w:rsidRPr="00DB02DB">
              <w:rPr>
                <w:i/>
                <w:color w:val="000000"/>
                <w:lang w:eastAsia="en-GB"/>
              </w:rPr>
              <w:tab/>
            </w:r>
            <w:r>
              <w:rPr>
                <w:i/>
                <w:color w:val="000000"/>
                <w:lang w:eastAsia="en-GB"/>
              </w:rPr>
              <w:tab/>
            </w:r>
            <w:r>
              <w:rPr>
                <w:i/>
                <w:color w:val="000000"/>
                <w:lang w:eastAsia="en-GB"/>
              </w:rPr>
              <w:tab/>
            </w:r>
            <w:r>
              <w:rPr>
                <w:i/>
                <w:color w:val="000000"/>
                <w:lang w:eastAsia="en-GB"/>
              </w:rPr>
              <w:tab/>
            </w:r>
            <w:r>
              <w:rPr>
                <w:i/>
                <w:color w:val="000000"/>
                <w:lang w:eastAsia="en-GB"/>
              </w:rPr>
              <w:tab/>
            </w:r>
            <w:r w:rsidRPr="00DB02DB">
              <w:rPr>
                <w:i/>
                <w:color w:val="000000"/>
                <w:lang w:eastAsia="en-GB"/>
              </w:rPr>
              <w:t>Finances</w:t>
            </w:r>
          </w:p>
        </w:tc>
        <w:tc>
          <w:tcPr>
            <w:tcW w:w="4252" w:type="dxa"/>
            <w:shd w:val="clear" w:color="auto" w:fill="auto"/>
          </w:tcPr>
          <w:p w14:paraId="0242F9BB" w14:textId="77777777" w:rsidR="008B27A0" w:rsidRPr="00BF6839" w:rsidRDefault="008B27A0" w:rsidP="004B3AED">
            <w:pPr>
              <w:spacing w:before="120" w:after="120" w:line="240" w:lineRule="auto"/>
              <w:rPr>
                <w:color w:val="000000"/>
                <w:lang w:eastAsia="en-GB"/>
              </w:rPr>
            </w:pPr>
            <w:r w:rsidRPr="00BF6839">
              <w:rPr>
                <w:color w:val="000000"/>
                <w:lang w:eastAsia="en-GB"/>
              </w:rPr>
              <w:t xml:space="preserve">Affordable / more affordable </w:t>
            </w:r>
          </w:p>
        </w:tc>
        <w:tc>
          <w:tcPr>
            <w:tcW w:w="3828" w:type="dxa"/>
            <w:shd w:val="clear" w:color="auto" w:fill="auto"/>
          </w:tcPr>
          <w:p w14:paraId="5E733BD2" w14:textId="77777777" w:rsidR="008B27A0" w:rsidRPr="00BF6839" w:rsidRDefault="008B27A0" w:rsidP="004B3AED">
            <w:pPr>
              <w:spacing w:before="120" w:after="120" w:line="240" w:lineRule="auto"/>
              <w:rPr>
                <w:b/>
                <w:color w:val="000000"/>
                <w:lang w:eastAsia="en-GB"/>
              </w:rPr>
            </w:pPr>
            <w:r w:rsidRPr="00BF6839">
              <w:rPr>
                <w:color w:val="000000"/>
                <w:lang w:eastAsia="en-GB"/>
              </w:rPr>
              <w:t>Waste money</w:t>
            </w:r>
          </w:p>
        </w:tc>
      </w:tr>
      <w:tr w:rsidR="008B27A0" w:rsidRPr="00B2469D" w14:paraId="2C75FEB7" w14:textId="77777777" w:rsidTr="004B3AED">
        <w:trPr>
          <w:trHeight w:val="87"/>
        </w:trPr>
        <w:tc>
          <w:tcPr>
            <w:tcW w:w="6062" w:type="dxa"/>
            <w:tcBorders>
              <w:bottom w:val="single" w:sz="4" w:space="0" w:color="auto"/>
            </w:tcBorders>
            <w:shd w:val="clear" w:color="auto" w:fill="auto"/>
            <w:noWrap/>
          </w:tcPr>
          <w:p w14:paraId="501AA3BF" w14:textId="77777777" w:rsidR="008B27A0" w:rsidRPr="00DB02DB" w:rsidRDefault="008B27A0" w:rsidP="004B3AED">
            <w:pPr>
              <w:spacing w:before="120" w:after="240" w:line="240" w:lineRule="auto"/>
              <w:rPr>
                <w:i/>
                <w:color w:val="000000"/>
                <w:lang w:eastAsia="en-GB"/>
              </w:rPr>
            </w:pPr>
            <w:r w:rsidRPr="00DB02DB">
              <w:rPr>
                <w:i/>
                <w:color w:val="000000"/>
                <w:lang w:eastAsia="en-GB"/>
              </w:rPr>
              <w:tab/>
            </w:r>
            <w:r>
              <w:rPr>
                <w:i/>
                <w:color w:val="000000"/>
                <w:lang w:eastAsia="en-GB"/>
              </w:rPr>
              <w:tab/>
            </w:r>
            <w:r>
              <w:rPr>
                <w:i/>
                <w:color w:val="000000"/>
                <w:lang w:eastAsia="en-GB"/>
              </w:rPr>
              <w:tab/>
            </w:r>
            <w:r>
              <w:rPr>
                <w:i/>
                <w:color w:val="000000"/>
                <w:lang w:eastAsia="en-GB"/>
              </w:rPr>
              <w:tab/>
            </w:r>
            <w:r>
              <w:rPr>
                <w:i/>
                <w:color w:val="000000"/>
                <w:lang w:eastAsia="en-GB"/>
              </w:rPr>
              <w:tab/>
            </w:r>
            <w:r w:rsidRPr="00DB02DB">
              <w:rPr>
                <w:i/>
                <w:color w:val="000000"/>
                <w:lang w:eastAsia="en-GB"/>
              </w:rPr>
              <w:t>Effort</w:t>
            </w:r>
          </w:p>
        </w:tc>
        <w:tc>
          <w:tcPr>
            <w:tcW w:w="4252" w:type="dxa"/>
            <w:tcBorders>
              <w:bottom w:val="single" w:sz="4" w:space="0" w:color="auto"/>
            </w:tcBorders>
            <w:shd w:val="clear" w:color="auto" w:fill="auto"/>
          </w:tcPr>
          <w:p w14:paraId="2908B83F" w14:textId="77777777" w:rsidR="008B27A0" w:rsidRPr="00BF6839" w:rsidRDefault="008B27A0" w:rsidP="004B3AED">
            <w:pPr>
              <w:spacing w:before="120" w:after="240" w:line="240" w:lineRule="auto"/>
              <w:rPr>
                <w:color w:val="000000"/>
                <w:lang w:eastAsia="en-GB"/>
              </w:rPr>
            </w:pPr>
            <w:r w:rsidRPr="00BF6839">
              <w:rPr>
                <w:color w:val="000000"/>
                <w:lang w:eastAsia="en-GB"/>
              </w:rPr>
              <w:t>Easy to get / easier to get</w:t>
            </w:r>
          </w:p>
        </w:tc>
        <w:tc>
          <w:tcPr>
            <w:tcW w:w="3828" w:type="dxa"/>
            <w:tcBorders>
              <w:bottom w:val="single" w:sz="4" w:space="0" w:color="auto"/>
            </w:tcBorders>
            <w:shd w:val="clear" w:color="auto" w:fill="auto"/>
          </w:tcPr>
          <w:p w14:paraId="4E9104E7" w14:textId="77777777" w:rsidR="008B27A0" w:rsidRPr="00BF6839" w:rsidRDefault="008B27A0" w:rsidP="004B3AED">
            <w:pPr>
              <w:spacing w:before="120" w:after="240" w:line="240" w:lineRule="auto"/>
              <w:rPr>
                <w:b/>
                <w:color w:val="000000"/>
                <w:lang w:eastAsia="en-GB"/>
              </w:rPr>
            </w:pPr>
          </w:p>
        </w:tc>
      </w:tr>
      <w:tr w:rsidR="008B27A0" w:rsidRPr="00B2469D" w14:paraId="74A9AE82" w14:textId="77777777" w:rsidTr="004B3AED">
        <w:trPr>
          <w:trHeight w:val="290"/>
        </w:trPr>
        <w:tc>
          <w:tcPr>
            <w:tcW w:w="6062" w:type="dxa"/>
            <w:shd w:val="clear" w:color="auto" w:fill="auto"/>
            <w:noWrap/>
          </w:tcPr>
          <w:p w14:paraId="45B9826E" w14:textId="77777777" w:rsidR="008B27A0" w:rsidRPr="00DB02DB" w:rsidRDefault="008B27A0" w:rsidP="004B3AED">
            <w:pPr>
              <w:spacing w:before="240" w:after="120" w:line="240" w:lineRule="auto"/>
              <w:rPr>
                <w:i/>
                <w:color w:val="000000"/>
                <w:sz w:val="22"/>
                <w:lang w:eastAsia="en-GB"/>
              </w:rPr>
            </w:pPr>
            <w:r>
              <w:rPr>
                <w:b/>
                <w:color w:val="000000"/>
                <w:lang w:eastAsia="en-GB"/>
              </w:rPr>
              <w:t>Behavioural willingness</w:t>
            </w:r>
            <w:r>
              <w:rPr>
                <w:b/>
                <w:color w:val="000000"/>
                <w:sz w:val="22"/>
                <w:lang w:eastAsia="en-GB"/>
              </w:rPr>
              <w:tab/>
            </w:r>
            <w:r>
              <w:rPr>
                <w:b/>
                <w:color w:val="000000"/>
                <w:sz w:val="22"/>
                <w:lang w:eastAsia="en-GB"/>
              </w:rPr>
              <w:tab/>
            </w:r>
            <w:r w:rsidRPr="00DB02DB">
              <w:rPr>
                <w:i/>
                <w:color w:val="000000"/>
                <w:sz w:val="22"/>
                <w:lang w:eastAsia="en-GB"/>
              </w:rPr>
              <w:t>Curiosity</w:t>
            </w:r>
          </w:p>
        </w:tc>
        <w:tc>
          <w:tcPr>
            <w:tcW w:w="4252" w:type="dxa"/>
            <w:shd w:val="clear" w:color="auto" w:fill="auto"/>
          </w:tcPr>
          <w:p w14:paraId="78CD8887" w14:textId="77777777" w:rsidR="008B27A0" w:rsidRPr="00BF6839" w:rsidRDefault="008B27A0" w:rsidP="004B3AED">
            <w:pPr>
              <w:spacing w:before="240" w:after="120" w:line="240" w:lineRule="auto"/>
              <w:rPr>
                <w:color w:val="000000"/>
                <w:lang w:eastAsia="en-GB"/>
              </w:rPr>
            </w:pPr>
            <w:r w:rsidRPr="00BF6839">
              <w:rPr>
                <w:color w:val="000000"/>
                <w:lang w:eastAsia="en-GB"/>
              </w:rPr>
              <w:t>Gain experience</w:t>
            </w:r>
          </w:p>
        </w:tc>
        <w:tc>
          <w:tcPr>
            <w:tcW w:w="3828" w:type="dxa"/>
            <w:shd w:val="clear" w:color="auto" w:fill="auto"/>
          </w:tcPr>
          <w:p w14:paraId="7FFBA9AF" w14:textId="77777777" w:rsidR="008B27A0" w:rsidRPr="00BF6839" w:rsidRDefault="008B27A0" w:rsidP="004B3AED">
            <w:pPr>
              <w:spacing w:before="240" w:after="120" w:line="240" w:lineRule="auto"/>
              <w:rPr>
                <w:color w:val="000000"/>
                <w:lang w:eastAsia="en-GB"/>
              </w:rPr>
            </w:pPr>
          </w:p>
        </w:tc>
      </w:tr>
      <w:tr w:rsidR="008B27A0" w:rsidRPr="00B2469D" w14:paraId="639465BE" w14:textId="77777777" w:rsidTr="004B3AED">
        <w:trPr>
          <w:trHeight w:val="569"/>
        </w:trPr>
        <w:tc>
          <w:tcPr>
            <w:tcW w:w="6062" w:type="dxa"/>
            <w:tcBorders>
              <w:bottom w:val="single" w:sz="4" w:space="0" w:color="auto"/>
            </w:tcBorders>
            <w:shd w:val="clear" w:color="auto" w:fill="auto"/>
            <w:noWrap/>
          </w:tcPr>
          <w:p w14:paraId="2C98AEE2" w14:textId="77777777" w:rsidR="008B27A0" w:rsidRPr="00DB02DB" w:rsidRDefault="008B27A0" w:rsidP="004B3AED">
            <w:pPr>
              <w:spacing w:before="120" w:after="240" w:line="240" w:lineRule="auto"/>
              <w:rPr>
                <w:i/>
                <w:color w:val="000000"/>
                <w:sz w:val="22"/>
                <w:lang w:eastAsia="en-GB"/>
              </w:rPr>
            </w:pPr>
            <w:r>
              <w:rPr>
                <w:b/>
                <w:color w:val="000000"/>
                <w:sz w:val="22"/>
                <w:lang w:eastAsia="en-GB"/>
              </w:rPr>
              <w:tab/>
            </w:r>
            <w:r>
              <w:rPr>
                <w:b/>
                <w:color w:val="000000"/>
                <w:sz w:val="22"/>
                <w:lang w:eastAsia="en-GB"/>
              </w:rPr>
              <w:tab/>
            </w:r>
            <w:r>
              <w:rPr>
                <w:b/>
                <w:color w:val="000000"/>
                <w:sz w:val="22"/>
                <w:lang w:eastAsia="en-GB"/>
              </w:rPr>
              <w:tab/>
            </w:r>
            <w:r>
              <w:rPr>
                <w:b/>
                <w:color w:val="000000"/>
                <w:sz w:val="22"/>
                <w:lang w:eastAsia="en-GB"/>
              </w:rPr>
              <w:tab/>
            </w:r>
            <w:r>
              <w:rPr>
                <w:b/>
                <w:color w:val="000000"/>
                <w:sz w:val="22"/>
                <w:lang w:eastAsia="en-GB"/>
              </w:rPr>
              <w:tab/>
            </w:r>
            <w:r w:rsidRPr="00DB02DB">
              <w:rPr>
                <w:i/>
                <w:color w:val="000000"/>
                <w:sz w:val="22"/>
                <w:lang w:eastAsia="en-GB"/>
              </w:rPr>
              <w:t xml:space="preserve">Identity </w:t>
            </w:r>
          </w:p>
        </w:tc>
        <w:tc>
          <w:tcPr>
            <w:tcW w:w="4252" w:type="dxa"/>
            <w:tcBorders>
              <w:bottom w:val="single" w:sz="4" w:space="0" w:color="auto"/>
            </w:tcBorders>
            <w:shd w:val="clear" w:color="auto" w:fill="auto"/>
          </w:tcPr>
          <w:p w14:paraId="7879DF1A" w14:textId="77777777" w:rsidR="008B27A0" w:rsidRPr="00BF6839" w:rsidRDefault="008B27A0" w:rsidP="004B3AED">
            <w:pPr>
              <w:spacing w:before="120" w:after="240" w:line="240" w:lineRule="auto"/>
              <w:rPr>
                <w:color w:val="000000"/>
                <w:lang w:eastAsia="en-GB"/>
              </w:rPr>
            </w:pPr>
            <w:r w:rsidRPr="00BF6839">
              <w:rPr>
                <w:color w:val="000000"/>
                <w:lang w:eastAsia="en-GB"/>
              </w:rPr>
              <w:t>Gain positive user identity</w:t>
            </w:r>
            <w:r w:rsidRPr="00BF6839">
              <w:rPr>
                <w:color w:val="000000"/>
                <w:lang w:eastAsia="en-GB"/>
              </w:rPr>
              <w:br/>
              <w:t xml:space="preserve">Avoid negative non-user identity </w:t>
            </w:r>
          </w:p>
        </w:tc>
        <w:tc>
          <w:tcPr>
            <w:tcW w:w="3828" w:type="dxa"/>
            <w:tcBorders>
              <w:bottom w:val="single" w:sz="4" w:space="0" w:color="auto"/>
            </w:tcBorders>
            <w:shd w:val="clear" w:color="auto" w:fill="auto"/>
          </w:tcPr>
          <w:p w14:paraId="7670E1D3" w14:textId="77777777" w:rsidR="008B27A0" w:rsidRPr="00BF6839" w:rsidRDefault="008B27A0" w:rsidP="004B3AED">
            <w:pPr>
              <w:spacing w:before="120" w:after="240" w:line="240" w:lineRule="auto"/>
              <w:rPr>
                <w:color w:val="000000"/>
                <w:lang w:eastAsia="en-GB"/>
              </w:rPr>
            </w:pPr>
            <w:r w:rsidRPr="00BF6839">
              <w:rPr>
                <w:color w:val="000000"/>
                <w:lang w:eastAsia="en-GB"/>
              </w:rPr>
              <w:t>Lo</w:t>
            </w:r>
            <w:r>
              <w:rPr>
                <w:color w:val="000000"/>
                <w:lang w:eastAsia="en-GB"/>
              </w:rPr>
              <w:t xml:space="preserve">ss of </w:t>
            </w:r>
            <w:r w:rsidRPr="00BF6839">
              <w:rPr>
                <w:color w:val="000000"/>
                <w:lang w:eastAsia="en-GB"/>
              </w:rPr>
              <w:t xml:space="preserve">positive non-user identity </w:t>
            </w:r>
            <w:r w:rsidRPr="00BF6839">
              <w:rPr>
                <w:color w:val="000000"/>
                <w:lang w:eastAsia="en-GB"/>
              </w:rPr>
              <w:br/>
              <w:t>Gain negative user identity</w:t>
            </w:r>
          </w:p>
        </w:tc>
      </w:tr>
    </w:tbl>
    <w:p w14:paraId="4F10213C" w14:textId="77777777" w:rsidR="008B27A0" w:rsidRDefault="008B27A0" w:rsidP="008B27A0">
      <w:pPr>
        <w:rPr>
          <w:rStyle w:val="Heading3Char"/>
          <w:b w:val="0"/>
        </w:rPr>
        <w:sectPr w:rsidR="008B27A0" w:rsidSect="004B3AED">
          <w:pgSz w:w="16840" w:h="11900" w:orient="landscape"/>
          <w:pgMar w:top="1418" w:right="1418" w:bottom="1418" w:left="1418" w:header="709" w:footer="709" w:gutter="0"/>
          <w:cols w:space="708"/>
          <w:docGrid w:linePitch="360"/>
        </w:sectPr>
      </w:pPr>
    </w:p>
    <w:p w14:paraId="38D7D443" w14:textId="08C26415" w:rsidR="008B27A0" w:rsidRDefault="008B27A0" w:rsidP="008B27A0">
      <w:pPr>
        <w:pStyle w:val="Heading3"/>
      </w:pPr>
      <w:bookmarkStart w:id="421" w:name="_Toc35892681"/>
      <w:r>
        <w:t>Salient behavioural beliefs</w:t>
      </w:r>
      <w:bookmarkEnd w:id="421"/>
      <w:r>
        <w:t xml:space="preserve"> </w:t>
      </w:r>
    </w:p>
    <w:p w14:paraId="4AF6E388" w14:textId="60750C9A" w:rsidR="008B27A0" w:rsidRDefault="008B27A0" w:rsidP="008B27A0">
      <w:pPr>
        <w:spacing w:line="480" w:lineRule="auto"/>
      </w:pPr>
      <w:r>
        <w:t xml:space="preserve">Table </w:t>
      </w:r>
      <w:r w:rsidR="00735864" w:rsidRPr="00735864">
        <w:t>6-</w:t>
      </w:r>
      <w:r>
        <w:t xml:space="preserve">9 presents a list of the salient behavioural beliefs which have been extracted from the focus group data. The beliefs are organised in sets organised as encouraging and discouraging use of NPS and arranged according to their corresponding motivational domain and social cognition model constructs. See Chapter 4 Section 4.7.7 for a more detailed description of the extraction and mapping process. Each salient belief is expressed as a meaningful phrase which is shown together with frequency data and a rank order based on the frequency of expression within the three focus groups. </w:t>
      </w:r>
    </w:p>
    <w:p w14:paraId="7C83C666" w14:textId="77777777" w:rsidR="008B27A0" w:rsidRDefault="008B27A0" w:rsidP="008B27A0">
      <w:pPr>
        <w:rPr>
          <w:b/>
        </w:rPr>
      </w:pPr>
    </w:p>
    <w:p w14:paraId="665F29C5" w14:textId="77777777" w:rsidR="008B27A0" w:rsidRDefault="008B27A0" w:rsidP="008B27A0">
      <w:pPr>
        <w:rPr>
          <w:b/>
        </w:rPr>
      </w:pPr>
      <w:r>
        <w:rPr>
          <w:b/>
        </w:rPr>
        <w:br w:type="page"/>
      </w:r>
    </w:p>
    <w:p w14:paraId="6BD24800" w14:textId="0B19A652" w:rsidR="008B27A0" w:rsidRPr="004B3AED" w:rsidRDefault="008B27A0" w:rsidP="00FA6445">
      <w:pPr>
        <w:pStyle w:val="TableHeader"/>
        <w:spacing w:line="240" w:lineRule="auto"/>
        <w:rPr>
          <w:rStyle w:val="Heading3Char"/>
          <w:b w:val="0"/>
          <w:bCs w:val="0"/>
          <w:color w:val="auto"/>
        </w:rPr>
      </w:pPr>
      <w:bookmarkStart w:id="422" w:name="_Toc9509074"/>
      <w:r w:rsidRPr="004B3AED">
        <w:rPr>
          <w:b/>
        </w:rPr>
        <w:t xml:space="preserve">Table </w:t>
      </w:r>
      <w:r w:rsidR="00735864">
        <w:rPr>
          <w:b/>
        </w:rPr>
        <w:t>6-</w:t>
      </w:r>
      <w:r w:rsidRPr="004B3AED">
        <w:rPr>
          <w:b/>
        </w:rPr>
        <w:t>9. Salient behavioural beliefs discouraging and encouraging use of NPS</w:t>
      </w:r>
      <w:bookmarkEnd w:id="422"/>
    </w:p>
    <w:tbl>
      <w:tblPr>
        <w:tblStyle w:val="TableGrid"/>
        <w:tblW w:w="921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3561"/>
        <w:gridCol w:w="675"/>
        <w:gridCol w:w="850"/>
      </w:tblGrid>
      <w:tr w:rsidR="008B27A0" w:rsidRPr="00D572CB" w14:paraId="730EFA75" w14:textId="77777777" w:rsidTr="004B3AED">
        <w:trPr>
          <w:trHeight w:val="228"/>
        </w:trPr>
        <w:tc>
          <w:tcPr>
            <w:tcW w:w="4128" w:type="dxa"/>
            <w:tcBorders>
              <w:top w:val="single" w:sz="4" w:space="0" w:color="auto"/>
              <w:left w:val="nil"/>
              <w:bottom w:val="single" w:sz="4" w:space="0" w:color="auto"/>
              <w:right w:val="nil"/>
            </w:tcBorders>
          </w:tcPr>
          <w:p w14:paraId="7D21153E" w14:textId="77777777" w:rsidR="008B27A0" w:rsidRDefault="008B27A0" w:rsidP="004B3AED">
            <w:pPr>
              <w:spacing w:before="120" w:after="120"/>
              <w:rPr>
                <w:rFonts w:asciiTheme="majorBidi" w:hAnsiTheme="majorBidi" w:cstheme="majorBidi"/>
                <w:b/>
                <w:szCs w:val="24"/>
              </w:rPr>
            </w:pPr>
            <w:r>
              <w:rPr>
                <w:rFonts w:asciiTheme="majorBidi" w:hAnsiTheme="majorBidi" w:cstheme="majorBidi"/>
                <w:b/>
                <w:szCs w:val="24"/>
              </w:rPr>
              <w:t>Model construct</w:t>
            </w:r>
          </w:p>
          <w:p w14:paraId="7938E56E" w14:textId="77777777" w:rsidR="008B27A0" w:rsidRDefault="008B27A0" w:rsidP="004B3AED">
            <w:pPr>
              <w:spacing w:before="120" w:after="120"/>
              <w:rPr>
                <w:rFonts w:asciiTheme="majorBidi" w:hAnsiTheme="majorBidi" w:cstheme="majorBidi"/>
                <w:i/>
                <w:szCs w:val="24"/>
              </w:rPr>
            </w:pPr>
            <w:r>
              <w:rPr>
                <w:rFonts w:asciiTheme="majorBidi" w:hAnsiTheme="majorBidi" w:cstheme="majorBidi"/>
                <w:i/>
                <w:szCs w:val="24"/>
              </w:rPr>
              <w:t>Motivational domain</w:t>
            </w:r>
            <w:r w:rsidRPr="00571091">
              <w:rPr>
                <w:rFonts w:asciiTheme="majorBidi" w:hAnsiTheme="majorBidi" w:cstheme="majorBidi"/>
                <w:i/>
                <w:szCs w:val="24"/>
              </w:rPr>
              <w:t xml:space="preserve"> </w:t>
            </w:r>
          </w:p>
          <w:p w14:paraId="16C69B2F" w14:textId="77777777" w:rsidR="008B27A0" w:rsidRPr="00571091" w:rsidRDefault="008B27A0" w:rsidP="004B3AED">
            <w:pPr>
              <w:spacing w:before="120" w:after="120"/>
              <w:rPr>
                <w:rFonts w:asciiTheme="majorBidi" w:hAnsiTheme="majorBidi" w:cstheme="majorBidi"/>
                <w:i/>
                <w:szCs w:val="24"/>
              </w:rPr>
            </w:pPr>
            <w:r>
              <w:rPr>
                <w:rFonts w:asciiTheme="majorBidi" w:hAnsiTheme="majorBidi" w:cstheme="majorBidi"/>
                <w:i/>
                <w:szCs w:val="24"/>
              </w:rPr>
              <w:t xml:space="preserve">     </w:t>
            </w:r>
            <w:r w:rsidRPr="00571091">
              <w:rPr>
                <w:rFonts w:asciiTheme="majorBidi" w:hAnsiTheme="majorBidi" w:cstheme="majorBidi"/>
                <w:szCs w:val="24"/>
              </w:rPr>
              <w:t>Behavioural belief</w:t>
            </w:r>
          </w:p>
        </w:tc>
        <w:tc>
          <w:tcPr>
            <w:tcW w:w="4236" w:type="dxa"/>
            <w:gridSpan w:val="2"/>
            <w:tcBorders>
              <w:top w:val="single" w:sz="4" w:space="0" w:color="auto"/>
              <w:left w:val="nil"/>
              <w:bottom w:val="single" w:sz="4" w:space="0" w:color="auto"/>
              <w:right w:val="nil"/>
            </w:tcBorders>
          </w:tcPr>
          <w:p w14:paraId="5C3C150B" w14:textId="77777777" w:rsidR="008B27A0" w:rsidRDefault="008B27A0" w:rsidP="004B3AED">
            <w:pPr>
              <w:spacing w:before="120" w:after="120"/>
              <w:jc w:val="right"/>
              <w:rPr>
                <w:rFonts w:asciiTheme="majorBidi" w:hAnsiTheme="majorBidi" w:cstheme="majorBidi"/>
                <w:b/>
                <w:szCs w:val="24"/>
              </w:rPr>
            </w:pPr>
          </w:p>
          <w:p w14:paraId="08001EF7" w14:textId="77777777" w:rsidR="008B27A0" w:rsidRDefault="008B27A0" w:rsidP="004B3AED">
            <w:pPr>
              <w:spacing w:before="120" w:after="120"/>
              <w:jc w:val="right"/>
              <w:rPr>
                <w:rFonts w:asciiTheme="majorBidi" w:hAnsiTheme="majorBidi" w:cstheme="majorBidi"/>
                <w:b/>
                <w:szCs w:val="24"/>
              </w:rPr>
            </w:pPr>
          </w:p>
          <w:p w14:paraId="07B0A6A7" w14:textId="77777777" w:rsidR="008B27A0" w:rsidRPr="00D572CB" w:rsidRDefault="008B27A0" w:rsidP="004B3AED">
            <w:pPr>
              <w:spacing w:before="120" w:after="120"/>
              <w:jc w:val="right"/>
              <w:rPr>
                <w:rFonts w:asciiTheme="majorBidi" w:hAnsiTheme="majorBidi" w:cstheme="majorBidi"/>
                <w:b/>
                <w:szCs w:val="24"/>
              </w:rPr>
            </w:pPr>
            <w:r>
              <w:rPr>
                <w:rFonts w:asciiTheme="majorBidi" w:hAnsiTheme="majorBidi" w:cstheme="majorBidi"/>
                <w:b/>
                <w:szCs w:val="24"/>
              </w:rPr>
              <w:t>Freq</w:t>
            </w:r>
          </w:p>
        </w:tc>
        <w:tc>
          <w:tcPr>
            <w:tcW w:w="850" w:type="dxa"/>
            <w:tcBorders>
              <w:top w:val="single" w:sz="4" w:space="0" w:color="auto"/>
              <w:left w:val="nil"/>
              <w:bottom w:val="single" w:sz="4" w:space="0" w:color="auto"/>
              <w:right w:val="nil"/>
            </w:tcBorders>
          </w:tcPr>
          <w:p w14:paraId="1EF5FBA2" w14:textId="77777777" w:rsidR="008B27A0" w:rsidRDefault="008B27A0" w:rsidP="004B3AED">
            <w:pPr>
              <w:spacing w:before="120" w:after="120"/>
              <w:jc w:val="right"/>
              <w:rPr>
                <w:rFonts w:asciiTheme="majorBidi" w:hAnsiTheme="majorBidi" w:cstheme="majorBidi"/>
                <w:b/>
                <w:szCs w:val="24"/>
              </w:rPr>
            </w:pPr>
          </w:p>
          <w:p w14:paraId="5DC33AB6" w14:textId="77777777" w:rsidR="008B27A0" w:rsidRDefault="008B27A0" w:rsidP="004B3AED">
            <w:pPr>
              <w:spacing w:before="120" w:after="120"/>
              <w:jc w:val="right"/>
              <w:rPr>
                <w:rFonts w:asciiTheme="majorBidi" w:hAnsiTheme="majorBidi" w:cstheme="majorBidi"/>
                <w:b/>
                <w:szCs w:val="24"/>
              </w:rPr>
            </w:pPr>
          </w:p>
          <w:p w14:paraId="25B02F30" w14:textId="77777777" w:rsidR="008B27A0" w:rsidRPr="00D572CB" w:rsidRDefault="008B27A0" w:rsidP="004B3AED">
            <w:pPr>
              <w:spacing w:before="120" w:after="120"/>
              <w:jc w:val="right"/>
              <w:rPr>
                <w:rFonts w:asciiTheme="majorBidi" w:hAnsiTheme="majorBidi" w:cstheme="majorBidi"/>
                <w:b/>
                <w:szCs w:val="24"/>
              </w:rPr>
            </w:pPr>
            <w:r w:rsidRPr="00D572CB">
              <w:rPr>
                <w:rFonts w:asciiTheme="majorBidi" w:hAnsiTheme="majorBidi" w:cstheme="majorBidi"/>
                <w:b/>
                <w:szCs w:val="24"/>
              </w:rPr>
              <w:t>Rank</w:t>
            </w:r>
          </w:p>
        </w:tc>
      </w:tr>
      <w:tr w:rsidR="008B27A0" w:rsidRPr="007A6F3D" w14:paraId="58E87548" w14:textId="77777777" w:rsidTr="004B3AED">
        <w:trPr>
          <w:trHeight w:val="175"/>
        </w:trPr>
        <w:tc>
          <w:tcPr>
            <w:tcW w:w="7689" w:type="dxa"/>
            <w:gridSpan w:val="2"/>
            <w:tcBorders>
              <w:top w:val="single" w:sz="4" w:space="0" w:color="auto"/>
            </w:tcBorders>
          </w:tcPr>
          <w:p w14:paraId="20AB5949" w14:textId="77777777" w:rsidR="008B27A0" w:rsidRPr="00E161F2" w:rsidRDefault="008B27A0" w:rsidP="004B3AED">
            <w:pPr>
              <w:spacing w:before="120" w:after="120"/>
              <w:rPr>
                <w:rFonts w:asciiTheme="majorBidi" w:hAnsiTheme="majorBidi" w:cstheme="majorBidi"/>
                <w:b/>
                <w:iCs/>
                <w:szCs w:val="24"/>
              </w:rPr>
            </w:pPr>
            <w:r w:rsidRPr="007A6F3D">
              <w:rPr>
                <w:rFonts w:asciiTheme="majorBidi" w:hAnsiTheme="majorBidi" w:cstheme="majorBidi"/>
                <w:b/>
                <w:iCs/>
                <w:szCs w:val="24"/>
              </w:rPr>
              <w:t xml:space="preserve">Cognitive </w:t>
            </w:r>
            <w:r>
              <w:rPr>
                <w:rFonts w:asciiTheme="majorBidi" w:hAnsiTheme="majorBidi" w:cstheme="majorBidi"/>
                <w:b/>
                <w:iCs/>
                <w:szCs w:val="24"/>
              </w:rPr>
              <w:t>attitude</w:t>
            </w:r>
            <w:r w:rsidRPr="007A6F3D">
              <w:rPr>
                <w:rFonts w:asciiTheme="majorBidi" w:hAnsiTheme="majorBidi" w:cstheme="majorBidi"/>
                <w:b/>
                <w:iCs/>
                <w:szCs w:val="24"/>
              </w:rPr>
              <w:t xml:space="preserve"> </w:t>
            </w:r>
          </w:p>
        </w:tc>
        <w:tc>
          <w:tcPr>
            <w:tcW w:w="675" w:type="dxa"/>
            <w:tcBorders>
              <w:top w:val="single" w:sz="4" w:space="0" w:color="auto"/>
            </w:tcBorders>
          </w:tcPr>
          <w:p w14:paraId="688D05E1" w14:textId="77777777" w:rsidR="008B27A0" w:rsidRPr="007A6F3D" w:rsidRDefault="008B27A0" w:rsidP="004B3AED">
            <w:pPr>
              <w:tabs>
                <w:tab w:val="left" w:pos="720"/>
              </w:tabs>
              <w:spacing w:before="120" w:after="120"/>
              <w:rPr>
                <w:rFonts w:asciiTheme="majorBidi" w:hAnsiTheme="majorBidi" w:cstheme="majorBidi"/>
                <w:i/>
                <w:szCs w:val="24"/>
              </w:rPr>
            </w:pPr>
          </w:p>
        </w:tc>
        <w:tc>
          <w:tcPr>
            <w:tcW w:w="850" w:type="dxa"/>
            <w:tcBorders>
              <w:top w:val="single" w:sz="4" w:space="0" w:color="auto"/>
            </w:tcBorders>
          </w:tcPr>
          <w:p w14:paraId="05278A12" w14:textId="77777777" w:rsidR="008B27A0" w:rsidRPr="007A6F3D" w:rsidRDefault="008B27A0" w:rsidP="004B3AED">
            <w:pPr>
              <w:tabs>
                <w:tab w:val="left" w:pos="720"/>
              </w:tabs>
              <w:spacing w:before="120" w:after="120"/>
              <w:jc w:val="right"/>
              <w:rPr>
                <w:rFonts w:asciiTheme="majorBidi" w:hAnsiTheme="majorBidi" w:cstheme="majorBidi"/>
                <w:bCs/>
                <w:i/>
                <w:szCs w:val="24"/>
              </w:rPr>
            </w:pPr>
          </w:p>
        </w:tc>
      </w:tr>
      <w:tr w:rsidR="008B27A0" w:rsidRPr="007A6F3D" w14:paraId="2E52A3B7" w14:textId="77777777" w:rsidTr="004B3AED">
        <w:trPr>
          <w:trHeight w:val="175"/>
        </w:trPr>
        <w:tc>
          <w:tcPr>
            <w:tcW w:w="7689" w:type="dxa"/>
            <w:gridSpan w:val="2"/>
            <w:tcBorders>
              <w:top w:val="nil"/>
              <w:bottom w:val="nil"/>
            </w:tcBorders>
          </w:tcPr>
          <w:p w14:paraId="68E83374" w14:textId="77777777" w:rsidR="008B27A0" w:rsidRPr="007A6F3D" w:rsidRDefault="008B27A0" w:rsidP="004B3AED">
            <w:pPr>
              <w:spacing w:before="120" w:after="120"/>
              <w:rPr>
                <w:rFonts w:asciiTheme="majorBidi" w:hAnsiTheme="majorBidi" w:cstheme="majorBidi"/>
                <w:i/>
                <w:iCs/>
                <w:szCs w:val="24"/>
              </w:rPr>
            </w:pPr>
            <w:r w:rsidRPr="007A6F3D">
              <w:rPr>
                <w:rFonts w:asciiTheme="majorBidi" w:hAnsiTheme="majorBidi" w:cstheme="majorBidi"/>
                <w:i/>
                <w:iCs/>
                <w:szCs w:val="24"/>
              </w:rPr>
              <w:t xml:space="preserve">Health beliefs </w:t>
            </w:r>
            <w:r>
              <w:rPr>
                <w:rFonts w:asciiTheme="majorBidi" w:hAnsiTheme="majorBidi" w:cstheme="majorBidi"/>
                <w:i/>
                <w:iCs/>
                <w:szCs w:val="24"/>
              </w:rPr>
              <w:t>discouraging</w:t>
            </w:r>
            <w:r w:rsidRPr="007A6F3D">
              <w:rPr>
                <w:rFonts w:asciiTheme="majorBidi" w:hAnsiTheme="majorBidi" w:cstheme="majorBidi"/>
                <w:i/>
                <w:iCs/>
                <w:szCs w:val="24"/>
              </w:rPr>
              <w:t xml:space="preserve"> use </w:t>
            </w:r>
          </w:p>
        </w:tc>
        <w:tc>
          <w:tcPr>
            <w:tcW w:w="675" w:type="dxa"/>
            <w:tcBorders>
              <w:top w:val="nil"/>
              <w:bottom w:val="nil"/>
            </w:tcBorders>
          </w:tcPr>
          <w:p w14:paraId="2F0AE35A"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4FC0B0FC"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05B745A3" w14:textId="77777777" w:rsidTr="004B3AED">
        <w:trPr>
          <w:trHeight w:val="175"/>
        </w:trPr>
        <w:tc>
          <w:tcPr>
            <w:tcW w:w="7689" w:type="dxa"/>
            <w:gridSpan w:val="2"/>
          </w:tcPr>
          <w:p w14:paraId="335F7A19"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more dangerous than classic illegal drugs </w:t>
            </w:r>
          </w:p>
        </w:tc>
        <w:tc>
          <w:tcPr>
            <w:tcW w:w="675" w:type="dxa"/>
          </w:tcPr>
          <w:p w14:paraId="70DBEA05"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32</w:t>
            </w:r>
          </w:p>
        </w:tc>
        <w:tc>
          <w:tcPr>
            <w:tcW w:w="850" w:type="dxa"/>
          </w:tcPr>
          <w:p w14:paraId="3FADB2F5"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w:t>
            </w:r>
          </w:p>
        </w:tc>
      </w:tr>
      <w:tr w:rsidR="008B27A0" w:rsidRPr="00663AEB" w14:paraId="4511662D" w14:textId="77777777" w:rsidTr="004B3AED">
        <w:trPr>
          <w:trHeight w:val="175"/>
        </w:trPr>
        <w:tc>
          <w:tcPr>
            <w:tcW w:w="7689" w:type="dxa"/>
            <w:gridSpan w:val="2"/>
          </w:tcPr>
          <w:p w14:paraId="62F72F84"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aren’t tested, it’s a different mix of chemicals every time</w:t>
            </w:r>
          </w:p>
        </w:tc>
        <w:tc>
          <w:tcPr>
            <w:tcW w:w="675" w:type="dxa"/>
          </w:tcPr>
          <w:p w14:paraId="3FE6C8B9"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30</w:t>
            </w:r>
          </w:p>
        </w:tc>
        <w:tc>
          <w:tcPr>
            <w:tcW w:w="850" w:type="dxa"/>
          </w:tcPr>
          <w:p w14:paraId="13AF3F05"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3</w:t>
            </w:r>
          </w:p>
        </w:tc>
      </w:tr>
      <w:tr w:rsidR="008B27A0" w:rsidRPr="00663AEB" w14:paraId="71464927" w14:textId="77777777" w:rsidTr="004B3AED">
        <w:trPr>
          <w:trHeight w:val="175"/>
        </w:trPr>
        <w:tc>
          <w:tcPr>
            <w:tcW w:w="7689" w:type="dxa"/>
            <w:gridSpan w:val="2"/>
            <w:tcBorders>
              <w:top w:val="nil"/>
            </w:tcBorders>
          </w:tcPr>
          <w:p w14:paraId="4789B180"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 don’t know what’s in them, the risks are unknown, anything can happen</w:t>
            </w:r>
          </w:p>
        </w:tc>
        <w:tc>
          <w:tcPr>
            <w:tcW w:w="675" w:type="dxa"/>
            <w:tcBorders>
              <w:top w:val="nil"/>
            </w:tcBorders>
          </w:tcPr>
          <w:p w14:paraId="086B5D96"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25</w:t>
            </w:r>
          </w:p>
        </w:tc>
        <w:tc>
          <w:tcPr>
            <w:tcW w:w="850" w:type="dxa"/>
            <w:tcBorders>
              <w:top w:val="nil"/>
            </w:tcBorders>
          </w:tcPr>
          <w:p w14:paraId="19F1EE0E"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6</w:t>
            </w:r>
          </w:p>
        </w:tc>
      </w:tr>
      <w:tr w:rsidR="008B27A0" w:rsidRPr="00663AEB" w14:paraId="1D4F7284" w14:textId="77777777" w:rsidTr="004B3AED">
        <w:trPr>
          <w:trHeight w:val="175"/>
        </w:trPr>
        <w:tc>
          <w:tcPr>
            <w:tcW w:w="7689" w:type="dxa"/>
            <w:gridSpan w:val="2"/>
          </w:tcPr>
          <w:p w14:paraId="3071549B"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deadly, even if one is ok, the next one could kill me</w:t>
            </w:r>
          </w:p>
        </w:tc>
        <w:tc>
          <w:tcPr>
            <w:tcW w:w="675" w:type="dxa"/>
          </w:tcPr>
          <w:p w14:paraId="06C78678"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24</w:t>
            </w:r>
          </w:p>
        </w:tc>
        <w:tc>
          <w:tcPr>
            <w:tcW w:w="850" w:type="dxa"/>
          </w:tcPr>
          <w:p w14:paraId="2F7E5A00"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7</w:t>
            </w:r>
          </w:p>
        </w:tc>
      </w:tr>
      <w:tr w:rsidR="008B27A0" w:rsidRPr="00663AEB" w14:paraId="5D8C9F81" w14:textId="77777777" w:rsidTr="004B3AED">
        <w:trPr>
          <w:trHeight w:val="175"/>
        </w:trPr>
        <w:tc>
          <w:tcPr>
            <w:tcW w:w="7689" w:type="dxa"/>
            <w:gridSpan w:val="2"/>
            <w:tcBorders>
              <w:bottom w:val="nil"/>
            </w:tcBorders>
          </w:tcPr>
          <w:p w14:paraId="0BE8F47E"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too strong, I’ll lose control and end up in a right state </w:t>
            </w:r>
          </w:p>
        </w:tc>
        <w:tc>
          <w:tcPr>
            <w:tcW w:w="675" w:type="dxa"/>
            <w:tcBorders>
              <w:bottom w:val="nil"/>
            </w:tcBorders>
          </w:tcPr>
          <w:p w14:paraId="02F844A4"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22</w:t>
            </w:r>
          </w:p>
        </w:tc>
        <w:tc>
          <w:tcPr>
            <w:tcW w:w="850" w:type="dxa"/>
            <w:tcBorders>
              <w:bottom w:val="nil"/>
            </w:tcBorders>
          </w:tcPr>
          <w:p w14:paraId="096E0A45"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8</w:t>
            </w:r>
          </w:p>
        </w:tc>
      </w:tr>
      <w:tr w:rsidR="008B27A0" w:rsidRPr="00663AEB" w14:paraId="71ECB33A" w14:textId="77777777" w:rsidTr="004B3AED">
        <w:trPr>
          <w:trHeight w:val="175"/>
        </w:trPr>
        <w:tc>
          <w:tcPr>
            <w:tcW w:w="7689" w:type="dxa"/>
            <w:gridSpan w:val="2"/>
            <w:tcBorders>
              <w:bottom w:val="nil"/>
            </w:tcBorders>
          </w:tcPr>
          <w:p w14:paraId="76D00FA9"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Legal highs are bad for me, they could make me really sick</w:t>
            </w:r>
          </w:p>
        </w:tc>
        <w:tc>
          <w:tcPr>
            <w:tcW w:w="675" w:type="dxa"/>
            <w:tcBorders>
              <w:bottom w:val="nil"/>
            </w:tcBorders>
          </w:tcPr>
          <w:p w14:paraId="26F5C852" w14:textId="77777777" w:rsidR="008B27A0" w:rsidRPr="00663AEB" w:rsidRDefault="008B27A0" w:rsidP="004B3AED">
            <w:pPr>
              <w:tabs>
                <w:tab w:val="left" w:pos="720"/>
              </w:tabs>
              <w:spacing w:before="120" w:after="240"/>
              <w:jc w:val="right"/>
              <w:rPr>
                <w:rFonts w:asciiTheme="majorBidi" w:hAnsiTheme="majorBidi" w:cstheme="majorBidi"/>
                <w:bCs/>
                <w:szCs w:val="24"/>
              </w:rPr>
            </w:pPr>
            <w:r>
              <w:rPr>
                <w:rFonts w:asciiTheme="majorBidi" w:hAnsiTheme="majorBidi" w:cstheme="majorBidi"/>
                <w:bCs/>
                <w:szCs w:val="24"/>
              </w:rPr>
              <w:t>17</w:t>
            </w:r>
          </w:p>
        </w:tc>
        <w:tc>
          <w:tcPr>
            <w:tcW w:w="850" w:type="dxa"/>
            <w:tcBorders>
              <w:bottom w:val="nil"/>
            </w:tcBorders>
          </w:tcPr>
          <w:p w14:paraId="3E12CA6E" w14:textId="77777777" w:rsidR="008B27A0" w:rsidRPr="00663AEB" w:rsidRDefault="008B27A0" w:rsidP="004B3AED">
            <w:pPr>
              <w:tabs>
                <w:tab w:val="left" w:pos="720"/>
              </w:tabs>
              <w:spacing w:before="120" w:after="240"/>
              <w:jc w:val="right"/>
              <w:rPr>
                <w:rFonts w:asciiTheme="majorBidi" w:hAnsiTheme="majorBidi" w:cstheme="majorBidi"/>
                <w:bCs/>
                <w:szCs w:val="24"/>
              </w:rPr>
            </w:pPr>
            <w:r>
              <w:rPr>
                <w:rFonts w:asciiTheme="majorBidi" w:hAnsiTheme="majorBidi" w:cstheme="majorBidi"/>
                <w:bCs/>
                <w:szCs w:val="24"/>
              </w:rPr>
              <w:t>= 14</w:t>
            </w:r>
          </w:p>
        </w:tc>
      </w:tr>
      <w:tr w:rsidR="008B27A0" w:rsidRPr="007A6F3D" w14:paraId="529CF071" w14:textId="77777777" w:rsidTr="004B3AED">
        <w:trPr>
          <w:trHeight w:val="175"/>
        </w:trPr>
        <w:tc>
          <w:tcPr>
            <w:tcW w:w="7689" w:type="dxa"/>
            <w:gridSpan w:val="2"/>
            <w:tcBorders>
              <w:top w:val="nil"/>
              <w:bottom w:val="nil"/>
            </w:tcBorders>
          </w:tcPr>
          <w:p w14:paraId="20A4AD09" w14:textId="77777777" w:rsidR="008B27A0" w:rsidRPr="007A6F3D" w:rsidRDefault="008B27A0" w:rsidP="004B3AED">
            <w:pPr>
              <w:spacing w:before="120" w:after="120"/>
              <w:rPr>
                <w:rFonts w:asciiTheme="majorBidi" w:hAnsiTheme="majorBidi" w:cstheme="majorBidi"/>
                <w:i/>
                <w:iCs/>
                <w:szCs w:val="24"/>
              </w:rPr>
            </w:pPr>
            <w:r w:rsidRPr="007A6F3D">
              <w:rPr>
                <w:rFonts w:asciiTheme="majorBidi" w:hAnsiTheme="majorBidi" w:cstheme="majorBidi"/>
                <w:i/>
                <w:iCs/>
                <w:szCs w:val="24"/>
              </w:rPr>
              <w:t xml:space="preserve">Health beliefs encouraging use </w:t>
            </w:r>
          </w:p>
        </w:tc>
        <w:tc>
          <w:tcPr>
            <w:tcW w:w="675" w:type="dxa"/>
            <w:tcBorders>
              <w:top w:val="nil"/>
              <w:bottom w:val="nil"/>
            </w:tcBorders>
          </w:tcPr>
          <w:p w14:paraId="688EFA93"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502FBE1B"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353652D7" w14:textId="77777777" w:rsidTr="004B3AED">
        <w:trPr>
          <w:trHeight w:val="175"/>
        </w:trPr>
        <w:tc>
          <w:tcPr>
            <w:tcW w:w="7689" w:type="dxa"/>
            <w:gridSpan w:val="2"/>
            <w:tcBorders>
              <w:top w:val="nil"/>
              <w:bottom w:val="nil"/>
            </w:tcBorders>
          </w:tcPr>
          <w:p w14:paraId="69C108B3" w14:textId="77777777" w:rsidR="008B27A0" w:rsidRPr="00663AEB" w:rsidRDefault="008B27A0" w:rsidP="004B3AED">
            <w:pPr>
              <w:spacing w:before="120" w:after="120"/>
              <w:rPr>
                <w:rFonts w:asciiTheme="majorBidi" w:hAnsiTheme="majorBidi" w:cstheme="majorBidi"/>
                <w:szCs w:val="24"/>
              </w:rPr>
            </w:pPr>
            <w:r>
              <w:rPr>
                <w:rFonts w:asciiTheme="majorBidi" w:hAnsiTheme="majorBidi" w:cstheme="majorBidi"/>
                <w:szCs w:val="24"/>
              </w:rPr>
              <w:t xml:space="preserve">      If they are legal, they must be safe because they’ve been tested</w:t>
            </w:r>
          </w:p>
        </w:tc>
        <w:tc>
          <w:tcPr>
            <w:tcW w:w="675" w:type="dxa"/>
            <w:tcBorders>
              <w:top w:val="nil"/>
              <w:bottom w:val="nil"/>
            </w:tcBorders>
          </w:tcPr>
          <w:p w14:paraId="2D779937" w14:textId="77777777" w:rsidR="008B27A0" w:rsidRPr="00663AEB" w:rsidRDefault="008B27A0" w:rsidP="004B3AED">
            <w:pPr>
              <w:spacing w:before="120" w:after="120"/>
              <w:jc w:val="right"/>
              <w:rPr>
                <w:rFonts w:asciiTheme="majorBidi" w:hAnsiTheme="majorBidi" w:cstheme="majorBidi"/>
                <w:szCs w:val="24"/>
              </w:rPr>
            </w:pPr>
            <w:r>
              <w:rPr>
                <w:rFonts w:asciiTheme="majorBidi" w:hAnsiTheme="majorBidi" w:cstheme="majorBidi"/>
                <w:szCs w:val="24"/>
              </w:rPr>
              <w:t>13</w:t>
            </w:r>
          </w:p>
        </w:tc>
        <w:tc>
          <w:tcPr>
            <w:tcW w:w="850" w:type="dxa"/>
            <w:tcBorders>
              <w:top w:val="nil"/>
              <w:bottom w:val="nil"/>
            </w:tcBorders>
          </w:tcPr>
          <w:p w14:paraId="603D92D1"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17</w:t>
            </w:r>
          </w:p>
        </w:tc>
      </w:tr>
      <w:tr w:rsidR="008B27A0" w:rsidRPr="00663AEB" w14:paraId="677E8885" w14:textId="77777777" w:rsidTr="004B3AED">
        <w:trPr>
          <w:trHeight w:val="175"/>
        </w:trPr>
        <w:tc>
          <w:tcPr>
            <w:tcW w:w="7689" w:type="dxa"/>
            <w:gridSpan w:val="2"/>
            <w:tcBorders>
              <w:top w:val="nil"/>
              <w:bottom w:val="nil"/>
            </w:tcBorders>
          </w:tcPr>
          <w:p w14:paraId="0014BFB3"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Bad things happen to other people, I’ll be fine if I take a legal high</w:t>
            </w:r>
          </w:p>
        </w:tc>
        <w:tc>
          <w:tcPr>
            <w:tcW w:w="675" w:type="dxa"/>
            <w:tcBorders>
              <w:top w:val="nil"/>
              <w:bottom w:val="nil"/>
            </w:tcBorders>
          </w:tcPr>
          <w:p w14:paraId="370AF558"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9</w:t>
            </w:r>
          </w:p>
        </w:tc>
        <w:tc>
          <w:tcPr>
            <w:tcW w:w="850" w:type="dxa"/>
            <w:tcBorders>
              <w:top w:val="nil"/>
              <w:bottom w:val="nil"/>
            </w:tcBorders>
          </w:tcPr>
          <w:p w14:paraId="3A72F71B"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23</w:t>
            </w:r>
          </w:p>
        </w:tc>
      </w:tr>
      <w:tr w:rsidR="008B27A0" w:rsidRPr="00663AEB" w14:paraId="32CC3B5A" w14:textId="77777777" w:rsidTr="004B3AED">
        <w:trPr>
          <w:trHeight w:val="175"/>
        </w:trPr>
        <w:tc>
          <w:tcPr>
            <w:tcW w:w="7689" w:type="dxa"/>
            <w:gridSpan w:val="2"/>
            <w:tcBorders>
              <w:top w:val="nil"/>
              <w:bottom w:val="nil"/>
            </w:tcBorders>
          </w:tcPr>
          <w:p w14:paraId="7C483B9E"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safer than classic illegal drugs </w:t>
            </w:r>
          </w:p>
        </w:tc>
        <w:tc>
          <w:tcPr>
            <w:tcW w:w="675" w:type="dxa"/>
            <w:tcBorders>
              <w:top w:val="nil"/>
              <w:bottom w:val="nil"/>
            </w:tcBorders>
          </w:tcPr>
          <w:p w14:paraId="7A240C6A"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4</w:t>
            </w:r>
          </w:p>
        </w:tc>
        <w:tc>
          <w:tcPr>
            <w:tcW w:w="850" w:type="dxa"/>
            <w:tcBorders>
              <w:top w:val="nil"/>
              <w:bottom w:val="nil"/>
            </w:tcBorders>
          </w:tcPr>
          <w:p w14:paraId="53FD2DA0"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34</w:t>
            </w:r>
          </w:p>
        </w:tc>
      </w:tr>
      <w:tr w:rsidR="008B27A0" w:rsidRPr="00663AEB" w14:paraId="7A1DEC32" w14:textId="77777777" w:rsidTr="004B3AED">
        <w:trPr>
          <w:trHeight w:val="175"/>
        </w:trPr>
        <w:tc>
          <w:tcPr>
            <w:tcW w:w="7689" w:type="dxa"/>
            <w:gridSpan w:val="2"/>
            <w:tcBorders>
              <w:top w:val="nil"/>
              <w:bottom w:val="nil"/>
            </w:tcBorders>
          </w:tcPr>
          <w:p w14:paraId="600DB892"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Just because one type of legal high is bad, it doesn’t mean they all are</w:t>
            </w:r>
          </w:p>
        </w:tc>
        <w:tc>
          <w:tcPr>
            <w:tcW w:w="675" w:type="dxa"/>
            <w:tcBorders>
              <w:top w:val="nil"/>
              <w:bottom w:val="nil"/>
            </w:tcBorders>
          </w:tcPr>
          <w:p w14:paraId="096EA0D2"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4</w:t>
            </w:r>
          </w:p>
        </w:tc>
        <w:tc>
          <w:tcPr>
            <w:tcW w:w="850" w:type="dxa"/>
            <w:tcBorders>
              <w:top w:val="nil"/>
              <w:bottom w:val="nil"/>
            </w:tcBorders>
          </w:tcPr>
          <w:p w14:paraId="741C3B5A"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34</w:t>
            </w:r>
          </w:p>
        </w:tc>
      </w:tr>
      <w:tr w:rsidR="008B27A0" w:rsidRPr="004165EC" w14:paraId="6881870A" w14:textId="77777777" w:rsidTr="004B3AED">
        <w:trPr>
          <w:trHeight w:val="175"/>
        </w:trPr>
        <w:tc>
          <w:tcPr>
            <w:tcW w:w="7689" w:type="dxa"/>
            <w:gridSpan w:val="2"/>
            <w:tcBorders>
              <w:top w:val="single" w:sz="4" w:space="0" w:color="auto"/>
              <w:bottom w:val="nil"/>
            </w:tcBorders>
          </w:tcPr>
          <w:p w14:paraId="68FB27C8" w14:textId="77777777" w:rsidR="008B27A0" w:rsidRPr="004165EC" w:rsidRDefault="008B27A0" w:rsidP="004B3AED">
            <w:pPr>
              <w:spacing w:before="120" w:after="120"/>
              <w:rPr>
                <w:rFonts w:asciiTheme="majorBidi" w:hAnsiTheme="majorBidi" w:cstheme="majorBidi"/>
                <w:b/>
                <w:iCs/>
                <w:szCs w:val="24"/>
              </w:rPr>
            </w:pPr>
            <w:r w:rsidRPr="004165EC">
              <w:rPr>
                <w:rFonts w:asciiTheme="majorBidi" w:hAnsiTheme="majorBidi" w:cstheme="majorBidi"/>
                <w:b/>
                <w:iCs/>
                <w:szCs w:val="24"/>
              </w:rPr>
              <w:t xml:space="preserve">Affective </w:t>
            </w:r>
            <w:r>
              <w:rPr>
                <w:rFonts w:asciiTheme="majorBidi" w:hAnsiTheme="majorBidi" w:cstheme="majorBidi"/>
                <w:b/>
                <w:iCs/>
                <w:szCs w:val="24"/>
              </w:rPr>
              <w:t xml:space="preserve">attitude </w:t>
            </w:r>
          </w:p>
        </w:tc>
        <w:tc>
          <w:tcPr>
            <w:tcW w:w="675" w:type="dxa"/>
            <w:tcBorders>
              <w:top w:val="single" w:sz="4" w:space="0" w:color="auto"/>
              <w:bottom w:val="nil"/>
            </w:tcBorders>
          </w:tcPr>
          <w:p w14:paraId="063219F9" w14:textId="77777777" w:rsidR="008B27A0" w:rsidRPr="004165EC" w:rsidRDefault="008B27A0" w:rsidP="004B3AED">
            <w:pPr>
              <w:spacing w:before="120" w:after="120"/>
              <w:jc w:val="right"/>
              <w:rPr>
                <w:rFonts w:asciiTheme="majorBidi" w:hAnsiTheme="majorBidi" w:cstheme="majorBidi"/>
                <w:b/>
                <w:szCs w:val="24"/>
              </w:rPr>
            </w:pPr>
          </w:p>
        </w:tc>
        <w:tc>
          <w:tcPr>
            <w:tcW w:w="850" w:type="dxa"/>
            <w:tcBorders>
              <w:top w:val="single" w:sz="4" w:space="0" w:color="auto"/>
              <w:bottom w:val="nil"/>
            </w:tcBorders>
          </w:tcPr>
          <w:p w14:paraId="4B1B11AA" w14:textId="77777777" w:rsidR="008B27A0" w:rsidRPr="004165EC" w:rsidRDefault="008B27A0" w:rsidP="004B3AED">
            <w:pPr>
              <w:spacing w:before="120" w:after="120"/>
              <w:jc w:val="right"/>
              <w:rPr>
                <w:rFonts w:asciiTheme="majorBidi" w:hAnsiTheme="majorBidi" w:cstheme="majorBidi"/>
                <w:b/>
                <w:bCs/>
                <w:szCs w:val="24"/>
              </w:rPr>
            </w:pPr>
          </w:p>
        </w:tc>
      </w:tr>
      <w:tr w:rsidR="008B27A0" w:rsidRPr="007A6F3D" w14:paraId="7E74347D" w14:textId="77777777" w:rsidTr="004B3AED">
        <w:trPr>
          <w:trHeight w:val="175"/>
        </w:trPr>
        <w:tc>
          <w:tcPr>
            <w:tcW w:w="7689" w:type="dxa"/>
            <w:gridSpan w:val="2"/>
            <w:tcBorders>
              <w:top w:val="nil"/>
              <w:bottom w:val="nil"/>
            </w:tcBorders>
          </w:tcPr>
          <w:p w14:paraId="4C267422" w14:textId="77777777" w:rsidR="008B27A0" w:rsidRPr="007A6F3D"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Pleasure-based </w:t>
            </w:r>
            <w:r w:rsidRPr="007A6F3D">
              <w:rPr>
                <w:rFonts w:asciiTheme="majorBidi" w:hAnsiTheme="majorBidi" w:cstheme="majorBidi"/>
                <w:i/>
                <w:iCs/>
                <w:szCs w:val="24"/>
              </w:rPr>
              <w:t xml:space="preserve">beliefs </w:t>
            </w:r>
            <w:r>
              <w:rPr>
                <w:rFonts w:asciiTheme="majorBidi" w:hAnsiTheme="majorBidi" w:cstheme="majorBidi"/>
                <w:i/>
                <w:iCs/>
                <w:szCs w:val="24"/>
              </w:rPr>
              <w:t>discouraging</w:t>
            </w:r>
            <w:r w:rsidRPr="007A6F3D">
              <w:rPr>
                <w:rFonts w:asciiTheme="majorBidi" w:hAnsiTheme="majorBidi" w:cstheme="majorBidi"/>
                <w:i/>
                <w:iCs/>
                <w:szCs w:val="24"/>
              </w:rPr>
              <w:t xml:space="preserve"> use </w:t>
            </w:r>
          </w:p>
        </w:tc>
        <w:tc>
          <w:tcPr>
            <w:tcW w:w="675" w:type="dxa"/>
            <w:tcBorders>
              <w:top w:val="nil"/>
              <w:bottom w:val="nil"/>
            </w:tcBorders>
          </w:tcPr>
          <w:p w14:paraId="7A420C99"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52EA3807"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413271C8" w14:textId="77777777" w:rsidTr="004B3AED">
        <w:trPr>
          <w:trHeight w:val="175"/>
        </w:trPr>
        <w:tc>
          <w:tcPr>
            <w:tcW w:w="7689" w:type="dxa"/>
            <w:gridSpan w:val="2"/>
            <w:tcBorders>
              <w:top w:val="nil"/>
              <w:bottom w:val="nil"/>
            </w:tcBorders>
          </w:tcPr>
          <w:p w14:paraId="4B0E9858"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I’ll feel awful if I take a legal high, the trip is really bad </w:t>
            </w:r>
          </w:p>
        </w:tc>
        <w:tc>
          <w:tcPr>
            <w:tcW w:w="675" w:type="dxa"/>
            <w:tcBorders>
              <w:top w:val="nil"/>
              <w:bottom w:val="nil"/>
            </w:tcBorders>
          </w:tcPr>
          <w:p w14:paraId="09F74868"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18</w:t>
            </w:r>
          </w:p>
        </w:tc>
        <w:tc>
          <w:tcPr>
            <w:tcW w:w="850" w:type="dxa"/>
            <w:tcBorders>
              <w:top w:val="nil"/>
              <w:bottom w:val="nil"/>
            </w:tcBorders>
          </w:tcPr>
          <w:p w14:paraId="6EA1687D"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13</w:t>
            </w:r>
          </w:p>
        </w:tc>
      </w:tr>
      <w:tr w:rsidR="008B27A0" w:rsidRPr="00663AEB" w14:paraId="016A0342" w14:textId="77777777" w:rsidTr="004B3AED">
        <w:trPr>
          <w:trHeight w:val="175"/>
        </w:trPr>
        <w:tc>
          <w:tcPr>
            <w:tcW w:w="7689" w:type="dxa"/>
            <w:gridSpan w:val="2"/>
            <w:tcBorders>
              <w:top w:val="nil"/>
              <w:bottom w:val="nil"/>
            </w:tcBorders>
          </w:tcPr>
          <w:p w14:paraId="4743CE90"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The after effects are horrible, I’ll regret taking it</w:t>
            </w:r>
          </w:p>
        </w:tc>
        <w:tc>
          <w:tcPr>
            <w:tcW w:w="675" w:type="dxa"/>
            <w:tcBorders>
              <w:top w:val="nil"/>
              <w:bottom w:val="nil"/>
            </w:tcBorders>
          </w:tcPr>
          <w:p w14:paraId="0F583A0A" w14:textId="77777777" w:rsidR="008B27A0" w:rsidRPr="00663AEB" w:rsidRDefault="008B27A0" w:rsidP="004B3AED">
            <w:pPr>
              <w:spacing w:before="120" w:after="120"/>
              <w:jc w:val="right"/>
              <w:rPr>
                <w:rFonts w:asciiTheme="majorBidi" w:hAnsiTheme="majorBidi" w:cstheme="majorBidi"/>
                <w:bCs/>
                <w:szCs w:val="24"/>
              </w:rPr>
            </w:pPr>
            <w:r w:rsidRPr="00663AEB">
              <w:rPr>
                <w:rFonts w:asciiTheme="majorBidi" w:hAnsiTheme="majorBidi" w:cstheme="majorBidi"/>
                <w:bCs/>
                <w:szCs w:val="24"/>
              </w:rPr>
              <w:t>9</w:t>
            </w:r>
          </w:p>
        </w:tc>
        <w:tc>
          <w:tcPr>
            <w:tcW w:w="850" w:type="dxa"/>
            <w:tcBorders>
              <w:top w:val="nil"/>
              <w:bottom w:val="nil"/>
            </w:tcBorders>
          </w:tcPr>
          <w:p w14:paraId="46B74F4C"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23</w:t>
            </w:r>
          </w:p>
        </w:tc>
      </w:tr>
      <w:tr w:rsidR="008B27A0" w:rsidRPr="00663AEB" w14:paraId="78DAD76A" w14:textId="77777777" w:rsidTr="004B3AED">
        <w:trPr>
          <w:trHeight w:val="175"/>
        </w:trPr>
        <w:tc>
          <w:tcPr>
            <w:tcW w:w="7689" w:type="dxa"/>
            <w:gridSpan w:val="2"/>
            <w:tcBorders>
              <w:top w:val="nil"/>
              <w:bottom w:val="nil"/>
            </w:tcBorders>
          </w:tcPr>
          <w:p w14:paraId="5B0BBCFD"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The effects of legal highs are much worse than classic drugs </w:t>
            </w:r>
          </w:p>
        </w:tc>
        <w:tc>
          <w:tcPr>
            <w:tcW w:w="675" w:type="dxa"/>
            <w:tcBorders>
              <w:top w:val="nil"/>
              <w:bottom w:val="nil"/>
            </w:tcBorders>
          </w:tcPr>
          <w:p w14:paraId="6C5E10B9"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4</w:t>
            </w:r>
          </w:p>
        </w:tc>
        <w:tc>
          <w:tcPr>
            <w:tcW w:w="850" w:type="dxa"/>
            <w:tcBorders>
              <w:top w:val="nil"/>
              <w:bottom w:val="nil"/>
            </w:tcBorders>
          </w:tcPr>
          <w:p w14:paraId="6FB47434"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34</w:t>
            </w:r>
          </w:p>
        </w:tc>
      </w:tr>
      <w:tr w:rsidR="008B27A0" w:rsidRPr="007A6F3D" w14:paraId="534FEAA7" w14:textId="77777777" w:rsidTr="004B3AED">
        <w:trPr>
          <w:trHeight w:val="175"/>
        </w:trPr>
        <w:tc>
          <w:tcPr>
            <w:tcW w:w="7689" w:type="dxa"/>
            <w:gridSpan w:val="2"/>
            <w:tcBorders>
              <w:top w:val="nil"/>
              <w:bottom w:val="nil"/>
            </w:tcBorders>
          </w:tcPr>
          <w:p w14:paraId="7E86E654" w14:textId="77777777" w:rsidR="008B27A0" w:rsidRPr="007A6F3D"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Pleasure-based </w:t>
            </w:r>
            <w:r w:rsidRPr="007A6F3D">
              <w:rPr>
                <w:rFonts w:asciiTheme="majorBidi" w:hAnsiTheme="majorBidi" w:cstheme="majorBidi"/>
                <w:i/>
                <w:iCs/>
                <w:szCs w:val="24"/>
              </w:rPr>
              <w:t xml:space="preserve">beliefs </w:t>
            </w:r>
            <w:r>
              <w:rPr>
                <w:rFonts w:asciiTheme="majorBidi" w:hAnsiTheme="majorBidi" w:cstheme="majorBidi"/>
                <w:i/>
                <w:iCs/>
                <w:szCs w:val="24"/>
              </w:rPr>
              <w:t>encouraging</w:t>
            </w:r>
            <w:r w:rsidRPr="007A6F3D">
              <w:rPr>
                <w:rFonts w:asciiTheme="majorBidi" w:hAnsiTheme="majorBidi" w:cstheme="majorBidi"/>
                <w:i/>
                <w:iCs/>
                <w:szCs w:val="24"/>
              </w:rPr>
              <w:t xml:space="preserve"> use </w:t>
            </w:r>
          </w:p>
        </w:tc>
        <w:tc>
          <w:tcPr>
            <w:tcW w:w="675" w:type="dxa"/>
            <w:tcBorders>
              <w:top w:val="nil"/>
              <w:bottom w:val="nil"/>
            </w:tcBorders>
          </w:tcPr>
          <w:p w14:paraId="183F2937"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4A1CF0D5"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2CAE6A64" w14:textId="77777777" w:rsidTr="004B3AED">
        <w:trPr>
          <w:trHeight w:val="175"/>
        </w:trPr>
        <w:tc>
          <w:tcPr>
            <w:tcW w:w="7689" w:type="dxa"/>
            <w:gridSpan w:val="2"/>
            <w:tcBorders>
              <w:top w:val="nil"/>
              <w:bottom w:val="nil"/>
            </w:tcBorders>
          </w:tcPr>
          <w:p w14:paraId="3BE9E940"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I’ll feel good if I take a legal high, the high is pleasurable   </w:t>
            </w:r>
          </w:p>
        </w:tc>
        <w:tc>
          <w:tcPr>
            <w:tcW w:w="675" w:type="dxa"/>
            <w:tcBorders>
              <w:top w:val="nil"/>
              <w:bottom w:val="nil"/>
            </w:tcBorders>
          </w:tcPr>
          <w:p w14:paraId="17A61B43"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34</w:t>
            </w:r>
          </w:p>
        </w:tc>
        <w:tc>
          <w:tcPr>
            <w:tcW w:w="850" w:type="dxa"/>
            <w:tcBorders>
              <w:top w:val="nil"/>
              <w:bottom w:val="nil"/>
            </w:tcBorders>
          </w:tcPr>
          <w:p w14:paraId="5A70991A"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w:t>
            </w:r>
          </w:p>
        </w:tc>
      </w:tr>
      <w:tr w:rsidR="008B27A0" w:rsidRPr="00663AEB" w14:paraId="6788AB26" w14:textId="77777777" w:rsidTr="004B3AED">
        <w:trPr>
          <w:trHeight w:val="175"/>
        </w:trPr>
        <w:tc>
          <w:tcPr>
            <w:tcW w:w="7689" w:type="dxa"/>
            <w:gridSpan w:val="2"/>
            <w:tcBorders>
              <w:top w:val="nil"/>
              <w:bottom w:val="single" w:sz="4" w:space="0" w:color="auto"/>
            </w:tcBorders>
          </w:tcPr>
          <w:p w14:paraId="3A34400A"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Taking legal highs is enjoyable, a great way to have a laugh</w:t>
            </w:r>
          </w:p>
        </w:tc>
        <w:tc>
          <w:tcPr>
            <w:tcW w:w="675" w:type="dxa"/>
            <w:tcBorders>
              <w:top w:val="nil"/>
              <w:bottom w:val="single" w:sz="4" w:space="0" w:color="auto"/>
            </w:tcBorders>
          </w:tcPr>
          <w:p w14:paraId="0189A4F1"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12</w:t>
            </w:r>
          </w:p>
        </w:tc>
        <w:tc>
          <w:tcPr>
            <w:tcW w:w="850" w:type="dxa"/>
            <w:tcBorders>
              <w:top w:val="nil"/>
              <w:bottom w:val="single" w:sz="4" w:space="0" w:color="auto"/>
            </w:tcBorders>
          </w:tcPr>
          <w:p w14:paraId="188954D8"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20</w:t>
            </w:r>
          </w:p>
        </w:tc>
      </w:tr>
      <w:tr w:rsidR="008B27A0" w:rsidRPr="007A6F3D" w14:paraId="479E8461" w14:textId="77777777" w:rsidTr="004B3AED">
        <w:trPr>
          <w:trHeight w:val="175"/>
        </w:trPr>
        <w:tc>
          <w:tcPr>
            <w:tcW w:w="7689" w:type="dxa"/>
            <w:gridSpan w:val="2"/>
            <w:tcBorders>
              <w:top w:val="single" w:sz="4" w:space="0" w:color="auto"/>
              <w:bottom w:val="nil"/>
            </w:tcBorders>
          </w:tcPr>
          <w:p w14:paraId="011ABD7E" w14:textId="77777777" w:rsidR="008B27A0" w:rsidRDefault="008B27A0" w:rsidP="004B3AED">
            <w:pPr>
              <w:spacing w:before="120" w:after="120"/>
              <w:rPr>
                <w:rFonts w:asciiTheme="majorBidi" w:hAnsiTheme="majorBidi" w:cstheme="majorBidi"/>
                <w:i/>
                <w:iCs/>
                <w:szCs w:val="24"/>
              </w:rPr>
            </w:pPr>
          </w:p>
        </w:tc>
        <w:tc>
          <w:tcPr>
            <w:tcW w:w="675" w:type="dxa"/>
            <w:tcBorders>
              <w:top w:val="single" w:sz="4" w:space="0" w:color="auto"/>
              <w:bottom w:val="nil"/>
            </w:tcBorders>
          </w:tcPr>
          <w:p w14:paraId="79E43D1F"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single" w:sz="4" w:space="0" w:color="auto"/>
              <w:bottom w:val="nil"/>
            </w:tcBorders>
          </w:tcPr>
          <w:p w14:paraId="4409D0DD"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D572CB" w14:paraId="41EC5F77" w14:textId="77777777" w:rsidTr="004B3AED">
        <w:trPr>
          <w:trHeight w:val="228"/>
        </w:trPr>
        <w:tc>
          <w:tcPr>
            <w:tcW w:w="9214" w:type="dxa"/>
            <w:gridSpan w:val="4"/>
            <w:tcBorders>
              <w:top w:val="nil"/>
              <w:left w:val="nil"/>
              <w:bottom w:val="single" w:sz="4" w:space="0" w:color="auto"/>
              <w:right w:val="nil"/>
            </w:tcBorders>
          </w:tcPr>
          <w:p w14:paraId="27494BC4" w14:textId="42FA2952" w:rsidR="008B27A0" w:rsidRPr="00AD53A9" w:rsidRDefault="008B27A0" w:rsidP="004B3AED">
            <w:pPr>
              <w:spacing w:before="120" w:after="120"/>
              <w:rPr>
                <w:b/>
              </w:rPr>
            </w:pPr>
            <w:r w:rsidRPr="006533CF">
              <w:rPr>
                <w:b/>
              </w:rPr>
              <w:t xml:space="preserve">Table </w:t>
            </w:r>
            <w:r w:rsidR="00735864">
              <w:rPr>
                <w:b/>
              </w:rPr>
              <w:t>6-</w:t>
            </w:r>
            <w:r>
              <w:rPr>
                <w:b/>
              </w:rPr>
              <w:t>9</w:t>
            </w:r>
            <w:r w:rsidRPr="006533CF">
              <w:rPr>
                <w:b/>
              </w:rPr>
              <w:t xml:space="preserve">. </w:t>
            </w:r>
            <w:r>
              <w:rPr>
                <w:b/>
              </w:rPr>
              <w:t>Continued</w:t>
            </w:r>
          </w:p>
        </w:tc>
      </w:tr>
      <w:tr w:rsidR="008B27A0" w:rsidRPr="00D572CB" w14:paraId="4650EE55" w14:textId="77777777" w:rsidTr="004B3AED">
        <w:trPr>
          <w:trHeight w:val="228"/>
        </w:trPr>
        <w:tc>
          <w:tcPr>
            <w:tcW w:w="4128" w:type="dxa"/>
            <w:tcBorders>
              <w:top w:val="single" w:sz="4" w:space="0" w:color="auto"/>
              <w:left w:val="nil"/>
              <w:bottom w:val="single" w:sz="4" w:space="0" w:color="auto"/>
              <w:right w:val="nil"/>
            </w:tcBorders>
          </w:tcPr>
          <w:p w14:paraId="24173A17" w14:textId="77777777" w:rsidR="008B27A0" w:rsidRDefault="008B27A0" w:rsidP="004B3AED">
            <w:pPr>
              <w:spacing w:before="120" w:after="120"/>
              <w:rPr>
                <w:rFonts w:asciiTheme="majorBidi" w:hAnsiTheme="majorBidi" w:cstheme="majorBidi"/>
                <w:b/>
                <w:szCs w:val="24"/>
              </w:rPr>
            </w:pPr>
            <w:r>
              <w:rPr>
                <w:rFonts w:asciiTheme="majorBidi" w:hAnsiTheme="majorBidi" w:cstheme="majorBidi"/>
                <w:b/>
                <w:szCs w:val="24"/>
              </w:rPr>
              <w:t>Model construct</w:t>
            </w:r>
          </w:p>
          <w:p w14:paraId="2A1C4060" w14:textId="77777777" w:rsidR="008B27A0" w:rsidRDefault="008B27A0" w:rsidP="004B3AED">
            <w:pPr>
              <w:spacing w:before="120" w:after="120"/>
              <w:rPr>
                <w:rFonts w:asciiTheme="majorBidi" w:hAnsiTheme="majorBidi" w:cstheme="majorBidi"/>
                <w:i/>
                <w:szCs w:val="24"/>
              </w:rPr>
            </w:pPr>
            <w:r>
              <w:rPr>
                <w:rFonts w:asciiTheme="majorBidi" w:hAnsiTheme="majorBidi" w:cstheme="majorBidi"/>
                <w:i/>
                <w:szCs w:val="24"/>
              </w:rPr>
              <w:t>Motivational domain</w:t>
            </w:r>
            <w:r w:rsidRPr="00571091">
              <w:rPr>
                <w:rFonts w:asciiTheme="majorBidi" w:hAnsiTheme="majorBidi" w:cstheme="majorBidi"/>
                <w:i/>
                <w:szCs w:val="24"/>
              </w:rPr>
              <w:t xml:space="preserve"> </w:t>
            </w:r>
          </w:p>
          <w:p w14:paraId="18DE694F" w14:textId="77777777" w:rsidR="008B27A0" w:rsidRPr="00571091" w:rsidRDefault="008B27A0" w:rsidP="004B3AED">
            <w:pPr>
              <w:spacing w:before="120" w:after="120"/>
              <w:rPr>
                <w:rFonts w:asciiTheme="majorBidi" w:hAnsiTheme="majorBidi" w:cstheme="majorBidi"/>
                <w:i/>
                <w:szCs w:val="24"/>
              </w:rPr>
            </w:pPr>
            <w:r>
              <w:rPr>
                <w:rFonts w:asciiTheme="majorBidi" w:hAnsiTheme="majorBidi" w:cstheme="majorBidi"/>
                <w:i/>
                <w:szCs w:val="24"/>
              </w:rPr>
              <w:t xml:space="preserve">     </w:t>
            </w:r>
            <w:r w:rsidRPr="00571091">
              <w:rPr>
                <w:rFonts w:asciiTheme="majorBidi" w:hAnsiTheme="majorBidi" w:cstheme="majorBidi"/>
                <w:szCs w:val="24"/>
              </w:rPr>
              <w:t>Behavioural belief</w:t>
            </w:r>
          </w:p>
        </w:tc>
        <w:tc>
          <w:tcPr>
            <w:tcW w:w="4236" w:type="dxa"/>
            <w:gridSpan w:val="2"/>
            <w:tcBorders>
              <w:top w:val="single" w:sz="4" w:space="0" w:color="auto"/>
              <w:left w:val="nil"/>
              <w:bottom w:val="single" w:sz="4" w:space="0" w:color="auto"/>
              <w:right w:val="nil"/>
            </w:tcBorders>
          </w:tcPr>
          <w:p w14:paraId="277ACBA6" w14:textId="77777777" w:rsidR="008B27A0" w:rsidRDefault="008B27A0" w:rsidP="004B3AED">
            <w:pPr>
              <w:spacing w:before="120" w:after="120"/>
              <w:jc w:val="right"/>
              <w:rPr>
                <w:rFonts w:asciiTheme="majorBidi" w:hAnsiTheme="majorBidi" w:cstheme="majorBidi"/>
                <w:b/>
                <w:szCs w:val="24"/>
              </w:rPr>
            </w:pPr>
          </w:p>
          <w:p w14:paraId="2CE371E1" w14:textId="77777777" w:rsidR="008B27A0" w:rsidRDefault="008B27A0" w:rsidP="004B3AED">
            <w:pPr>
              <w:spacing w:before="120" w:after="120"/>
              <w:jc w:val="right"/>
              <w:rPr>
                <w:rFonts w:asciiTheme="majorBidi" w:hAnsiTheme="majorBidi" w:cstheme="majorBidi"/>
                <w:b/>
                <w:szCs w:val="24"/>
              </w:rPr>
            </w:pPr>
          </w:p>
          <w:p w14:paraId="2C947EA9" w14:textId="77777777" w:rsidR="008B27A0" w:rsidRPr="00D572CB" w:rsidRDefault="008B27A0" w:rsidP="004B3AED">
            <w:pPr>
              <w:spacing w:before="120" w:after="120"/>
              <w:jc w:val="right"/>
              <w:rPr>
                <w:rFonts w:asciiTheme="majorBidi" w:hAnsiTheme="majorBidi" w:cstheme="majorBidi"/>
                <w:b/>
                <w:szCs w:val="24"/>
              </w:rPr>
            </w:pPr>
            <w:r>
              <w:rPr>
                <w:rFonts w:asciiTheme="majorBidi" w:hAnsiTheme="majorBidi" w:cstheme="majorBidi"/>
                <w:b/>
                <w:szCs w:val="24"/>
              </w:rPr>
              <w:t>Freq</w:t>
            </w:r>
          </w:p>
        </w:tc>
        <w:tc>
          <w:tcPr>
            <w:tcW w:w="850" w:type="dxa"/>
            <w:tcBorders>
              <w:top w:val="single" w:sz="4" w:space="0" w:color="auto"/>
              <w:left w:val="nil"/>
              <w:bottom w:val="single" w:sz="4" w:space="0" w:color="auto"/>
              <w:right w:val="nil"/>
            </w:tcBorders>
          </w:tcPr>
          <w:p w14:paraId="57CBDC87" w14:textId="77777777" w:rsidR="008B27A0" w:rsidRDefault="008B27A0" w:rsidP="004B3AED">
            <w:pPr>
              <w:spacing w:before="120" w:after="120"/>
              <w:jc w:val="right"/>
              <w:rPr>
                <w:rFonts w:asciiTheme="majorBidi" w:hAnsiTheme="majorBidi" w:cstheme="majorBidi"/>
                <w:b/>
                <w:szCs w:val="24"/>
              </w:rPr>
            </w:pPr>
          </w:p>
          <w:p w14:paraId="42D81DA8" w14:textId="77777777" w:rsidR="008B27A0" w:rsidRDefault="008B27A0" w:rsidP="004B3AED">
            <w:pPr>
              <w:spacing w:before="120" w:after="120"/>
              <w:jc w:val="right"/>
              <w:rPr>
                <w:rFonts w:asciiTheme="majorBidi" w:hAnsiTheme="majorBidi" w:cstheme="majorBidi"/>
                <w:b/>
                <w:szCs w:val="24"/>
              </w:rPr>
            </w:pPr>
          </w:p>
          <w:p w14:paraId="77F67E1C" w14:textId="77777777" w:rsidR="008B27A0" w:rsidRPr="00D572CB" w:rsidRDefault="008B27A0" w:rsidP="004B3AED">
            <w:pPr>
              <w:spacing w:before="120" w:after="120"/>
              <w:jc w:val="right"/>
              <w:rPr>
                <w:rFonts w:asciiTheme="majorBidi" w:hAnsiTheme="majorBidi" w:cstheme="majorBidi"/>
                <w:b/>
                <w:szCs w:val="24"/>
              </w:rPr>
            </w:pPr>
            <w:r w:rsidRPr="00D572CB">
              <w:rPr>
                <w:rFonts w:asciiTheme="majorBidi" w:hAnsiTheme="majorBidi" w:cstheme="majorBidi"/>
                <w:b/>
                <w:szCs w:val="24"/>
              </w:rPr>
              <w:t>Rank</w:t>
            </w:r>
          </w:p>
        </w:tc>
      </w:tr>
      <w:tr w:rsidR="008B27A0" w:rsidRPr="007A6F3D" w14:paraId="637949D4" w14:textId="77777777" w:rsidTr="004B3AED">
        <w:trPr>
          <w:trHeight w:val="175"/>
        </w:trPr>
        <w:tc>
          <w:tcPr>
            <w:tcW w:w="7689" w:type="dxa"/>
            <w:gridSpan w:val="2"/>
            <w:tcBorders>
              <w:top w:val="single" w:sz="4" w:space="0" w:color="auto"/>
              <w:bottom w:val="nil"/>
            </w:tcBorders>
          </w:tcPr>
          <w:p w14:paraId="29D41DF4" w14:textId="77777777" w:rsidR="008B27A0" w:rsidRPr="007A6F3D"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Coping </w:t>
            </w:r>
            <w:r w:rsidRPr="007A6F3D">
              <w:rPr>
                <w:rFonts w:asciiTheme="majorBidi" w:hAnsiTheme="majorBidi" w:cstheme="majorBidi"/>
                <w:i/>
                <w:iCs/>
                <w:szCs w:val="24"/>
              </w:rPr>
              <w:t xml:space="preserve">beliefs </w:t>
            </w:r>
            <w:r>
              <w:rPr>
                <w:rFonts w:asciiTheme="majorBidi" w:hAnsiTheme="majorBidi" w:cstheme="majorBidi"/>
                <w:i/>
                <w:iCs/>
                <w:szCs w:val="24"/>
              </w:rPr>
              <w:t xml:space="preserve">encouraging </w:t>
            </w:r>
            <w:r w:rsidRPr="007A6F3D">
              <w:rPr>
                <w:rFonts w:asciiTheme="majorBidi" w:hAnsiTheme="majorBidi" w:cstheme="majorBidi"/>
                <w:i/>
                <w:iCs/>
                <w:szCs w:val="24"/>
              </w:rPr>
              <w:t xml:space="preserve">use </w:t>
            </w:r>
          </w:p>
        </w:tc>
        <w:tc>
          <w:tcPr>
            <w:tcW w:w="675" w:type="dxa"/>
            <w:tcBorders>
              <w:top w:val="single" w:sz="4" w:space="0" w:color="auto"/>
              <w:bottom w:val="nil"/>
            </w:tcBorders>
          </w:tcPr>
          <w:p w14:paraId="498DE2C5"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single" w:sz="4" w:space="0" w:color="auto"/>
              <w:bottom w:val="nil"/>
            </w:tcBorders>
          </w:tcPr>
          <w:p w14:paraId="63418431"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7C575CCF" w14:textId="77777777" w:rsidTr="004B3AED">
        <w:trPr>
          <w:trHeight w:val="175"/>
        </w:trPr>
        <w:tc>
          <w:tcPr>
            <w:tcW w:w="7689" w:type="dxa"/>
            <w:gridSpan w:val="2"/>
            <w:tcBorders>
              <w:top w:val="nil"/>
              <w:bottom w:val="nil"/>
            </w:tcBorders>
          </w:tcPr>
          <w:p w14:paraId="3F1237C9"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Taking legal highs can help me forget my worries  </w:t>
            </w:r>
          </w:p>
        </w:tc>
        <w:tc>
          <w:tcPr>
            <w:tcW w:w="675" w:type="dxa"/>
            <w:tcBorders>
              <w:top w:val="nil"/>
              <w:bottom w:val="nil"/>
            </w:tcBorders>
          </w:tcPr>
          <w:p w14:paraId="38F2F7D5"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8</w:t>
            </w:r>
          </w:p>
        </w:tc>
        <w:tc>
          <w:tcPr>
            <w:tcW w:w="850" w:type="dxa"/>
            <w:tcBorders>
              <w:top w:val="nil"/>
              <w:bottom w:val="nil"/>
            </w:tcBorders>
          </w:tcPr>
          <w:p w14:paraId="5C1A69BD"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25</w:t>
            </w:r>
          </w:p>
        </w:tc>
      </w:tr>
      <w:tr w:rsidR="008B27A0" w:rsidRPr="00663AEB" w14:paraId="0C8DCACF" w14:textId="77777777" w:rsidTr="004B3AED">
        <w:trPr>
          <w:trHeight w:val="175"/>
        </w:trPr>
        <w:tc>
          <w:tcPr>
            <w:tcW w:w="7689" w:type="dxa"/>
            <w:gridSpan w:val="2"/>
            <w:tcBorders>
              <w:top w:val="nil"/>
              <w:bottom w:val="single" w:sz="4" w:space="0" w:color="auto"/>
            </w:tcBorders>
          </w:tcPr>
          <w:p w14:paraId="3E9079A5"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Taking legal highs can help me relax </w:t>
            </w:r>
          </w:p>
        </w:tc>
        <w:tc>
          <w:tcPr>
            <w:tcW w:w="675" w:type="dxa"/>
            <w:tcBorders>
              <w:top w:val="nil"/>
              <w:bottom w:val="single" w:sz="4" w:space="0" w:color="auto"/>
            </w:tcBorders>
          </w:tcPr>
          <w:p w14:paraId="47977FF0"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6</w:t>
            </w:r>
          </w:p>
        </w:tc>
        <w:tc>
          <w:tcPr>
            <w:tcW w:w="850" w:type="dxa"/>
            <w:tcBorders>
              <w:top w:val="nil"/>
              <w:bottom w:val="single" w:sz="4" w:space="0" w:color="auto"/>
            </w:tcBorders>
          </w:tcPr>
          <w:p w14:paraId="1A140197"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30</w:t>
            </w:r>
          </w:p>
        </w:tc>
      </w:tr>
      <w:tr w:rsidR="008B27A0" w:rsidRPr="004165EC" w14:paraId="7D19518C" w14:textId="77777777" w:rsidTr="004B3AED">
        <w:trPr>
          <w:trHeight w:val="175"/>
        </w:trPr>
        <w:tc>
          <w:tcPr>
            <w:tcW w:w="7689" w:type="dxa"/>
            <w:gridSpan w:val="2"/>
            <w:tcBorders>
              <w:top w:val="single" w:sz="4" w:space="0" w:color="auto"/>
              <w:bottom w:val="nil"/>
            </w:tcBorders>
          </w:tcPr>
          <w:p w14:paraId="36AA2F95" w14:textId="77777777" w:rsidR="008B27A0" w:rsidRPr="004165EC" w:rsidRDefault="008B27A0" w:rsidP="004B3AED">
            <w:pPr>
              <w:spacing w:before="120" w:after="120"/>
              <w:rPr>
                <w:rFonts w:asciiTheme="majorBidi" w:hAnsiTheme="majorBidi" w:cstheme="majorBidi"/>
                <w:b/>
                <w:iCs/>
                <w:szCs w:val="24"/>
              </w:rPr>
            </w:pPr>
            <w:r>
              <w:rPr>
                <w:rFonts w:asciiTheme="majorBidi" w:hAnsiTheme="majorBidi" w:cstheme="majorBidi"/>
                <w:b/>
                <w:iCs/>
                <w:szCs w:val="24"/>
              </w:rPr>
              <w:t>Subjective norms</w:t>
            </w:r>
          </w:p>
        </w:tc>
        <w:tc>
          <w:tcPr>
            <w:tcW w:w="675" w:type="dxa"/>
            <w:tcBorders>
              <w:top w:val="single" w:sz="4" w:space="0" w:color="auto"/>
              <w:bottom w:val="nil"/>
            </w:tcBorders>
          </w:tcPr>
          <w:p w14:paraId="39F02C70" w14:textId="77777777" w:rsidR="008B27A0" w:rsidRPr="004165EC" w:rsidRDefault="008B27A0" w:rsidP="004B3AED">
            <w:pPr>
              <w:spacing w:before="120" w:after="120"/>
              <w:jc w:val="right"/>
              <w:rPr>
                <w:rFonts w:asciiTheme="majorBidi" w:hAnsiTheme="majorBidi" w:cstheme="majorBidi"/>
                <w:b/>
                <w:szCs w:val="24"/>
              </w:rPr>
            </w:pPr>
          </w:p>
        </w:tc>
        <w:tc>
          <w:tcPr>
            <w:tcW w:w="850" w:type="dxa"/>
            <w:tcBorders>
              <w:top w:val="single" w:sz="4" w:space="0" w:color="auto"/>
              <w:bottom w:val="nil"/>
            </w:tcBorders>
          </w:tcPr>
          <w:p w14:paraId="4DE59F33" w14:textId="77777777" w:rsidR="008B27A0" w:rsidRPr="004165EC" w:rsidRDefault="008B27A0" w:rsidP="004B3AED">
            <w:pPr>
              <w:spacing w:before="120" w:after="120"/>
              <w:jc w:val="right"/>
              <w:rPr>
                <w:rFonts w:asciiTheme="majorBidi" w:hAnsiTheme="majorBidi" w:cstheme="majorBidi"/>
                <w:b/>
                <w:bCs/>
                <w:szCs w:val="24"/>
              </w:rPr>
            </w:pPr>
          </w:p>
        </w:tc>
      </w:tr>
      <w:tr w:rsidR="008B27A0" w:rsidRPr="007A6F3D" w14:paraId="0A4209EE" w14:textId="77777777" w:rsidTr="004B3AED">
        <w:trPr>
          <w:trHeight w:val="175"/>
        </w:trPr>
        <w:tc>
          <w:tcPr>
            <w:tcW w:w="7689" w:type="dxa"/>
            <w:gridSpan w:val="2"/>
            <w:tcBorders>
              <w:top w:val="nil"/>
              <w:bottom w:val="nil"/>
            </w:tcBorders>
          </w:tcPr>
          <w:p w14:paraId="4F5A68E3" w14:textId="77777777" w:rsidR="008B27A0" w:rsidRPr="007A6F3D"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Peer-oriented </w:t>
            </w:r>
            <w:r w:rsidRPr="007A6F3D">
              <w:rPr>
                <w:rFonts w:asciiTheme="majorBidi" w:hAnsiTheme="majorBidi" w:cstheme="majorBidi"/>
                <w:i/>
                <w:iCs/>
                <w:szCs w:val="24"/>
              </w:rPr>
              <w:t xml:space="preserve">beliefs </w:t>
            </w:r>
            <w:r>
              <w:rPr>
                <w:rFonts w:asciiTheme="majorBidi" w:hAnsiTheme="majorBidi" w:cstheme="majorBidi"/>
                <w:i/>
                <w:iCs/>
                <w:szCs w:val="24"/>
              </w:rPr>
              <w:t xml:space="preserve">encouraging </w:t>
            </w:r>
            <w:r w:rsidRPr="007A6F3D">
              <w:rPr>
                <w:rFonts w:asciiTheme="majorBidi" w:hAnsiTheme="majorBidi" w:cstheme="majorBidi"/>
                <w:i/>
                <w:iCs/>
                <w:szCs w:val="24"/>
              </w:rPr>
              <w:t xml:space="preserve">use </w:t>
            </w:r>
          </w:p>
        </w:tc>
        <w:tc>
          <w:tcPr>
            <w:tcW w:w="675" w:type="dxa"/>
            <w:tcBorders>
              <w:top w:val="nil"/>
              <w:bottom w:val="nil"/>
            </w:tcBorders>
          </w:tcPr>
          <w:p w14:paraId="5A769E36"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13A05DFA"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0A4D952F" w14:textId="77777777" w:rsidTr="004B3AED">
        <w:trPr>
          <w:trHeight w:val="175"/>
        </w:trPr>
        <w:tc>
          <w:tcPr>
            <w:tcW w:w="7689" w:type="dxa"/>
            <w:gridSpan w:val="2"/>
            <w:tcBorders>
              <w:top w:val="nil"/>
              <w:bottom w:val="nil"/>
            </w:tcBorders>
          </w:tcPr>
          <w:p w14:paraId="2283953A"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My friends would approve of me taking legal highs     </w:t>
            </w:r>
          </w:p>
        </w:tc>
        <w:tc>
          <w:tcPr>
            <w:tcW w:w="675" w:type="dxa"/>
            <w:tcBorders>
              <w:top w:val="nil"/>
              <w:bottom w:val="nil"/>
            </w:tcBorders>
          </w:tcPr>
          <w:p w14:paraId="2D009A87"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28</w:t>
            </w:r>
          </w:p>
        </w:tc>
        <w:tc>
          <w:tcPr>
            <w:tcW w:w="850" w:type="dxa"/>
            <w:tcBorders>
              <w:top w:val="nil"/>
              <w:bottom w:val="nil"/>
            </w:tcBorders>
          </w:tcPr>
          <w:p w14:paraId="0B34F953"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5</w:t>
            </w:r>
          </w:p>
        </w:tc>
      </w:tr>
      <w:tr w:rsidR="008B27A0" w:rsidRPr="00663AEB" w14:paraId="0DCFFE52" w14:textId="77777777" w:rsidTr="004B3AED">
        <w:trPr>
          <w:trHeight w:val="175"/>
        </w:trPr>
        <w:tc>
          <w:tcPr>
            <w:tcW w:w="7689" w:type="dxa"/>
            <w:gridSpan w:val="2"/>
            <w:tcBorders>
              <w:top w:val="nil"/>
              <w:bottom w:val="nil"/>
            </w:tcBorders>
          </w:tcPr>
          <w:p w14:paraId="5D60F01C"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It’s normal to take legal highs, everyone does it     </w:t>
            </w:r>
          </w:p>
        </w:tc>
        <w:tc>
          <w:tcPr>
            <w:tcW w:w="675" w:type="dxa"/>
            <w:tcBorders>
              <w:top w:val="nil"/>
              <w:bottom w:val="nil"/>
            </w:tcBorders>
          </w:tcPr>
          <w:p w14:paraId="6AE83950"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14</w:t>
            </w:r>
          </w:p>
        </w:tc>
        <w:tc>
          <w:tcPr>
            <w:tcW w:w="850" w:type="dxa"/>
            <w:tcBorders>
              <w:top w:val="nil"/>
              <w:bottom w:val="nil"/>
            </w:tcBorders>
          </w:tcPr>
          <w:p w14:paraId="69EB956A"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16</w:t>
            </w:r>
          </w:p>
        </w:tc>
      </w:tr>
      <w:tr w:rsidR="008B27A0" w:rsidRPr="00663AEB" w14:paraId="1D2BDD97" w14:textId="77777777" w:rsidTr="004B3AED">
        <w:trPr>
          <w:trHeight w:val="175"/>
        </w:trPr>
        <w:tc>
          <w:tcPr>
            <w:tcW w:w="7689" w:type="dxa"/>
            <w:gridSpan w:val="2"/>
            <w:tcBorders>
              <w:top w:val="nil"/>
              <w:bottom w:val="nil"/>
            </w:tcBorders>
          </w:tcPr>
          <w:p w14:paraId="7F5C3819"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Because legal highs are legal, I can fit in without doing something illegal </w:t>
            </w:r>
          </w:p>
        </w:tc>
        <w:tc>
          <w:tcPr>
            <w:tcW w:w="675" w:type="dxa"/>
            <w:tcBorders>
              <w:top w:val="nil"/>
              <w:bottom w:val="nil"/>
            </w:tcBorders>
          </w:tcPr>
          <w:p w14:paraId="0FE10CA6"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4</w:t>
            </w:r>
          </w:p>
        </w:tc>
        <w:tc>
          <w:tcPr>
            <w:tcW w:w="850" w:type="dxa"/>
            <w:tcBorders>
              <w:top w:val="nil"/>
              <w:bottom w:val="nil"/>
            </w:tcBorders>
          </w:tcPr>
          <w:p w14:paraId="47AEEFA1"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34</w:t>
            </w:r>
          </w:p>
        </w:tc>
      </w:tr>
      <w:tr w:rsidR="008B27A0" w:rsidRPr="007A6F3D" w14:paraId="638A4B59" w14:textId="77777777" w:rsidTr="004B3AED">
        <w:trPr>
          <w:trHeight w:val="175"/>
        </w:trPr>
        <w:tc>
          <w:tcPr>
            <w:tcW w:w="7689" w:type="dxa"/>
            <w:gridSpan w:val="2"/>
            <w:tcBorders>
              <w:top w:val="nil"/>
              <w:bottom w:val="nil"/>
            </w:tcBorders>
          </w:tcPr>
          <w:p w14:paraId="36E0A520" w14:textId="77777777" w:rsidR="008B27A0" w:rsidRPr="007A6F3D"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Parent-oriented </w:t>
            </w:r>
            <w:r w:rsidRPr="007A6F3D">
              <w:rPr>
                <w:rFonts w:asciiTheme="majorBidi" w:hAnsiTheme="majorBidi" w:cstheme="majorBidi"/>
                <w:i/>
                <w:iCs/>
                <w:szCs w:val="24"/>
              </w:rPr>
              <w:t xml:space="preserve">beliefs </w:t>
            </w:r>
            <w:r>
              <w:rPr>
                <w:rFonts w:asciiTheme="majorBidi" w:hAnsiTheme="majorBidi" w:cstheme="majorBidi"/>
                <w:i/>
                <w:iCs/>
                <w:szCs w:val="24"/>
              </w:rPr>
              <w:t>discouraging</w:t>
            </w:r>
            <w:r w:rsidRPr="007A6F3D">
              <w:rPr>
                <w:rFonts w:asciiTheme="majorBidi" w:hAnsiTheme="majorBidi" w:cstheme="majorBidi"/>
                <w:i/>
                <w:iCs/>
                <w:szCs w:val="24"/>
              </w:rPr>
              <w:t xml:space="preserve"> use </w:t>
            </w:r>
          </w:p>
        </w:tc>
        <w:tc>
          <w:tcPr>
            <w:tcW w:w="675" w:type="dxa"/>
            <w:tcBorders>
              <w:top w:val="nil"/>
              <w:bottom w:val="nil"/>
            </w:tcBorders>
          </w:tcPr>
          <w:p w14:paraId="632B8A19" w14:textId="77777777" w:rsidR="008B27A0" w:rsidRPr="007A6F3D"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185DDA3E" w14:textId="77777777" w:rsidR="008B27A0" w:rsidRPr="007A6F3D" w:rsidRDefault="008B27A0" w:rsidP="004B3AED">
            <w:pPr>
              <w:spacing w:before="120" w:after="120"/>
              <w:jc w:val="right"/>
              <w:rPr>
                <w:rFonts w:asciiTheme="majorBidi" w:hAnsiTheme="majorBidi" w:cstheme="majorBidi"/>
                <w:bCs/>
                <w:i/>
                <w:szCs w:val="24"/>
              </w:rPr>
            </w:pPr>
          </w:p>
        </w:tc>
      </w:tr>
      <w:tr w:rsidR="008B27A0" w:rsidRPr="00663AEB" w14:paraId="70C89061" w14:textId="77777777" w:rsidTr="004B3AED">
        <w:trPr>
          <w:trHeight w:val="175"/>
        </w:trPr>
        <w:tc>
          <w:tcPr>
            <w:tcW w:w="7689" w:type="dxa"/>
            <w:gridSpan w:val="2"/>
            <w:tcBorders>
              <w:top w:val="nil"/>
              <w:bottom w:val="nil"/>
            </w:tcBorders>
          </w:tcPr>
          <w:p w14:paraId="4B797278"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I’ll get in trouble if my parents catch me taking legal highs</w:t>
            </w:r>
          </w:p>
        </w:tc>
        <w:tc>
          <w:tcPr>
            <w:tcW w:w="675" w:type="dxa"/>
            <w:tcBorders>
              <w:top w:val="nil"/>
              <w:bottom w:val="nil"/>
            </w:tcBorders>
          </w:tcPr>
          <w:p w14:paraId="0D2936F8"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13</w:t>
            </w:r>
          </w:p>
        </w:tc>
        <w:tc>
          <w:tcPr>
            <w:tcW w:w="850" w:type="dxa"/>
            <w:tcBorders>
              <w:top w:val="nil"/>
              <w:bottom w:val="nil"/>
            </w:tcBorders>
          </w:tcPr>
          <w:p w14:paraId="012E859D"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17</w:t>
            </w:r>
          </w:p>
        </w:tc>
      </w:tr>
      <w:tr w:rsidR="008B27A0" w:rsidRPr="004165EC" w14:paraId="5188B5AF" w14:textId="77777777" w:rsidTr="004B3AED">
        <w:trPr>
          <w:trHeight w:val="175"/>
        </w:trPr>
        <w:tc>
          <w:tcPr>
            <w:tcW w:w="7689" w:type="dxa"/>
            <w:gridSpan w:val="2"/>
            <w:tcBorders>
              <w:top w:val="single" w:sz="4" w:space="0" w:color="auto"/>
              <w:bottom w:val="nil"/>
            </w:tcBorders>
          </w:tcPr>
          <w:p w14:paraId="5957C9DB" w14:textId="77777777" w:rsidR="008B27A0" w:rsidRPr="004165EC" w:rsidRDefault="008B27A0" w:rsidP="004B3AED">
            <w:pPr>
              <w:spacing w:before="120" w:after="120"/>
              <w:rPr>
                <w:rFonts w:asciiTheme="majorBidi" w:hAnsiTheme="majorBidi" w:cstheme="majorBidi"/>
                <w:b/>
                <w:iCs/>
                <w:szCs w:val="24"/>
              </w:rPr>
            </w:pPr>
            <w:r>
              <w:rPr>
                <w:rFonts w:asciiTheme="majorBidi" w:hAnsiTheme="majorBidi" w:cstheme="majorBidi"/>
                <w:b/>
                <w:iCs/>
                <w:szCs w:val="24"/>
              </w:rPr>
              <w:t>Behavioural willingness</w:t>
            </w:r>
          </w:p>
        </w:tc>
        <w:tc>
          <w:tcPr>
            <w:tcW w:w="675" w:type="dxa"/>
            <w:tcBorders>
              <w:top w:val="single" w:sz="4" w:space="0" w:color="auto"/>
              <w:bottom w:val="nil"/>
            </w:tcBorders>
          </w:tcPr>
          <w:p w14:paraId="17E7BC3D" w14:textId="77777777" w:rsidR="008B27A0" w:rsidRPr="004165EC" w:rsidRDefault="008B27A0" w:rsidP="004B3AED">
            <w:pPr>
              <w:spacing w:before="120" w:after="120"/>
              <w:jc w:val="right"/>
              <w:rPr>
                <w:rFonts w:asciiTheme="majorBidi" w:hAnsiTheme="majorBidi" w:cstheme="majorBidi"/>
                <w:b/>
                <w:szCs w:val="24"/>
              </w:rPr>
            </w:pPr>
          </w:p>
        </w:tc>
        <w:tc>
          <w:tcPr>
            <w:tcW w:w="850" w:type="dxa"/>
            <w:tcBorders>
              <w:top w:val="single" w:sz="4" w:space="0" w:color="auto"/>
              <w:bottom w:val="nil"/>
            </w:tcBorders>
          </w:tcPr>
          <w:p w14:paraId="302D364B" w14:textId="77777777" w:rsidR="008B27A0" w:rsidRPr="004165EC" w:rsidRDefault="008B27A0" w:rsidP="004B3AED">
            <w:pPr>
              <w:spacing w:before="120" w:after="120"/>
              <w:jc w:val="right"/>
              <w:rPr>
                <w:rFonts w:asciiTheme="majorBidi" w:hAnsiTheme="majorBidi" w:cstheme="majorBidi"/>
                <w:b/>
                <w:bCs/>
                <w:szCs w:val="24"/>
              </w:rPr>
            </w:pPr>
          </w:p>
        </w:tc>
      </w:tr>
      <w:tr w:rsidR="008B27A0" w:rsidRPr="00E161F2" w14:paraId="2492BA9D" w14:textId="77777777" w:rsidTr="004B3AED">
        <w:trPr>
          <w:trHeight w:val="175"/>
        </w:trPr>
        <w:tc>
          <w:tcPr>
            <w:tcW w:w="7689" w:type="dxa"/>
            <w:gridSpan w:val="2"/>
            <w:tcBorders>
              <w:top w:val="nil"/>
              <w:bottom w:val="nil"/>
            </w:tcBorders>
          </w:tcPr>
          <w:p w14:paraId="04AEDDA2" w14:textId="77777777" w:rsidR="008B27A0" w:rsidRPr="00E161F2" w:rsidRDefault="008B27A0" w:rsidP="004B3AED">
            <w:pPr>
              <w:spacing w:before="120" w:after="120"/>
              <w:rPr>
                <w:rFonts w:asciiTheme="majorBidi" w:hAnsiTheme="majorBidi" w:cstheme="majorBidi"/>
                <w:i/>
                <w:iCs/>
                <w:szCs w:val="24"/>
              </w:rPr>
            </w:pPr>
            <w:r w:rsidRPr="00E161F2">
              <w:rPr>
                <w:rFonts w:asciiTheme="majorBidi" w:hAnsiTheme="majorBidi" w:cstheme="majorBidi"/>
                <w:i/>
                <w:iCs/>
                <w:szCs w:val="24"/>
              </w:rPr>
              <w:t xml:space="preserve">Prototype beliefs encouraging use </w:t>
            </w:r>
          </w:p>
        </w:tc>
        <w:tc>
          <w:tcPr>
            <w:tcW w:w="675" w:type="dxa"/>
            <w:tcBorders>
              <w:top w:val="nil"/>
              <w:bottom w:val="nil"/>
            </w:tcBorders>
          </w:tcPr>
          <w:p w14:paraId="43794846" w14:textId="77777777" w:rsidR="008B27A0" w:rsidRPr="00E161F2"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1ED676A8" w14:textId="77777777" w:rsidR="008B27A0" w:rsidRPr="00E161F2" w:rsidRDefault="008B27A0" w:rsidP="004B3AED">
            <w:pPr>
              <w:spacing w:before="120" w:after="120"/>
              <w:jc w:val="right"/>
              <w:rPr>
                <w:rFonts w:asciiTheme="majorBidi" w:hAnsiTheme="majorBidi" w:cstheme="majorBidi"/>
                <w:bCs/>
                <w:i/>
                <w:szCs w:val="24"/>
              </w:rPr>
            </w:pPr>
          </w:p>
        </w:tc>
      </w:tr>
      <w:tr w:rsidR="008B27A0" w:rsidRPr="00663AEB" w14:paraId="6F5C65A4" w14:textId="77777777" w:rsidTr="004B3AED">
        <w:trPr>
          <w:trHeight w:val="175"/>
        </w:trPr>
        <w:tc>
          <w:tcPr>
            <w:tcW w:w="7689" w:type="dxa"/>
            <w:gridSpan w:val="2"/>
            <w:tcBorders>
              <w:top w:val="nil"/>
              <w:bottom w:val="nil"/>
            </w:tcBorders>
          </w:tcPr>
          <w:p w14:paraId="2C0DD9A0"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Smart people from good backgrounds use legal highs    </w:t>
            </w:r>
          </w:p>
        </w:tc>
        <w:tc>
          <w:tcPr>
            <w:tcW w:w="675" w:type="dxa"/>
            <w:tcBorders>
              <w:top w:val="nil"/>
              <w:bottom w:val="nil"/>
            </w:tcBorders>
          </w:tcPr>
          <w:p w14:paraId="2A6298A2" w14:textId="77777777" w:rsidR="008B27A0" w:rsidRPr="00663AEB" w:rsidRDefault="008B27A0" w:rsidP="004B3AED">
            <w:pPr>
              <w:spacing w:before="120" w:after="120"/>
              <w:jc w:val="right"/>
              <w:rPr>
                <w:rFonts w:asciiTheme="majorBidi" w:hAnsiTheme="majorBidi" w:cstheme="majorBidi"/>
                <w:bCs/>
                <w:szCs w:val="24"/>
              </w:rPr>
            </w:pPr>
            <w:r w:rsidRPr="00663AEB">
              <w:rPr>
                <w:rFonts w:asciiTheme="majorBidi" w:hAnsiTheme="majorBidi" w:cstheme="majorBidi"/>
                <w:bCs/>
                <w:szCs w:val="24"/>
              </w:rPr>
              <w:t>1</w:t>
            </w:r>
            <w:r>
              <w:rPr>
                <w:rFonts w:asciiTheme="majorBidi" w:hAnsiTheme="majorBidi" w:cstheme="majorBidi"/>
                <w:bCs/>
                <w:szCs w:val="24"/>
              </w:rPr>
              <w:t>9</w:t>
            </w:r>
          </w:p>
        </w:tc>
        <w:tc>
          <w:tcPr>
            <w:tcW w:w="850" w:type="dxa"/>
            <w:tcBorders>
              <w:top w:val="nil"/>
              <w:bottom w:val="nil"/>
            </w:tcBorders>
          </w:tcPr>
          <w:p w14:paraId="23863999"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11</w:t>
            </w:r>
          </w:p>
        </w:tc>
      </w:tr>
      <w:tr w:rsidR="008B27A0" w:rsidRPr="00663AEB" w14:paraId="21F26A7A" w14:textId="77777777" w:rsidTr="004B3AED">
        <w:trPr>
          <w:trHeight w:val="175"/>
        </w:trPr>
        <w:tc>
          <w:tcPr>
            <w:tcW w:w="7689" w:type="dxa"/>
            <w:gridSpan w:val="2"/>
            <w:tcBorders>
              <w:top w:val="nil"/>
              <w:bottom w:val="nil"/>
            </w:tcBorders>
          </w:tcPr>
          <w:p w14:paraId="46B43439"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Anyone can be a user, there are no stereotypes     </w:t>
            </w:r>
          </w:p>
        </w:tc>
        <w:tc>
          <w:tcPr>
            <w:tcW w:w="675" w:type="dxa"/>
            <w:tcBorders>
              <w:top w:val="nil"/>
              <w:bottom w:val="nil"/>
            </w:tcBorders>
          </w:tcPr>
          <w:p w14:paraId="0A443B10" w14:textId="77777777" w:rsidR="008B27A0" w:rsidRPr="00663AEB" w:rsidRDefault="008B27A0" w:rsidP="004B3AED">
            <w:pPr>
              <w:spacing w:before="120" w:after="120"/>
              <w:jc w:val="right"/>
              <w:rPr>
                <w:rFonts w:asciiTheme="majorBidi" w:hAnsiTheme="majorBidi" w:cstheme="majorBidi"/>
                <w:bCs/>
                <w:szCs w:val="24"/>
              </w:rPr>
            </w:pPr>
            <w:r w:rsidRPr="00663AEB">
              <w:rPr>
                <w:rFonts w:asciiTheme="majorBidi" w:hAnsiTheme="majorBidi" w:cstheme="majorBidi"/>
                <w:bCs/>
                <w:szCs w:val="24"/>
              </w:rPr>
              <w:t>13</w:t>
            </w:r>
          </w:p>
        </w:tc>
        <w:tc>
          <w:tcPr>
            <w:tcW w:w="850" w:type="dxa"/>
            <w:tcBorders>
              <w:top w:val="nil"/>
              <w:bottom w:val="nil"/>
            </w:tcBorders>
          </w:tcPr>
          <w:p w14:paraId="769A8BCF"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17</w:t>
            </w:r>
          </w:p>
        </w:tc>
      </w:tr>
      <w:tr w:rsidR="008B27A0" w:rsidRPr="00E161F2" w14:paraId="60E11251" w14:textId="77777777" w:rsidTr="004B3AED">
        <w:trPr>
          <w:trHeight w:val="175"/>
        </w:trPr>
        <w:tc>
          <w:tcPr>
            <w:tcW w:w="7689" w:type="dxa"/>
            <w:gridSpan w:val="2"/>
            <w:tcBorders>
              <w:top w:val="nil"/>
              <w:bottom w:val="nil"/>
            </w:tcBorders>
          </w:tcPr>
          <w:p w14:paraId="6BEBA1E9" w14:textId="77777777" w:rsidR="008B27A0" w:rsidRPr="00E161F2" w:rsidRDefault="008B27A0" w:rsidP="004B3AED">
            <w:pPr>
              <w:spacing w:before="120" w:after="120"/>
              <w:rPr>
                <w:rFonts w:asciiTheme="majorBidi" w:hAnsiTheme="majorBidi" w:cstheme="majorBidi"/>
                <w:i/>
                <w:iCs/>
                <w:szCs w:val="24"/>
              </w:rPr>
            </w:pPr>
            <w:r w:rsidRPr="00E161F2">
              <w:rPr>
                <w:rFonts w:asciiTheme="majorBidi" w:hAnsiTheme="majorBidi" w:cstheme="majorBidi"/>
                <w:i/>
                <w:iCs/>
                <w:szCs w:val="24"/>
              </w:rPr>
              <w:t>Curiosity</w:t>
            </w:r>
            <w:r>
              <w:rPr>
                <w:rFonts w:asciiTheme="majorBidi" w:hAnsiTheme="majorBidi" w:cstheme="majorBidi"/>
                <w:i/>
                <w:iCs/>
                <w:szCs w:val="24"/>
              </w:rPr>
              <w:t xml:space="preserve"> encouraging use </w:t>
            </w:r>
          </w:p>
        </w:tc>
        <w:tc>
          <w:tcPr>
            <w:tcW w:w="675" w:type="dxa"/>
            <w:tcBorders>
              <w:top w:val="nil"/>
              <w:bottom w:val="nil"/>
            </w:tcBorders>
          </w:tcPr>
          <w:p w14:paraId="49AF4E72" w14:textId="77777777" w:rsidR="008B27A0" w:rsidRPr="00E161F2"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65614D58" w14:textId="77777777" w:rsidR="008B27A0" w:rsidRPr="00E161F2" w:rsidRDefault="008B27A0" w:rsidP="004B3AED">
            <w:pPr>
              <w:spacing w:before="120" w:after="120"/>
              <w:jc w:val="right"/>
              <w:rPr>
                <w:rFonts w:asciiTheme="majorBidi" w:hAnsiTheme="majorBidi" w:cstheme="majorBidi"/>
                <w:bCs/>
                <w:i/>
                <w:szCs w:val="24"/>
              </w:rPr>
            </w:pPr>
          </w:p>
        </w:tc>
      </w:tr>
      <w:tr w:rsidR="008B27A0" w:rsidRPr="00663AEB" w14:paraId="45970813" w14:textId="77777777" w:rsidTr="004B3AED">
        <w:trPr>
          <w:trHeight w:val="175"/>
        </w:trPr>
        <w:tc>
          <w:tcPr>
            <w:tcW w:w="7689" w:type="dxa"/>
            <w:gridSpan w:val="2"/>
            <w:tcBorders>
              <w:top w:val="nil"/>
              <w:bottom w:val="single" w:sz="4" w:space="0" w:color="auto"/>
            </w:tcBorders>
          </w:tcPr>
          <w:p w14:paraId="3588961A" w14:textId="77777777" w:rsidR="008B27A0" w:rsidRPr="00663AEB" w:rsidRDefault="008B27A0" w:rsidP="00FA6445">
            <w:pPr>
              <w:spacing w:before="120" w:after="120"/>
              <w:rPr>
                <w:rFonts w:asciiTheme="majorBidi" w:hAnsiTheme="majorBidi" w:cstheme="majorBidi"/>
                <w:bCs/>
                <w:szCs w:val="24"/>
              </w:rPr>
            </w:pPr>
            <w:r>
              <w:rPr>
                <w:rFonts w:asciiTheme="majorBidi" w:hAnsiTheme="majorBidi" w:cstheme="majorBidi"/>
                <w:bCs/>
                <w:szCs w:val="24"/>
              </w:rPr>
              <w:t xml:space="preserve">     I’m the kind of person who just has to try legal highs for myself   </w:t>
            </w:r>
            <w:r>
              <w:rPr>
                <w:rFonts w:asciiTheme="majorBidi" w:hAnsiTheme="majorBidi" w:cstheme="majorBidi"/>
                <w:bCs/>
                <w:szCs w:val="24"/>
              </w:rPr>
              <w:br/>
              <w:t xml:space="preserve"> </w:t>
            </w:r>
          </w:p>
        </w:tc>
        <w:tc>
          <w:tcPr>
            <w:tcW w:w="675" w:type="dxa"/>
            <w:tcBorders>
              <w:top w:val="nil"/>
              <w:bottom w:val="single" w:sz="4" w:space="0" w:color="auto"/>
            </w:tcBorders>
          </w:tcPr>
          <w:p w14:paraId="53F333C4" w14:textId="77777777" w:rsidR="008B27A0" w:rsidRPr="00663AEB" w:rsidRDefault="008B27A0" w:rsidP="00FA6445">
            <w:pPr>
              <w:spacing w:before="120" w:after="120"/>
              <w:jc w:val="right"/>
              <w:rPr>
                <w:rFonts w:asciiTheme="majorBidi" w:hAnsiTheme="majorBidi" w:cstheme="majorBidi"/>
                <w:bCs/>
                <w:szCs w:val="24"/>
              </w:rPr>
            </w:pPr>
            <w:r>
              <w:rPr>
                <w:rFonts w:asciiTheme="majorBidi" w:hAnsiTheme="majorBidi" w:cstheme="majorBidi"/>
                <w:bCs/>
                <w:szCs w:val="24"/>
              </w:rPr>
              <w:t>21</w:t>
            </w:r>
          </w:p>
        </w:tc>
        <w:tc>
          <w:tcPr>
            <w:tcW w:w="850" w:type="dxa"/>
            <w:tcBorders>
              <w:top w:val="nil"/>
              <w:bottom w:val="single" w:sz="4" w:space="0" w:color="auto"/>
            </w:tcBorders>
          </w:tcPr>
          <w:p w14:paraId="3415DB9E" w14:textId="77777777" w:rsidR="008B27A0" w:rsidRPr="00663AEB" w:rsidRDefault="008B27A0" w:rsidP="00FA6445">
            <w:pPr>
              <w:spacing w:before="120" w:after="120"/>
              <w:jc w:val="right"/>
              <w:rPr>
                <w:rFonts w:asciiTheme="majorBidi" w:hAnsiTheme="majorBidi" w:cstheme="majorBidi"/>
                <w:bCs/>
                <w:szCs w:val="24"/>
              </w:rPr>
            </w:pPr>
            <w:r>
              <w:rPr>
                <w:rFonts w:asciiTheme="majorBidi" w:hAnsiTheme="majorBidi" w:cstheme="majorBidi"/>
                <w:bCs/>
                <w:szCs w:val="24"/>
              </w:rPr>
              <w:t>9</w:t>
            </w:r>
          </w:p>
        </w:tc>
      </w:tr>
      <w:tr w:rsidR="008B27A0" w:rsidRPr="004165EC" w14:paraId="740100C1" w14:textId="77777777" w:rsidTr="004B3AED">
        <w:trPr>
          <w:trHeight w:val="175"/>
        </w:trPr>
        <w:tc>
          <w:tcPr>
            <w:tcW w:w="7689" w:type="dxa"/>
            <w:gridSpan w:val="2"/>
            <w:tcBorders>
              <w:top w:val="single" w:sz="4" w:space="0" w:color="auto"/>
              <w:bottom w:val="nil"/>
            </w:tcBorders>
          </w:tcPr>
          <w:p w14:paraId="4E1DAC46" w14:textId="77777777" w:rsidR="008B27A0" w:rsidRPr="004165EC" w:rsidRDefault="008B27A0" w:rsidP="004B3AED">
            <w:pPr>
              <w:spacing w:before="120" w:after="120"/>
              <w:rPr>
                <w:rFonts w:asciiTheme="majorBidi" w:hAnsiTheme="majorBidi" w:cstheme="majorBidi"/>
                <w:b/>
                <w:iCs/>
                <w:szCs w:val="24"/>
              </w:rPr>
            </w:pPr>
            <w:r>
              <w:rPr>
                <w:rFonts w:asciiTheme="majorBidi" w:hAnsiTheme="majorBidi" w:cstheme="majorBidi"/>
                <w:b/>
                <w:iCs/>
                <w:szCs w:val="24"/>
              </w:rPr>
              <w:t xml:space="preserve">Perceived behavioural control / self-efficacy </w:t>
            </w:r>
          </w:p>
        </w:tc>
        <w:tc>
          <w:tcPr>
            <w:tcW w:w="675" w:type="dxa"/>
            <w:tcBorders>
              <w:top w:val="single" w:sz="4" w:space="0" w:color="auto"/>
              <w:bottom w:val="nil"/>
            </w:tcBorders>
          </w:tcPr>
          <w:p w14:paraId="6366DE6E" w14:textId="77777777" w:rsidR="008B27A0" w:rsidRPr="004165EC" w:rsidRDefault="008B27A0" w:rsidP="004B3AED">
            <w:pPr>
              <w:spacing w:before="120" w:after="120"/>
              <w:jc w:val="right"/>
              <w:rPr>
                <w:rFonts w:asciiTheme="majorBidi" w:hAnsiTheme="majorBidi" w:cstheme="majorBidi"/>
                <w:b/>
                <w:szCs w:val="24"/>
              </w:rPr>
            </w:pPr>
          </w:p>
        </w:tc>
        <w:tc>
          <w:tcPr>
            <w:tcW w:w="850" w:type="dxa"/>
            <w:tcBorders>
              <w:top w:val="single" w:sz="4" w:space="0" w:color="auto"/>
              <w:bottom w:val="nil"/>
            </w:tcBorders>
          </w:tcPr>
          <w:p w14:paraId="7C701C77" w14:textId="77777777" w:rsidR="008B27A0" w:rsidRPr="004165EC" w:rsidRDefault="008B27A0" w:rsidP="004B3AED">
            <w:pPr>
              <w:spacing w:before="120" w:after="120"/>
              <w:jc w:val="right"/>
              <w:rPr>
                <w:rFonts w:asciiTheme="majorBidi" w:hAnsiTheme="majorBidi" w:cstheme="majorBidi"/>
                <w:b/>
                <w:bCs/>
                <w:szCs w:val="24"/>
              </w:rPr>
            </w:pPr>
          </w:p>
        </w:tc>
      </w:tr>
      <w:tr w:rsidR="008B27A0" w:rsidRPr="00E161F2" w14:paraId="43519B4B" w14:textId="77777777" w:rsidTr="004B3AED">
        <w:trPr>
          <w:trHeight w:val="175"/>
        </w:trPr>
        <w:tc>
          <w:tcPr>
            <w:tcW w:w="7689" w:type="dxa"/>
            <w:gridSpan w:val="2"/>
            <w:tcBorders>
              <w:top w:val="nil"/>
              <w:bottom w:val="nil"/>
            </w:tcBorders>
          </w:tcPr>
          <w:p w14:paraId="6586F24F" w14:textId="77777777" w:rsidR="008B27A0" w:rsidRPr="00E161F2" w:rsidRDefault="008B27A0" w:rsidP="004B3AED">
            <w:pPr>
              <w:spacing w:before="120" w:after="120"/>
              <w:rPr>
                <w:rFonts w:asciiTheme="majorBidi" w:hAnsiTheme="majorBidi" w:cstheme="majorBidi"/>
                <w:i/>
                <w:iCs/>
                <w:szCs w:val="24"/>
              </w:rPr>
            </w:pPr>
            <w:r>
              <w:rPr>
                <w:rFonts w:asciiTheme="majorBidi" w:hAnsiTheme="majorBidi" w:cstheme="majorBidi"/>
                <w:i/>
                <w:iCs/>
                <w:szCs w:val="24"/>
              </w:rPr>
              <w:t xml:space="preserve">Autonomy beliefs encouraging use </w:t>
            </w:r>
            <w:r w:rsidRPr="00E161F2">
              <w:rPr>
                <w:rFonts w:asciiTheme="majorBidi" w:hAnsiTheme="majorBidi" w:cstheme="majorBidi"/>
                <w:i/>
                <w:iCs/>
                <w:szCs w:val="24"/>
              </w:rPr>
              <w:t xml:space="preserve"> </w:t>
            </w:r>
          </w:p>
        </w:tc>
        <w:tc>
          <w:tcPr>
            <w:tcW w:w="675" w:type="dxa"/>
            <w:tcBorders>
              <w:top w:val="nil"/>
              <w:bottom w:val="nil"/>
            </w:tcBorders>
          </w:tcPr>
          <w:p w14:paraId="050AA6D5" w14:textId="77777777" w:rsidR="008B27A0" w:rsidRPr="00E161F2"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04AEDC99" w14:textId="77777777" w:rsidR="008B27A0" w:rsidRPr="00E161F2" w:rsidRDefault="008B27A0" w:rsidP="004B3AED">
            <w:pPr>
              <w:spacing w:before="120" w:after="120"/>
              <w:jc w:val="right"/>
              <w:rPr>
                <w:rFonts w:asciiTheme="majorBidi" w:hAnsiTheme="majorBidi" w:cstheme="majorBidi"/>
                <w:bCs/>
                <w:i/>
                <w:szCs w:val="24"/>
              </w:rPr>
            </w:pPr>
          </w:p>
        </w:tc>
      </w:tr>
      <w:tr w:rsidR="008B27A0" w:rsidRPr="00663AEB" w14:paraId="6269590D" w14:textId="77777777" w:rsidTr="004B3AED">
        <w:trPr>
          <w:trHeight w:val="175"/>
        </w:trPr>
        <w:tc>
          <w:tcPr>
            <w:tcW w:w="7689" w:type="dxa"/>
            <w:gridSpan w:val="2"/>
            <w:tcBorders>
              <w:top w:val="nil"/>
              <w:bottom w:val="nil"/>
            </w:tcBorders>
          </w:tcPr>
          <w:p w14:paraId="2CBF718D"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 won’t get a criminal record for using legal highs    </w:t>
            </w:r>
          </w:p>
        </w:tc>
        <w:tc>
          <w:tcPr>
            <w:tcW w:w="675" w:type="dxa"/>
            <w:tcBorders>
              <w:top w:val="nil"/>
              <w:bottom w:val="nil"/>
            </w:tcBorders>
          </w:tcPr>
          <w:p w14:paraId="4773F7E1"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20</w:t>
            </w:r>
          </w:p>
        </w:tc>
        <w:tc>
          <w:tcPr>
            <w:tcW w:w="850" w:type="dxa"/>
            <w:tcBorders>
              <w:top w:val="nil"/>
              <w:bottom w:val="nil"/>
            </w:tcBorders>
          </w:tcPr>
          <w:p w14:paraId="46F93B6B"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10</w:t>
            </w:r>
          </w:p>
        </w:tc>
      </w:tr>
      <w:tr w:rsidR="008B27A0" w:rsidRPr="00663AEB" w14:paraId="03859052" w14:textId="77777777" w:rsidTr="004B3AED">
        <w:trPr>
          <w:trHeight w:val="175"/>
        </w:trPr>
        <w:tc>
          <w:tcPr>
            <w:tcW w:w="7689" w:type="dxa"/>
            <w:gridSpan w:val="2"/>
            <w:tcBorders>
              <w:top w:val="nil"/>
              <w:bottom w:val="nil"/>
            </w:tcBorders>
          </w:tcPr>
          <w:p w14:paraId="7E8A381D"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It’s fine to use legal highs because they are legal      </w:t>
            </w:r>
          </w:p>
        </w:tc>
        <w:tc>
          <w:tcPr>
            <w:tcW w:w="675" w:type="dxa"/>
            <w:tcBorders>
              <w:top w:val="nil"/>
              <w:bottom w:val="nil"/>
            </w:tcBorders>
          </w:tcPr>
          <w:p w14:paraId="17979C0F"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19</w:t>
            </w:r>
          </w:p>
        </w:tc>
        <w:tc>
          <w:tcPr>
            <w:tcW w:w="850" w:type="dxa"/>
            <w:tcBorders>
              <w:top w:val="nil"/>
              <w:bottom w:val="nil"/>
            </w:tcBorders>
          </w:tcPr>
          <w:p w14:paraId="2E4AB81A"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11</w:t>
            </w:r>
          </w:p>
        </w:tc>
      </w:tr>
      <w:tr w:rsidR="008B27A0" w:rsidRPr="00663AEB" w14:paraId="3D74F30E" w14:textId="77777777" w:rsidTr="004B3AED">
        <w:trPr>
          <w:trHeight w:val="175"/>
        </w:trPr>
        <w:tc>
          <w:tcPr>
            <w:tcW w:w="7689" w:type="dxa"/>
            <w:gridSpan w:val="2"/>
            <w:tcBorders>
              <w:top w:val="nil"/>
              <w:bottom w:val="nil"/>
            </w:tcBorders>
          </w:tcPr>
          <w:p w14:paraId="35FE4938"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I’ll take legal highs if I want to, it’s my choice  </w:t>
            </w:r>
          </w:p>
        </w:tc>
        <w:tc>
          <w:tcPr>
            <w:tcW w:w="675" w:type="dxa"/>
            <w:tcBorders>
              <w:top w:val="nil"/>
              <w:bottom w:val="nil"/>
            </w:tcBorders>
          </w:tcPr>
          <w:p w14:paraId="774BC25B"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10</w:t>
            </w:r>
          </w:p>
        </w:tc>
        <w:tc>
          <w:tcPr>
            <w:tcW w:w="850" w:type="dxa"/>
            <w:tcBorders>
              <w:top w:val="nil"/>
              <w:bottom w:val="nil"/>
            </w:tcBorders>
          </w:tcPr>
          <w:p w14:paraId="306C152C"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21</w:t>
            </w:r>
          </w:p>
        </w:tc>
      </w:tr>
      <w:tr w:rsidR="008B27A0" w:rsidRPr="00663AEB" w14:paraId="78F6DD81" w14:textId="77777777" w:rsidTr="004B3AED">
        <w:trPr>
          <w:trHeight w:val="175"/>
        </w:trPr>
        <w:tc>
          <w:tcPr>
            <w:tcW w:w="7689" w:type="dxa"/>
            <w:gridSpan w:val="2"/>
            <w:tcBorders>
              <w:top w:val="nil"/>
              <w:bottom w:val="single" w:sz="4" w:space="0" w:color="auto"/>
            </w:tcBorders>
          </w:tcPr>
          <w:p w14:paraId="4A9D3128"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Telling me not to take legal highs just makes me want to do them more  </w:t>
            </w:r>
          </w:p>
        </w:tc>
        <w:tc>
          <w:tcPr>
            <w:tcW w:w="675" w:type="dxa"/>
            <w:tcBorders>
              <w:top w:val="nil"/>
              <w:bottom w:val="single" w:sz="4" w:space="0" w:color="auto"/>
            </w:tcBorders>
          </w:tcPr>
          <w:p w14:paraId="0B73B9E7"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10</w:t>
            </w:r>
          </w:p>
        </w:tc>
        <w:tc>
          <w:tcPr>
            <w:tcW w:w="850" w:type="dxa"/>
            <w:tcBorders>
              <w:top w:val="nil"/>
              <w:bottom w:val="single" w:sz="4" w:space="0" w:color="auto"/>
            </w:tcBorders>
          </w:tcPr>
          <w:p w14:paraId="71AF9BBF"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21</w:t>
            </w:r>
          </w:p>
        </w:tc>
      </w:tr>
      <w:tr w:rsidR="008B27A0" w:rsidRPr="00D572CB" w14:paraId="5CD0ED4E" w14:textId="77777777" w:rsidTr="004B3AED">
        <w:trPr>
          <w:trHeight w:val="228"/>
        </w:trPr>
        <w:tc>
          <w:tcPr>
            <w:tcW w:w="9214" w:type="dxa"/>
            <w:gridSpan w:val="4"/>
            <w:tcBorders>
              <w:top w:val="nil"/>
              <w:left w:val="nil"/>
              <w:bottom w:val="single" w:sz="4" w:space="0" w:color="auto"/>
              <w:right w:val="nil"/>
            </w:tcBorders>
          </w:tcPr>
          <w:p w14:paraId="319C8617" w14:textId="144CBF0F" w:rsidR="008B27A0" w:rsidRPr="00AD53A9" w:rsidRDefault="008B27A0" w:rsidP="00FA6445">
            <w:pPr>
              <w:spacing w:after="200"/>
              <w:rPr>
                <w:b/>
              </w:rPr>
            </w:pPr>
            <w:r w:rsidRPr="006533CF">
              <w:rPr>
                <w:b/>
              </w:rPr>
              <w:t xml:space="preserve">Table </w:t>
            </w:r>
            <w:r w:rsidR="00735864">
              <w:rPr>
                <w:b/>
              </w:rPr>
              <w:t>6-</w:t>
            </w:r>
            <w:r>
              <w:rPr>
                <w:b/>
              </w:rPr>
              <w:t>9</w:t>
            </w:r>
            <w:r w:rsidRPr="006533CF">
              <w:rPr>
                <w:b/>
              </w:rPr>
              <w:t xml:space="preserve">. </w:t>
            </w:r>
            <w:r>
              <w:rPr>
                <w:b/>
              </w:rPr>
              <w:t>Continued</w:t>
            </w:r>
          </w:p>
        </w:tc>
      </w:tr>
      <w:tr w:rsidR="008B27A0" w:rsidRPr="00D572CB" w14:paraId="4107924A" w14:textId="77777777" w:rsidTr="004B3AED">
        <w:trPr>
          <w:trHeight w:val="228"/>
        </w:trPr>
        <w:tc>
          <w:tcPr>
            <w:tcW w:w="4128" w:type="dxa"/>
            <w:tcBorders>
              <w:top w:val="single" w:sz="4" w:space="0" w:color="auto"/>
              <w:left w:val="nil"/>
              <w:bottom w:val="single" w:sz="4" w:space="0" w:color="auto"/>
              <w:right w:val="nil"/>
            </w:tcBorders>
          </w:tcPr>
          <w:p w14:paraId="562CB814" w14:textId="77777777" w:rsidR="008B27A0" w:rsidRDefault="008B27A0" w:rsidP="004B3AED">
            <w:pPr>
              <w:spacing w:before="120" w:after="120"/>
              <w:rPr>
                <w:rFonts w:asciiTheme="majorBidi" w:hAnsiTheme="majorBidi" w:cstheme="majorBidi"/>
                <w:b/>
                <w:szCs w:val="24"/>
              </w:rPr>
            </w:pPr>
            <w:r>
              <w:rPr>
                <w:rFonts w:asciiTheme="majorBidi" w:hAnsiTheme="majorBidi" w:cstheme="majorBidi"/>
                <w:b/>
                <w:szCs w:val="24"/>
              </w:rPr>
              <w:t>Model construct</w:t>
            </w:r>
          </w:p>
          <w:p w14:paraId="0C9EC2F1" w14:textId="77777777" w:rsidR="008B27A0" w:rsidRDefault="008B27A0" w:rsidP="004B3AED">
            <w:pPr>
              <w:spacing w:before="120" w:after="120"/>
              <w:rPr>
                <w:rFonts w:asciiTheme="majorBidi" w:hAnsiTheme="majorBidi" w:cstheme="majorBidi"/>
                <w:i/>
                <w:szCs w:val="24"/>
              </w:rPr>
            </w:pPr>
            <w:r>
              <w:rPr>
                <w:rFonts w:asciiTheme="majorBidi" w:hAnsiTheme="majorBidi" w:cstheme="majorBidi"/>
                <w:i/>
                <w:szCs w:val="24"/>
              </w:rPr>
              <w:t>Motivational domain</w:t>
            </w:r>
            <w:r w:rsidRPr="00571091">
              <w:rPr>
                <w:rFonts w:asciiTheme="majorBidi" w:hAnsiTheme="majorBidi" w:cstheme="majorBidi"/>
                <w:i/>
                <w:szCs w:val="24"/>
              </w:rPr>
              <w:t xml:space="preserve"> </w:t>
            </w:r>
          </w:p>
          <w:p w14:paraId="41A94BB3" w14:textId="77777777" w:rsidR="008B27A0" w:rsidRPr="00571091" w:rsidRDefault="008B27A0" w:rsidP="004B3AED">
            <w:pPr>
              <w:spacing w:before="120" w:after="120"/>
              <w:rPr>
                <w:rFonts w:asciiTheme="majorBidi" w:hAnsiTheme="majorBidi" w:cstheme="majorBidi"/>
                <w:i/>
                <w:szCs w:val="24"/>
              </w:rPr>
            </w:pPr>
            <w:r>
              <w:rPr>
                <w:rFonts w:asciiTheme="majorBidi" w:hAnsiTheme="majorBidi" w:cstheme="majorBidi"/>
                <w:i/>
                <w:szCs w:val="24"/>
              </w:rPr>
              <w:t xml:space="preserve">     </w:t>
            </w:r>
            <w:r w:rsidRPr="00571091">
              <w:rPr>
                <w:rFonts w:asciiTheme="majorBidi" w:hAnsiTheme="majorBidi" w:cstheme="majorBidi"/>
                <w:szCs w:val="24"/>
              </w:rPr>
              <w:t>Behavioural belief</w:t>
            </w:r>
          </w:p>
        </w:tc>
        <w:tc>
          <w:tcPr>
            <w:tcW w:w="4236" w:type="dxa"/>
            <w:gridSpan w:val="2"/>
            <w:tcBorders>
              <w:top w:val="single" w:sz="4" w:space="0" w:color="auto"/>
              <w:left w:val="nil"/>
              <w:bottom w:val="single" w:sz="4" w:space="0" w:color="auto"/>
              <w:right w:val="nil"/>
            </w:tcBorders>
          </w:tcPr>
          <w:p w14:paraId="16C9FC0E" w14:textId="77777777" w:rsidR="008B27A0" w:rsidRDefault="008B27A0" w:rsidP="004B3AED">
            <w:pPr>
              <w:spacing w:before="120" w:after="120"/>
              <w:jc w:val="right"/>
              <w:rPr>
                <w:rFonts w:asciiTheme="majorBidi" w:hAnsiTheme="majorBidi" w:cstheme="majorBidi"/>
                <w:b/>
                <w:szCs w:val="24"/>
              </w:rPr>
            </w:pPr>
          </w:p>
          <w:p w14:paraId="5DD75962" w14:textId="77777777" w:rsidR="008B27A0" w:rsidRDefault="008B27A0" w:rsidP="004B3AED">
            <w:pPr>
              <w:spacing w:before="120" w:after="120"/>
              <w:jc w:val="right"/>
              <w:rPr>
                <w:rFonts w:asciiTheme="majorBidi" w:hAnsiTheme="majorBidi" w:cstheme="majorBidi"/>
                <w:b/>
                <w:szCs w:val="24"/>
              </w:rPr>
            </w:pPr>
          </w:p>
          <w:p w14:paraId="298CFC90" w14:textId="77777777" w:rsidR="008B27A0" w:rsidRPr="00D572CB" w:rsidRDefault="008B27A0" w:rsidP="004B3AED">
            <w:pPr>
              <w:spacing w:before="120" w:after="120"/>
              <w:jc w:val="right"/>
              <w:rPr>
                <w:rFonts w:asciiTheme="majorBidi" w:hAnsiTheme="majorBidi" w:cstheme="majorBidi"/>
                <w:b/>
                <w:szCs w:val="24"/>
              </w:rPr>
            </w:pPr>
            <w:r>
              <w:rPr>
                <w:rFonts w:asciiTheme="majorBidi" w:hAnsiTheme="majorBidi" w:cstheme="majorBidi"/>
                <w:b/>
                <w:szCs w:val="24"/>
              </w:rPr>
              <w:t>Freq</w:t>
            </w:r>
          </w:p>
        </w:tc>
        <w:tc>
          <w:tcPr>
            <w:tcW w:w="850" w:type="dxa"/>
            <w:tcBorders>
              <w:top w:val="single" w:sz="4" w:space="0" w:color="auto"/>
              <w:left w:val="nil"/>
              <w:bottom w:val="single" w:sz="4" w:space="0" w:color="auto"/>
              <w:right w:val="nil"/>
            </w:tcBorders>
          </w:tcPr>
          <w:p w14:paraId="20C1F2BC" w14:textId="77777777" w:rsidR="008B27A0" w:rsidRDefault="008B27A0" w:rsidP="004B3AED">
            <w:pPr>
              <w:spacing w:before="120" w:after="120"/>
              <w:jc w:val="right"/>
              <w:rPr>
                <w:rFonts w:asciiTheme="majorBidi" w:hAnsiTheme="majorBidi" w:cstheme="majorBidi"/>
                <w:b/>
                <w:szCs w:val="24"/>
              </w:rPr>
            </w:pPr>
          </w:p>
          <w:p w14:paraId="4B89E8A5" w14:textId="77777777" w:rsidR="008B27A0" w:rsidRDefault="008B27A0" w:rsidP="004B3AED">
            <w:pPr>
              <w:spacing w:before="120" w:after="120"/>
              <w:jc w:val="right"/>
              <w:rPr>
                <w:rFonts w:asciiTheme="majorBidi" w:hAnsiTheme="majorBidi" w:cstheme="majorBidi"/>
                <w:b/>
                <w:szCs w:val="24"/>
              </w:rPr>
            </w:pPr>
          </w:p>
          <w:p w14:paraId="04AECD53" w14:textId="77777777" w:rsidR="008B27A0" w:rsidRPr="00D572CB" w:rsidRDefault="008B27A0" w:rsidP="004B3AED">
            <w:pPr>
              <w:spacing w:before="120" w:after="120"/>
              <w:jc w:val="right"/>
              <w:rPr>
                <w:rFonts w:asciiTheme="majorBidi" w:hAnsiTheme="majorBidi" w:cstheme="majorBidi"/>
                <w:b/>
                <w:szCs w:val="24"/>
              </w:rPr>
            </w:pPr>
            <w:r w:rsidRPr="00D572CB">
              <w:rPr>
                <w:rFonts w:asciiTheme="majorBidi" w:hAnsiTheme="majorBidi" w:cstheme="majorBidi"/>
                <w:b/>
                <w:szCs w:val="24"/>
              </w:rPr>
              <w:t>Rank</w:t>
            </w:r>
          </w:p>
        </w:tc>
      </w:tr>
      <w:tr w:rsidR="008B27A0" w:rsidRPr="00C0762B" w14:paraId="317BDC38" w14:textId="77777777" w:rsidTr="004B3AED">
        <w:trPr>
          <w:trHeight w:val="175"/>
        </w:trPr>
        <w:tc>
          <w:tcPr>
            <w:tcW w:w="7689" w:type="dxa"/>
            <w:gridSpan w:val="2"/>
            <w:tcBorders>
              <w:top w:val="single" w:sz="4" w:space="0" w:color="auto"/>
              <w:bottom w:val="nil"/>
            </w:tcBorders>
          </w:tcPr>
          <w:p w14:paraId="5A83F001" w14:textId="77777777" w:rsidR="008B27A0" w:rsidRPr="00C0762B" w:rsidRDefault="008B27A0" w:rsidP="004B3AED">
            <w:pPr>
              <w:spacing w:before="120" w:after="120"/>
              <w:rPr>
                <w:rFonts w:asciiTheme="majorBidi" w:hAnsiTheme="majorBidi" w:cstheme="majorBidi"/>
                <w:i/>
                <w:iCs/>
                <w:szCs w:val="24"/>
              </w:rPr>
            </w:pPr>
            <w:r w:rsidRPr="00C0762B">
              <w:rPr>
                <w:rFonts w:asciiTheme="majorBidi" w:hAnsiTheme="majorBidi" w:cstheme="majorBidi"/>
                <w:i/>
                <w:iCs/>
                <w:szCs w:val="24"/>
              </w:rPr>
              <w:t xml:space="preserve">Financial beliefs discouraging use </w:t>
            </w:r>
          </w:p>
        </w:tc>
        <w:tc>
          <w:tcPr>
            <w:tcW w:w="675" w:type="dxa"/>
            <w:tcBorders>
              <w:top w:val="single" w:sz="4" w:space="0" w:color="auto"/>
              <w:bottom w:val="nil"/>
            </w:tcBorders>
          </w:tcPr>
          <w:p w14:paraId="129B4F60" w14:textId="77777777" w:rsidR="008B27A0" w:rsidRPr="00C0762B" w:rsidRDefault="008B27A0" w:rsidP="004B3AED">
            <w:pPr>
              <w:spacing w:before="120" w:after="120"/>
              <w:jc w:val="right"/>
              <w:rPr>
                <w:rFonts w:asciiTheme="majorBidi" w:hAnsiTheme="majorBidi" w:cstheme="majorBidi"/>
                <w:i/>
                <w:szCs w:val="24"/>
              </w:rPr>
            </w:pPr>
          </w:p>
        </w:tc>
        <w:tc>
          <w:tcPr>
            <w:tcW w:w="850" w:type="dxa"/>
            <w:tcBorders>
              <w:top w:val="single" w:sz="4" w:space="0" w:color="auto"/>
              <w:bottom w:val="nil"/>
            </w:tcBorders>
          </w:tcPr>
          <w:p w14:paraId="6B40D6C3" w14:textId="77777777" w:rsidR="008B27A0" w:rsidRPr="00C0762B" w:rsidRDefault="008B27A0" w:rsidP="004B3AED">
            <w:pPr>
              <w:spacing w:before="120" w:after="120"/>
              <w:jc w:val="right"/>
              <w:rPr>
                <w:rFonts w:asciiTheme="majorBidi" w:hAnsiTheme="majorBidi" w:cstheme="majorBidi"/>
                <w:bCs/>
                <w:i/>
                <w:szCs w:val="24"/>
              </w:rPr>
            </w:pPr>
          </w:p>
        </w:tc>
      </w:tr>
      <w:tr w:rsidR="008B27A0" w:rsidRPr="00663AEB" w14:paraId="142D8DC9" w14:textId="77777777" w:rsidTr="004B3AED">
        <w:trPr>
          <w:trHeight w:val="175"/>
        </w:trPr>
        <w:tc>
          <w:tcPr>
            <w:tcW w:w="7689" w:type="dxa"/>
            <w:gridSpan w:val="2"/>
            <w:tcBorders>
              <w:top w:val="nil"/>
              <w:bottom w:val="nil"/>
            </w:tcBorders>
          </w:tcPr>
          <w:p w14:paraId="77BC210A"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Legal highs are a waste of money </w:t>
            </w:r>
          </w:p>
        </w:tc>
        <w:tc>
          <w:tcPr>
            <w:tcW w:w="675" w:type="dxa"/>
            <w:tcBorders>
              <w:top w:val="nil"/>
              <w:bottom w:val="nil"/>
            </w:tcBorders>
          </w:tcPr>
          <w:p w14:paraId="074C6E87"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3</w:t>
            </w:r>
          </w:p>
        </w:tc>
        <w:tc>
          <w:tcPr>
            <w:tcW w:w="850" w:type="dxa"/>
            <w:tcBorders>
              <w:top w:val="nil"/>
              <w:bottom w:val="nil"/>
            </w:tcBorders>
          </w:tcPr>
          <w:p w14:paraId="1A38E81E"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38</w:t>
            </w:r>
          </w:p>
        </w:tc>
      </w:tr>
      <w:tr w:rsidR="008B27A0" w:rsidRPr="00C0762B" w14:paraId="166BBBB8" w14:textId="77777777" w:rsidTr="004B3AED">
        <w:trPr>
          <w:trHeight w:val="175"/>
        </w:trPr>
        <w:tc>
          <w:tcPr>
            <w:tcW w:w="7689" w:type="dxa"/>
            <w:gridSpan w:val="2"/>
            <w:tcBorders>
              <w:top w:val="nil"/>
              <w:bottom w:val="nil"/>
            </w:tcBorders>
          </w:tcPr>
          <w:p w14:paraId="32A5050D" w14:textId="77777777" w:rsidR="008B27A0" w:rsidRPr="00C0762B" w:rsidRDefault="008B27A0" w:rsidP="004B3AED">
            <w:pPr>
              <w:spacing w:before="120" w:after="120"/>
              <w:rPr>
                <w:rFonts w:asciiTheme="majorBidi" w:hAnsiTheme="majorBidi" w:cstheme="majorBidi"/>
                <w:i/>
                <w:iCs/>
                <w:szCs w:val="24"/>
              </w:rPr>
            </w:pPr>
            <w:r w:rsidRPr="00C0762B">
              <w:rPr>
                <w:rFonts w:asciiTheme="majorBidi" w:hAnsiTheme="majorBidi" w:cstheme="majorBidi"/>
                <w:i/>
                <w:iCs/>
                <w:szCs w:val="24"/>
              </w:rPr>
              <w:t xml:space="preserve">Financial beliefs encouraging use </w:t>
            </w:r>
          </w:p>
        </w:tc>
        <w:tc>
          <w:tcPr>
            <w:tcW w:w="675" w:type="dxa"/>
            <w:tcBorders>
              <w:top w:val="nil"/>
              <w:bottom w:val="nil"/>
            </w:tcBorders>
          </w:tcPr>
          <w:p w14:paraId="7FBFA3ED" w14:textId="77777777" w:rsidR="008B27A0" w:rsidRPr="00C0762B" w:rsidRDefault="008B27A0" w:rsidP="004B3AED">
            <w:pPr>
              <w:spacing w:before="120" w:after="120"/>
              <w:jc w:val="right"/>
              <w:rPr>
                <w:rFonts w:asciiTheme="majorBidi" w:hAnsiTheme="majorBidi" w:cstheme="majorBidi"/>
                <w:i/>
                <w:szCs w:val="24"/>
              </w:rPr>
            </w:pPr>
          </w:p>
        </w:tc>
        <w:tc>
          <w:tcPr>
            <w:tcW w:w="850" w:type="dxa"/>
            <w:tcBorders>
              <w:top w:val="nil"/>
              <w:bottom w:val="nil"/>
            </w:tcBorders>
          </w:tcPr>
          <w:p w14:paraId="7600C3FD" w14:textId="77777777" w:rsidR="008B27A0" w:rsidRPr="00C0762B" w:rsidRDefault="008B27A0" w:rsidP="004B3AED">
            <w:pPr>
              <w:spacing w:before="120" w:after="120"/>
              <w:jc w:val="right"/>
              <w:rPr>
                <w:rFonts w:asciiTheme="majorBidi" w:hAnsiTheme="majorBidi" w:cstheme="majorBidi"/>
                <w:bCs/>
                <w:i/>
                <w:szCs w:val="24"/>
              </w:rPr>
            </w:pPr>
          </w:p>
        </w:tc>
      </w:tr>
      <w:tr w:rsidR="008B27A0" w:rsidRPr="00663AEB" w14:paraId="592F6002" w14:textId="77777777" w:rsidTr="004B3AED">
        <w:trPr>
          <w:trHeight w:val="175"/>
        </w:trPr>
        <w:tc>
          <w:tcPr>
            <w:tcW w:w="7689" w:type="dxa"/>
            <w:gridSpan w:val="2"/>
            <w:tcBorders>
              <w:top w:val="nil"/>
              <w:bottom w:val="nil"/>
            </w:tcBorders>
          </w:tcPr>
          <w:p w14:paraId="3E0D5098"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a good way to have a cheap night out  </w:t>
            </w:r>
          </w:p>
        </w:tc>
        <w:tc>
          <w:tcPr>
            <w:tcW w:w="675" w:type="dxa"/>
            <w:tcBorders>
              <w:top w:val="nil"/>
              <w:bottom w:val="nil"/>
            </w:tcBorders>
          </w:tcPr>
          <w:p w14:paraId="1FD9AD63"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17</w:t>
            </w:r>
          </w:p>
        </w:tc>
        <w:tc>
          <w:tcPr>
            <w:tcW w:w="850" w:type="dxa"/>
            <w:tcBorders>
              <w:top w:val="nil"/>
              <w:bottom w:val="nil"/>
            </w:tcBorders>
          </w:tcPr>
          <w:p w14:paraId="7CDD8474"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14</w:t>
            </w:r>
          </w:p>
        </w:tc>
      </w:tr>
      <w:tr w:rsidR="008B27A0" w:rsidRPr="00C0762B" w14:paraId="09C3BB25" w14:textId="77777777" w:rsidTr="004B3AED">
        <w:trPr>
          <w:trHeight w:val="175"/>
        </w:trPr>
        <w:tc>
          <w:tcPr>
            <w:tcW w:w="7689" w:type="dxa"/>
            <w:gridSpan w:val="2"/>
            <w:tcBorders>
              <w:top w:val="single" w:sz="4" w:space="0" w:color="auto"/>
              <w:bottom w:val="nil"/>
            </w:tcBorders>
          </w:tcPr>
          <w:p w14:paraId="09830EF6" w14:textId="77777777" w:rsidR="008B27A0" w:rsidRPr="00C0762B" w:rsidRDefault="008B27A0" w:rsidP="004B3AED">
            <w:pPr>
              <w:spacing w:before="120" w:after="120"/>
              <w:rPr>
                <w:rFonts w:asciiTheme="majorBidi" w:hAnsiTheme="majorBidi" w:cstheme="majorBidi"/>
                <w:i/>
                <w:iCs/>
                <w:szCs w:val="24"/>
              </w:rPr>
            </w:pPr>
            <w:r w:rsidRPr="00C0762B">
              <w:rPr>
                <w:rFonts w:asciiTheme="majorBidi" w:hAnsiTheme="majorBidi" w:cstheme="majorBidi"/>
                <w:i/>
                <w:iCs/>
                <w:szCs w:val="24"/>
              </w:rPr>
              <w:t xml:space="preserve">Effort beliefs encouraging use </w:t>
            </w:r>
          </w:p>
        </w:tc>
        <w:tc>
          <w:tcPr>
            <w:tcW w:w="675" w:type="dxa"/>
            <w:tcBorders>
              <w:top w:val="single" w:sz="4" w:space="0" w:color="auto"/>
              <w:bottom w:val="nil"/>
            </w:tcBorders>
          </w:tcPr>
          <w:p w14:paraId="03E1ABDE" w14:textId="77777777" w:rsidR="008B27A0" w:rsidRPr="00C0762B" w:rsidRDefault="008B27A0" w:rsidP="004B3AED">
            <w:pPr>
              <w:spacing w:before="120" w:after="120"/>
              <w:jc w:val="right"/>
              <w:rPr>
                <w:rFonts w:asciiTheme="majorBidi" w:hAnsiTheme="majorBidi" w:cstheme="majorBidi"/>
                <w:i/>
                <w:szCs w:val="24"/>
              </w:rPr>
            </w:pPr>
          </w:p>
        </w:tc>
        <w:tc>
          <w:tcPr>
            <w:tcW w:w="850" w:type="dxa"/>
            <w:tcBorders>
              <w:top w:val="single" w:sz="4" w:space="0" w:color="auto"/>
              <w:bottom w:val="nil"/>
            </w:tcBorders>
          </w:tcPr>
          <w:p w14:paraId="038B157B" w14:textId="77777777" w:rsidR="008B27A0" w:rsidRPr="00C0762B" w:rsidRDefault="008B27A0" w:rsidP="004B3AED">
            <w:pPr>
              <w:spacing w:before="120" w:after="120"/>
              <w:jc w:val="right"/>
              <w:rPr>
                <w:rFonts w:asciiTheme="majorBidi" w:hAnsiTheme="majorBidi" w:cstheme="majorBidi"/>
                <w:bCs/>
                <w:i/>
                <w:szCs w:val="24"/>
              </w:rPr>
            </w:pPr>
          </w:p>
        </w:tc>
      </w:tr>
      <w:tr w:rsidR="008B27A0" w:rsidRPr="00663AEB" w14:paraId="69121DB0" w14:textId="77777777" w:rsidTr="004B3AED">
        <w:trPr>
          <w:trHeight w:val="175"/>
        </w:trPr>
        <w:tc>
          <w:tcPr>
            <w:tcW w:w="7689" w:type="dxa"/>
            <w:gridSpan w:val="2"/>
            <w:tcBorders>
              <w:top w:val="nil"/>
            </w:tcBorders>
          </w:tcPr>
          <w:p w14:paraId="34EF3B68" w14:textId="77777777" w:rsidR="008B27A0" w:rsidRPr="00663AEB" w:rsidRDefault="008B27A0" w:rsidP="004B3AED">
            <w:pPr>
              <w:spacing w:before="120" w:after="120"/>
              <w:rPr>
                <w:rFonts w:asciiTheme="majorBidi" w:hAnsiTheme="majorBidi" w:cstheme="majorBidi"/>
                <w:bCs/>
                <w:szCs w:val="24"/>
              </w:rPr>
            </w:pPr>
            <w:r>
              <w:rPr>
                <w:rFonts w:asciiTheme="majorBidi" w:hAnsiTheme="majorBidi" w:cstheme="majorBidi"/>
                <w:bCs/>
                <w:szCs w:val="24"/>
              </w:rPr>
              <w:t xml:space="preserve">     Legal highs are easy to get hold of </w:t>
            </w:r>
          </w:p>
        </w:tc>
        <w:tc>
          <w:tcPr>
            <w:tcW w:w="675" w:type="dxa"/>
            <w:tcBorders>
              <w:top w:val="nil"/>
            </w:tcBorders>
          </w:tcPr>
          <w:p w14:paraId="58C6CAC3"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30</w:t>
            </w:r>
          </w:p>
        </w:tc>
        <w:tc>
          <w:tcPr>
            <w:tcW w:w="850" w:type="dxa"/>
            <w:tcBorders>
              <w:top w:val="nil"/>
            </w:tcBorders>
          </w:tcPr>
          <w:p w14:paraId="5D5D8DB4" w14:textId="77777777" w:rsidR="008B27A0" w:rsidRPr="00663AEB" w:rsidRDefault="008B27A0" w:rsidP="004B3AED">
            <w:pPr>
              <w:spacing w:before="120" w:after="120"/>
              <w:jc w:val="right"/>
              <w:rPr>
                <w:rFonts w:asciiTheme="majorBidi" w:hAnsiTheme="majorBidi" w:cstheme="majorBidi"/>
                <w:bCs/>
                <w:szCs w:val="24"/>
              </w:rPr>
            </w:pPr>
            <w:r>
              <w:rPr>
                <w:rFonts w:asciiTheme="majorBidi" w:hAnsiTheme="majorBidi" w:cstheme="majorBidi"/>
                <w:bCs/>
                <w:szCs w:val="24"/>
              </w:rPr>
              <w:t>= 3</w:t>
            </w:r>
          </w:p>
        </w:tc>
      </w:tr>
      <w:tr w:rsidR="008B27A0" w:rsidRPr="00663AEB" w14:paraId="6045CC95" w14:textId="77777777" w:rsidTr="004B3AED">
        <w:trPr>
          <w:trHeight w:val="175"/>
        </w:trPr>
        <w:tc>
          <w:tcPr>
            <w:tcW w:w="7689" w:type="dxa"/>
            <w:gridSpan w:val="2"/>
            <w:tcBorders>
              <w:top w:val="nil"/>
            </w:tcBorders>
          </w:tcPr>
          <w:p w14:paraId="7709C6F8" w14:textId="77777777" w:rsidR="008B27A0" w:rsidRPr="00663AEB" w:rsidRDefault="008B27A0" w:rsidP="004B3AED">
            <w:pPr>
              <w:spacing w:before="120" w:after="240"/>
              <w:rPr>
                <w:rFonts w:asciiTheme="majorBidi" w:hAnsiTheme="majorBidi" w:cstheme="majorBidi"/>
                <w:bCs/>
                <w:szCs w:val="24"/>
              </w:rPr>
            </w:pPr>
            <w:r>
              <w:rPr>
                <w:rFonts w:asciiTheme="majorBidi" w:hAnsiTheme="majorBidi" w:cstheme="majorBidi"/>
                <w:bCs/>
                <w:szCs w:val="24"/>
              </w:rPr>
              <w:t xml:space="preserve">     Classic illegal drugs are hard to get hold of  </w:t>
            </w:r>
          </w:p>
        </w:tc>
        <w:tc>
          <w:tcPr>
            <w:tcW w:w="675" w:type="dxa"/>
            <w:tcBorders>
              <w:top w:val="nil"/>
            </w:tcBorders>
          </w:tcPr>
          <w:p w14:paraId="4D2316B9"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7</w:t>
            </w:r>
          </w:p>
        </w:tc>
        <w:tc>
          <w:tcPr>
            <w:tcW w:w="850" w:type="dxa"/>
            <w:tcBorders>
              <w:top w:val="nil"/>
            </w:tcBorders>
          </w:tcPr>
          <w:p w14:paraId="562B9025" w14:textId="77777777" w:rsidR="008B27A0" w:rsidRPr="00663AEB" w:rsidRDefault="008B27A0" w:rsidP="004B3AED">
            <w:pPr>
              <w:spacing w:before="120" w:after="240"/>
              <w:jc w:val="right"/>
              <w:rPr>
                <w:rFonts w:asciiTheme="majorBidi" w:hAnsiTheme="majorBidi" w:cstheme="majorBidi"/>
                <w:bCs/>
                <w:szCs w:val="24"/>
              </w:rPr>
            </w:pPr>
            <w:r>
              <w:rPr>
                <w:rFonts w:asciiTheme="majorBidi" w:hAnsiTheme="majorBidi" w:cstheme="majorBidi"/>
                <w:bCs/>
                <w:szCs w:val="24"/>
              </w:rPr>
              <w:t>= 27</w:t>
            </w:r>
          </w:p>
        </w:tc>
      </w:tr>
    </w:tbl>
    <w:p w14:paraId="70C6549B" w14:textId="77777777" w:rsidR="008B27A0" w:rsidRDefault="008B27A0" w:rsidP="008B27A0">
      <w:pPr>
        <w:rPr>
          <w:rStyle w:val="Heading3Char"/>
          <w:b w:val="0"/>
        </w:rPr>
      </w:pPr>
    </w:p>
    <w:p w14:paraId="03A8AE68" w14:textId="683F84FB" w:rsidR="008B27A0" w:rsidRPr="002B5205" w:rsidRDefault="008B27A0" w:rsidP="008B27A0">
      <w:pPr>
        <w:pStyle w:val="Heading3"/>
        <w:rPr>
          <w:rStyle w:val="Heading3Char"/>
          <w:b/>
          <w:iCs/>
          <w:szCs w:val="24"/>
        </w:rPr>
      </w:pPr>
      <w:bookmarkStart w:id="423" w:name="_Toc35892682"/>
      <w:r w:rsidRPr="00170AA6">
        <w:rPr>
          <w:rStyle w:val="Heading3Char"/>
          <w:b/>
          <w:szCs w:val="24"/>
        </w:rPr>
        <w:t>Description of themes and motivations</w:t>
      </w:r>
      <w:bookmarkEnd w:id="423"/>
      <w:r w:rsidRPr="00170AA6">
        <w:rPr>
          <w:rStyle w:val="Heading3Char"/>
          <w:b/>
          <w:szCs w:val="24"/>
        </w:rPr>
        <w:t xml:space="preserve"> </w:t>
      </w:r>
    </w:p>
    <w:p w14:paraId="79377510" w14:textId="50AAF49B" w:rsidR="008B27A0" w:rsidRPr="00A45FF7" w:rsidRDefault="008B27A0" w:rsidP="008B27A0">
      <w:pPr>
        <w:spacing w:line="480" w:lineRule="auto"/>
      </w:pPr>
      <w:r>
        <w:t xml:space="preserve">The following sections provide a description of each global theme </w:t>
      </w:r>
      <w:r w:rsidR="00A94D5C">
        <w:t xml:space="preserve">as follows: risk perception and health; accessibility financial motivation and effort; authority, parents approval and autonomy; drug effects and pleasure motives; legal status; social influences; user types; substitution; curiosity; </w:t>
      </w:r>
      <w:r w:rsidR="00C931B5">
        <w:t xml:space="preserve">and </w:t>
      </w:r>
      <w:r w:rsidR="00A94D5C">
        <w:t>coping</w:t>
      </w:r>
      <w:r>
        <w:t xml:space="preserve">. </w:t>
      </w:r>
    </w:p>
    <w:p w14:paraId="5F92EA3C" w14:textId="42F53C56" w:rsidR="008B27A0" w:rsidRPr="00560097" w:rsidRDefault="008B27A0" w:rsidP="008B27A0">
      <w:pPr>
        <w:pStyle w:val="Heading4"/>
        <w:rPr>
          <w:rStyle w:val="Heading3Char"/>
          <w:b/>
        </w:rPr>
      </w:pPr>
      <w:bookmarkStart w:id="424" w:name="_Toc35892683"/>
      <w:r w:rsidRPr="00560097">
        <w:rPr>
          <w:rStyle w:val="Heading3Char"/>
          <w:b/>
        </w:rPr>
        <w:t xml:space="preserve">Risk </w:t>
      </w:r>
      <w:r>
        <w:rPr>
          <w:rStyle w:val="Heading3Char"/>
          <w:b/>
        </w:rPr>
        <w:t>perception and health motivation</w:t>
      </w:r>
      <w:bookmarkEnd w:id="424"/>
    </w:p>
    <w:p w14:paraId="2230F0B7" w14:textId="4976BA9F" w:rsidR="008B27A0" w:rsidRPr="00A34C71" w:rsidRDefault="008B27A0" w:rsidP="008B27A0">
      <w:pPr>
        <w:spacing w:line="480" w:lineRule="auto"/>
        <w:rPr>
          <w:i/>
        </w:rPr>
      </w:pPr>
      <w:r>
        <w:t>The risk perception theme comprised statements related to physical harm and safety from harm. The behavioural beliefs expressed in this theme related to the probability that using NPS would result in harm or no harm. Consequently, the behavioural beliefs expressed in this theme were considered to be indicative of underlying health motivation. As a theme, statements related to risk perception were expressed with the greatest frequency within all three focus groups. Although the theme was associated with both use and non-use of NPS, the majority of statements making up this theme were presented as discouraging use of NP</w:t>
      </w:r>
      <w:r w:rsidR="00C931B5">
        <w:t>S</w:t>
      </w:r>
      <w:r>
        <w:t>.</w:t>
      </w:r>
    </w:p>
    <w:p w14:paraId="4A8F6C0E" w14:textId="77777777" w:rsidR="008B27A0" w:rsidRDefault="008B27A0" w:rsidP="008B27A0">
      <w:pPr>
        <w:pStyle w:val="Heading5"/>
      </w:pPr>
      <w:r w:rsidRPr="003213DA">
        <w:t>Safety perceptions encouraging use:</w:t>
      </w:r>
      <w:r>
        <w:br/>
      </w:r>
    </w:p>
    <w:p w14:paraId="7B312B2D" w14:textId="6AE23735" w:rsidR="008B27A0" w:rsidRDefault="008B27A0" w:rsidP="008B27A0">
      <w:pPr>
        <w:spacing w:line="480" w:lineRule="auto"/>
      </w:pPr>
      <w:r w:rsidRPr="00370712">
        <w:t>P</w:t>
      </w:r>
      <w:r>
        <w:t xml:space="preserve">articipants mostly linked perceptions of safety with young people’s lack of awareness of the health risks associated with NPS. Lack of education around NPS in schools was discussed frequently, with several participants noting that while the risks of using traditional drugs was strongly reinforced in school, NPS were not mentioned. The neglect of NPS education appeared to confuse participants but was generally put down to the sudden emergence of the problem, and also a concern the issues were being overlooked or swept under the carpet. Perceptions of safety were quite frequently linked with legal status, both directly through the belief that legal status means they must be tested and therefore safe to use, or indirectly, due to people not associating them with drugs or seeing them as an issue. The apparent safety of legal highs was also, on occasion, expressed as relative safety in comparison to traditional illicit drugs. Lack of risk perception was not only considered to be the result of beliefs about the safety of NPS but also the consequence of risk denial, with participants noting that young people often dismiss the potential dangers associated with NPS use by assuming bad things won’t happen to them or simply not caring enough about their health.    </w:t>
      </w:r>
    </w:p>
    <w:p w14:paraId="2852523D" w14:textId="77777777" w:rsidR="008B27A0" w:rsidRDefault="008B27A0" w:rsidP="008B27A0">
      <w:pPr>
        <w:pStyle w:val="Heading5"/>
      </w:pPr>
      <w:r w:rsidRPr="003213DA">
        <w:t xml:space="preserve">Risk perceptions discouraging use </w:t>
      </w:r>
      <w:r>
        <w:br/>
      </w:r>
    </w:p>
    <w:p w14:paraId="7929AF6B" w14:textId="77777777" w:rsidR="008B27A0" w:rsidRDefault="008B27A0" w:rsidP="008B27A0">
      <w:pPr>
        <w:spacing w:line="480" w:lineRule="auto"/>
      </w:pPr>
      <w:r>
        <w:t>Participants frequently characterised NPS as harmful and often deadly. Most references to harm related to physical health risks and general perceptions of danger but several participants also voiced concern about the damage to mental health. Much conversation around harms was a fairly abstract discussion of potential dangers although there were frequent references to observations of users in town who were in a bad state, injured or passed out. Participants own awareness of NPS-related harms was generally linked with media sources such as documentaries and the news. Several participants provided vivid descriptions of both their own and friends negative experiences.</w:t>
      </w:r>
    </w:p>
    <w:p w14:paraId="4F3BA417" w14:textId="77777777" w:rsidR="008B27A0" w:rsidRPr="008A1A50" w:rsidRDefault="008B27A0" w:rsidP="008B27A0">
      <w:pPr>
        <w:spacing w:line="480" w:lineRule="auto"/>
      </w:pPr>
      <w:r>
        <w:t xml:space="preserve">The dangers posed by legal highs were commonly linked to the ingredients of NPS, with participants expressing particular concern over the strength and inconsistency of NPS products and the lack of knowledge about what’s in them. The fear of the unknown nature and consequences of NPS was off-putting to several participants, including those who used traditional illicit drugs who preferred to stick with what they know. Concern about the contents of NPS focused heavily on bad ingredients and harmful cutting agents, with participants typically associating NPS with dangerous chemicals which were at times contrasted with the perceived safety of naturally grown cannabis. Participants associated inconsistent and dangerous NPS ingredients with unscrupulous sellers as well as lack of regulation and the cat and mouse game between producers and the authorities. The young people in the groups commonly positioned the health risks of using NPS as relative to use of traditional illicit drugs, describing legal highs as stronger than illicit drugs and more dangerous due to the comparative lack of medical knowledge about how to treat NPS users who need help. Participants highlighted the importance of education for discouraging the use of NPS in particular noting the importance of providing education in a way that offers young people the opportunity to make an informed choice. </w:t>
      </w:r>
    </w:p>
    <w:p w14:paraId="3E12E8E3" w14:textId="5D987C62" w:rsidR="008B27A0" w:rsidRPr="00AA42B8" w:rsidRDefault="008B27A0" w:rsidP="008B27A0">
      <w:pPr>
        <w:pStyle w:val="Heading4"/>
        <w:rPr>
          <w:rStyle w:val="Heading3Char"/>
          <w:b/>
        </w:rPr>
      </w:pPr>
      <w:bookmarkStart w:id="425" w:name="_Toc35892684"/>
      <w:r w:rsidRPr="00AA42B8">
        <w:rPr>
          <w:rStyle w:val="Heading3Char"/>
          <w:b/>
        </w:rPr>
        <w:t>Accessibility</w:t>
      </w:r>
      <w:r>
        <w:rPr>
          <w:rStyle w:val="Heading3Char"/>
          <w:b/>
        </w:rPr>
        <w:t>, financial motivation and effort</w:t>
      </w:r>
      <w:bookmarkEnd w:id="425"/>
    </w:p>
    <w:p w14:paraId="767D20D5" w14:textId="77777777" w:rsidR="008B27A0" w:rsidRDefault="008B27A0" w:rsidP="008B27A0">
      <w:pPr>
        <w:spacing w:line="480" w:lineRule="auto"/>
      </w:pPr>
      <w:r>
        <w:t>The accessibility theme related to statements associated with availability and cost. The behavioural beliefs expressed in this theme related to how easy NPS are to get hold of, and how affordable they are. These beliefs were taken as evidence of underlying motivations to conserve both effort and money. As a theme, accessibility was highly salient within participants discussions (11</w:t>
      </w:r>
      <w:r w:rsidRPr="005C6B16">
        <w:t>% of the total content coded</w:t>
      </w:r>
      <w:r>
        <w:t>), and almost entirely seen as encouraging use of NPS, with their easy accessibility accounting for the majority of this theme.</w:t>
      </w:r>
    </w:p>
    <w:p w14:paraId="39617973" w14:textId="77777777" w:rsidR="008B27A0" w:rsidRDefault="008B27A0" w:rsidP="008B27A0">
      <w:pPr>
        <w:pStyle w:val="Heading5"/>
      </w:pPr>
      <w:r w:rsidRPr="00DD4D1F">
        <w:t xml:space="preserve">Accessibility </w:t>
      </w:r>
      <w:r>
        <w:t>factors</w:t>
      </w:r>
      <w:r w:rsidRPr="00DD4D1F">
        <w:t xml:space="preserve"> encouraging use</w:t>
      </w:r>
      <w:r>
        <w:br/>
      </w:r>
    </w:p>
    <w:p w14:paraId="6B7D042C" w14:textId="77777777" w:rsidR="008B27A0" w:rsidRDefault="008B27A0" w:rsidP="008B27A0">
      <w:pPr>
        <w:spacing w:line="480" w:lineRule="auto"/>
      </w:pPr>
      <w:r w:rsidRPr="005C6B16">
        <w:t>Accessibility was re</w:t>
      </w:r>
      <w:r>
        <w:t xml:space="preserve">lated to availability and cost, with legal highs commonly and consistently described as easily available and cheap to buy. Many participants described seeing NPS in town, in shops, lying on the ground and being offered to them by friends and strangers. The easy availability of NPS was attributed to their sales online and in shops, with participants noting that shops deliberately targeted younger users with NPS being sold like sweets in newsagents and shops close to schools. The wide variety of available products were frequently noted, and a few young people connected the diversity of NPS with the impact of legislative action banning specific substances. The accessibility of NPS was occasionally expressed as relative to illicit drugs, with the ease of access offered by shops compared favourably against the hassle of finding a dealer. Legal highs were presented as easily affordable, both due to their low cost and relative cheapness in comparison to traditional drugs. Prices were noted as being as low as 50p for a bag of Spice, and £10 - £15 per gram for synthetic cathinones/stimulants.   </w:t>
      </w:r>
    </w:p>
    <w:p w14:paraId="3615EC31" w14:textId="77777777" w:rsidR="008B27A0" w:rsidRDefault="008B27A0" w:rsidP="008B27A0">
      <w:pPr>
        <w:pStyle w:val="Heading5"/>
      </w:pPr>
      <w:r w:rsidRPr="00DD4D1F">
        <w:t xml:space="preserve">Accessibility </w:t>
      </w:r>
      <w:r>
        <w:t>factors</w:t>
      </w:r>
      <w:r w:rsidRPr="00DD4D1F">
        <w:t xml:space="preserve"> </w:t>
      </w:r>
      <w:r>
        <w:t>discouraging</w:t>
      </w:r>
      <w:r w:rsidRPr="00DD4D1F">
        <w:t xml:space="preserve"> use</w:t>
      </w:r>
      <w:r>
        <w:br/>
      </w:r>
    </w:p>
    <w:p w14:paraId="0212F656" w14:textId="77777777" w:rsidR="008B27A0" w:rsidRPr="0017688A" w:rsidRDefault="008B27A0" w:rsidP="008B27A0">
      <w:pPr>
        <w:spacing w:line="480" w:lineRule="auto"/>
      </w:pPr>
      <w:r>
        <w:t>A small number of participants thought that young people might not want to waste their money on NPS when they do not have much available to spend.</w:t>
      </w:r>
    </w:p>
    <w:p w14:paraId="2C80EF40" w14:textId="5F298AED" w:rsidR="008B27A0" w:rsidRDefault="008B27A0" w:rsidP="00C92BD2">
      <w:pPr>
        <w:pStyle w:val="Heading4"/>
        <w:numPr>
          <w:ilvl w:val="3"/>
          <w:numId w:val="3"/>
        </w:numPr>
        <w:rPr>
          <w:rStyle w:val="Heading3Char"/>
          <w:b/>
        </w:rPr>
      </w:pPr>
      <w:bookmarkStart w:id="426" w:name="_Toc35892685"/>
      <w:r>
        <w:rPr>
          <w:rStyle w:val="Heading3Char"/>
          <w:b/>
        </w:rPr>
        <w:t>Authority, parent’s approval and autonomy</w:t>
      </w:r>
      <w:bookmarkEnd w:id="426"/>
      <w:r>
        <w:rPr>
          <w:rStyle w:val="Heading3Char"/>
          <w:b/>
        </w:rPr>
        <w:t xml:space="preserve"> </w:t>
      </w:r>
    </w:p>
    <w:p w14:paraId="696731F5" w14:textId="0184DB30" w:rsidR="008B27A0" w:rsidRDefault="008B27A0" w:rsidP="008B27A0">
      <w:pPr>
        <w:spacing w:line="480" w:lineRule="auto"/>
      </w:pPr>
      <w:r>
        <w:t xml:space="preserve">The authority theme centred on comments relating to authority, authority figures and reactions against authority and restriction. The behavioural beliefs associated with this theme centred on avoiding getting in trouble and the disapproval of parents/carers, and on exercising </w:t>
      </w:r>
      <w:r w:rsidR="0012086A">
        <w:t xml:space="preserve">the </w:t>
      </w:r>
      <w:r>
        <w:t xml:space="preserve">freedom to choose and rebelling against expectations and restrictions. These outcome expectancies were taken as evidence of underlying motivation to preserve or express autonomy and motivation to protect parents’ approval. Overall, authority was a prominent theme in participants’ discussions, ranking third for emphasis and comprising 10% of the total reasons coded. Authority related factors influenced both reasons why young people were thought to use NPS and reasons why they might not, with the greater emphasis on the way in which NPS use is encouraged by factors relating to authority. </w:t>
      </w:r>
    </w:p>
    <w:p w14:paraId="36F46E54" w14:textId="77777777" w:rsidR="008B27A0" w:rsidRDefault="008B27A0" w:rsidP="008B27A0">
      <w:pPr>
        <w:pStyle w:val="Heading5"/>
      </w:pPr>
      <w:r w:rsidRPr="005A61EB">
        <w:t xml:space="preserve">Authority </w:t>
      </w:r>
      <w:r>
        <w:t>factors</w:t>
      </w:r>
      <w:r w:rsidRPr="005A61EB">
        <w:t xml:space="preserve"> encouraging use</w:t>
      </w:r>
      <w:r>
        <w:br/>
      </w:r>
    </w:p>
    <w:p w14:paraId="5A395CB0" w14:textId="60D972A3" w:rsidR="008B27A0" w:rsidRPr="00333C6E" w:rsidRDefault="008B27A0" w:rsidP="008B27A0">
      <w:pPr>
        <w:spacing w:line="480" w:lineRule="auto"/>
        <w:rPr>
          <w:i/>
        </w:rPr>
      </w:pPr>
      <w:r>
        <w:t>The most commonly expressed authority related reason encouraging use of NPS was the belief that users would be able to avoid getting in trouble with their parents or the police. The desire to avoid getting in trouble was commonly linked with the legal status of NPS and the belief that people ‘can’t get done’ for possession or sale of legal highs. The autonomy aspect comprised statements which were connected with people’s freedom to choose their own course of action and their desire to express their will despite conflicting expectations or resistance from authority. Another motive presented as encouraging use of NPS was rebellion</w:t>
      </w:r>
      <w:r w:rsidR="0012086A">
        <w:t>,</w:t>
      </w:r>
      <w:r>
        <w:t xml:space="preserve"> which was particularly linked with young people from good backgrounds and the pressures they face to achieve and meet expectations. Participants also emphasised the importance of not adopting an overly authoritative approach to NPS intervention as they believed that ‘just telling people not to use them’ would increase the likelihood of young people using legal highs. </w:t>
      </w:r>
    </w:p>
    <w:p w14:paraId="65A5B369" w14:textId="77777777" w:rsidR="008B27A0" w:rsidRDefault="008B27A0" w:rsidP="008B27A0">
      <w:pPr>
        <w:pStyle w:val="Heading5"/>
      </w:pPr>
      <w:r w:rsidRPr="005A61EB">
        <w:t xml:space="preserve">Authority </w:t>
      </w:r>
      <w:r>
        <w:t>factors</w:t>
      </w:r>
      <w:r w:rsidRPr="005A61EB">
        <w:t xml:space="preserve"> </w:t>
      </w:r>
      <w:r>
        <w:t xml:space="preserve">discouraging </w:t>
      </w:r>
      <w:r w:rsidRPr="005A61EB">
        <w:t>use</w:t>
      </w:r>
      <w:r>
        <w:br/>
      </w:r>
    </w:p>
    <w:p w14:paraId="20E0BD6E" w14:textId="77777777" w:rsidR="008B27A0" w:rsidRPr="00697F0C" w:rsidRDefault="008B27A0" w:rsidP="008B27A0">
      <w:pPr>
        <w:spacing w:line="480" w:lineRule="auto"/>
      </w:pPr>
      <w:r>
        <w:t xml:space="preserve">Several participants commented on the disapproval of parents as a reason why young people might not use NPS, providing examples of worried parents talking to their children following news reports on NPS. Some parents were presented as against drug use in general while other more liberal parents were described as being concerned about NPS use despite not minding use of cannabis. Disapproval from other authority figures included teachers, social workers, doctors, youth workers and government. </w:t>
      </w:r>
    </w:p>
    <w:p w14:paraId="68CFE938" w14:textId="71E58A59" w:rsidR="008B27A0" w:rsidRPr="00697F0C" w:rsidRDefault="008B27A0" w:rsidP="00C92BD2">
      <w:pPr>
        <w:pStyle w:val="Heading4"/>
        <w:numPr>
          <w:ilvl w:val="3"/>
          <w:numId w:val="3"/>
        </w:numPr>
        <w:rPr>
          <w:rStyle w:val="Heading3Char"/>
          <w:b/>
        </w:rPr>
      </w:pPr>
      <w:bookmarkStart w:id="427" w:name="_Toc35892686"/>
      <w:r>
        <w:rPr>
          <w:rStyle w:val="Heading3Char"/>
          <w:b/>
        </w:rPr>
        <w:t>Drug</w:t>
      </w:r>
      <w:r w:rsidRPr="00697F0C">
        <w:rPr>
          <w:rStyle w:val="Heading3Char"/>
          <w:b/>
        </w:rPr>
        <w:t xml:space="preserve"> effects</w:t>
      </w:r>
      <w:r>
        <w:rPr>
          <w:rStyle w:val="Heading3Char"/>
          <w:b/>
        </w:rPr>
        <w:t xml:space="preserve"> and pleasure motives</w:t>
      </w:r>
      <w:bookmarkEnd w:id="427"/>
      <w:r>
        <w:rPr>
          <w:rStyle w:val="Heading3Char"/>
          <w:b/>
        </w:rPr>
        <w:t xml:space="preserve"> </w:t>
      </w:r>
    </w:p>
    <w:p w14:paraId="0B32F565" w14:textId="77777777" w:rsidR="008B27A0" w:rsidRDefault="008B27A0" w:rsidP="008B27A0">
      <w:pPr>
        <w:spacing w:line="480" w:lineRule="auto"/>
      </w:pPr>
      <w:r>
        <w:t xml:space="preserve">This theme centred on the pleasant and unpleasant effects associated with NPS use. Behavioural beliefs associated with the effects of NPS use centred on the pleasantness and enjoyment associated with NPS encouraging use and beliefs about the unpleasant effects and unenjoyable experiences discouraging use. These beliefs were seen as indicative of motivation for pleasurable experiences. Overall, this theme was frequently expressed within the focus groups, emerging as the third most commonly referenced theme for both reasons why young people might use NPS and why they might not use NPS. </w:t>
      </w:r>
    </w:p>
    <w:p w14:paraId="3CFCD452" w14:textId="77777777" w:rsidR="008B27A0" w:rsidRDefault="008B27A0" w:rsidP="008B27A0">
      <w:pPr>
        <w:pStyle w:val="Heading5"/>
      </w:pPr>
      <w:r w:rsidRPr="00396404">
        <w:t>Pleasurable effects encouraging use</w:t>
      </w:r>
      <w:r>
        <w:br/>
      </w:r>
    </w:p>
    <w:p w14:paraId="4A6A2335" w14:textId="77777777" w:rsidR="008B27A0" w:rsidRDefault="008B27A0" w:rsidP="008B27A0">
      <w:pPr>
        <w:spacing w:line="480" w:lineRule="auto"/>
      </w:pPr>
      <w:r>
        <w:t xml:space="preserve">The pleasant and enjoyable nature of NPS use was typically associated with feeling high, as well as a stimulating buzz and feelings of excitement. Enjoyment was not just associated with the effects of NPS consumption but also the context of use, such as having fun and having a laugh with friends. The desirability of getting high was occasionally presented as relative to the effects of other drugs. Young people linked the desire to get high with a disregard for legal status, curiosity, addiction and personality characteristics as well as noting that some of the appeal of NPS was the opportunity they provide to get high without the risk of getting in trouble with authority. </w:t>
      </w:r>
    </w:p>
    <w:p w14:paraId="64D584CA" w14:textId="77777777" w:rsidR="008B27A0" w:rsidRDefault="008B27A0" w:rsidP="008B27A0">
      <w:pPr>
        <w:pStyle w:val="Heading5"/>
      </w:pPr>
      <w:r w:rsidRPr="00396404">
        <w:t>Unpleasant effects discouraging use</w:t>
      </w:r>
      <w:r>
        <w:br/>
      </w:r>
    </w:p>
    <w:p w14:paraId="6E541FBB" w14:textId="77777777" w:rsidR="008B27A0" w:rsidRDefault="008B27A0" w:rsidP="008B27A0">
      <w:pPr>
        <w:spacing w:line="480" w:lineRule="auto"/>
      </w:pPr>
      <w:r>
        <w:t xml:space="preserve">The unpleasantness of NPS use was associated with undesirable side effects, after-effects and unpleasant smells as well as the negative experience of a bad trip, both from personal experience and the experiences of peers.   </w:t>
      </w:r>
    </w:p>
    <w:p w14:paraId="2C524DC8" w14:textId="3F811D7F" w:rsidR="008B27A0" w:rsidRPr="00560097" w:rsidRDefault="008B27A0" w:rsidP="008B27A0">
      <w:pPr>
        <w:pStyle w:val="Heading4"/>
        <w:rPr>
          <w:rStyle w:val="Heading3Char"/>
          <w:b/>
        </w:rPr>
      </w:pPr>
      <w:bookmarkStart w:id="428" w:name="_Toc35892687"/>
      <w:r w:rsidRPr="00560097">
        <w:rPr>
          <w:rStyle w:val="Heading3Char"/>
          <w:b/>
        </w:rPr>
        <w:t>Legal status</w:t>
      </w:r>
      <w:bookmarkEnd w:id="428"/>
    </w:p>
    <w:p w14:paraId="6C7ECD71" w14:textId="687FC7EF" w:rsidR="008B27A0" w:rsidRDefault="008B27A0" w:rsidP="008B27A0">
      <w:pPr>
        <w:spacing w:line="480" w:lineRule="auto"/>
      </w:pPr>
      <w:r w:rsidRPr="00596175">
        <w:t>Th</w:t>
      </w:r>
      <w:r>
        <w:t xml:space="preserve">e legal status </w:t>
      </w:r>
      <w:r w:rsidRPr="00596175">
        <w:t>theme brought together statements related to</w:t>
      </w:r>
      <w:r>
        <w:t xml:space="preserve"> </w:t>
      </w:r>
      <w:r w:rsidR="0012086A">
        <w:t xml:space="preserve">the </w:t>
      </w:r>
      <w:r>
        <w:t>legal and illegal status of drugs</w:t>
      </w:r>
      <w:r w:rsidRPr="00596175">
        <w:t xml:space="preserve">, </w:t>
      </w:r>
      <w:r>
        <w:t>including attitudes toward legality and the implications of the legal status of NPS. The behavioural beliefs related to legal status involved not getting in trouble, not being harmed, gaining peer approval and being able to get high. The legal status of NPS</w:t>
      </w:r>
      <w:r w:rsidR="0012086A">
        <w:t>, therefore,</w:t>
      </w:r>
      <w:r>
        <w:t xml:space="preserve"> appeared to interact with several different motivations; autonomy motives, health motives, the desire for peer approval and a desire for pleasurable experiences. Comments related to legal status were prominent within the focus groups, making up 11% of coded statements.</w:t>
      </w:r>
    </w:p>
    <w:p w14:paraId="579C5572" w14:textId="77777777" w:rsidR="008B27A0" w:rsidRDefault="008B27A0" w:rsidP="008B27A0">
      <w:pPr>
        <w:pStyle w:val="Heading5"/>
      </w:pPr>
      <w:r w:rsidRPr="00A41104">
        <w:t xml:space="preserve">Legal </w:t>
      </w:r>
      <w:r>
        <w:t>factors</w:t>
      </w:r>
      <w:r w:rsidRPr="00A41104">
        <w:t xml:space="preserve"> encouraging use</w:t>
      </w:r>
      <w:r>
        <w:br/>
      </w:r>
    </w:p>
    <w:p w14:paraId="2386D7BF" w14:textId="77777777" w:rsidR="008B27A0" w:rsidRDefault="008B27A0" w:rsidP="008B27A0">
      <w:pPr>
        <w:spacing w:line="480" w:lineRule="auto"/>
      </w:pPr>
      <w:r>
        <w:t xml:space="preserve">This theme was only associated with the use of NPS as legal status was presented by young people as purely a facilitator of use. The </w:t>
      </w:r>
      <w:r w:rsidRPr="00596175">
        <w:t xml:space="preserve">belief that </w:t>
      </w:r>
      <w:r>
        <w:t xml:space="preserve">young people take legal highs because of their legal status was the single most commonly expressed belief within the sample of participants, accounting for 7% of all coded statements. The legal status of NPS was thought to be appealing for those wanting to avoid getting in trouble with authorities and for people who are put off by the illegal status of traditional drugs. However, it was also noted that legal status is of little importance to some users. Participants also observed that for some, legal status prevented NPS being perceived as drugs, thereby encouraging use by young people who might not consider taking illicit drugs. </w:t>
      </w:r>
    </w:p>
    <w:p w14:paraId="070F925B" w14:textId="77777777" w:rsidR="008B27A0" w:rsidRPr="00601E01" w:rsidRDefault="008B27A0" w:rsidP="008B27A0">
      <w:pPr>
        <w:spacing w:line="480" w:lineRule="auto"/>
      </w:pPr>
      <w:r>
        <w:t xml:space="preserve">Although participants occasionally cited legal status as a reason for NPS use with no further elaboration, analysis reveals that legality was most strongly related to avoidance of trouble with authorities and perceptions of safety. Legal status was also linked to a lack of awareness of the risks associated with NPS use, as well as social acceptability. Social acceptability was both direct, through approval of peers, and indirect, through lack of association between legal highs and socially unacceptable drugs.  </w:t>
      </w:r>
    </w:p>
    <w:p w14:paraId="7B6E69F9" w14:textId="1571B4B7" w:rsidR="008B27A0" w:rsidRPr="00AA42B8" w:rsidRDefault="008B27A0" w:rsidP="008B27A0">
      <w:pPr>
        <w:pStyle w:val="Heading4"/>
        <w:rPr>
          <w:rStyle w:val="Heading3Char"/>
          <w:b/>
        </w:rPr>
      </w:pPr>
      <w:bookmarkStart w:id="429" w:name="_Toc35892688"/>
      <w:r w:rsidRPr="00AA42B8">
        <w:rPr>
          <w:rStyle w:val="Heading3Char"/>
          <w:b/>
        </w:rPr>
        <w:t xml:space="preserve">Social </w:t>
      </w:r>
      <w:r>
        <w:rPr>
          <w:rStyle w:val="Heading3Char"/>
          <w:b/>
        </w:rPr>
        <w:t>influences</w:t>
      </w:r>
      <w:bookmarkEnd w:id="429"/>
      <w:r>
        <w:rPr>
          <w:rStyle w:val="Heading3Char"/>
          <w:b/>
        </w:rPr>
        <w:t xml:space="preserve"> </w:t>
      </w:r>
      <w:r w:rsidRPr="00AA42B8">
        <w:rPr>
          <w:rStyle w:val="Heading3Char"/>
          <w:b/>
        </w:rPr>
        <w:t xml:space="preserve"> </w:t>
      </w:r>
    </w:p>
    <w:p w14:paraId="55E46925" w14:textId="77777777" w:rsidR="008B27A0" w:rsidRDefault="008B27A0" w:rsidP="008B27A0">
      <w:pPr>
        <w:spacing w:line="480" w:lineRule="auto"/>
      </w:pPr>
      <w:r w:rsidRPr="00F225E3">
        <w:t xml:space="preserve">The social </w:t>
      </w:r>
      <w:r>
        <w:t>influences</w:t>
      </w:r>
      <w:r w:rsidRPr="00F225E3">
        <w:t xml:space="preserve"> theme included comments related to the approval and disapproval of friends</w:t>
      </w:r>
      <w:r>
        <w:t xml:space="preserve"> and</w:t>
      </w:r>
      <w:r w:rsidRPr="00F225E3">
        <w:t xml:space="preserve"> peers</w:t>
      </w:r>
      <w:r>
        <w:t xml:space="preserve"> </w:t>
      </w:r>
      <w:r w:rsidRPr="00F225E3">
        <w:t xml:space="preserve">as well as the social acceptability of using NPS. </w:t>
      </w:r>
      <w:r>
        <w:t xml:space="preserve">The behavioural beliefs associated with social influences related gaining or losing friends approval which was taken as an indication of an underlying motivation for peer approval. Although as a global theme social influences were not especially prominent, this theme was associated with both use and non-use of NPS. Social influences were predominantly linked with explanations for why young people use NPS, with little attention given to the role of social influences in discouraging use. </w:t>
      </w:r>
    </w:p>
    <w:p w14:paraId="36A29BAA" w14:textId="77777777" w:rsidR="008B27A0" w:rsidRDefault="008B27A0" w:rsidP="008B27A0">
      <w:pPr>
        <w:pStyle w:val="Heading5"/>
      </w:pPr>
      <w:r w:rsidRPr="00E34E36">
        <w:t xml:space="preserve">Social </w:t>
      </w:r>
      <w:r>
        <w:t>influences</w:t>
      </w:r>
      <w:r w:rsidRPr="00E34E36">
        <w:t xml:space="preserve"> encouraging use</w:t>
      </w:r>
      <w:r>
        <w:br/>
      </w:r>
    </w:p>
    <w:p w14:paraId="173A9FD4" w14:textId="77777777" w:rsidR="008B27A0" w:rsidRDefault="008B27A0" w:rsidP="008B27A0">
      <w:pPr>
        <w:spacing w:line="480" w:lineRule="auto"/>
      </w:pPr>
      <w:r>
        <w:t xml:space="preserve">Young people were presented as either actively seeking approval by showing off, just joining in with friends or actively avoiding disapproval for fear of being left out or teased. Several participants suggested that legal highs offer a way for young people who would not normally take drugs to join in with drug using friends or prove themselves as being more daring. Social acceptability was related to the legal status of NPS and use of legal highs as a social norm, while lack of acceptability was said to stem from the perception that legal highs are no different to traditional illicit drugs.  </w:t>
      </w:r>
    </w:p>
    <w:p w14:paraId="3F123E0A" w14:textId="77777777" w:rsidR="008B27A0" w:rsidRDefault="008B27A0" w:rsidP="008B27A0">
      <w:pPr>
        <w:pStyle w:val="Heading5"/>
      </w:pPr>
      <w:r w:rsidRPr="00E34E36">
        <w:t xml:space="preserve">Social </w:t>
      </w:r>
      <w:r>
        <w:t>influences</w:t>
      </w:r>
      <w:r w:rsidRPr="00E34E36">
        <w:t xml:space="preserve"> </w:t>
      </w:r>
      <w:r>
        <w:t xml:space="preserve">discouraging </w:t>
      </w:r>
      <w:r w:rsidRPr="00E34E36">
        <w:t>use</w:t>
      </w:r>
      <w:r>
        <w:br/>
      </w:r>
    </w:p>
    <w:p w14:paraId="39E2DE0D" w14:textId="77777777" w:rsidR="008B27A0" w:rsidRPr="00F225E3" w:rsidRDefault="008B27A0" w:rsidP="008B27A0">
      <w:pPr>
        <w:spacing w:line="480" w:lineRule="auto"/>
      </w:pPr>
      <w:r>
        <w:t xml:space="preserve">A few participants described the disapproval of their friends should they be seen to take NPS, and a few noted that NPS shared the same stigma as the use of traditional illicit drugs.    </w:t>
      </w:r>
    </w:p>
    <w:p w14:paraId="4F6D5916" w14:textId="1748B623" w:rsidR="008B27A0" w:rsidRPr="008669ED" w:rsidRDefault="008B27A0" w:rsidP="008B27A0">
      <w:pPr>
        <w:pStyle w:val="Heading4"/>
        <w:rPr>
          <w:rStyle w:val="Heading3Char"/>
          <w:b/>
        </w:rPr>
      </w:pPr>
      <w:bookmarkStart w:id="430" w:name="_Toc35892689"/>
      <w:r>
        <w:rPr>
          <w:rStyle w:val="Heading3Char"/>
          <w:b/>
        </w:rPr>
        <w:t>User types</w:t>
      </w:r>
      <w:bookmarkEnd w:id="430"/>
    </w:p>
    <w:p w14:paraId="30FF7BF5" w14:textId="77777777" w:rsidR="008B27A0" w:rsidRDefault="008B27A0" w:rsidP="008B27A0">
      <w:pPr>
        <w:spacing w:line="480" w:lineRule="auto"/>
      </w:pPr>
      <w:r w:rsidRPr="004D6774">
        <w:t xml:space="preserve">The </w:t>
      </w:r>
      <w:r>
        <w:t>user type</w:t>
      </w:r>
      <w:r w:rsidRPr="004D6774">
        <w:t xml:space="preserve"> theme</w:t>
      </w:r>
      <w:r>
        <w:t xml:space="preserve"> brought together young people’s descriptions of user and non-user prototypes with references to the type of people who do or do not use NPS. Positive perceptions of users and negative perceptions of non-users were assessed as encouraging use, while negative perceptions of users and positive perceptions of non-users were assessed as discouraging use. Although not inherently negative, prototypes of users described as underage children were considered to discourage use as participants did not identify with this group and implied that legal highs’ reputation as children’s drugs was off-putting. </w:t>
      </w:r>
    </w:p>
    <w:p w14:paraId="54432D1C" w14:textId="77777777" w:rsidR="008B27A0" w:rsidRDefault="008B27A0" w:rsidP="008B27A0">
      <w:pPr>
        <w:pStyle w:val="Heading5"/>
      </w:pPr>
      <w:r w:rsidRPr="00250303">
        <w:t>Prototypes encouraging use</w:t>
      </w:r>
      <w:r>
        <w:br/>
      </w:r>
    </w:p>
    <w:p w14:paraId="30267379" w14:textId="092612BD" w:rsidR="008B27A0" w:rsidRDefault="008B27A0" w:rsidP="008B27A0">
      <w:pPr>
        <w:spacing w:line="480" w:lineRule="auto"/>
      </w:pPr>
      <w:r>
        <w:t>Although participants did describe user and non-user prototypes, they strongly emphasised the lack of stereotypes associated with use of legal highs and the possibility that anyone could be a user. The lack of proto-typical NPS user types was spontaneously and explicitly contrasted with users of traditional drugs, who participants described with ease. Nevertheless, descriptions of NPS user types did emerge, with the most commonly described user characterised as young people from good backgrounds who were affluent and academic achievers who were thought to use legal highs as a way to rebel and to cope with the stress of studying. Another fairly positive or neutral user type was described as the sort of people who have a curious personality.</w:t>
      </w:r>
      <w:r w:rsidRPr="00F05B68">
        <w:t xml:space="preserve"> </w:t>
      </w:r>
      <w:r>
        <w:t xml:space="preserve">Although all prototypes of typical non-users centred on sensible young people, descriptions were either presented in a positive light casting non-users as wise and clued up, or in a more negative light presenting non-users as scared, straight or boffins. </w:t>
      </w:r>
    </w:p>
    <w:p w14:paraId="4E28BCCD" w14:textId="77777777" w:rsidR="008B27A0" w:rsidRDefault="008B27A0" w:rsidP="008B27A0">
      <w:pPr>
        <w:pStyle w:val="Heading5"/>
      </w:pPr>
      <w:r w:rsidRPr="00250303">
        <w:t>Prototypes discouraging use</w:t>
      </w:r>
      <w:r>
        <w:br/>
      </w:r>
    </w:p>
    <w:p w14:paraId="0BDFE821" w14:textId="77777777" w:rsidR="008B27A0" w:rsidRPr="00DD19D9" w:rsidRDefault="008B27A0" w:rsidP="008B27A0">
      <w:pPr>
        <w:spacing w:line="480" w:lineRule="auto"/>
        <w:rPr>
          <w:i/>
        </w:rPr>
      </w:pPr>
      <w:r>
        <w:t>Aside from underage children, negative descriptions of user types typically depicted users of legal highs as homeless people and street drinkers, who were generally described as older than the focus group participants, looking like addicts and out of control.</w:t>
      </w:r>
    </w:p>
    <w:p w14:paraId="27D903CB" w14:textId="43BBB055" w:rsidR="008B27A0" w:rsidRPr="00AA42B8" w:rsidRDefault="008B27A0" w:rsidP="008B27A0">
      <w:pPr>
        <w:pStyle w:val="Heading4"/>
        <w:rPr>
          <w:rStyle w:val="Heading3Char"/>
          <w:b/>
        </w:rPr>
      </w:pPr>
      <w:bookmarkStart w:id="431" w:name="_Toc35892690"/>
      <w:r w:rsidRPr="00AA42B8">
        <w:rPr>
          <w:rStyle w:val="Heading3Char"/>
          <w:b/>
        </w:rPr>
        <w:t>Substitution</w:t>
      </w:r>
      <w:bookmarkEnd w:id="431"/>
      <w:r w:rsidRPr="00AA42B8">
        <w:rPr>
          <w:rStyle w:val="Heading3Char"/>
          <w:b/>
        </w:rPr>
        <w:t xml:space="preserve"> </w:t>
      </w:r>
    </w:p>
    <w:p w14:paraId="4B73595D" w14:textId="77777777" w:rsidR="008B27A0" w:rsidRDefault="008B27A0" w:rsidP="008B27A0">
      <w:pPr>
        <w:spacing w:line="480" w:lineRule="auto"/>
      </w:pPr>
      <w:r>
        <w:t xml:space="preserve">The substitution theme brought together each of the statements which presented NPS use as relative to the use of traditional illicit drugs. As relative comparisons spanned several themes including accessibility, legal status, safety/risk perceptions and pleasant/unpleasant effects, this theme was the one for which cross-coding was permitted. The behavioural beliefs expressed in this theme related to harm, pleasantness, finances and effort. Substitution processes were therefore considered to interact with health motives, pleasure motives, financial motives and effort-based motives. As a theme, substitution was expressed in both support of NPS use and support of non-use, but in this case, non-use equated to use of traditional illicit drugs instead of abstinence. Substitution was mentioned with similar frequency for both use and non-use of NPS. </w:t>
      </w:r>
    </w:p>
    <w:p w14:paraId="23381DBA" w14:textId="77777777" w:rsidR="008B27A0" w:rsidRDefault="008B27A0" w:rsidP="008B27A0">
      <w:pPr>
        <w:pStyle w:val="Heading5"/>
      </w:pPr>
      <w:r w:rsidRPr="00C57286">
        <w:t xml:space="preserve">Substitution </w:t>
      </w:r>
      <w:r>
        <w:t>related factors</w:t>
      </w:r>
      <w:r w:rsidRPr="00C57286">
        <w:t xml:space="preserve"> encouraging us</w:t>
      </w:r>
      <w:r>
        <w:t>e</w:t>
      </w:r>
      <w:r>
        <w:br/>
      </w:r>
    </w:p>
    <w:p w14:paraId="3AD93359" w14:textId="77777777" w:rsidR="008B27A0" w:rsidRDefault="008B27A0" w:rsidP="008B27A0">
      <w:pPr>
        <w:spacing w:line="480" w:lineRule="auto"/>
      </w:pPr>
      <w:r>
        <w:t xml:space="preserve">The relative accessibility of legal highs was seen as the main advantage of NPS over illicit drugs, but participants also thought that the perceived safety of NPS in comparison to traditional illicit drugs and their lower cost had encouraged users to switch to NPS, while their legal status might be appealing to people who are unwilling to engage in illicit activities.  </w:t>
      </w:r>
    </w:p>
    <w:p w14:paraId="3993C1D0" w14:textId="77777777" w:rsidR="008B27A0" w:rsidRDefault="008B27A0" w:rsidP="008B27A0">
      <w:pPr>
        <w:pStyle w:val="Heading5"/>
      </w:pPr>
      <w:r w:rsidRPr="00C57286">
        <w:t xml:space="preserve">Substitution </w:t>
      </w:r>
      <w:r>
        <w:t>related factors</w:t>
      </w:r>
      <w:r w:rsidRPr="00C57286">
        <w:t xml:space="preserve"> </w:t>
      </w:r>
      <w:r>
        <w:t xml:space="preserve">discouraging </w:t>
      </w:r>
      <w:r w:rsidRPr="00C57286">
        <w:t>us</w:t>
      </w:r>
      <w:r>
        <w:t>e</w:t>
      </w:r>
      <w:r>
        <w:br/>
      </w:r>
    </w:p>
    <w:p w14:paraId="747F124A" w14:textId="77777777" w:rsidR="008B27A0" w:rsidRPr="00011663" w:rsidRDefault="008B27A0" w:rsidP="008B27A0">
      <w:pPr>
        <w:spacing w:line="480" w:lineRule="auto"/>
      </w:pPr>
      <w:r>
        <w:t xml:space="preserve">The relative dangers of legal highs were expressed as the main reason to use traditional illicit drugs instead of legal highs. It is worth noting that expression of the relative harmfulness of NPS compared to illicit drugs was one of the most frequently mentioned beliefs, with the belief that legal highs are more dangerous than traditional drugs the most commonly mentioned unique belief directly linked with risk perceptions around NPS.  </w:t>
      </w:r>
    </w:p>
    <w:p w14:paraId="49ED96E5" w14:textId="6B8C373C" w:rsidR="008B27A0" w:rsidRPr="008669ED" w:rsidRDefault="008B27A0" w:rsidP="008B27A0">
      <w:pPr>
        <w:pStyle w:val="Heading4"/>
        <w:rPr>
          <w:rStyle w:val="Heading3Char"/>
          <w:b/>
        </w:rPr>
      </w:pPr>
      <w:bookmarkStart w:id="432" w:name="_Toc35892691"/>
      <w:r w:rsidRPr="008669ED">
        <w:rPr>
          <w:rStyle w:val="Heading3Char"/>
          <w:b/>
        </w:rPr>
        <w:t>Curiosity</w:t>
      </w:r>
      <w:bookmarkEnd w:id="432"/>
    </w:p>
    <w:p w14:paraId="3AC2AC54" w14:textId="0CE761C8" w:rsidR="008B27A0" w:rsidRDefault="008B27A0" w:rsidP="008B27A0">
      <w:pPr>
        <w:spacing w:line="480" w:lineRule="auto"/>
      </w:pPr>
      <w:r w:rsidRPr="003F354F">
        <w:t>The curiosity theme was ma</w:t>
      </w:r>
      <w:r>
        <w:t>d</w:t>
      </w:r>
      <w:r w:rsidRPr="003F354F">
        <w:t xml:space="preserve">e up of statements </w:t>
      </w:r>
      <w:r>
        <w:t>referencing curiosity directly, in addition to those closely related to curiosity, such as appealing marketing. The behavioural beliefs associated with curiosity related to gaining experience. Although as an overall theme, curiosity was mentioned with moderate frequency, it was one</w:t>
      </w:r>
      <w:r w:rsidR="0012086A">
        <w:t xml:space="preserve"> of</w:t>
      </w:r>
      <w:r>
        <w:t xml:space="preserve"> the most emphasised themes in relation to encouraging use of NPS</w:t>
      </w:r>
      <w:r w:rsidR="0012086A">
        <w:t>,</w:t>
      </w:r>
      <w:r>
        <w:t xml:space="preserve"> but did not feature </w:t>
      </w:r>
      <w:r w:rsidR="0012086A">
        <w:t>concerning</w:t>
      </w:r>
      <w:r>
        <w:t xml:space="preserve"> non-use. </w:t>
      </w:r>
    </w:p>
    <w:p w14:paraId="5959E3E3" w14:textId="77777777" w:rsidR="008B27A0" w:rsidRDefault="008B27A0" w:rsidP="008B27A0">
      <w:pPr>
        <w:pStyle w:val="Heading5"/>
      </w:pPr>
      <w:r w:rsidRPr="00C85113">
        <w:t xml:space="preserve">Curiosity </w:t>
      </w:r>
      <w:r>
        <w:t xml:space="preserve">related factors </w:t>
      </w:r>
      <w:r w:rsidRPr="00C85113">
        <w:t>encouraging use</w:t>
      </w:r>
      <w:r>
        <w:br/>
      </w:r>
    </w:p>
    <w:p w14:paraId="68885F58" w14:textId="2117FDE6" w:rsidR="008B27A0" w:rsidRPr="00C85113" w:rsidRDefault="008B27A0" w:rsidP="008B27A0">
      <w:pPr>
        <w:spacing w:line="480" w:lineRule="auto"/>
        <w:rPr>
          <w:i/>
        </w:rPr>
      </w:pPr>
      <w:r>
        <w:t>Participants described the packaging of NPS as enticing, with the use of bright colours, shiny wrappers and appealing names. They likened the colourful packaging to sweet wrappers and condom packets, with several participants admitting that they find the eye</w:t>
      </w:r>
      <w:r w:rsidR="0012086A">
        <w:t>-</w:t>
      </w:r>
      <w:r>
        <w:t>catching branding and interesting names alluring.</w:t>
      </w:r>
      <w:r>
        <w:rPr>
          <w:i/>
        </w:rPr>
        <w:t xml:space="preserve"> </w:t>
      </w:r>
      <w:r>
        <w:t xml:space="preserve">Participants also acknowledged the danger of increased awareness of NPS encouraging use by triggering young people’s curiosity, especially if educational approaches fail to be sufficiently engaging. </w:t>
      </w:r>
    </w:p>
    <w:p w14:paraId="52BE91AD" w14:textId="2ACEC296" w:rsidR="008B27A0" w:rsidRPr="008669ED" w:rsidRDefault="008B27A0" w:rsidP="008B27A0">
      <w:pPr>
        <w:pStyle w:val="Heading4"/>
        <w:rPr>
          <w:rStyle w:val="Heading3Char"/>
          <w:b/>
        </w:rPr>
      </w:pPr>
      <w:bookmarkStart w:id="433" w:name="_Toc35892692"/>
      <w:r>
        <w:rPr>
          <w:rStyle w:val="Heading3Char"/>
          <w:b/>
        </w:rPr>
        <w:t>Coping</w:t>
      </w:r>
      <w:bookmarkEnd w:id="433"/>
    </w:p>
    <w:p w14:paraId="73E78A76" w14:textId="77777777" w:rsidR="008B27A0" w:rsidRDefault="008B27A0" w:rsidP="008B27A0">
      <w:pPr>
        <w:spacing w:line="480" w:lineRule="auto"/>
      </w:pPr>
      <w:r>
        <w:t>This theme encompassed beliefs related to the use of NPS as a coping mechanism and a way of relieving negative states such as pain, stress and boredom. The behavioural belief associated with coping was the anticipation of avoiding negative affective states such as stress, boredom, loneliness and drug cravings. Consequently, the beliefs and reasons expressed in this theme were considered to relate to underlying coping motivations.</w:t>
      </w:r>
    </w:p>
    <w:p w14:paraId="14B7D14C" w14:textId="77777777" w:rsidR="008B27A0" w:rsidRPr="007D005D" w:rsidRDefault="008B27A0" w:rsidP="008B27A0">
      <w:pPr>
        <w:pStyle w:val="Heading5"/>
        <w:rPr>
          <w:rStyle w:val="Heading5Char"/>
          <w:i/>
        </w:rPr>
      </w:pPr>
      <w:r w:rsidRPr="007D005D">
        <w:rPr>
          <w:rStyle w:val="Heading5Char"/>
          <w:i/>
        </w:rPr>
        <w:t>Coping related factors encouraging use</w:t>
      </w:r>
      <w:r>
        <w:rPr>
          <w:rStyle w:val="Heading5Char"/>
          <w:i/>
        </w:rPr>
        <w:br/>
      </w:r>
    </w:p>
    <w:p w14:paraId="6AE510F8" w14:textId="77777777" w:rsidR="008B27A0" w:rsidRDefault="008B27A0" w:rsidP="008B27A0">
      <w:pPr>
        <w:spacing w:line="480" w:lineRule="auto"/>
      </w:pPr>
      <w:r>
        <w:t>Overall, coping was mentioned relatively infrequently and was only presented as a reason for use of NPS, with no corresponding coping related statements relating to non-use. The use of NPS as a coping mechanism was strongly associated with people who are vulnerable, addicts, or seen as having a tough life. Participants mostly highlighted the use of NPS for escapism and stress relief. While participants particularly associated</w:t>
      </w:r>
      <w:r w:rsidRPr="009A4EEF">
        <w:t xml:space="preserve"> </w:t>
      </w:r>
      <w:r>
        <w:t>escapism with more vulnerable users, stress relief was more generally linked with students.</w:t>
      </w:r>
    </w:p>
    <w:p w14:paraId="70C8FB6B" w14:textId="77777777" w:rsidR="008B27A0" w:rsidRDefault="008B27A0" w:rsidP="008B27A0">
      <w:pPr>
        <w:rPr>
          <w:b/>
          <w:bCs/>
          <w:szCs w:val="26"/>
        </w:rPr>
      </w:pPr>
      <w:r>
        <w:br w:type="page"/>
      </w:r>
    </w:p>
    <w:p w14:paraId="6962257D" w14:textId="6645E210" w:rsidR="008B27A0" w:rsidRPr="004B3AED" w:rsidRDefault="008B27A0" w:rsidP="004B3AED">
      <w:pPr>
        <w:pStyle w:val="Heading2"/>
      </w:pPr>
      <w:bookmarkStart w:id="434" w:name="_Toc35892693"/>
      <w:r w:rsidRPr="004B3AED">
        <w:t>Discussion</w:t>
      </w:r>
      <w:bookmarkEnd w:id="434"/>
    </w:p>
    <w:p w14:paraId="754522B8" w14:textId="77777777" w:rsidR="008B27A0" w:rsidRDefault="008B27A0" w:rsidP="00735864">
      <w:pPr>
        <w:spacing w:line="480" w:lineRule="auto"/>
      </w:pPr>
      <w:r w:rsidRPr="00BE5486">
        <w:t xml:space="preserve">This </w:t>
      </w:r>
      <w:bookmarkStart w:id="435" w:name="_Hlk3218388"/>
      <w:r w:rsidRPr="00BE5486">
        <w:t>study present</w:t>
      </w:r>
      <w:r>
        <w:t>ed</w:t>
      </w:r>
      <w:r w:rsidRPr="00BE5486">
        <w:t xml:space="preserve"> </w:t>
      </w:r>
      <w:r>
        <w:t xml:space="preserve">an exploratory investigation of young people’s motivations for using and not using NPS. The explicit aims of the research were to identify young people’s motivations, the reasons and beliefs that support those motivations, and to connect them with a theoretical framework suitable for use in intervention development. In addition, recognising that the reasons that support avoidance of NPS use may not merely be the opposite of those which support NPS use, the study aimed to compare the types of reasons why young people might or might not choose to use NPS. </w:t>
      </w:r>
    </w:p>
    <w:p w14:paraId="7851E5C6" w14:textId="77777777" w:rsidR="008B27A0" w:rsidRPr="001C20ED" w:rsidRDefault="008B27A0" w:rsidP="008B27A0">
      <w:pPr>
        <w:pStyle w:val="Heading3"/>
      </w:pPr>
      <w:bookmarkStart w:id="436" w:name="_Toc35892694"/>
      <w:r w:rsidRPr="0033479F">
        <w:t>Principal findings</w:t>
      </w:r>
      <w:bookmarkEnd w:id="436"/>
    </w:p>
    <w:p w14:paraId="78E8E3B9" w14:textId="77777777" w:rsidR="008B27A0" w:rsidRDefault="008B27A0" w:rsidP="00735864">
      <w:pPr>
        <w:spacing w:line="480" w:lineRule="auto"/>
      </w:pPr>
      <w:r>
        <w:t xml:space="preserve">Analysis of young people’s discussions about NPS in the focus groups organised for this study identified multiple motivational domains that appear to influence young people’s evaluations of NPS use. Seven motivational domains were found to be relevant to both use and avoidance of NPS use; health motives; pleasure motives; the desire for friends’ approval; the desire for parent/carers approval; the desire for autonomy; financial motives; and identity-related motives. In addition, the use of NPS also appeared to be supported by coping-based motives, curiosity and a desire to conserve effort.  </w:t>
      </w:r>
    </w:p>
    <w:p w14:paraId="197527B8" w14:textId="77777777" w:rsidR="008B27A0" w:rsidRDefault="008B27A0" w:rsidP="00735864">
      <w:pPr>
        <w:spacing w:line="480" w:lineRule="auto"/>
      </w:pPr>
      <w:r>
        <w:t>Most of the global themes mapped directly onto the motivational domains, with six of the themes identified within the full set of statements elicited matching with six of the underlying motivations; risk perceptions (health motives); social influences (peer approval); pleasure (pleasure motives), curiosity (curiosity), coping (coping motives) and identity (identity motives). The four remaining global themes; accessibility; legal status, authority and substitution demonstrated a more complex relationship with the motivational domains identified, with each of these themes relating to more than one type of motive. While the accessibility of NPS appeared to interact with motives to conserve money and effort, authority related statements showed a relationship with both a desire for parent/carer approval and motivations to protect and enhance autonomy. Young people’s reasons for using NPS as a substitute for traditional illicit drugs, and vice versa, appeared to involve multiple motivations, with participants relating substance choice to financial motives, health motives and pleasure motives as well as consideration of the effort involved in getting hold of different substances. Legal status also interacted with several motivations, encouraging the use of NPS via autonomy motives, health motivations and</w:t>
      </w:r>
      <w:r w:rsidRPr="00BE7DB9">
        <w:t xml:space="preserve"> </w:t>
      </w:r>
      <w:r>
        <w:t xml:space="preserve">peer approval. That is, the legal status of NPS was connected with the beliefs that young people won’t get in trouble, that legal highs are safe to use, and that they offer an acceptable way to have fun with friends without breaking the law. </w:t>
      </w:r>
    </w:p>
    <w:p w14:paraId="3E818CE5" w14:textId="722851F1" w:rsidR="008B27A0" w:rsidRDefault="008B27A0" w:rsidP="00735864">
      <w:pPr>
        <w:spacing w:line="480" w:lineRule="auto"/>
      </w:pPr>
      <w:r>
        <w:t xml:space="preserve">The relative prominence of each global theme differed for performance and non-performance of the target behaviour (i.e. taking NPS). Regarding </w:t>
      </w:r>
      <w:r w:rsidR="0012086A">
        <w:t xml:space="preserve">the </w:t>
      </w:r>
      <w:r>
        <w:t xml:space="preserve">use of NPS, young people’s discussions placed greater emphasis accessibility, legal status and authority, specifically: ease of access, the extent to which legal status implies NPS are fine to use, and the permissiveness of parents and authorities. In contrast, young people’s expressed reasons for why they might not use NPS highlighted the importance of risk perceptions and health motives, with NPS characterised as harmful and deadly due to the inconsistency, strength and adulteration of ingredients owing to the lack of regulation of NPS products. Discussions about the avoidance of NPS use also drew attention to the likelihood of non-use being associated with displacement onto traditional illicit drugs, with references to substitution very prominent within participants’ conversations. </w:t>
      </w:r>
    </w:p>
    <w:p w14:paraId="0B06F8DF" w14:textId="1BDAB33E" w:rsidR="008B27A0" w:rsidRDefault="008B27A0" w:rsidP="00735864">
      <w:pPr>
        <w:spacing w:line="480" w:lineRule="auto"/>
      </w:pPr>
      <w:r>
        <w:t>Turning to the goodness of fit of these findings with theoretical models</w:t>
      </w:r>
      <w:r w:rsidRPr="00830278">
        <w:t xml:space="preserve"> </w:t>
      </w:r>
      <w:r>
        <w:t>commonly used for explaining behaviour, the ten motivational domains identified mapped well onto several constructs drawn from the five models considered in study development, namely; cognitive and affective behavioural beliefs; social</w:t>
      </w:r>
      <w:r w:rsidR="0012086A">
        <w:t>/</w:t>
      </w:r>
      <w:r>
        <w:t>normative beliefs; control beliefs; and behavioural willingness. The implications of this are examined in more detail in the discussion that follows.</w:t>
      </w:r>
    </w:p>
    <w:p w14:paraId="25864806" w14:textId="77777777" w:rsidR="008B27A0" w:rsidRPr="00AF3CFA" w:rsidRDefault="008B27A0" w:rsidP="008B27A0">
      <w:pPr>
        <w:pStyle w:val="Heading3"/>
      </w:pPr>
      <w:bookmarkStart w:id="437" w:name="_Toc35892695"/>
      <w:r w:rsidRPr="00AF3CFA">
        <w:t>Reconciling NPS</w:t>
      </w:r>
      <w:r>
        <w:t xml:space="preserve"> use and non-use </w:t>
      </w:r>
      <w:r w:rsidRPr="00AF3CFA">
        <w:t>with</w:t>
      </w:r>
      <w:r>
        <w:t xml:space="preserve"> </w:t>
      </w:r>
      <w:r w:rsidRPr="00AF3CFA">
        <w:t>social cognit</w:t>
      </w:r>
      <w:r>
        <w:t>ion</w:t>
      </w:r>
      <w:r w:rsidRPr="00AF3CFA">
        <w:t xml:space="preserve"> model</w:t>
      </w:r>
      <w:r>
        <w:t>s</w:t>
      </w:r>
      <w:bookmarkEnd w:id="437"/>
      <w:r w:rsidRPr="00AF3CFA">
        <w:t xml:space="preserve"> </w:t>
      </w:r>
    </w:p>
    <w:p w14:paraId="2B85CCD2" w14:textId="301B1ACE" w:rsidR="008B27A0" w:rsidRDefault="008B27A0" w:rsidP="00735864">
      <w:pPr>
        <w:spacing w:line="480" w:lineRule="auto"/>
      </w:pPr>
      <w:r>
        <w:t>Of the 5 social cognitive models used in the development of this study two models focus specifically on health behaviour and health-specific motivations (the HBM and PMT), while the others are more general models of behaviour that also consider social influences and factors relating to behavioural control (the TPB, PWT and BRT). The findings of this study show that although non-use of NPS might be best explained by health motivation, overall NPS use and non-use is influenced by a wide range of motivations and therefore any model used to address NPS behaviour will need to consider more than just health-based cognitions and health motivations. That is not to say the HBM and PMT do not have value for understanding the health-based aspects of young people’s NPS related cognitions, but that any conceptualisation of health motivations related to NPS use/non-use are best viewed within the context of a wider set of influences including social motives, pleasure-based motives and factors related to behavioural control. From this perspective</w:t>
      </w:r>
      <w:r w:rsidR="0012086A">
        <w:t>,</w:t>
      </w:r>
      <w:r>
        <w:t xml:space="preserve"> the theoretical frameworks offered by TPB, PWT and BRT are better suited for describing NPS related behaviour. </w:t>
      </w:r>
    </w:p>
    <w:p w14:paraId="470F686F" w14:textId="77777777" w:rsidR="008B27A0" w:rsidRDefault="008B27A0" w:rsidP="00735864">
      <w:pPr>
        <w:spacing w:line="480" w:lineRule="auto"/>
      </w:pPr>
      <w:r>
        <w:t xml:space="preserve">As the PWT and BRT were developed as elaborations of the TPB these three models have much in common. This family of models generally equate motivation with a person’s behavioural intention (and behavioural willingness in the PWT). Behavioural intention is conceptualised as the proximal determinant of behaviour, which is in turn influenced by attitudes and social norms, and in the TPB/BRT; perceived behavioural control, in the PWT; prototypical images of users/non-users, and in the BRT; reasons for and against. Motivation is therefore viewed as a generalised tendency resulting from the outcome of interactions between the determinants of behavioural intention. In contrast to a generalised concept of motivation, this study has identified several specific motivational domains that appear to relate to NPS behaviour. To some extent this is largely a matter of definition, as the various behavioural determinants within the TPB family models could be described as different motivations, and the motivational domains identified here could be described as factors or influences. However, we argue here that the concept of separable motivations has distinct advantages for how NPS behaviour is understood and depicted. Firstly, the motivational domains identified in young people’s discussions of NPS behaviour have clear parallels within previous research, and secondly, the conceptualisation of several distinct motivations draws attention to the dynamic nature of behaviour, that is to the conflicts and synergies that may exist between the different, potentially competing, motives underlying young people’s NPS-related behaviour.  </w:t>
      </w:r>
    </w:p>
    <w:p w14:paraId="3526437D" w14:textId="77777777" w:rsidR="008B27A0" w:rsidRDefault="008B27A0" w:rsidP="008B27A0">
      <w:pPr>
        <w:pStyle w:val="Heading4"/>
      </w:pPr>
      <w:r>
        <w:t>Cognitive attitude: Health motivation</w:t>
      </w:r>
    </w:p>
    <w:p w14:paraId="17F7F219" w14:textId="415B7F9B" w:rsidR="008B27A0" w:rsidRDefault="008B27A0" w:rsidP="008B27A0">
      <w:pPr>
        <w:spacing w:line="480" w:lineRule="auto"/>
      </w:pPr>
      <w:r>
        <w:t xml:space="preserve">The concept of motivation driven by a concern with physical health is not novel (e.g. </w:t>
      </w:r>
      <w:r w:rsidRPr="00623458">
        <w:t>Baumeister &amp; Leary, 1995; Grouzet et. al., 2005)</w:t>
      </w:r>
      <w:r>
        <w:t>.</w:t>
      </w:r>
      <w:r w:rsidR="006B515E">
        <w:t xml:space="preserve"> </w:t>
      </w:r>
      <w:r>
        <w:t>As previously noted, the existence of health motivations and their influence on behaviour has been clearly depicted within the HBM and PMT, and these models have received ample validation over several decades of research (</w:t>
      </w:r>
      <w:r w:rsidR="006B515E">
        <w:t xml:space="preserve">Beck, 1981; </w:t>
      </w:r>
      <w:r w:rsidR="006B515E" w:rsidRPr="004F692F">
        <w:t>Becker, 1974</w:t>
      </w:r>
      <w:r w:rsidR="006B515E">
        <w:t xml:space="preserve">; Penderson et al., 1982; Gianetti, et al., 1985; Gottleib &amp; Baker, 1986; </w:t>
      </w:r>
      <w:r>
        <w:t>HBM</w:t>
      </w:r>
      <w:r w:rsidR="006B515E">
        <w:t>,</w:t>
      </w:r>
      <w:r>
        <w:t xml:space="preserve"> </w:t>
      </w:r>
      <w:r w:rsidRPr="004F692F">
        <w:t xml:space="preserve">Rosenstock, 1966; </w:t>
      </w:r>
      <w:r w:rsidR="006B515E">
        <w:t xml:space="preserve">MacDonald et.al., 2013; </w:t>
      </w:r>
      <w:r>
        <w:t xml:space="preserve">Mullen, et al., 1987; </w:t>
      </w:r>
      <w:r w:rsidR="006B515E">
        <w:t xml:space="preserve">Murgraff et. al., 1999; PMT; </w:t>
      </w:r>
      <w:r w:rsidR="006B515E" w:rsidRPr="004F692F">
        <w:t>Rogers, 1975</w:t>
      </w:r>
      <w:r w:rsidR="006B515E">
        <w:t xml:space="preserve">; Portnoy, 1980; </w:t>
      </w:r>
      <w:r>
        <w:t xml:space="preserve">Stacy &amp; Lloyd, 1990; </w:t>
      </w:r>
      <w:r w:rsidR="006B515E">
        <w:t xml:space="preserve">Thrul et. al., 2013; </w:t>
      </w:r>
      <w:r>
        <w:t>Wu et. al., 2014; Yan et. al., 2014). In both the HBM and the PMT, people are portrayed as being motivated to act in response to some perceived threat to their health. Risk perceptions are therefore central within both models, with the behavioural response to such threats being determined by evaluative processes involving the level of threat and perceived value and likelihood of acting or not acting. For young people contemplating reasons for NPS use and non-use, we saw that risk perceptions were considered a key influence on behaviour, with the level of perceived threat posed by NPS seemingly moderated by education, risk awareness, risk denial and the belief that legal status implied safety. The young people saw no inherent health</w:t>
      </w:r>
      <w:r w:rsidR="0012086A">
        <w:t>-</w:t>
      </w:r>
      <w:r>
        <w:t>enhancing benefits of NPS use, and health motivation was presented as being entirely protective, not a driver of NPS behaviour. Presumably</w:t>
      </w:r>
      <w:r w:rsidR="0012086A">
        <w:t>,</w:t>
      </w:r>
      <w:r>
        <w:t xml:space="preserve"> then, the value of performing the health favouring outcome (i.e. not taking NPS) is balanced against the benefits of NPS use according to other non-health related motivations. Within the TPB there is no specific health motivation depicted, but as cognitive attitude is typically assessed in relation to perceptions of the relative harms and benefits of performing the target behaviour, for the purpose of this study, health motivation has been functionally equated with the cognitive attitude construct of these models. </w:t>
      </w:r>
    </w:p>
    <w:p w14:paraId="1E0F5AD6" w14:textId="77777777" w:rsidR="008B27A0" w:rsidRDefault="008B27A0" w:rsidP="008B27A0">
      <w:pPr>
        <w:pStyle w:val="Heading4"/>
      </w:pPr>
      <w:r>
        <w:t>Affective attitude: Pleasure motives and coping</w:t>
      </w:r>
    </w:p>
    <w:p w14:paraId="4E1C8E98" w14:textId="6E3B3413" w:rsidR="008B27A0" w:rsidRPr="00B2322E" w:rsidRDefault="008B27A0" w:rsidP="008B27A0">
      <w:pPr>
        <w:spacing w:line="480" w:lineRule="auto"/>
      </w:pPr>
      <w:r>
        <w:t xml:space="preserve">In the context of NPS use, pleasure-based motives might be </w:t>
      </w:r>
      <w:r w:rsidR="00C931B5">
        <w:t>best</w:t>
      </w:r>
      <w:r>
        <w:t xml:space="preserve"> equated with the </w:t>
      </w:r>
      <w:r w:rsidRPr="00742403">
        <w:t>motive for s</w:t>
      </w:r>
      <w:r w:rsidRPr="00742403">
        <w:rPr>
          <w:bCs/>
        </w:rPr>
        <w:t xml:space="preserve">timulation and hedonism previously proposed by </w:t>
      </w:r>
      <w:r w:rsidRPr="00742403">
        <w:t xml:space="preserve">Schwartz (1996). </w:t>
      </w:r>
      <w:r>
        <w:t>In regard to the social cognitive models, p</w:t>
      </w:r>
      <w:r w:rsidRPr="00742403">
        <w:t xml:space="preserve">leasure </w:t>
      </w:r>
      <w:r>
        <w:t>motives fit well with the affective attitude construct of the TPBy, which is typically assessed by evaluations of how pleasant and enjoyable, or</w:t>
      </w:r>
      <w:r w:rsidRPr="00742403">
        <w:t xml:space="preserve"> </w:t>
      </w:r>
      <w:r>
        <w:t xml:space="preserve">unpleasant and unenjoyable, people believe the target behaviour to be. However, within the context of NPS behaviour, young people’s affective attitudes also appeared to hinge upon coping motives, which, although also focused on a desire to feel good, were characterised as being driven predominantly by the desire to avoid negative emotions such as stress, boredom, loneliness and cravings. That people are motivated by emotion-regulation and coping processes has also been previously recognised </w:t>
      </w:r>
      <w:r w:rsidRPr="00B137C2">
        <w:t xml:space="preserve">(Parker &amp; Endler, 1996), as well as being </w:t>
      </w:r>
      <w:r>
        <w:t>alluded</w:t>
      </w:r>
      <w:r w:rsidRPr="00B137C2">
        <w:t xml:space="preserve"> to within PMT</w:t>
      </w:r>
      <w:r w:rsidR="0012086A">
        <w:t>,</w:t>
      </w:r>
      <w:r w:rsidRPr="00B137C2">
        <w:t xml:space="preserve"> in which a coping appraisal is proposed in a response to hea</w:t>
      </w:r>
      <w:r>
        <w:t>l</w:t>
      </w:r>
      <w:r w:rsidRPr="00B137C2">
        <w:t xml:space="preserve">th threats. </w:t>
      </w:r>
      <w:r>
        <w:t xml:space="preserve">Coping motives were therefore also mapped onto the affective attitude construct of the TPB type models. </w:t>
      </w:r>
    </w:p>
    <w:p w14:paraId="389748AB" w14:textId="77777777" w:rsidR="008B27A0" w:rsidRDefault="008B27A0" w:rsidP="004B3AED">
      <w:pPr>
        <w:spacing w:line="480" w:lineRule="auto"/>
      </w:pPr>
      <w:r>
        <w:t xml:space="preserve">It is worth noting at this point that within the TPB, cognitive and affective attitudes are typically combined within a single attitude construct. The findings of this study suggest that in the context of NPS behaviour, combining affective and cognitive attitudes (i.e. conflating the influence of health motives with pleasure and coping motives) could be problematic due to potential conflict between health and affective motives. </w:t>
      </w:r>
    </w:p>
    <w:p w14:paraId="1ECB8DBB" w14:textId="58236A5A" w:rsidR="008B27A0" w:rsidRDefault="008B27A0" w:rsidP="004B3AED">
      <w:pPr>
        <w:spacing w:line="480" w:lineRule="auto"/>
      </w:pPr>
      <w:r>
        <w:t>While the young people in the focus groups depicted the motivation to protect health as supporting non-use of NPS, they also acknowledged that young people may well be aware of health risks associated with NPS use, but decide to use NPS anyway, due to their desire for pleasure and enjoyment. In other words, young people’s beliefs about the harmfulness of NPS (cognitive attitude) might not correlate with how they feel about NPS use (affective attitude). Combining opposing sub-constructs within a single attitude construct would very likely reduce the predictive power of any NPS behaviour model based on the TPB. Specifying a model in which affective attitude and cognitive attitude were independent constructs would likely improve the discriminant validity of the attitude constructs within the resultant model. In support of this proposition, research by Lawton, Conner and McEachan (2009) has demonstrated that affective attitudes have an independent influence on both intentions and behaviour for a variety of health risk</w:t>
      </w:r>
      <w:r w:rsidR="0012086A">
        <w:t xml:space="preserve"> </w:t>
      </w:r>
      <w:r>
        <w:t>behaviours and that this influence is stronger than that of cognitive attitudes</w:t>
      </w:r>
      <w:r w:rsidRPr="0097071A">
        <w:t xml:space="preserve"> </w:t>
      </w:r>
      <w:r>
        <w:t xml:space="preserve">for several risk behaviours (including illicit drug use). Moreover, the influence of affective attitudes increased with </w:t>
      </w:r>
      <w:r w:rsidR="0012086A">
        <w:t xml:space="preserve">a </w:t>
      </w:r>
      <w:r>
        <w:t>greater divergence between cognitive attitudes and affective attitudes. In other words, the more ambivalent people’s attitudes are regarding health risk behaviours such as illicit drug use, the more strongly their behaviour aligned with their affective attitude rather than their cognitive attitude. For NPS behaviour, where there appears to be a high potential for divergence between cognitive and affective attitudes (i.e. young people know they can be harmful but enjoy the effects), emphasising NPS-related health risks in interventions could increase the ambivalence of their attitudes and potentially increase the influence of pleasure-based motives. Therefore, it is important not only to recognise the independent influences of pleasure/coping motivations and health motivations but to pay attention to the level of discrepancy between them.</w:t>
      </w:r>
    </w:p>
    <w:p w14:paraId="02090EF6" w14:textId="77777777" w:rsidR="008B27A0" w:rsidRDefault="008B27A0" w:rsidP="008B27A0">
      <w:pPr>
        <w:pStyle w:val="Heading4"/>
      </w:pPr>
      <w:r>
        <w:t>S</w:t>
      </w:r>
      <w:r w:rsidRPr="00C95752">
        <w:t>ocial norms</w:t>
      </w:r>
      <w:r>
        <w:t>: P</w:t>
      </w:r>
      <w:r w:rsidRPr="00C95752">
        <w:t>eer approval</w:t>
      </w:r>
      <w:r>
        <w:t xml:space="preserve"> and </w:t>
      </w:r>
      <w:r w:rsidRPr="00C95752">
        <w:t>parental approval</w:t>
      </w:r>
    </w:p>
    <w:p w14:paraId="308FA68B" w14:textId="61B3EE1D" w:rsidR="008B27A0" w:rsidRDefault="008B27A0" w:rsidP="004B3AED">
      <w:pPr>
        <w:spacing w:line="480" w:lineRule="auto"/>
      </w:pPr>
      <w:r>
        <w:t>As with the attitude construct, within the TPB-type models, social influences are typically treated as a single construct combining the influences of social norms and the approval/disapproval of important referents. However, within young people’s discussion of NPS use and avoidance there emerged a clear difference between the influence of peer-based approval motives and the influence of the approval or disapproval of parents and caregivers. While peer approval was clearly linked with use of NPS, and peer disapproval with non-use, the orientation of parent’s approval and disapproval was largely inverted, that is, young people were depicted as being motivated to avoid NPS use as a result of the disapproval of parents and authority figures. Within the set of reasons elicited from the focus groups, peer approval and parent/carer approval were not captured within the same theme, as they were not considered to be related to a shared underlying motivation. While peer approval/disapproval was equated with social influences, parent/caregiver approval/disapproval was captured within the theme which centred on concerns with, or reactions to, authority.</w:t>
      </w:r>
    </w:p>
    <w:p w14:paraId="11DCAE9D" w14:textId="5A23802B" w:rsidR="00C931B5" w:rsidRDefault="00C931B5" w:rsidP="004B3AED">
      <w:pPr>
        <w:spacing w:line="480" w:lineRule="auto"/>
      </w:pPr>
      <w:r>
        <w:t>In the current context, it appears that the influence of authority-related factors may be sufficiently captured within the construct of social norms as applied to parent/carers, and the HBM construct of self-efficacy. However, as with the attitude construct, inter-construct conflict within the social norms construct may need to be resolved by allowing the influence of peers and caregivers independence from one another. In other words, to better understand young people’s NPS related choices, we might need to pay attention to the attitudes of both their peers and their parents/carers, and indeed, the extent of any divergence between them.</w:t>
      </w:r>
    </w:p>
    <w:p w14:paraId="11F4FEAA" w14:textId="77777777" w:rsidR="008B27A0" w:rsidRDefault="008B27A0" w:rsidP="008B27A0">
      <w:pPr>
        <w:pStyle w:val="Heading4"/>
      </w:pPr>
      <w:r>
        <w:t xml:space="preserve">Control beliefs: </w:t>
      </w:r>
      <w:r w:rsidRPr="00C95752">
        <w:t>Autonomy, finances</w:t>
      </w:r>
      <w:r>
        <w:t xml:space="preserve"> and</w:t>
      </w:r>
      <w:r w:rsidRPr="00C95752">
        <w:t xml:space="preserve"> effort </w:t>
      </w:r>
    </w:p>
    <w:p w14:paraId="7EDA73E8" w14:textId="77777777" w:rsidR="008B27A0" w:rsidRDefault="008B27A0" w:rsidP="004B3AED">
      <w:pPr>
        <w:spacing w:line="480" w:lineRule="auto"/>
      </w:pPr>
      <w:r>
        <w:t>The authority theme also involved what have been described here as autonomy motives, that is, young people’s desire to do what they want, and avoid or overcome restrictions. In the context of NPS use, restrictions on young people’s freedoms were equated with the influence of the law and that of parents. For young people aged 15 to 25, their sense of autonomy, and threats to that autonomy, appeared to be strongly related to authority figures and their approval or disapproval, which included parents and caregivers. Autonomy motives are well recognised as a driver of behaviour (deCharms, 1968; Deci, 1975), with some theorists viewing autonomy as a fundamental human motivation (Ryan &amp; Deci, 2000). Although autonomy motives are more commonly discussed in relation to self-motived action and intrinsic motivation, when a person’s self-determined action (or desire for action) becomes thwarted by external factors, autonomy concerns shift from questions of intrinsic motivation to questions of freedom and control. For young people discussing NPS use, their freedom to act autonomously and take NPS should they wish was set within the parameters of what was seen as permissible (authority demands and social norms), and what was seen as possible (ease of access and cost).</w:t>
      </w:r>
    </w:p>
    <w:p w14:paraId="1D9D754F" w14:textId="03D833A7" w:rsidR="008B27A0" w:rsidRDefault="00C931B5" w:rsidP="004B3AED">
      <w:pPr>
        <w:spacing w:line="480" w:lineRule="auto"/>
      </w:pPr>
      <w:r>
        <w:t>A</w:t>
      </w:r>
      <w:r w:rsidR="008B27A0">
        <w:t>utonomy motives</w:t>
      </w:r>
      <w:r>
        <w:t>,</w:t>
      </w:r>
      <w:r w:rsidR="008B27A0">
        <w:t xml:space="preserve"> along with financial motives and effort, </w:t>
      </w:r>
      <w:r>
        <w:t>were</w:t>
      </w:r>
      <w:r w:rsidR="008B27A0">
        <w:t xml:space="preserve"> equated with the control beliefs captured within constructs of the TPB, BRT and HBM. Within the TPB and BRT control beliefs are represented by perceived behavioural control, which typically centres on how easy or difficult the target behaviour is to perform, which therefore inevitably captures interactions between the individual and their environment. In the context of NPS use, the young people’s environment was depicted as largely facilitating use, via economic factors and factors that determine availability. The low cost and easy availability of NPS were strongly emphasised as reasons for use, and very few environmental barriers to use were noted. The strong focus on the easy accessibility </w:t>
      </w:r>
      <w:r w:rsidR="008B27A0" w:rsidRPr="006A0280">
        <w:t>of NPS in young people’s dialogue is in line with the majority of the studies reviewed within the existing literature where accessibility emerged as a particularly significant theme in explanations of NPS use.</w:t>
      </w:r>
    </w:p>
    <w:p w14:paraId="3CAA0C13" w14:textId="77777777" w:rsidR="008B27A0" w:rsidRDefault="008B27A0" w:rsidP="004B3AED">
      <w:pPr>
        <w:spacing w:line="480" w:lineRule="auto"/>
      </w:pPr>
      <w:r>
        <w:t xml:space="preserve">The autonomy motives identified within young people’s conversations, however, demonstrate a better fit with the self-efficacy construct of the HBM. While perceived behavioural control is perhaps more orientated toward external barriers and facilitators of behaviour, self-efficacy has a somewhat more internal orientation. Self-efficacy refers to </w:t>
      </w:r>
      <w:r w:rsidRPr="00D7378B">
        <w:t>people's</w:t>
      </w:r>
      <w:r>
        <w:t xml:space="preserve"> self-appraisal of their </w:t>
      </w:r>
      <w:r w:rsidRPr="00D7378B">
        <w:t>capabil</w:t>
      </w:r>
      <w:r>
        <w:t>ity</w:t>
      </w:r>
      <w:r w:rsidRPr="00D7378B">
        <w:t xml:space="preserve"> to exercise control over</w:t>
      </w:r>
      <w:r>
        <w:t xml:space="preserve"> the events that </w:t>
      </w:r>
      <w:r w:rsidRPr="00D7378B">
        <w:t>affect their lives</w:t>
      </w:r>
      <w:r>
        <w:t xml:space="preserve"> (Bandura, 1989), which is a good description of the autonomy motives captured within young people’s conversations. Crucially, for the participants talking about NPS-related behaviour, young people’s capacity to exercise control was not presented as merely an attribute to be assessed, but a capacity that could be enhanced by the act of taking (or refusing) NPS. In participants’ descriptions of NPS use as a form of rebellion and reaction against authoritarian approaches to drug prevention, we see that self-efficacy is not merely synonymous with external constraints on NPS use, but that self-efficacy motives may also be triggered in response to the imposition of external control. In other words, a young person with high self-efficacy may have a different relationship with perceived barriers (i.e. threats to self-efficacy) than a young person with low self-efficacy. For this reason, it is argued here that an NPS behaviour model may be best served by measures of both perceived behavioural control and self-efficacy.  </w:t>
      </w:r>
    </w:p>
    <w:p w14:paraId="629E0D77" w14:textId="466D2181" w:rsidR="008B27A0" w:rsidRDefault="008B27A0" w:rsidP="004B3AED">
      <w:pPr>
        <w:spacing w:line="480" w:lineRule="auto"/>
      </w:pPr>
      <w:r>
        <w:t>For young people still living with their parents or only recently moved out, the restrictions set by authority figures and their disapproval appear to loom large as a concern, and these are important influences that interventionists need to consider. However, these context-specific influences are not well captured within general behaviour models that have been largely applied to adult populations, and health</w:t>
      </w:r>
      <w:r w:rsidR="000E6D88">
        <w:t>-</w:t>
      </w:r>
      <w:r>
        <w:t xml:space="preserve">promoting, rather than health risk, behaviours. It might serve our understanding of NPS behaviour better to consider the value of investigating the feasibility and value of extending a TPB base model to include an authority construct. However, this would need to be balanced against the pragmatic value of retaining a parsimonious model that can be applied across a range of behaviours. </w:t>
      </w:r>
    </w:p>
    <w:p w14:paraId="647782E4" w14:textId="77777777" w:rsidR="008B27A0" w:rsidRDefault="008B27A0" w:rsidP="008B27A0">
      <w:pPr>
        <w:pStyle w:val="Heading4"/>
      </w:pPr>
      <w:r w:rsidRPr="00C95752">
        <w:t>Behavioural willingness: Identity and curiosity</w:t>
      </w:r>
    </w:p>
    <w:p w14:paraId="57E55DE9" w14:textId="285AA8A8" w:rsidR="008B27A0" w:rsidRDefault="008B27A0" w:rsidP="004B3AED">
      <w:pPr>
        <w:spacing w:line="480" w:lineRule="auto"/>
      </w:pPr>
      <w:r>
        <w:t xml:space="preserve">Thus far, the model constructs considered are largely the core constructs of the TPB (i.e. attitudes, social norms and perceived behavioural control), however, within participants’ discussion of NPS, further motivations were identified that do not map neatly onto the TPB model constructs. Namely, identity motives and curiosity. Identity motives are also well-recognised within psychological literature </w:t>
      </w:r>
      <w:r w:rsidRPr="00711549">
        <w:t xml:space="preserve">(e.g., </w:t>
      </w:r>
      <w:r w:rsidR="000B2555" w:rsidRPr="00711549">
        <w:t>Sparks &amp; Guthrie, 1998</w:t>
      </w:r>
      <w:r w:rsidR="000B2555">
        <w:t xml:space="preserve">; </w:t>
      </w:r>
      <w:r w:rsidRPr="00711549">
        <w:t>Thoits &amp; Virshup, 1997)</w:t>
      </w:r>
      <w:r>
        <w:t>, and, in addition, the TPB has been successfully extended to incorporate a self-identity construct</w:t>
      </w:r>
      <w:r w:rsidRPr="008131F7">
        <w:t xml:space="preserve"> (Biddle, Bank, &amp; Slavings, 1987; Charng, Piliavin, &amp; Callero, 1988</w:t>
      </w:r>
      <w:r>
        <w:t xml:space="preserve">; </w:t>
      </w:r>
      <w:r w:rsidRPr="00711549">
        <w:t>Rise et al.</w:t>
      </w:r>
      <w:r>
        <w:t xml:space="preserve">, </w:t>
      </w:r>
      <w:r w:rsidRPr="00711549">
        <w:t>2010</w:t>
      </w:r>
      <w:r w:rsidRPr="008131F7">
        <w:t>)</w:t>
      </w:r>
      <w:r>
        <w:t>. In the current context</w:t>
      </w:r>
      <w:r w:rsidR="000E6D88">
        <w:t>,</w:t>
      </w:r>
      <w:r>
        <w:t xml:space="preserve"> however, identity motives were equated with the </w:t>
      </w:r>
      <w:r w:rsidR="00C931B5">
        <w:t xml:space="preserve">social reaction pathway in the </w:t>
      </w:r>
      <w:r>
        <w:t>PWM</w:t>
      </w:r>
      <w:r w:rsidR="00C931B5">
        <w:t>.</w:t>
      </w:r>
      <w:r>
        <w:t xml:space="preserve"> The reason for this was that within young people’s discussions of NPS use/non-use identity motives were generally not described explicitly, and identity motives were in the most part implied from the way in which participants talked about users and non-users, and their descriptions of user and non-user prototypes. In this respect</w:t>
      </w:r>
      <w:r w:rsidR="000E6D88">
        <w:t>,</w:t>
      </w:r>
      <w:r>
        <w:t xml:space="preserve"> it was clear that participants did not identify with younger users (i.e. 12</w:t>
      </w:r>
      <w:r w:rsidR="000E6D88">
        <w:t>-year-</w:t>
      </w:r>
      <w:r>
        <w:t xml:space="preserve">olds), nor older users who were characterised as street drinkers and homeless people. According to the PWM, the prototypical images people hold of the types of people who do or do not perform the target behaviour influence people’s willingness to engage in the behaviour. While participants’ descriptions of friends and peers who use NPS (recreational users) were generally positive or neutral, their descriptions of street-users were more negative. It is therefore presumed that these prototypes might influence young people’s behavioural willingness according to the assumptions of PWT. Interestingly, participants explicitly referred to a lack of user stereotypes on several occasions, and how a lack of NPS user stereotypes made it more possible for anyone to use them, which was contrasted with clear negative stereotypes for heroin and crack cocaine which were presented as off-putting. </w:t>
      </w:r>
    </w:p>
    <w:p w14:paraId="1550A1DE" w14:textId="3904EC2E" w:rsidR="008B27A0" w:rsidRDefault="008B27A0" w:rsidP="004B3AED">
      <w:pPr>
        <w:spacing w:line="480" w:lineRule="auto"/>
      </w:pPr>
      <w:r>
        <w:t xml:space="preserve">Within participants’ discussions, curiosity was described as an important reason for use and was presented as a trait, attitude or orientation rather than a means to a specific end. Curiosity has long been recognised as a fundamental human trait or motivation (e.g. Loewenstein, 1994), and openness to experience has been linked with the use of illicit drugs (Eisenman, Grossman, &amp; Goldstein, 1980). Consequently, curiosity was also equated with behavioural willingness, which is conceived as a willingness to engage with the target behaviour, and so shares some common concept of openness toward the experience of NPS use. Although curiosity may not offer a good target for intervention, nevertheless, the influence of curiosity may need to be taken into consideration in explanations of NPS-related behaviour, in particular, experimentation with novel substances. </w:t>
      </w:r>
    </w:p>
    <w:p w14:paraId="515E7C8B" w14:textId="77777777" w:rsidR="008B27A0" w:rsidRPr="005547E7" w:rsidRDefault="008B27A0" w:rsidP="008B27A0">
      <w:pPr>
        <w:pStyle w:val="Heading4"/>
        <w:rPr>
          <w:szCs w:val="24"/>
        </w:rPr>
      </w:pPr>
      <w:r w:rsidRPr="005547E7">
        <w:rPr>
          <w:szCs w:val="24"/>
        </w:rPr>
        <w:t>Reasons for and reasons against use: Legal status and other wider factors</w:t>
      </w:r>
    </w:p>
    <w:p w14:paraId="30DCB17F" w14:textId="77777777" w:rsidR="008B27A0" w:rsidRDefault="008B27A0" w:rsidP="004B3AED">
      <w:pPr>
        <w:spacing w:line="480" w:lineRule="auto"/>
      </w:pPr>
      <w:r>
        <w:t xml:space="preserve">In addition to the motivations identified within young people’s conversations, there were several influences including reasons for use and non-use which, although not motivations within themselves, appeared to have important, context-specific, direct or indirect, influences on young people’s relationship with NPS. These factors include legal status, risk awareness and education, marketing, vulnerability and adversity, key attributes of the products such as purity and potency, as well as the availability of both NPS and traditional illicit drugs. The importance of these context-specific factors indicates the need for a model of NPS behaviour that is able to account for them in addition to underlying motivations. </w:t>
      </w:r>
    </w:p>
    <w:p w14:paraId="1D92162D" w14:textId="6CEBA7E9" w:rsidR="008B27A0" w:rsidRDefault="008B27A0" w:rsidP="004B3AED">
      <w:pPr>
        <w:spacing w:line="480" w:lineRule="auto"/>
      </w:pPr>
      <w:r>
        <w:t>As an example</w:t>
      </w:r>
      <w:r w:rsidR="000E6D88">
        <w:t>,</w:t>
      </w:r>
      <w:r>
        <w:t xml:space="preserve"> legal status</w:t>
      </w:r>
      <w:r w:rsidR="000E6D88">
        <w:t>, in particular,</w:t>
      </w:r>
      <w:r>
        <w:t xml:space="preserve"> is a context-specific reason that appears to strongly influence young people’s beliefs yet is not captured within the core constructs of the TPB and PWT. The legal status of NPS differentiated them from traditional illicit drugs and was </w:t>
      </w:r>
      <w:r w:rsidRPr="00180EF5">
        <w:t>presented by young people as an important justification for their use. This is in contrast to the majority of existing studies on NPS use where legal reasons generally appeared to have little influence on people’s decisions about NPS use. This suggests that for young people in the UK, the legal status of recreational drugs has important implications for the way in which they are perceived and young people’s decision</w:t>
      </w:r>
      <w:r>
        <w:t>-</w:t>
      </w:r>
      <w:r w:rsidRPr="00180EF5">
        <w:t>making processes in relation to</w:t>
      </w:r>
      <w:r>
        <w:t xml:space="preserve"> their </w:t>
      </w:r>
      <w:r w:rsidRPr="00180EF5">
        <w:t>use. For example</w:t>
      </w:r>
      <w:r>
        <w:t xml:space="preserve">, through association with perceptions of safety, legal status appeared to </w:t>
      </w:r>
      <w:r w:rsidR="00C931B5">
        <w:t>reduce</w:t>
      </w:r>
      <w:r>
        <w:t xml:space="preserve"> risk perceptions; the most prominent reason presented as discouraging NPS use. In other words, even if participants believe drug use is dangerous, legal status offers a justification mechanism which facilitates behaviour that might conflict with general attitudes towards drug use. The importance of legal status, as an influence on NPS use, suggests that any model of NPS-related behaviour would need to account for this influence.  </w:t>
      </w:r>
    </w:p>
    <w:p w14:paraId="0869894D" w14:textId="27957BC6" w:rsidR="008B27A0" w:rsidRDefault="008B27A0" w:rsidP="004B3AED">
      <w:pPr>
        <w:spacing w:line="480" w:lineRule="auto"/>
      </w:pPr>
      <w:r>
        <w:t xml:space="preserve">This set of factors, which are not in themselves motivations, do however act to condition or constrain the decisions leading to NPS behaviour by directly or indirectly affecting young people’s cognitions. For example, education and media act to increase risk awareness which then plays a part in the decision-making process; marketing raises awareness but also triggers curiosity and influences the attractiveness of specific NPS products; conditions of adversity and vulnerability increase stress which encourages use of NPS for stress relief and coping; the variable potency and purity of products influences substance choice based on outcome expectancies of risk versus satisfaction and the relative accessibility of NPS and traditional illicit drugs influences substance choice based on ease of access and cost. </w:t>
      </w:r>
    </w:p>
    <w:p w14:paraId="53C5175A" w14:textId="77777777" w:rsidR="008B27A0" w:rsidRDefault="008B27A0" w:rsidP="004B3AED">
      <w:pPr>
        <w:spacing w:line="480" w:lineRule="auto"/>
      </w:pPr>
      <w:r>
        <w:t xml:space="preserve">BRT offers a framework for including context-specific reasons with the additional constructs: </w:t>
      </w:r>
      <w:r w:rsidRPr="009F7AD6">
        <w:t>reasons for</w:t>
      </w:r>
      <w:r>
        <w:t xml:space="preserve">, and </w:t>
      </w:r>
      <w:r w:rsidRPr="009F7AD6">
        <w:t>reasons against</w:t>
      </w:r>
      <w:r>
        <w:t xml:space="preserve">. According to Westaby (2005) the addition of the reason constructs captures context-specific reasons not accounted for by other social cognition models. This is particularly useful for capturing context-specific reasons people use to justify and defend their behaviour, </w:t>
      </w:r>
      <w:r w:rsidRPr="00E96A91">
        <w:t>especially when they are used to justify behaviour that</w:t>
      </w:r>
      <w:r>
        <w:t xml:space="preserve"> conflicts with global evaluations or motives (Norman, Conner &amp; Stride, 2012; Westaby; 2005). These wider factors may directly influence decision-making leading to NPS behaviour or they may be used as post hoc justifications of a behaviour even though they did not directly reflect on them at the time the original decision was made. </w:t>
      </w:r>
    </w:p>
    <w:p w14:paraId="4B1DC35E" w14:textId="7FD9C52C" w:rsidR="008B27A0" w:rsidRDefault="008B27A0" w:rsidP="004B3AED">
      <w:pPr>
        <w:spacing w:line="480" w:lineRule="auto"/>
      </w:pPr>
      <w:r>
        <w:t xml:space="preserve">In summary, in regard to the goodness of fit of the social cognition models, young people’s NPS behaviour appears to be best explained by the TPB, and an optimal model would potentially be provided by an extension of the TPB in line with the BRT reason constructs, the PWM prototype and behavioural willingness constructs as well as a measure of self-efficacy. In addition, cognitive attitude and affective attitude constructs would be best separated into independent constructs, and social norms would be best separated out to allow for the influence of parent/carers and the influence of peers to act independently. </w:t>
      </w:r>
    </w:p>
    <w:p w14:paraId="5AC8F3C5" w14:textId="77777777" w:rsidR="008B27A0" w:rsidRDefault="008B27A0" w:rsidP="00547666">
      <w:pPr>
        <w:pStyle w:val="Heading3"/>
      </w:pPr>
      <w:bookmarkStart w:id="438" w:name="_Toc35892696"/>
      <w:r>
        <w:t>Implications for intervention development</w:t>
      </w:r>
      <w:bookmarkEnd w:id="438"/>
    </w:p>
    <w:p w14:paraId="6A3CB949" w14:textId="6B01CEB2" w:rsidR="008B27A0" w:rsidRPr="004B3AED" w:rsidRDefault="008B27A0" w:rsidP="004B3AED">
      <w:pPr>
        <w:spacing w:line="480" w:lineRule="auto"/>
      </w:pPr>
      <w:r>
        <w:t>The study findings have numerous implications for the development of NPS-focused interventions. From an ethical perspective, there are indications that NPS use intersects with inequalities, and therefore interventions will need to be sensitive to social and health inequalities. Young people in the focus groups indicated that there was a clear link between use of NPS and the low cost of NPS products. As a result, NPS use was commonly described among groups with low income. This includes, in addition to those living in deprivation, children and young people yet to start earning and on low incomes. NPS use was not described as limited to those with low incomes however, as the most common group of users depicted were</w:t>
      </w:r>
      <w:r w:rsidR="000E6D88">
        <w:t>, in fact,</w:t>
      </w:r>
      <w:r>
        <w:t xml:space="preserve"> young people from what were described as ‘good’ and ‘wealthy’ backgrounds. This presents a need for interventionists </w:t>
      </w:r>
      <w:r w:rsidR="000E6D88">
        <w:t xml:space="preserve">to </w:t>
      </w:r>
      <w:r>
        <w:t xml:space="preserve">pay close attention to the potential for differential effects across user populations, as their differing needs and motives for use may result in dissimilar responses to the same intervention. </w:t>
      </w:r>
      <w:r w:rsidRPr="004B3AED">
        <w:t>In addition, the clear interactions between young people's cognitions and wider factors such as the easy accessibility and marketing of NPS, the lack of product regulation, lack of education, and conditions of social adversity highlight the potential value of interventions targeting relevant wider factors. From the perspective of the practitioner and interventionist working at the individual level, this highlights the importance of interventions that also engage with strategies that address the wider social and structural factors which both facilitate NPS use and increase the harm potential of these substances.</w:t>
      </w:r>
    </w:p>
    <w:p w14:paraId="369D14DD" w14:textId="1265D15F" w:rsidR="008B27A0" w:rsidRDefault="008B27A0" w:rsidP="004B3AED">
      <w:pPr>
        <w:spacing w:line="480" w:lineRule="auto"/>
      </w:pPr>
      <w:r>
        <w:t xml:space="preserve">In terms of safety considerations, the young people consulted in the focus groups identified several populations of users that are currently neglected within the NPS evidence base. While previous research centres predominantly on experienced drug users, such as clubbers and Men who have Sex with Men (MSM), young people also described users as underage children, homeless people and ‘good kids’ who would not normally use illicit drugs. </w:t>
      </w:r>
    </w:p>
    <w:p w14:paraId="433638FA" w14:textId="3F63717C" w:rsidR="008B27A0" w:rsidRDefault="008B27A0" w:rsidP="004B3AED">
      <w:pPr>
        <w:spacing w:line="480" w:lineRule="auto"/>
      </w:pPr>
      <w:r>
        <w:t>Another important safety concern for interventionists is the potential for unintended negative consequences, and within the young people’s responses</w:t>
      </w:r>
      <w:r w:rsidR="000E6D88">
        <w:t>,</w:t>
      </w:r>
      <w:r>
        <w:t xml:space="preserve"> there were clear indications of areas of concern. The strong emphasis young people placed on substitution and processes of displacement between NPS and traditional illicit drugs highlights the strong potential for NPS-focused interventions to inadvertently result in users shifting from one psychoactive substance to another rather than abstaining from use. Of particular concern is the high potential for interventions focusing on health risks to result in displacement, a possibility implied by the frequency with which the health risks of NPS were presented relative to those of other drugs such as cannabis, cocaine and ecstasy. The extent to which interventions might inadvertently present favourable evaluations of other psychoactive substances should be carefully considered within the light of the relative harm potentials of the substances likely to be involved in displacement processes. </w:t>
      </w:r>
    </w:p>
    <w:p w14:paraId="1234AEBB" w14:textId="65056E66" w:rsidR="008B27A0" w:rsidRDefault="008B27A0" w:rsidP="004B3AED">
      <w:pPr>
        <w:spacing w:line="480" w:lineRule="auto"/>
      </w:pPr>
      <w:r>
        <w:t xml:space="preserve">Curiosity was also presented as a potential factor contributing to negative unintended consequences, with participants not only admitting to their own use of NPS as a result of curiosity but also claiming that nothing short of their own personal experience of NPS use would satisfy their impulse to try them. However, any concerns about curiosity being triggered by an intervention should be balanced against the probability that the target population will encounter NPS in their everyday lives. Young people who are likely to encounter NPS in the near future may nevertheless benefit from information provision and signposting. The crucial issue regarding curiosity is careful targeting of interventions to ensure that the knowledge and experience levels of the intended audience (on a spectrum from naïve non-user to experienced regular user) are accounted for, and the intervention remains carefully directed to avoid exposure to unintended recipients. </w:t>
      </w:r>
    </w:p>
    <w:p w14:paraId="0A200298" w14:textId="1C691C6B" w:rsidR="008B27A0" w:rsidRDefault="008B27A0" w:rsidP="004B3AED">
      <w:pPr>
        <w:spacing w:line="480" w:lineRule="auto"/>
      </w:pPr>
      <w:r>
        <w:t xml:space="preserve">With regard to the acceptability of NPS interventions, there were indications that young people’s understanding of NPS and NPS-related issues differ from an academic perspective in critical ways. Firstly, even despite the strong focus on the dangers associated with NPS use and participants’ concern about people’s use of NPS, the young people in the focus groups generally did not present drug use as deviant and consistently advocated for a non-judgemental approach to young people’s experimentation with drugs. For many of the participants, drug use within their peer groups was presented as a normal fact of life, raising the possibility that interventions which unduly overemphasise the abnormality of drug-taking behaviour run the risk of undermining their own credibility and alienating young people. Within the focus groups, NPS use was not generally framed as a person-based problem, but largely a problem with the strength and ingredients of NPS products, a lack of regulation and inadequate education. In other words, participants tended to frame the ‘problem’ of NPS use as a problem of the harm potential of NPS arising as a consequence of wider structural factors, rather than a moral problem and an issue of individual responsibility, or lack of responsibility. Another area, worthy of note, was the extent to which participants’ framing of risk appeared broader than a more traditional academic conception of risk. While the academic models of behaviour and health behaviour tend to equate risk with health risk, within participants’ conversations, risk did not necessarily refer to a physical health risk. For the young people consulted, risk was commonly associated with, and implied, a risk of getting in trouble or the risk of negative social consequences. It is important therefore that interventionists consider just what risk means to their target population and do not simply assume an academic understanding of risk and negative consequences. </w:t>
      </w:r>
    </w:p>
    <w:p w14:paraId="09103FB6" w14:textId="0773F4CA" w:rsidR="008B27A0" w:rsidRDefault="008B27A0" w:rsidP="004B3AED">
      <w:pPr>
        <w:spacing w:line="480" w:lineRule="auto"/>
      </w:pPr>
      <w:r>
        <w:t>In terms of ensuring the relevance of interventions, the findings of the study imply that the easy accessibility of NPS has extended the reach of NPS markets beyond the realm of existing drug users into groups less commonly associated with drug use. Although the potentially wide diffusion of NPS and apparent lack of clear user prototypes present challenges for interventions, given the problematic nature of applying universal interventions to substance use, participants’ conversations provided some insights into potential at-risk groups. Young people who appeared to be most at-risk were university and college students, particularly those experiencing stress; vulnerable young people experiencing deprivation, mental health issues and financial pressures; young people whose parents use drugs; young people whose peers use drugs; and young people who engage in the night-time economy and party lifestyles.</w:t>
      </w:r>
    </w:p>
    <w:p w14:paraId="4F68EF53" w14:textId="06829A8A" w:rsidR="008B27A0" w:rsidRDefault="008B27A0" w:rsidP="004B3AED">
      <w:pPr>
        <w:spacing w:line="480" w:lineRule="auto"/>
      </w:pPr>
      <w:r>
        <w:t>In addition, young people’s descriptions of user types indicated a range in the levels of drug experience of potential NPS users, from young people with no experience of drug use who were described as not wanting to use illicit drugs, to frequent drug users who cared little about legal status and were adding NPS to their usual repertoire alongside traditional illicit drugs. Interventions may need to engage differently with populations based on their level of drug experience, whilst also paying attention to the potential for curiosity to encourage NPS initiation. It is worth noting</w:t>
      </w:r>
      <w:r w:rsidR="000E6D88">
        <w:t>,</w:t>
      </w:r>
      <w:r>
        <w:t xml:space="preserve"> however, that within the sample, each of the participants who had tried NPS had also used traditional illicit drugs, in addition to their friends having using both NPS and traditional illicit drugs. To some extent this contradicts the claim that many young people that use NPS have not, and would not, use traditional illicit drugs. However, the study did not collect information about which substances were used first, and it remains a possibility that young users may have used NPS prior to initiating illicit drug use. Before initiating an intervention targeted at drug naïve young people, these ambiguities would need to be addressed with further research.       </w:t>
      </w:r>
    </w:p>
    <w:p w14:paraId="07B22490" w14:textId="5B6F599A" w:rsidR="008B27A0" w:rsidRDefault="008B27A0" w:rsidP="004B3AED">
      <w:pPr>
        <w:spacing w:line="480" w:lineRule="auto"/>
      </w:pPr>
      <w:r>
        <w:t xml:space="preserve">As noted in previous research, being associated with an ethnic minority did not present as a risk factor in this study, and the indications were that being of Asian origin or a member of </w:t>
      </w:r>
      <w:r w:rsidR="000E6D88">
        <w:t xml:space="preserve">the </w:t>
      </w:r>
      <w:r>
        <w:t xml:space="preserve">Muslim faith was possibly a protective factor. </w:t>
      </w:r>
    </w:p>
    <w:p w14:paraId="583160E2" w14:textId="345C759D" w:rsidR="008B27A0" w:rsidRDefault="008B27A0" w:rsidP="004B3AED">
      <w:pPr>
        <w:spacing w:line="480" w:lineRule="auto"/>
      </w:pPr>
      <w:r>
        <w:t>Considering potential intervention targets, at the micro</w:t>
      </w:r>
      <w:r w:rsidR="000E6D88">
        <w:t>-</w:t>
      </w:r>
      <w:r>
        <w:t xml:space="preserve">level, risk perceptions, social norms, relationships with caregivers, self-efficacy and coping skills present as viable targets, assuming due attention is given to the potential for negative unintended consequences as previously discussed. </w:t>
      </w:r>
    </w:p>
    <w:p w14:paraId="795E9D42" w14:textId="77777777" w:rsidR="008B27A0" w:rsidRDefault="008B27A0" w:rsidP="008B27A0">
      <w:pPr>
        <w:pStyle w:val="Heading3"/>
      </w:pPr>
      <w:bookmarkStart w:id="439" w:name="_Toc35892697"/>
      <w:r>
        <w:t>Strengths and limitations</w:t>
      </w:r>
      <w:bookmarkEnd w:id="439"/>
      <w:r>
        <w:t xml:space="preserve"> </w:t>
      </w:r>
    </w:p>
    <w:p w14:paraId="3DC3E10A" w14:textId="6FDDC95B" w:rsidR="008B27A0" w:rsidRDefault="008B27A0" w:rsidP="008B27A0">
      <w:pPr>
        <w:spacing w:after="0" w:line="480" w:lineRule="auto"/>
        <w:rPr>
          <w:color w:val="000000"/>
          <w:szCs w:val="24"/>
          <w:lang w:eastAsia="en-GB"/>
        </w:rPr>
      </w:pPr>
      <w:r w:rsidRPr="00F03CA2">
        <w:rPr>
          <w:color w:val="000000"/>
          <w:szCs w:val="24"/>
          <w:lang w:eastAsia="en-GB"/>
        </w:rPr>
        <w:t xml:space="preserve">The </w:t>
      </w:r>
      <w:r>
        <w:rPr>
          <w:color w:val="000000"/>
          <w:szCs w:val="24"/>
          <w:lang w:eastAsia="en-GB"/>
        </w:rPr>
        <w:t>study</w:t>
      </w:r>
      <w:r w:rsidRPr="00F03CA2">
        <w:rPr>
          <w:color w:val="000000"/>
          <w:szCs w:val="24"/>
          <w:lang w:eastAsia="en-GB"/>
        </w:rPr>
        <w:t xml:space="preserve"> purposefully set out to collect a wide range of views from a diverse sample of young people</w:t>
      </w:r>
      <w:r>
        <w:rPr>
          <w:color w:val="000000"/>
          <w:szCs w:val="24"/>
          <w:lang w:eastAsia="en-GB"/>
        </w:rPr>
        <w:t xml:space="preserve"> and a</w:t>
      </w:r>
      <w:r w:rsidRPr="00F03CA2">
        <w:rPr>
          <w:color w:val="000000"/>
          <w:szCs w:val="24"/>
          <w:lang w:eastAsia="en-GB"/>
        </w:rPr>
        <w:t xml:space="preserve">lthough the diversity of participants was greater than would be expected in a </w:t>
      </w:r>
      <w:r>
        <w:rPr>
          <w:color w:val="000000"/>
          <w:szCs w:val="24"/>
          <w:lang w:eastAsia="en-GB"/>
        </w:rPr>
        <w:t>typical</w:t>
      </w:r>
      <w:r w:rsidRPr="00F03CA2">
        <w:rPr>
          <w:color w:val="000000"/>
          <w:szCs w:val="24"/>
          <w:lang w:eastAsia="en-GB"/>
        </w:rPr>
        <w:t xml:space="preserve"> sample of undergraduates, the sample was nevertheless biased in favour of participants who were white, female and </w:t>
      </w:r>
      <w:r>
        <w:rPr>
          <w:color w:val="000000"/>
          <w:szCs w:val="24"/>
          <w:lang w:eastAsia="en-GB"/>
        </w:rPr>
        <w:t>in tertiary education</w:t>
      </w:r>
      <w:r w:rsidRPr="00F03CA2">
        <w:rPr>
          <w:color w:val="000000"/>
          <w:szCs w:val="24"/>
          <w:lang w:eastAsia="en-GB"/>
        </w:rPr>
        <w:t xml:space="preserve">. </w:t>
      </w:r>
      <w:r>
        <w:rPr>
          <w:color w:val="000000"/>
          <w:szCs w:val="24"/>
          <w:lang w:eastAsia="en-GB"/>
        </w:rPr>
        <w:t xml:space="preserve">This bias reflects the composition of the community groups from which the focus groups were drawn. As a result, </w:t>
      </w:r>
      <w:r w:rsidRPr="00F03CA2">
        <w:rPr>
          <w:color w:val="000000"/>
          <w:szCs w:val="24"/>
          <w:lang w:eastAsia="en-GB"/>
        </w:rPr>
        <w:t xml:space="preserve">the study sample may not be </w:t>
      </w:r>
      <w:r>
        <w:rPr>
          <w:color w:val="000000"/>
          <w:szCs w:val="24"/>
          <w:lang w:eastAsia="en-GB"/>
        </w:rPr>
        <w:t xml:space="preserve">fully </w:t>
      </w:r>
      <w:r w:rsidRPr="00F03CA2">
        <w:rPr>
          <w:color w:val="000000"/>
          <w:szCs w:val="24"/>
          <w:lang w:eastAsia="en-GB"/>
        </w:rPr>
        <w:t>representative of the wider NPS</w:t>
      </w:r>
      <w:r>
        <w:rPr>
          <w:color w:val="000000"/>
          <w:szCs w:val="24"/>
          <w:lang w:eastAsia="en-GB"/>
        </w:rPr>
        <w:t>-</w:t>
      </w:r>
      <w:r w:rsidRPr="00F03CA2">
        <w:rPr>
          <w:color w:val="000000"/>
          <w:szCs w:val="24"/>
          <w:lang w:eastAsia="en-GB"/>
        </w:rPr>
        <w:t>using population</w:t>
      </w:r>
      <w:r>
        <w:rPr>
          <w:color w:val="000000"/>
          <w:szCs w:val="24"/>
          <w:lang w:eastAsia="en-GB"/>
        </w:rPr>
        <w:t>. For example, the majority of NPS users are m</w:t>
      </w:r>
      <w:r w:rsidRPr="00F03CA2">
        <w:rPr>
          <w:color w:val="000000"/>
          <w:szCs w:val="24"/>
          <w:lang w:eastAsia="en-GB"/>
        </w:rPr>
        <w:t>ale, and therefore findings may not generalise as well as they might</w:t>
      </w:r>
      <w:r w:rsidR="000E6D88">
        <w:rPr>
          <w:color w:val="000000"/>
          <w:szCs w:val="24"/>
          <w:lang w:eastAsia="en-GB"/>
        </w:rPr>
        <w:t xml:space="preserve"> have,</w:t>
      </w:r>
      <w:r w:rsidRPr="00F03CA2">
        <w:rPr>
          <w:color w:val="000000"/>
          <w:szCs w:val="24"/>
          <w:lang w:eastAsia="en-GB"/>
        </w:rPr>
        <w:t xml:space="preserve"> had more males been included. Male participants were present in all three groups however, and due to their relative confidence and outspokenness</w:t>
      </w:r>
      <w:r>
        <w:rPr>
          <w:color w:val="000000"/>
          <w:szCs w:val="24"/>
          <w:lang w:eastAsia="en-GB"/>
        </w:rPr>
        <w:t>,</w:t>
      </w:r>
      <w:r w:rsidRPr="00F03CA2">
        <w:rPr>
          <w:color w:val="000000"/>
          <w:szCs w:val="24"/>
          <w:lang w:eastAsia="en-GB"/>
        </w:rPr>
        <w:t xml:space="preserve"> their perspectives were </w:t>
      </w:r>
      <w:r>
        <w:rPr>
          <w:color w:val="000000"/>
          <w:szCs w:val="24"/>
          <w:lang w:eastAsia="en-GB"/>
        </w:rPr>
        <w:t>strongly</w:t>
      </w:r>
      <w:r w:rsidRPr="00F03CA2">
        <w:rPr>
          <w:color w:val="000000"/>
          <w:szCs w:val="24"/>
          <w:lang w:eastAsia="en-GB"/>
        </w:rPr>
        <w:t xml:space="preserve"> represented within the data. </w:t>
      </w:r>
    </w:p>
    <w:p w14:paraId="0D8A9994" w14:textId="72585A41" w:rsidR="008B27A0" w:rsidRPr="00F03CA2" w:rsidRDefault="008B27A0" w:rsidP="008B27A0">
      <w:pPr>
        <w:spacing w:after="0" w:line="480" w:lineRule="auto"/>
        <w:rPr>
          <w:szCs w:val="24"/>
          <w:lang w:eastAsia="en-GB"/>
        </w:rPr>
      </w:pPr>
      <w:r w:rsidRPr="00F03CA2">
        <w:rPr>
          <w:color w:val="000000"/>
          <w:szCs w:val="24"/>
          <w:lang w:eastAsia="en-GB"/>
        </w:rPr>
        <w:t xml:space="preserve">In general, participants were conscientious, articulate and several had received training in advocacy and awareness of social issues. Although </w:t>
      </w:r>
      <w:r>
        <w:rPr>
          <w:color w:val="000000"/>
          <w:szCs w:val="24"/>
          <w:lang w:eastAsia="en-GB"/>
        </w:rPr>
        <w:t>the relatively high social awareness and education</w:t>
      </w:r>
      <w:r w:rsidRPr="00F03CA2">
        <w:rPr>
          <w:color w:val="000000"/>
          <w:szCs w:val="24"/>
          <w:lang w:eastAsia="en-GB"/>
        </w:rPr>
        <w:t xml:space="preserve"> </w:t>
      </w:r>
      <w:r>
        <w:rPr>
          <w:color w:val="000000"/>
          <w:szCs w:val="24"/>
          <w:lang w:eastAsia="en-GB"/>
        </w:rPr>
        <w:t xml:space="preserve">of participants </w:t>
      </w:r>
      <w:r w:rsidRPr="00F03CA2">
        <w:rPr>
          <w:color w:val="000000"/>
          <w:szCs w:val="24"/>
          <w:lang w:eastAsia="en-GB"/>
        </w:rPr>
        <w:t>also</w:t>
      </w:r>
      <w:r>
        <w:rPr>
          <w:color w:val="000000"/>
          <w:szCs w:val="24"/>
          <w:lang w:eastAsia="en-GB"/>
        </w:rPr>
        <w:t xml:space="preserve"> brings into</w:t>
      </w:r>
      <w:r w:rsidRPr="00F03CA2">
        <w:rPr>
          <w:color w:val="000000"/>
          <w:szCs w:val="24"/>
          <w:lang w:eastAsia="en-GB"/>
        </w:rPr>
        <w:t xml:space="preserve"> question the representativeness of the sample compared </w:t>
      </w:r>
      <w:r>
        <w:rPr>
          <w:color w:val="000000"/>
          <w:szCs w:val="24"/>
          <w:lang w:eastAsia="en-GB"/>
        </w:rPr>
        <w:t>with</w:t>
      </w:r>
      <w:r w:rsidRPr="00F03CA2">
        <w:rPr>
          <w:color w:val="000000"/>
          <w:szCs w:val="24"/>
          <w:lang w:eastAsia="en-GB"/>
        </w:rPr>
        <w:t xml:space="preserve"> the general population, the training and conscientious</w:t>
      </w:r>
      <w:r>
        <w:rPr>
          <w:color w:val="000000"/>
          <w:szCs w:val="24"/>
          <w:lang w:eastAsia="en-GB"/>
        </w:rPr>
        <w:t xml:space="preserve">ness </w:t>
      </w:r>
      <w:r w:rsidRPr="00F03CA2">
        <w:rPr>
          <w:color w:val="000000"/>
          <w:szCs w:val="24"/>
          <w:lang w:eastAsia="en-GB"/>
        </w:rPr>
        <w:t xml:space="preserve">of participants was </w:t>
      </w:r>
      <w:r>
        <w:rPr>
          <w:color w:val="000000"/>
          <w:szCs w:val="24"/>
          <w:lang w:eastAsia="en-GB"/>
        </w:rPr>
        <w:t xml:space="preserve">not necessarily </w:t>
      </w:r>
      <w:r w:rsidRPr="00F03CA2">
        <w:rPr>
          <w:color w:val="000000"/>
          <w:szCs w:val="24"/>
          <w:lang w:eastAsia="en-GB"/>
        </w:rPr>
        <w:t>disadvantageous to the study. For example, the peer mentors with greater experience and training were not only particularly sensitive to the perspectives of local young people from more disadvantaged backgrounds, but also demonstrated</w:t>
      </w:r>
      <w:r>
        <w:rPr>
          <w:color w:val="000000"/>
          <w:szCs w:val="24"/>
          <w:lang w:eastAsia="en-GB"/>
        </w:rPr>
        <w:t xml:space="preserve"> good</w:t>
      </w:r>
      <w:r w:rsidRPr="00F03CA2">
        <w:rPr>
          <w:color w:val="000000"/>
          <w:szCs w:val="24"/>
          <w:lang w:eastAsia="en-GB"/>
        </w:rPr>
        <w:t xml:space="preserve"> sensitivity to group dynamics and actively aided the engagement of group members in a more naturalistic way than was possible for the researcher who was less well-known to participants. </w:t>
      </w:r>
    </w:p>
    <w:p w14:paraId="1932768B" w14:textId="428B700A" w:rsidR="008B27A0" w:rsidRPr="004B3AED" w:rsidRDefault="008B27A0" w:rsidP="004B3AED">
      <w:pPr>
        <w:spacing w:line="480" w:lineRule="auto"/>
      </w:pPr>
      <w:r w:rsidRPr="004B3AED">
        <w:t xml:space="preserve">Qualitative analysis inevitably involves a greater degree of interpretation and subjectivity than quantitative methods. Although efforts were made to improve the validity of the research with the use of a second coder and by providing as much transparency to the analysis as practicable, the nature of the methodology means the results will, to some extent, be based on interpretation and subject to a certain degree of bias. The inclusion of the frequency analysis helped to counteract bias </w:t>
      </w:r>
      <w:r w:rsidR="00F963E5">
        <w:t xml:space="preserve">by providing a </w:t>
      </w:r>
      <w:r w:rsidRPr="004B3AED">
        <w:t xml:space="preserve">systematic </w:t>
      </w:r>
      <w:r w:rsidR="00F963E5">
        <w:t>approach</w:t>
      </w:r>
      <w:r w:rsidR="000E6D88">
        <w:t xml:space="preserve"> to</w:t>
      </w:r>
      <w:r w:rsidR="00F963E5">
        <w:t xml:space="preserve"> data </w:t>
      </w:r>
      <w:r w:rsidRPr="004B3AED">
        <w:t>interpret</w:t>
      </w:r>
      <w:r w:rsidR="00F963E5">
        <w:t>ation.</w:t>
      </w:r>
      <w:r w:rsidRPr="004B3AED">
        <w:t xml:space="preserve"> </w:t>
      </w:r>
    </w:p>
    <w:p w14:paraId="071AD11F" w14:textId="53A4A262" w:rsidR="008B27A0" w:rsidRPr="004B3AED" w:rsidRDefault="008B27A0" w:rsidP="004B3AED">
      <w:pPr>
        <w:spacing w:line="480" w:lineRule="auto"/>
      </w:pPr>
      <w:r w:rsidRPr="004B3AED">
        <w:t>A further limitation of the study is the inability to link specific beliefs with demographic information or previous history of drug use. As the study placed a premium on diversity and included both users and non-users it could not be verified which beliefs are most commonly associated with actual use of NPS. The predictive power of the beliefs would</w:t>
      </w:r>
      <w:r w:rsidR="000E6D88">
        <w:t>, therefore,</w:t>
      </w:r>
      <w:r w:rsidRPr="004B3AED">
        <w:t xml:space="preserve"> need to be verified with statistical analysis prior to intervention development. </w:t>
      </w:r>
    </w:p>
    <w:p w14:paraId="2AD53BA0" w14:textId="77777777" w:rsidR="008B27A0" w:rsidRDefault="008B27A0" w:rsidP="008B27A0">
      <w:pPr>
        <w:pStyle w:val="Heading2"/>
        <w:ind w:left="576"/>
      </w:pPr>
      <w:bookmarkStart w:id="440" w:name="_Toc35892698"/>
      <w:r>
        <w:t>Conclusion</w:t>
      </w:r>
      <w:bookmarkEnd w:id="440"/>
    </w:p>
    <w:p w14:paraId="515D26CA" w14:textId="77777777" w:rsidR="008B27A0" w:rsidRDefault="008B27A0" w:rsidP="008B27A0">
      <w:pPr>
        <w:spacing w:line="480" w:lineRule="auto"/>
        <w:rPr>
          <w:szCs w:val="24"/>
        </w:rPr>
      </w:pPr>
      <w:r>
        <w:rPr>
          <w:szCs w:val="24"/>
        </w:rPr>
        <w:t xml:space="preserve">For young people contemplating NPS use in the UK, the legal status of these substances appears to be of greater relevance to decision-making processes than other groups such as older and more experienced drug users. While the legal status of NPS seems to imply a lack of risk (both risk of punitive consequences and risk to health), it may also interact with young people’s relationship to authority, which appeared to be a prominent feature within young people’s discussions of NPS use and non-use. With young people’s autonomy to use NPS seemingly conforming to, or reacting against, the expectations and demands of authorities and authority figures, the social context in which young people make NPS-related decisions was brought to the fore as an important feature underrepresented in previous NPS related research. </w:t>
      </w:r>
    </w:p>
    <w:p w14:paraId="7DA60007" w14:textId="7988E225" w:rsidR="008B27A0" w:rsidRDefault="008B27A0" w:rsidP="008B27A0">
      <w:pPr>
        <w:spacing w:line="480" w:lineRule="auto"/>
        <w:rPr>
          <w:szCs w:val="24"/>
        </w:rPr>
      </w:pPr>
      <w:r>
        <w:rPr>
          <w:szCs w:val="24"/>
        </w:rPr>
        <w:t>Young people also showed a strong concern for the health risks associated with NPS use, in particular the dangers of using unregulated products with unknown and inconsistent ingredients. However, despite the strong focus on the harmfulness of NPS as a reason to avoid use, the need for caution when emphasising the dangers of us</w:t>
      </w:r>
      <w:r w:rsidR="000E6D88">
        <w:rPr>
          <w:szCs w:val="24"/>
        </w:rPr>
        <w:t>ing</w:t>
      </w:r>
      <w:r>
        <w:rPr>
          <w:szCs w:val="24"/>
        </w:rPr>
        <w:t xml:space="preserve"> NPS was highlighted by the clear potential for displacement onto other substances, particularly in relation to </w:t>
      </w:r>
      <w:r w:rsidR="000E6D88">
        <w:rPr>
          <w:szCs w:val="24"/>
        </w:rPr>
        <w:t xml:space="preserve">the </w:t>
      </w:r>
      <w:r>
        <w:rPr>
          <w:szCs w:val="24"/>
        </w:rPr>
        <w:t xml:space="preserve">evaluation of the relative health risks of NPS and traditional illicit drugs. The high potential for negative unintended consequences of an intervention draws attention to the need for careful targeting of interventions both </w:t>
      </w:r>
      <w:r w:rsidR="000E6D88">
        <w:rPr>
          <w:szCs w:val="24"/>
        </w:rPr>
        <w:t>regarding</w:t>
      </w:r>
      <w:r>
        <w:rPr>
          <w:szCs w:val="24"/>
        </w:rPr>
        <w:t xml:space="preserve"> the target population and the intended mechanism of change.</w:t>
      </w:r>
    </w:p>
    <w:p w14:paraId="645BF4EB" w14:textId="178158D9" w:rsidR="008B27A0" w:rsidRDefault="008B27A0" w:rsidP="008B27A0">
      <w:pPr>
        <w:spacing w:line="480" w:lineRule="auto"/>
      </w:pPr>
      <w:r>
        <w:rPr>
          <w:szCs w:val="24"/>
        </w:rPr>
        <w:t>With regard to theory that can help specify the mechanisms of change for intervention development, the TPB offers a good fit with the motives for NPS use and non</w:t>
      </w:r>
      <w:r w:rsidR="000E6D88">
        <w:rPr>
          <w:szCs w:val="24"/>
        </w:rPr>
        <w:t>-</w:t>
      </w:r>
      <w:r>
        <w:rPr>
          <w:szCs w:val="24"/>
        </w:rPr>
        <w:t>use identified in this study. However, it is recommended to use an extended TPB model that includes the following additional constructs: reasons for, reasons against, prototype images, behavioural willingness and self-efficacy. The inclusion of the BRT reason constructs is especially recommended due to the need to move beyond understanding</w:t>
      </w:r>
      <w:r w:rsidR="000E6D88">
        <w:rPr>
          <w:szCs w:val="24"/>
        </w:rPr>
        <w:t xml:space="preserve"> only</w:t>
      </w:r>
      <w:r>
        <w:rPr>
          <w:szCs w:val="24"/>
        </w:rPr>
        <w:t xml:space="preserve"> motives</w:t>
      </w:r>
      <w:r w:rsidR="000E6D88">
        <w:rPr>
          <w:szCs w:val="24"/>
        </w:rPr>
        <w:t>,</w:t>
      </w:r>
      <w:r>
        <w:rPr>
          <w:szCs w:val="24"/>
        </w:rPr>
        <w:t xml:space="preserve"> to also accounting for</w:t>
      </w:r>
      <w:r w:rsidRPr="008E3A6C">
        <w:rPr>
          <w:szCs w:val="24"/>
        </w:rPr>
        <w:t xml:space="preserve"> </w:t>
      </w:r>
      <w:r>
        <w:rPr>
          <w:szCs w:val="24"/>
        </w:rPr>
        <w:t xml:space="preserve">context-specific and </w:t>
      </w:r>
      <w:r w:rsidRPr="008E3A6C">
        <w:rPr>
          <w:color w:val="000000"/>
          <w:szCs w:val="24"/>
        </w:rPr>
        <w:t>wider factors such as legal status</w:t>
      </w:r>
      <w:r>
        <w:rPr>
          <w:color w:val="000000"/>
          <w:szCs w:val="24"/>
        </w:rPr>
        <w:t xml:space="preserve">, </w:t>
      </w:r>
      <w:r w:rsidRPr="008E3A6C">
        <w:rPr>
          <w:color w:val="000000"/>
          <w:szCs w:val="24"/>
        </w:rPr>
        <w:t>accessibility</w:t>
      </w:r>
      <w:r>
        <w:rPr>
          <w:color w:val="000000"/>
          <w:szCs w:val="24"/>
        </w:rPr>
        <w:t xml:space="preserve"> and </w:t>
      </w:r>
      <w:r w:rsidR="000E6D88">
        <w:rPr>
          <w:color w:val="000000"/>
          <w:szCs w:val="24"/>
        </w:rPr>
        <w:t xml:space="preserve">the </w:t>
      </w:r>
      <w:r>
        <w:rPr>
          <w:color w:val="000000"/>
          <w:szCs w:val="24"/>
        </w:rPr>
        <w:t xml:space="preserve">marketing of NPS, </w:t>
      </w:r>
      <w:r w:rsidRPr="00C1111B">
        <w:rPr>
          <w:color w:val="000000"/>
          <w:szCs w:val="24"/>
        </w:rPr>
        <w:t xml:space="preserve">conditions of social </w:t>
      </w:r>
      <w:r>
        <w:rPr>
          <w:color w:val="000000"/>
          <w:szCs w:val="24"/>
        </w:rPr>
        <w:t>and</w:t>
      </w:r>
      <w:r w:rsidRPr="00C1111B">
        <w:rPr>
          <w:color w:val="000000"/>
          <w:szCs w:val="24"/>
        </w:rPr>
        <w:t xml:space="preserve"> economic </w:t>
      </w:r>
      <w:r>
        <w:rPr>
          <w:color w:val="000000"/>
          <w:szCs w:val="24"/>
        </w:rPr>
        <w:t>adversity a</w:t>
      </w:r>
      <w:r w:rsidR="000E6D88">
        <w:rPr>
          <w:color w:val="000000"/>
          <w:szCs w:val="24"/>
        </w:rPr>
        <w:t>s well as</w:t>
      </w:r>
      <w:r>
        <w:rPr>
          <w:color w:val="000000"/>
          <w:szCs w:val="24"/>
        </w:rPr>
        <w:t xml:space="preserve"> </w:t>
      </w:r>
      <w:r w:rsidRPr="008E3A6C">
        <w:rPr>
          <w:color w:val="000000"/>
          <w:szCs w:val="24"/>
        </w:rPr>
        <w:t xml:space="preserve">the </w:t>
      </w:r>
      <w:r w:rsidRPr="00C1111B">
        <w:rPr>
          <w:color w:val="000000"/>
          <w:szCs w:val="24"/>
        </w:rPr>
        <w:t>lack of product regulation</w:t>
      </w:r>
      <w:r>
        <w:rPr>
          <w:color w:val="000000"/>
          <w:szCs w:val="24"/>
        </w:rPr>
        <w:t>, information and education.</w:t>
      </w:r>
      <w:r w:rsidRPr="00C1111B">
        <w:rPr>
          <w:szCs w:val="24"/>
        </w:rPr>
        <w:t xml:space="preserve"> </w:t>
      </w:r>
    </w:p>
    <w:bookmarkEnd w:id="435"/>
    <w:p w14:paraId="11C6781D" w14:textId="77777777" w:rsidR="007E1D13" w:rsidRDefault="007E1D13" w:rsidP="008B27A0">
      <w:pPr>
        <w:sectPr w:rsidR="007E1D13" w:rsidSect="008B27A0">
          <w:pgSz w:w="11906" w:h="16838"/>
          <w:pgMar w:top="1440" w:right="1440" w:bottom="1440" w:left="1440" w:header="708" w:footer="708" w:gutter="0"/>
          <w:cols w:space="708"/>
          <w:docGrid w:linePitch="360"/>
        </w:sectPr>
      </w:pPr>
    </w:p>
    <w:p w14:paraId="2081AD19" w14:textId="43A5C4E0" w:rsidR="007E1D13" w:rsidRPr="0033479F" w:rsidRDefault="007E1D13" w:rsidP="007E1D13">
      <w:pPr>
        <w:pStyle w:val="Heading1"/>
        <w:ind w:left="426"/>
      </w:pPr>
      <w:bookmarkStart w:id="441" w:name="_Toc35892699"/>
      <w:r w:rsidRPr="0033479F">
        <w:t xml:space="preserve">Study </w:t>
      </w:r>
      <w:r>
        <w:t>2: Pre- and post-ban comparison of young people’s beliefs, reasons and motivations for NPS use and non-use following implementation of the Psychoactive Substances Act 2016</w:t>
      </w:r>
      <w:bookmarkEnd w:id="441"/>
    </w:p>
    <w:p w14:paraId="29DA4AE3" w14:textId="4983C60D" w:rsidR="007E1D13" w:rsidRPr="007E1D13" w:rsidRDefault="007E1D13" w:rsidP="007E1D13">
      <w:pPr>
        <w:pStyle w:val="Heading2"/>
      </w:pPr>
      <w:bookmarkStart w:id="442" w:name="_Toc35892700"/>
      <w:r w:rsidRPr="007E1D13">
        <w:t>Introduction</w:t>
      </w:r>
      <w:bookmarkEnd w:id="442"/>
    </w:p>
    <w:p w14:paraId="36779FC9" w14:textId="77777777" w:rsidR="007E1D13" w:rsidRPr="00C97B7B" w:rsidRDefault="007E1D13" w:rsidP="004B0B16">
      <w:pPr>
        <w:spacing w:line="480" w:lineRule="auto"/>
      </w:pPr>
      <w:r>
        <w:t xml:space="preserve">Responding to concerns about rising harms associated with NPS use, on 26 May 2016, the </w:t>
      </w:r>
      <w:r w:rsidRPr="00FE7D3D">
        <w:t xml:space="preserve">UK Government brought into force the Psychoactive Substances Act (PS Act) for the purpose </w:t>
      </w:r>
      <w:r w:rsidRPr="00C97B7B">
        <w:t>of protecting the public, particularly young people, from the health threat posed by NPS. The PS Act place</w:t>
      </w:r>
      <w:r>
        <w:t>d</w:t>
      </w:r>
      <w:r w:rsidRPr="00C97B7B">
        <w:t xml:space="preserve"> a blanket ban on all psychoactive substances in the UK making</w:t>
      </w:r>
      <w:r w:rsidRPr="00C97B7B">
        <w:rPr>
          <w:szCs w:val="24"/>
          <w:lang w:eastAsia="en-GB"/>
        </w:rPr>
        <w:t xml:space="preserve"> it an offence to produce, supply, import or export any substance intended for human consumption that is capable of producing a psychoactive effect unless specifically exempted (see Chapter 2 Section 2.3.3 for more details on the scope of the Act). Except within custodial settings, the Act does not make it unlawful to use or possess an NPS. In prohibiting the sale of NPS, the aim of the Act is to remove the availability and visibility of NPS, both online and offline, and to prevent legislation continuing to drive market innovation and the development of more potent products. </w:t>
      </w:r>
    </w:p>
    <w:p w14:paraId="2639BA23" w14:textId="5CEF2727" w:rsidR="007E1D13" w:rsidRPr="004B0B16" w:rsidRDefault="007E1D13" w:rsidP="004B0B16">
      <w:pPr>
        <w:spacing w:line="480" w:lineRule="auto"/>
      </w:pPr>
      <w:r w:rsidRPr="004B0B16">
        <w:t xml:space="preserve">Although the primary purpose of the Act was to end the open sales of NPS, it was also intended that it would send a clear health message to potential users’ </w:t>
      </w:r>
      <w:r>
        <w:t>to</w:t>
      </w:r>
      <w:r w:rsidRPr="0076281D">
        <w:t xml:space="preserve"> challenge the misconception that NPS are safe to use (HM Government, 2016; 2017). According to Government drug policy, the illegal status of a substance informs people about the health risks and punitive consequences of use which in turn deters use (HM Government, 2013). The intention behind the Act, therefore, </w:t>
      </w:r>
      <w:r>
        <w:t>wa</w:t>
      </w:r>
      <w:r w:rsidRPr="0076281D">
        <w:t xml:space="preserve">s to </w:t>
      </w:r>
      <w:r w:rsidRPr="004B0B16">
        <w:t xml:space="preserve">reduce NPS-related harms by reducing people’s consumption of NPS via two </w:t>
      </w:r>
      <w:r w:rsidRPr="0076281D">
        <w:t xml:space="preserve">parallel </w:t>
      </w:r>
      <w:r w:rsidRPr="004B0B16">
        <w:t xml:space="preserve">pathways: a </w:t>
      </w:r>
      <w:r w:rsidRPr="0076281D">
        <w:t xml:space="preserve">supply reduction approach and a demand reduction approach. </w:t>
      </w:r>
      <w:r w:rsidRPr="004B0B16">
        <w:t xml:space="preserve">(HM Government, 2016). The two pathways are represented in the diagram in Figure 7.1. </w:t>
      </w:r>
    </w:p>
    <w:bookmarkStart w:id="443" w:name="_Toc9509137"/>
    <w:p w14:paraId="0FA69B92" w14:textId="7EE6F545" w:rsidR="007E1D13" w:rsidRPr="0076281D" w:rsidRDefault="007E1D13" w:rsidP="004B0B16">
      <w:pPr>
        <w:pStyle w:val="FigureHeading"/>
      </w:pPr>
      <w:r w:rsidRPr="004B0B16">
        <w:rPr>
          <w:lang w:val="en-GB"/>
        </w:rPr>
        <mc:AlternateContent>
          <mc:Choice Requires="wpg">
            <w:drawing>
              <wp:anchor distT="0" distB="0" distL="114300" distR="114300" simplePos="0" relativeHeight="253730816" behindDoc="0" locked="0" layoutInCell="1" allowOverlap="1" wp14:anchorId="3A7ED159" wp14:editId="2E321EAC">
                <wp:simplePos x="0" y="0"/>
                <wp:positionH relativeFrom="column">
                  <wp:posOffset>-234950</wp:posOffset>
                </wp:positionH>
                <wp:positionV relativeFrom="paragraph">
                  <wp:posOffset>482155</wp:posOffset>
                </wp:positionV>
                <wp:extent cx="6279831" cy="1684972"/>
                <wp:effectExtent l="0" t="0" r="6985" b="0"/>
                <wp:wrapTopAndBottom/>
                <wp:docPr id="662" name="Group 506"/>
                <wp:cNvGraphicFramePr/>
                <a:graphic xmlns:a="http://schemas.openxmlformats.org/drawingml/2006/main">
                  <a:graphicData uri="http://schemas.microsoft.com/office/word/2010/wordprocessingGroup">
                    <wpg:wgp>
                      <wpg:cNvGrpSpPr/>
                      <wpg:grpSpPr>
                        <a:xfrm>
                          <a:off x="0" y="0"/>
                          <a:ext cx="6279831" cy="1684972"/>
                          <a:chOff x="0" y="0"/>
                          <a:chExt cx="6279831" cy="1684972"/>
                        </a:xfrm>
                      </wpg:grpSpPr>
                      <wps:wsp>
                        <wps:cNvPr id="663" name="TextBox 288"/>
                        <wps:cNvSpPr txBox="1"/>
                        <wps:spPr>
                          <a:xfrm>
                            <a:off x="1614797" y="1093562"/>
                            <a:ext cx="1017905" cy="386080"/>
                          </a:xfrm>
                          <a:prstGeom prst="rect">
                            <a:avLst/>
                          </a:prstGeom>
                          <a:noFill/>
                        </wps:spPr>
                        <wps:txbx>
                          <w:txbxContent>
                            <w:p w14:paraId="79E470EC" w14:textId="77777777" w:rsidR="00777EE0" w:rsidRDefault="00777EE0" w:rsidP="007E1D13">
                              <w:pPr>
                                <w:jc w:val="center"/>
                                <w:rPr>
                                  <w:szCs w:val="24"/>
                                </w:rPr>
                              </w:pPr>
                              <w:r>
                                <w:rPr>
                                  <w:color w:val="000000" w:themeColor="text1"/>
                                  <w:kern w:val="24"/>
                                  <w:sz w:val="20"/>
                                  <w:szCs w:val="20"/>
                                </w:rPr>
                                <w:t>Availability</w:t>
                              </w:r>
                            </w:p>
                          </w:txbxContent>
                        </wps:txbx>
                        <wps:bodyPr wrap="square" rtlCol="0">
                          <a:spAutoFit/>
                        </wps:bodyPr>
                      </wps:wsp>
                      <wps:wsp>
                        <wps:cNvPr id="664" name="Straight Arrow Connector 664"/>
                        <wps:cNvCnPr>
                          <a:cxnSpLocks/>
                        </wps:cNvCnPr>
                        <wps:spPr>
                          <a:xfrm>
                            <a:off x="1062762" y="730102"/>
                            <a:ext cx="540000" cy="4937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5" name="Straight Arrow Connector 665"/>
                        <wps:cNvCnPr>
                          <a:cxnSpLocks/>
                        </wps:cNvCnPr>
                        <wps:spPr>
                          <a:xfrm>
                            <a:off x="2667996" y="229414"/>
                            <a:ext cx="286515" cy="4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6" name="Straight Arrow Connector 666"/>
                        <wps:cNvCnPr>
                          <a:cxnSpLocks/>
                        </wps:cNvCnPr>
                        <wps:spPr>
                          <a:xfrm flipV="1">
                            <a:off x="2667831" y="1235652"/>
                            <a:ext cx="330236" cy="5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a:cxnSpLocks/>
                        </wps:cNvCnPr>
                        <wps:spPr>
                          <a:xfrm flipV="1">
                            <a:off x="3898991" y="643636"/>
                            <a:ext cx="435392" cy="5782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a:cxnSpLocks/>
                        </wps:cNvCnPr>
                        <wps:spPr>
                          <a:xfrm flipV="1">
                            <a:off x="1022269" y="229414"/>
                            <a:ext cx="581685" cy="5059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69" name="Group 669"/>
                        <wpg:cNvGrpSpPr/>
                        <wpg:grpSpPr>
                          <a:xfrm>
                            <a:off x="2981549" y="992457"/>
                            <a:ext cx="961390" cy="496186"/>
                            <a:chOff x="2981522" y="992456"/>
                            <a:chExt cx="1141881" cy="633593"/>
                          </a:xfrm>
                        </wpg:grpSpPr>
                        <wps:wsp>
                          <wps:cNvPr id="670" name="TextBox 373"/>
                          <wps:cNvSpPr txBox="1"/>
                          <wps:spPr>
                            <a:xfrm>
                              <a:off x="2981522" y="1133053"/>
                              <a:ext cx="1141881" cy="492996"/>
                            </a:xfrm>
                            <a:prstGeom prst="rect">
                              <a:avLst/>
                            </a:prstGeom>
                            <a:noFill/>
                          </wps:spPr>
                          <wps:txbx>
                            <w:txbxContent>
                              <w:p w14:paraId="15827797" w14:textId="77777777" w:rsidR="00777EE0" w:rsidRDefault="00777EE0" w:rsidP="007E1D13">
                                <w:pPr>
                                  <w:jc w:val="center"/>
                                  <w:rPr>
                                    <w:szCs w:val="24"/>
                                  </w:rPr>
                                </w:pPr>
                                <w:r>
                                  <w:rPr>
                                    <w:color w:val="000000" w:themeColor="text1"/>
                                    <w:kern w:val="24"/>
                                    <w:sz w:val="20"/>
                                    <w:szCs w:val="20"/>
                                  </w:rPr>
                                  <w:t>Restriction</w:t>
                                </w:r>
                              </w:p>
                            </w:txbxContent>
                          </wps:txbx>
                          <wps:bodyPr wrap="square" rtlCol="0">
                            <a:spAutoFit/>
                          </wps:bodyPr>
                        </wps:wsp>
                        <wps:wsp>
                          <wps:cNvPr id="671" name="Rectangle: Rounded Corners 671"/>
                          <wps:cNvSpPr/>
                          <wps:spPr>
                            <a:xfrm>
                              <a:off x="2996912" y="992456"/>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72" name="Rectangle: Rounded Corners 672"/>
                        <wps:cNvSpPr/>
                        <wps:spPr>
                          <a:xfrm>
                            <a:off x="1602762" y="994429"/>
                            <a:ext cx="1064042" cy="45882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3" name="Group 673"/>
                        <wpg:cNvGrpSpPr/>
                        <wpg:grpSpPr>
                          <a:xfrm>
                            <a:off x="2897620" y="4880"/>
                            <a:ext cx="1029970" cy="593079"/>
                            <a:chOff x="2897593" y="4880"/>
                            <a:chExt cx="1223335" cy="757319"/>
                          </a:xfrm>
                        </wpg:grpSpPr>
                        <wps:wsp>
                          <wps:cNvPr id="674" name="TextBox 371"/>
                          <wps:cNvSpPr txBox="1"/>
                          <wps:spPr>
                            <a:xfrm>
                              <a:off x="2897593" y="54328"/>
                              <a:ext cx="1223335" cy="707871"/>
                            </a:xfrm>
                            <a:prstGeom prst="rect">
                              <a:avLst/>
                            </a:prstGeom>
                            <a:noFill/>
                          </wps:spPr>
                          <wps:txbx>
                            <w:txbxContent>
                              <w:p w14:paraId="37017B67" w14:textId="77777777" w:rsidR="00777EE0" w:rsidRDefault="00777EE0" w:rsidP="007E1D13">
                                <w:pPr>
                                  <w:jc w:val="center"/>
                                  <w:rPr>
                                    <w:szCs w:val="24"/>
                                  </w:rPr>
                                </w:pPr>
                                <w:r>
                                  <w:rPr>
                                    <w:color w:val="000000" w:themeColor="text1"/>
                                    <w:kern w:val="24"/>
                                    <w:sz w:val="20"/>
                                    <w:szCs w:val="20"/>
                                  </w:rPr>
                                  <w:t xml:space="preserve">Psycho-social factors </w:t>
                                </w:r>
                              </w:p>
                            </w:txbxContent>
                          </wps:txbx>
                          <wps:bodyPr wrap="square" rtlCol="0">
                            <a:spAutoFit/>
                          </wps:bodyPr>
                        </wps:wsp>
                        <wps:wsp>
                          <wps:cNvPr id="675" name="Rectangle: Rounded Corners 675"/>
                          <wps:cNvSpPr/>
                          <wps:spPr>
                            <a:xfrm>
                              <a:off x="2965164" y="4880"/>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6" name="Group 676"/>
                        <wpg:cNvGrpSpPr/>
                        <wpg:grpSpPr>
                          <a:xfrm>
                            <a:off x="4334383" y="414222"/>
                            <a:ext cx="818855" cy="606948"/>
                            <a:chOff x="4334383" y="414222"/>
                            <a:chExt cx="1074290" cy="775028"/>
                          </a:xfrm>
                        </wpg:grpSpPr>
                        <wps:wsp>
                          <wps:cNvPr id="677" name="TextBox 367"/>
                          <wps:cNvSpPr txBox="1"/>
                          <wps:spPr>
                            <a:xfrm>
                              <a:off x="4457711" y="481379"/>
                              <a:ext cx="802259" cy="707871"/>
                            </a:xfrm>
                            <a:prstGeom prst="rect">
                              <a:avLst/>
                            </a:prstGeom>
                            <a:noFill/>
                          </wps:spPr>
                          <wps:txbx>
                            <w:txbxContent>
                              <w:p w14:paraId="3023DC14" w14:textId="77777777" w:rsidR="00777EE0" w:rsidRDefault="00777EE0" w:rsidP="007E1D13">
                                <w:pPr>
                                  <w:jc w:val="center"/>
                                  <w:rPr>
                                    <w:szCs w:val="24"/>
                                  </w:rPr>
                                </w:pPr>
                                <w:r>
                                  <w:rPr>
                                    <w:color w:val="000000" w:themeColor="text1"/>
                                    <w:kern w:val="24"/>
                                    <w:sz w:val="20"/>
                                    <w:szCs w:val="20"/>
                                  </w:rPr>
                                  <w:t>NPS use</w:t>
                                </w:r>
                              </w:p>
                            </w:txbxContent>
                          </wps:txbx>
                          <wps:bodyPr wrap="square" rtlCol="0">
                            <a:spAutoFit/>
                          </wps:bodyPr>
                        </wps:wsp>
                        <wps:wsp>
                          <wps:cNvPr id="678" name="Rectangle: Rounded Corners 678"/>
                          <wps:cNvSpPr/>
                          <wps:spPr>
                            <a:xfrm>
                              <a:off x="4334383" y="414222"/>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9" name="Group 679"/>
                        <wpg:cNvGrpSpPr/>
                        <wpg:grpSpPr>
                          <a:xfrm>
                            <a:off x="1471849" y="0"/>
                            <a:ext cx="1317625" cy="481036"/>
                            <a:chOff x="1471849" y="0"/>
                            <a:chExt cx="1330316" cy="614248"/>
                          </a:xfrm>
                        </wpg:grpSpPr>
                        <wps:wsp>
                          <wps:cNvPr id="680" name="TextBox 365"/>
                          <wps:cNvSpPr txBox="1"/>
                          <wps:spPr>
                            <a:xfrm>
                              <a:off x="1471849" y="121252"/>
                              <a:ext cx="1330316" cy="492996"/>
                            </a:xfrm>
                            <a:prstGeom prst="rect">
                              <a:avLst/>
                            </a:prstGeom>
                            <a:noFill/>
                          </wps:spPr>
                          <wps:txbx>
                            <w:txbxContent>
                              <w:p w14:paraId="310A2C19" w14:textId="77777777" w:rsidR="00777EE0" w:rsidRDefault="00777EE0" w:rsidP="007E1D13">
                                <w:pPr>
                                  <w:jc w:val="center"/>
                                  <w:rPr>
                                    <w:szCs w:val="24"/>
                                  </w:rPr>
                                </w:pPr>
                                <w:r>
                                  <w:rPr>
                                    <w:color w:val="000000" w:themeColor="text1"/>
                                    <w:kern w:val="24"/>
                                    <w:sz w:val="20"/>
                                    <w:szCs w:val="20"/>
                                  </w:rPr>
                                  <w:t>Risk messages</w:t>
                                </w:r>
                              </w:p>
                            </w:txbxContent>
                          </wps:txbx>
                          <wps:bodyPr wrap="square" rtlCol="0">
                            <a:spAutoFit/>
                          </wps:bodyPr>
                        </wps:wsp>
                        <wps:wsp>
                          <wps:cNvPr id="681" name="Rectangle: Rounded Corners 681"/>
                          <wps:cNvSpPr/>
                          <wps:spPr>
                            <a:xfrm>
                              <a:off x="1605226" y="0"/>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2" name="Group 682"/>
                        <wpg:cNvGrpSpPr/>
                        <wpg:grpSpPr>
                          <a:xfrm>
                            <a:off x="0" y="500688"/>
                            <a:ext cx="1062762" cy="588794"/>
                            <a:chOff x="0" y="500688"/>
                            <a:chExt cx="752738" cy="571759"/>
                          </a:xfrm>
                        </wpg:grpSpPr>
                        <wps:wsp>
                          <wps:cNvPr id="683" name="Rectangle 683"/>
                          <wps:cNvSpPr/>
                          <wps:spPr>
                            <a:xfrm>
                              <a:off x="0" y="500688"/>
                              <a:ext cx="75273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84" name="TextBox 364"/>
                          <wps:cNvSpPr txBox="1"/>
                          <wps:spPr>
                            <a:xfrm>
                              <a:off x="14478" y="534131"/>
                              <a:ext cx="709722" cy="538316"/>
                            </a:xfrm>
                            <a:prstGeom prst="rect">
                              <a:avLst/>
                            </a:prstGeom>
                            <a:noFill/>
                          </wps:spPr>
                          <wps:txbx>
                            <w:txbxContent>
                              <w:p w14:paraId="3BE16EB2" w14:textId="77777777" w:rsidR="00777EE0" w:rsidRDefault="00777EE0" w:rsidP="007E1D13">
                                <w:pPr>
                                  <w:jc w:val="center"/>
                                  <w:rPr>
                                    <w:szCs w:val="24"/>
                                  </w:rPr>
                                </w:pPr>
                                <w:r>
                                  <w:rPr>
                                    <w:color w:val="000000" w:themeColor="text1"/>
                                    <w:kern w:val="24"/>
                                    <w:sz w:val="20"/>
                                    <w:szCs w:val="20"/>
                                  </w:rPr>
                                  <w:t>Psychoactive Substances Act</w:t>
                                </w:r>
                              </w:p>
                            </w:txbxContent>
                          </wps:txbx>
                          <wps:bodyPr wrap="square" rtlCol="0">
                            <a:spAutoFit/>
                          </wps:bodyPr>
                        </wps:wsp>
                      </wpg:grpSp>
                      <wps:wsp>
                        <wps:cNvPr id="685" name="Straight Arrow Connector 685"/>
                        <wps:cNvCnPr>
                          <a:cxnSpLocks/>
                        </wps:cNvCnPr>
                        <wps:spPr>
                          <a:xfrm>
                            <a:off x="3858995" y="234294"/>
                            <a:ext cx="475388" cy="4093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86" name="Group 686"/>
                        <wpg:cNvGrpSpPr/>
                        <wpg:grpSpPr>
                          <a:xfrm>
                            <a:off x="5463856" y="412754"/>
                            <a:ext cx="815975" cy="518229"/>
                            <a:chOff x="5463864" y="412754"/>
                            <a:chExt cx="797240" cy="503235"/>
                          </a:xfrm>
                        </wpg:grpSpPr>
                        <wps:wsp>
                          <wps:cNvPr id="687" name="Rectangle 687"/>
                          <wps:cNvSpPr/>
                          <wps:spPr>
                            <a:xfrm>
                              <a:off x="5467464" y="412754"/>
                              <a:ext cx="75273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88" name="TextBox 362"/>
                          <wps:cNvSpPr txBox="1"/>
                          <wps:spPr>
                            <a:xfrm>
                              <a:off x="5463864" y="541079"/>
                              <a:ext cx="797240" cy="374910"/>
                            </a:xfrm>
                            <a:prstGeom prst="rect">
                              <a:avLst/>
                            </a:prstGeom>
                            <a:noFill/>
                          </wps:spPr>
                          <wps:txbx>
                            <w:txbxContent>
                              <w:p w14:paraId="589B494C" w14:textId="77777777" w:rsidR="00777EE0" w:rsidRDefault="00777EE0" w:rsidP="007E1D13">
                                <w:pPr>
                                  <w:jc w:val="center"/>
                                  <w:rPr>
                                    <w:szCs w:val="24"/>
                                  </w:rPr>
                                </w:pPr>
                                <w:r>
                                  <w:rPr>
                                    <w:color w:val="000000" w:themeColor="text1"/>
                                    <w:kern w:val="24"/>
                                    <w:sz w:val="20"/>
                                    <w:szCs w:val="20"/>
                                  </w:rPr>
                                  <w:t>Drug harms</w:t>
                                </w:r>
                              </w:p>
                            </w:txbxContent>
                          </wps:txbx>
                          <wps:bodyPr wrap="square" rtlCol="0">
                            <a:spAutoFit/>
                          </wps:bodyPr>
                        </wps:wsp>
                      </wpg:grpSp>
                      <wps:wsp>
                        <wps:cNvPr id="689" name="Straight Arrow Connector 689"/>
                        <wps:cNvCnPr>
                          <a:cxnSpLocks/>
                        </wps:cNvCnPr>
                        <wps:spPr>
                          <a:xfrm flipV="1">
                            <a:off x="5153238" y="641524"/>
                            <a:ext cx="311056" cy="21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0" name="TextBox 316"/>
                        <wps:cNvSpPr txBox="1"/>
                        <wps:spPr>
                          <a:xfrm>
                            <a:off x="2718543" y="1216977"/>
                            <a:ext cx="367665" cy="467995"/>
                          </a:xfrm>
                          <a:prstGeom prst="rect">
                            <a:avLst/>
                          </a:prstGeom>
                          <a:noFill/>
                          <a:ln>
                            <a:noFill/>
                          </a:ln>
                        </wps:spPr>
                        <wps:txbx>
                          <w:txbxContent>
                            <w:p w14:paraId="39304E6F"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691" name="TextBox 317"/>
                        <wps:cNvSpPr txBox="1"/>
                        <wps:spPr>
                          <a:xfrm>
                            <a:off x="4124660" y="661175"/>
                            <a:ext cx="332105" cy="539115"/>
                          </a:xfrm>
                          <a:prstGeom prst="rect">
                            <a:avLst/>
                          </a:prstGeom>
                          <a:noFill/>
                          <a:ln>
                            <a:noFill/>
                          </a:ln>
                        </wps:spPr>
                        <wps:txbx>
                          <w:txbxContent>
                            <w:p w14:paraId="167DF4E6"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wps:txbx>
                        <wps:bodyPr wrap="square" rtlCol="0">
                          <a:spAutoFit/>
                        </wps:bodyPr>
                      </wps:wsp>
                      <wps:wsp>
                        <wps:cNvPr id="692" name="TextBox 318"/>
                        <wps:cNvSpPr txBox="1"/>
                        <wps:spPr>
                          <a:xfrm>
                            <a:off x="3928408" y="314223"/>
                            <a:ext cx="332740" cy="539115"/>
                          </a:xfrm>
                          <a:prstGeom prst="rect">
                            <a:avLst/>
                          </a:prstGeom>
                          <a:noFill/>
                          <a:ln>
                            <a:noFill/>
                          </a:ln>
                        </wps:spPr>
                        <wps:txbx>
                          <w:txbxContent>
                            <w:p w14:paraId="30FF5086"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wps:txbx>
                        <wps:bodyPr wrap="square" rtlCol="0">
                          <a:spAutoFit/>
                        </wps:bodyPr>
                      </wps:wsp>
                      <wps:wsp>
                        <wps:cNvPr id="693" name="TextBox 351"/>
                        <wps:cNvSpPr txBox="1"/>
                        <wps:spPr>
                          <a:xfrm>
                            <a:off x="1307512" y="38696"/>
                            <a:ext cx="432435" cy="467995"/>
                          </a:xfrm>
                          <a:prstGeom prst="rect">
                            <a:avLst/>
                          </a:prstGeom>
                          <a:noFill/>
                          <a:ln>
                            <a:noFill/>
                          </a:ln>
                        </wps:spPr>
                        <wps:txbx>
                          <w:txbxContent>
                            <w:p w14:paraId="7D5623FD"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694" name="TextBox 354"/>
                        <wps:cNvSpPr txBox="1"/>
                        <wps:spPr>
                          <a:xfrm>
                            <a:off x="5217110" y="293511"/>
                            <a:ext cx="431800" cy="467995"/>
                          </a:xfrm>
                          <a:prstGeom prst="rect">
                            <a:avLst/>
                          </a:prstGeom>
                          <a:noFill/>
                          <a:ln>
                            <a:noFill/>
                          </a:ln>
                        </wps:spPr>
                        <wps:txbx>
                          <w:txbxContent>
                            <w:p w14:paraId="28406D3C"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695" name="TextBox 360"/>
                        <wps:cNvSpPr txBox="1"/>
                        <wps:spPr>
                          <a:xfrm>
                            <a:off x="1210365" y="888793"/>
                            <a:ext cx="432435" cy="539115"/>
                          </a:xfrm>
                          <a:prstGeom prst="rect">
                            <a:avLst/>
                          </a:prstGeom>
                          <a:noFill/>
                          <a:ln>
                            <a:noFill/>
                          </a:ln>
                        </wps:spPr>
                        <wps:txbx>
                          <w:txbxContent>
                            <w:p w14:paraId="28F3E99A"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wps:txbx>
                        <wps:bodyPr wrap="square" rtlCol="0">
                          <a:spAutoFit/>
                        </wps:bodyPr>
                      </wps:wsp>
                    </wpg:wgp>
                  </a:graphicData>
                </a:graphic>
              </wp:anchor>
            </w:drawing>
          </mc:Choice>
          <mc:Fallback>
            <w:pict>
              <v:group w14:anchorId="3A7ED159" id="Group 506" o:spid="_x0000_s1362" style="position:absolute;margin-left:-18.5pt;margin-top:37.95pt;width:494.45pt;height:132.65pt;z-index:253730816" coordsize="62798,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HygAoAAOlKAAAOAAAAZHJzL2Uyb0RvYy54bWzsXNuO28gRfQ+QfyD0HovdTTZJwfJiMrs2&#10;Ahgbw3ayzxyKuiASyZAcS7Nfn9NXUtRdntV4NvTDWBey2V1VXXXqVLXe/rRZLZ1vaVkt8mw8IG/c&#10;gZNmST5ZZLPx4F9f3/8tHDhVHWeTeJln6XjwlFaDn9799S9v18Uopfk8X07S0sEgWTVaF+PBvK6L&#10;0XBYJfN0FVdv8iLN8OU0L1dxjbflbDgp4zVGXy2H1HX5cJ2Xk6LMk7Sq8OnP6svBOzn+dJom9T+n&#10;0yqtneV4gLnV8m8p/z6Iv8N3b+PRrIyL+SLR04ivmMUqXmR4qB3q57iOncdysTPUapGUeZVP6zdJ&#10;vhrm0+kiSeUasBridlbzocwfC7mW2Wg9K6yYINqOnK4eNvn126fSWUzGA87pwMniFZQkn+v4Lhfi&#10;WRezEa76UBZfik+l/mCm3okVb6blSvyPtTgbKdgnK9h0UzsJPuQ0iEJGBk6C7wgPvSigSvTJHPrZ&#10;uS+Z/3LizqF58FDMz05nXcCMqkZS1fdJ6ss8LlKpgErIwEqKGUl9xQr/nm8cGoZKVvI6ISin3uAL&#10;rNZ8XuHDPfIinHhBFAwcIRk3Yj7UII3SyI64JIhcX8mOhdwNpdVaAcSjoqzqD2m+csSL8aCE0Utb&#10;jL99rGqMhUvNJWICWf5+sVyKz4W01LTEq3rzsJGWQIhWfDV6yCdPWMsaG2Q8qP77GJfpwCnr5X0u&#10;95MYriruHmsMKZ8kxlH36OGhDGFCN9GKZ7TypS7jxWxeO3dlma+d+zzLIJO8dDj3jDqgzvtMaSTZ&#10;ZF+Kj3nyn8oIxX7ZSMjYmzV04sKqxZ6B4gKGzdvRm++5+KfU5kUs8KQlHFZbpSdtZ0uOKXGZSdnn&#10;y8VEaFO+ET4zvV+WzrcY2qk35oFV+6o6Xix/ySZO/VRgp9flIs5my1RIBVMTo3asoqqflqkYfpl9&#10;TqewD2nTe54XJ0ma1eaZ8mpx1RSzsze6cknSuTcT3b5RXy9uTaX/vuRme4d8cp7V9ubVIsvLfU9v&#10;xDRV1xsJqHU3Bm1s45YWjV2vPPIRi/afzaIp50EUcWnRlEYekZsFetC+mIbcJ9oReeEpN9Tbs9xS&#10;vT234iZs66Q929hjnXA8usBDO9Plovi3iLvCB2hQIixb4g8RZClirN9x1oy5lGF2Ap/4Kpb3nhqx&#10;fTuk9J56dggRAsCdtOzg+zz1XstmYRRGEZA1DJd7jMOIEagan+0xn0UAKdKwg5Ay6dN72+5tezfd&#10;PGTbSOFP2nY7/bkCV++1bUBqSnl0EI/4IVJJjUd814+C3rbBaIjd/6fw2zqttwyEzb5hEcoeFU/B&#10;YSLweRfyFDQKie8p44oi6vnSOzeOM+KERTZ94yTUjtUSFnIAqvI/OYC9wHAXhHgkDDXrwRnzIyYm&#10;ap3vS1AXAZakhGeoCxbIWYlEB4jrEuqiLQFCAKF8OVIjwy0BeBEVyUVbAA0v8XzUhQ2yr4m6CGAk&#10;SiufQVTIjHzkfM4fs0k6AX1RZiBYHY6rpJ1bRel3B5glIe6I7BqoSeeIG3jUmLgf+iFeH9eOmJCY&#10;oPQxp9glwRg46/Eg8qmvnFKbhuh4qCYLb5EV5xMS9JjXkw5xHk9SxYv4kpZRC7WzkLtyP2ehEgl7&#10;pRrkZZHw0tIsJzgLp8wV410VyfsF2MGPcVV/iktQ3PADoO3x7Twvfx90GL7lPzIwpxHxPFxWyzdw&#10;kBRvyvY3D+1vsseVZAVhyniaJghbXKEzLfPVb2Dr78RTMVScJXj2eJDUpXlzXytqHnx/kt7dycvA&#10;kxdx/REUXWKyOsFmft38FpeF9hs1bPrX3OCXeNSxTXWtsIMsF2Tl9BhZ2XjlWxGX4MLP2f0yZW25&#10;6eO7n3DX0pNR5GGni83d8s0u91wPTxaZgYecl0oIZ4PTrm/ud7+hVvvdL/zCn3L322qSBZQGdgIm&#10;bcNOg5suKo/RMELRANITu05zqO1NiaAtIJpM1yPmBnrXNqgT9wscuX1/Uy8jlDIgTTVC4AeMyBHs&#10;tm68m6h9CG/yx5fLkJftYM4ulDm3XCbkZ9bve0w5rZYAt5bvBqHCTHb5u17tXDjTKYu0imU29X1V&#10;iNOWFo4iznZxQaQGx2MOjVAgQIlt2zh7vIkyYI83e7zZ1BJ1jVGWEhuPrEKO7GXYjT62dKJJj0Cm&#10;0heSHh5jHgt19CAe6LVtUBiCr/B18OAujzzp21B/MV0ahwZoBaB2VhkEvtvBlc1ybxiALDtvSQ9u&#10;eYILSQ8PiVBAFOHuhYSZCG28XAjS0getJCJ4cJsApOkv03nRyeV+0G6NwLLKRwOQDa5aTccD0CHz&#10;NMrpKY+GGu4pj62mpp7yEC19R0NQl3dXru/CEIRuN4L+P4kRdful3Z2MIDfS4Qe+1TXFTBt+9tzc&#10;ijxgoBla16TrRVcdVdHLYv+XiDxokummPryLqc9NfdqLJ5TQbg+DYODt+m/DtiOR1Q75NeU+oiRz&#10;mm3HVXptZ4Ue8G0+qpV77boNiXqiXbcSCjJyqzmwJ9rbdPr/G9F+qNobWnJcJz74QO7Li2g3Rbih&#10;9MNVc1eLMTJtvJJyC8Mg0l2PNujs3tvEnMCnAQOSlTcHBNSUmNzLhhzLU1pg7XDkfJc4s90lmxjd&#10;XjBSIV+VfO2CL+bXWuW+nbaFh5npJt666srWZ8xR3amahHVrvMjJmxb4Z212ZseKkspKDjeHHq1o&#10;qpuvaHa+oHBoe/y36nTiyZo0vhV7HO6yx1td/Jd0LKCgKfJOpOY+8wgOpGA9jSsIXBxL0RUxHzSJ&#10;OgZxvW2fPmhBLcZ4HvzUQNybacfyyIdb1NGjBTkLswGSuqI5TOhIN/Iy0aYQ4ZlQIXoZ0aS+rUIv&#10;gOK0P/ZwmgYFTrVZzCklcxBGF477JnUZrQ77oTP6ya7wQ027x4kGho6/OQgSuuyo6ta6MDX1PQ77&#10;UhDeIzTwO8aFhjEUn3SwJyGOSCjjs0hBDmDqH60BWngBHkbUTiVecBla0bfss9m/tyNHQ0uOtvFC&#10;lx7VG/hAqxEWHnh7Ft6jhq0jWdt9A/vbjXrU8Oaiw6ym6UeHF1OtF0Gg0+eoDlbq6y5BDe1t7Xvg&#10;kPW+t9bd2tQ45xcRU+47EHTK7645q7qNWMqrxQ2WTDyCG2xh4zrcsLepHCfY4HYVCOQe8WnHyTNC&#10;XBEDhIemBO2TPX74njzmx8IPt+h2ER21Hc/TnKfWVOK5lC8FV44uFwl3QfnyKOh0qTMecBDK0loR&#10;gwU0PmqvZ7sekyw3OYz6RGZ/TcLctMFQyzA8j0sSzu2Pb00SJ6e6yupCn3OVBcjoca6oE84JyCAF&#10;D02YYIzCtWjsxyKCo7QvpSvp854vfNxIV5YJtFV80i0Pn6srnIkLPVdFASYaITonF6CrwOL0l9WV&#10;tJJXpytLQlpd+ZbruNAJErRB+vocA37/Qp0haVgbNAHikOMP4QJ1S85zobIbbatdfk0lvuLxF6rK&#10;pwS9McoFUvyWCfpk4OLauiKh/U2Mlw1X1su/qnAFO++EKwQciPgKXQFPoMCOAQF0Q1H36LjA9r7C&#10;GeKXDFfWyz+PriTLgt9TktSX/u0n8YNN7feS525+oerd/wAAAP//AwBQSwMEFAAGAAgAAAAhANST&#10;VLTiAAAACgEAAA8AAABkcnMvZG93bnJldi54bWxMj0FLw0AQhe+C/2EZwVu72cZYG7MppainItgK&#10;4m2aTJPQ7G7IbpP03zue9PaG93jzvWw9mVYM1PvGWQ1qHoEgW7iysZWGz8Pr7AmED2hLbJ0lDVfy&#10;sM5vbzJMSzfaDxr2oRJcYn2KGuoQulRKX9Rk0M9dR5a9k+sNBj77SpY9jlxuWrmIokdpsLH8ocaO&#10;tjUV5/3FaHgbcdzE6mXYnU/b6/chef/aKdL6/m7aPIMINIW/MPziMzrkzHR0F1t60WqYxUveEjQs&#10;kxUIDqwSxeKoIX5QC5B5Jv9PyH8AAAD//wMAUEsBAi0AFAAGAAgAAAAhALaDOJL+AAAA4QEAABMA&#10;AAAAAAAAAAAAAAAAAAAAAFtDb250ZW50X1R5cGVzXS54bWxQSwECLQAUAAYACAAAACEAOP0h/9YA&#10;AACUAQAACwAAAAAAAAAAAAAAAAAvAQAAX3JlbHMvLnJlbHNQSwECLQAUAAYACAAAACEALSkB8oAK&#10;AADpSgAADgAAAAAAAAAAAAAAAAAuAgAAZHJzL2Uyb0RvYy54bWxQSwECLQAUAAYACAAAACEA1JNU&#10;tOIAAAAKAQAADwAAAAAAAAAAAAAAAADaDAAAZHJzL2Rvd25yZXYueG1sUEsFBgAAAAAEAAQA8wAA&#10;AOkNAAAAAA==&#10;">
                <v:shape id="TextBox 288" o:spid="_x0000_s1363" type="#_x0000_t202" style="position:absolute;left:16147;top:10935;width:1018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RLwgAAANwAAAAPAAAAZHJzL2Rvd25yZXYueG1sRI9Ba8JA&#10;FITvhf6H5Qm91Y1KQ0ldRaqCh17U9P7IvmaD2bch+zTx33cLBY/DzHzDLNejb9WN+tgENjCbZqCI&#10;q2Abrg2U5/3rO6goyBbbwGTgThHWq+enJRY2DHyk20lqlSAcCzTgRLpC61g58hinoSNO3k/oPUqS&#10;fa1tj0OC+1bPsyzXHhtOCw47+nRUXU5Xb0DEbmb3cufj4Xv82g4uq96wNOZlMm4+QAmN8gj/tw/W&#10;QJ4v4O9MOgJ69QsAAP//AwBQSwECLQAUAAYACAAAACEA2+H2y+4AAACFAQAAEwAAAAAAAAAAAAAA&#10;AAAAAAAAW0NvbnRlbnRfVHlwZXNdLnhtbFBLAQItABQABgAIAAAAIQBa9CxbvwAAABUBAAALAAAA&#10;AAAAAAAAAAAAAB8BAABfcmVscy8ucmVsc1BLAQItABQABgAIAAAAIQBzcwRLwgAAANwAAAAPAAAA&#10;AAAAAAAAAAAAAAcCAABkcnMvZG93bnJldi54bWxQSwUGAAAAAAMAAwC3AAAA9gIAAAAA&#10;" filled="f" stroked="f">
                  <v:textbox style="mso-fit-shape-to-text:t">
                    <w:txbxContent>
                      <w:p w14:paraId="79E470EC" w14:textId="77777777" w:rsidR="00777EE0" w:rsidRDefault="00777EE0" w:rsidP="007E1D13">
                        <w:pPr>
                          <w:jc w:val="center"/>
                          <w:rPr>
                            <w:szCs w:val="24"/>
                          </w:rPr>
                        </w:pPr>
                        <w:r>
                          <w:rPr>
                            <w:color w:val="000000" w:themeColor="text1"/>
                            <w:kern w:val="24"/>
                            <w:sz w:val="20"/>
                            <w:szCs w:val="20"/>
                          </w:rPr>
                          <w:t>Availability</w:t>
                        </w:r>
                      </w:p>
                    </w:txbxContent>
                  </v:textbox>
                </v:shape>
                <v:shape id="Straight Arrow Connector 664" o:spid="_x0000_s1364" type="#_x0000_t32" style="position:absolute;left:10627;top:7301;width:5400;height:4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IuxgAAANwAAAAPAAAAZHJzL2Rvd25yZXYueG1sRI9BS8NA&#10;FITvgv9heUJvdlMpQdJui60I0lNNFentkX3NpmbfprvbJP57VxA8DjPzDbNcj7YVPfnQOFYwm2Yg&#10;iCunG64VvB9e7h9BhIissXVMCr4pwHp1e7PEQruB36gvYy0ShEOBCkyMXSFlqAxZDFPXESfv5LzF&#10;mKSvpfY4JLht5UOW5dJiw2nBYEdbQ9VXebUK2n43XD6u54t53veHcvt5NBvfKTW5G58WICKN8T/8&#10;137VCvJ8Dr9n0hGQqx8AAAD//wMAUEsBAi0AFAAGAAgAAAAhANvh9svuAAAAhQEAABMAAAAAAAAA&#10;AAAAAAAAAAAAAFtDb250ZW50X1R5cGVzXS54bWxQSwECLQAUAAYACAAAACEAWvQsW78AAAAVAQAA&#10;CwAAAAAAAAAAAAAAAAAfAQAAX3JlbHMvLnJlbHNQSwECLQAUAAYACAAAACEAu24yLsYAAADcAAAA&#10;DwAAAAAAAAAAAAAAAAAHAgAAZHJzL2Rvd25yZXYueG1sUEsFBgAAAAADAAMAtwAAAPoCAAAAAA==&#10;" strokecolor="black [3213]">
                  <v:stroke endarrow="block"/>
                  <o:lock v:ext="edit" shapetype="f"/>
                </v:shape>
                <v:shape id="Straight Arrow Connector 665" o:spid="_x0000_s1365" type="#_x0000_t32" style="position:absolute;left:26679;top:2294;width:2866;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e1xgAAANwAAAAPAAAAZHJzL2Rvd25yZXYueG1sRI9BS8NA&#10;FITvgv9heUJvdlOhQdJui60I0lNNFentkX3NpmbfprvbJP57VxA8DjPzDbNcj7YVPfnQOFYwm2Yg&#10;iCunG64VvB9e7h9BhIissXVMCr4pwHp1e7PEQruB36gvYy0ShEOBCkyMXSFlqAxZDFPXESfv5LzF&#10;mKSvpfY4JLht5UOW5dJiw2nBYEdbQ9VXebUK2n43XD6u54t53veHcvt5NBvfKTW5G58WICKN8T/8&#10;137VCvJ8Dr9n0hGQqx8AAAD//wMAUEsBAi0AFAAGAAgAAAAhANvh9svuAAAAhQEAABMAAAAAAAAA&#10;AAAAAAAAAAAAAFtDb250ZW50X1R5cGVzXS54bWxQSwECLQAUAAYACAAAACEAWvQsW78AAAAVAQAA&#10;CwAAAAAAAAAAAAAAAAAfAQAAX3JlbHMvLnJlbHNQSwECLQAUAAYACAAAACEA1CKXtcYAAADcAAAA&#10;DwAAAAAAAAAAAAAAAAAHAgAAZHJzL2Rvd25yZXYueG1sUEsFBgAAAAADAAMAtwAAAPoCAAAAAA==&#10;" strokecolor="black [3213]">
                  <v:stroke endarrow="block"/>
                  <o:lock v:ext="edit" shapetype="f"/>
                </v:shape>
                <v:shape id="Straight Arrow Connector 666" o:spid="_x0000_s1366" type="#_x0000_t32" style="position:absolute;left:26678;top:12356;width:330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NkxAAAANwAAAAPAAAAZHJzL2Rvd25yZXYueG1sRI9Bi8Iw&#10;FITvC/6H8IS9rakKVatRRNDVvVkF9fZonm2xeSlNVrv/3iwIHoeZ+YaZLVpTiTs1rrSsoN+LQBBn&#10;VpecKzge1l9jEM4ja6wsk4I/crCYdz5mmGj74D3dU5+LAGGXoILC+zqR0mUFGXQ9WxMH72obgz7I&#10;Jpe6wUeAm0oOoiiWBksOCwXWtCoou6W/RsFInr6jcbYd9CfD4/mySu3uZ2OV+uy2yykIT61/h1/t&#10;rVYQxzH8nwlHQM6fAAAA//8DAFBLAQItABQABgAIAAAAIQDb4fbL7gAAAIUBAAATAAAAAAAAAAAA&#10;AAAAAAAAAABbQ29udGVudF9UeXBlc10ueG1sUEsBAi0AFAAGAAgAAAAhAFr0LFu/AAAAFQEAAAsA&#10;AAAAAAAAAAAAAAAAHwEAAF9yZWxzLy5yZWxzUEsBAi0AFAAGAAgAAAAhAPF+U2TEAAAA3AAAAA8A&#10;AAAAAAAAAAAAAAAABwIAAGRycy9kb3ducmV2LnhtbFBLBQYAAAAAAwADALcAAAD4AgAAAAA=&#10;" strokecolor="black [3213]">
                  <v:stroke endarrow="block"/>
                  <o:lock v:ext="edit" shapetype="f"/>
                </v:shape>
                <v:shape id="Straight Arrow Connector 667" o:spid="_x0000_s1367" type="#_x0000_t32" style="position:absolute;left:38989;top:6436;width:4354;height:57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b/xAAAANwAAAAPAAAAZHJzL2Rvd25yZXYueG1sRI9Pi8Iw&#10;FMTvwn6H8ARvmqpQtWuURfDPetuuoN4ezdu22LyUJmr99mZB8DjMzG+Y+bI1lbhR40rLCoaDCARx&#10;ZnXJuYLD77o/BeE8ssbKMil4kIPl4qMzx0TbO//QLfW5CBB2CSoovK8TKV1WkEE3sDVx8P5sY9AH&#10;2eRSN3gPcFPJURTF0mDJYaHAmlYFZZf0ahRM5HEbTbPdaDgbH07nVWq/9xurVK/bfn2C8NT6d/jV&#10;3mkFcTyB/zPhCMjFEwAA//8DAFBLAQItABQABgAIAAAAIQDb4fbL7gAAAIUBAAATAAAAAAAAAAAA&#10;AAAAAAAAAABbQ29udGVudF9UeXBlc10ueG1sUEsBAi0AFAAGAAgAAAAhAFr0LFu/AAAAFQEAAAsA&#10;AAAAAAAAAAAAAAAAHwEAAF9yZWxzLy5yZWxzUEsBAi0AFAAGAAgAAAAhAJ4y9v/EAAAA3AAAAA8A&#10;AAAAAAAAAAAAAAAABwIAAGRycy9kb3ducmV2LnhtbFBLBQYAAAAAAwADALcAAAD4AgAAAAA=&#10;" strokecolor="black [3213]">
                  <v:stroke endarrow="block"/>
                  <o:lock v:ext="edit" shapetype="f"/>
                </v:shape>
                <v:shape id="Straight Arrow Connector 668" o:spid="_x0000_s1368" type="#_x0000_t32" style="position:absolute;left:10222;top:2294;width:5817;height:50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KNwAAAANwAAAAPAAAAZHJzL2Rvd25yZXYueG1sRE/LisIw&#10;FN0L/kO4gjtNVahONYoIPndWYWZ2l+baFpub0kTt/P1kIbg8nPdi1ZpKPKlxpWUFo2EEgjizuuRc&#10;wfWyHcxAOI+ssbJMCv7IwWrZ7Sww0fbFZ3qmPhchhF2CCgrv60RKlxVk0A1tTRy4m20M+gCbXOoG&#10;XyHcVHIcRbE0WHJoKLCmTUHZPX0YBVP5vY9m2WE8+ppcf343qT2edlapfq9dz0F4av1H/HYftII4&#10;DmvDmXAE5PIfAAD//wMAUEsBAi0AFAAGAAgAAAAhANvh9svuAAAAhQEAABMAAAAAAAAAAAAAAAAA&#10;AAAAAFtDb250ZW50X1R5cGVzXS54bWxQSwECLQAUAAYACAAAACEAWvQsW78AAAAVAQAACwAAAAAA&#10;AAAAAAAAAAAfAQAAX3JlbHMvLnJlbHNQSwECLQAUAAYACAAAACEA761ijcAAAADcAAAADwAAAAAA&#10;AAAAAAAAAAAHAgAAZHJzL2Rvd25yZXYueG1sUEsFBgAAAAADAAMAtwAAAPQCAAAAAA==&#10;" strokecolor="black [3213]">
                  <v:stroke endarrow="block"/>
                  <o:lock v:ext="edit" shapetype="f"/>
                </v:shape>
                <v:group id="Group 669" o:spid="_x0000_s1369" style="position:absolute;left:29815;top:9924;width:9614;height:4962" coordorigin="29815,9924" coordsize="11418,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TextBox 373" o:spid="_x0000_s1370" type="#_x0000_t202" style="position:absolute;left:29815;top:11330;width:1141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zhwAAAANwAAAAPAAAAZHJzL2Rvd25yZXYueG1sRE89a8Mw&#10;EN0L/Q/iCt1qOYWmxY1iTNJChixN3f2wLpaJdTLWNXb+fTQEMj7e96qcfa/ONMYusIFFloMiboLt&#10;uDVQ/36/fICKgmyxD0wGLhShXD8+rLCwYeIfOh+kVSmEY4EGnMhQaB0bRx5jFgbixB3D6FESHFtt&#10;R5xSuO/1a54vtceOU4PDgTaOmtPh3xsQsdXiUn/5uPub99vJ5c0b1sY8P83VJyihWe7im3tnDSzf&#10;0/x0Jh0Bvb4CAAD//wMAUEsBAi0AFAAGAAgAAAAhANvh9svuAAAAhQEAABMAAAAAAAAAAAAAAAAA&#10;AAAAAFtDb250ZW50X1R5cGVzXS54bWxQSwECLQAUAAYACAAAACEAWvQsW78AAAAVAQAACwAAAAAA&#10;AAAAAAAAAAAfAQAAX3JlbHMvLnJlbHNQSwECLQAUAAYACAAAACEABngM4cAAAADcAAAADwAAAAAA&#10;AAAAAAAAAAAHAgAAZHJzL2Rvd25yZXYueG1sUEsFBgAAAAADAAMAtwAAAPQCAAAAAA==&#10;" filled="f" stroked="f">
                    <v:textbox style="mso-fit-shape-to-text:t">
                      <w:txbxContent>
                        <w:p w14:paraId="15827797" w14:textId="77777777" w:rsidR="00777EE0" w:rsidRDefault="00777EE0" w:rsidP="007E1D13">
                          <w:pPr>
                            <w:jc w:val="center"/>
                            <w:rPr>
                              <w:szCs w:val="24"/>
                            </w:rPr>
                          </w:pPr>
                          <w:r>
                            <w:rPr>
                              <w:color w:val="000000" w:themeColor="text1"/>
                              <w:kern w:val="24"/>
                              <w:sz w:val="20"/>
                              <w:szCs w:val="20"/>
                            </w:rPr>
                            <w:t>Restriction</w:t>
                          </w:r>
                        </w:p>
                      </w:txbxContent>
                    </v:textbox>
                  </v:shape>
                  <v:roundrect id="Rectangle: Rounded Corners 671" o:spid="_x0000_s1371" style="position:absolute;left:29969;top:9924;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2+xgAAANwAAAAPAAAAZHJzL2Rvd25yZXYueG1sRI9Ba8JA&#10;FITvBf/D8gQvRTfxYCR1FS0UigehmkN7e2Zfk2D2bdzdavz3XUHwOMzMN8xi1ZtWXMj5xrKCdJKA&#10;IC6tbrhSUBw+xnMQPiBrbC2Tght5WC0HLwvMtb3yF132oRIRwj5HBXUIXS6lL2sy6Ce2I47er3UG&#10;Q5SuktrhNcJNK6dJMpMGG44LNXb0XlN52v8ZBdluc9x8Z8X2Z+5eMV3bbVV0Z6VGw379BiJQH57h&#10;R/tTK5hlKdzPxCMgl/8AAAD//wMAUEsBAi0AFAAGAAgAAAAhANvh9svuAAAAhQEAABMAAAAAAAAA&#10;AAAAAAAAAAAAAFtDb250ZW50X1R5cGVzXS54bWxQSwECLQAUAAYACAAAACEAWvQsW78AAAAVAQAA&#10;CwAAAAAAAAAAAAAAAAAfAQAAX3JlbHMvLnJlbHNQSwECLQAUAAYACAAAACEACusNvsYAAADcAAAA&#10;DwAAAAAAAAAAAAAAAAAHAgAAZHJzL2Rvd25yZXYueG1sUEsFBgAAAAADAAMAtwAAAPoCAAAAAA==&#10;" filled="f" strokecolor="black [3213]"/>
                </v:group>
                <v:roundrect id="Rectangle: Rounded Corners 672" o:spid="_x0000_s1372" style="position:absolute;left:16027;top:9944;width:10641;height:4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PJxgAAANwAAAAPAAAAZHJzL2Rvd25yZXYueG1sRI9Ba8JA&#10;FITvBf/D8gQvRTd6MBJdRYWCeChUc9DbM/tMgtm3cXer6b/vFgoeh5n5hlmsOtOIBzlfW1YwHiUg&#10;iAuray4V5MeP4QyED8gaG8uk4Ic8rJa9twVm2j75ix6HUIoIYZ+hgiqENpPSFxUZ9CPbEkfvap3B&#10;EKUrpXb4jHDTyEmSTKXBmuNChS1tKypuh2+jIP3cXDanNN+fZ+4dx2u7L/P2rtSg363nIAJ14RX+&#10;b++0gmk6gb8z8QjI5S8AAAD//wMAUEsBAi0AFAAGAAgAAAAhANvh9svuAAAAhQEAABMAAAAAAAAA&#10;AAAAAAAAAAAAAFtDb250ZW50X1R5cGVzXS54bWxQSwECLQAUAAYACAAAACEAWvQsW78AAAAVAQAA&#10;CwAAAAAAAAAAAAAAAAAfAQAAX3JlbHMvLnJlbHNQSwECLQAUAAYACAAAACEA+jmTycYAAADcAAAA&#10;DwAAAAAAAAAAAAAAAAAHAgAAZHJzL2Rvd25yZXYueG1sUEsFBgAAAAADAAMAtwAAAPoCAAAAAA==&#10;" filled="f" strokecolor="black [3213]"/>
                <v:group id="Group 673" o:spid="_x0000_s1373" style="position:absolute;left:28976;top:48;width:10299;height:5931" coordorigin="28975,48" coordsize="1223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TextBox 371" o:spid="_x0000_s1374" type="#_x0000_t202" style="position:absolute;left:28975;top:543;width:12234;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14:paraId="37017B67" w14:textId="77777777" w:rsidR="00777EE0" w:rsidRDefault="00777EE0" w:rsidP="007E1D13">
                          <w:pPr>
                            <w:jc w:val="center"/>
                            <w:rPr>
                              <w:szCs w:val="24"/>
                            </w:rPr>
                          </w:pPr>
                          <w:r>
                            <w:rPr>
                              <w:color w:val="000000" w:themeColor="text1"/>
                              <w:kern w:val="24"/>
                              <w:sz w:val="20"/>
                              <w:szCs w:val="20"/>
                            </w:rPr>
                            <w:t xml:space="preserve">Psycho-social factors </w:t>
                          </w:r>
                        </w:p>
                      </w:txbxContent>
                    </v:textbox>
                  </v:shape>
                  <v:roundrect id="Rectangle: Rounded Corners 675" o:spid="_x0000_s1375" style="position:absolute;left:29651;top:48;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u9xgAAANwAAAAPAAAAZHJzL2Rvd25yZXYueG1sRI9Ba8JA&#10;FITvBf/D8oReim4s1Eh0FS0UigdBm0O9PbPPJJh9m+5uNf57VxA8DjPzDTNbdKYRZ3K+tqxgNExA&#10;EBdW11wqyH++BhMQPiBrbCyTgit5WMx7LzPMtL3wls67UIoIYZ+hgiqENpPSFxUZ9EPbEkfvaJ3B&#10;EKUrpXZ4iXDTyPckGUuDNceFClv6rKg47f6NgnSzOqx+03y9n7g3HC3tuszbP6Ve+91yCiJQF57h&#10;R/tbKxinH3A/E4+AnN8AAAD//wMAUEsBAi0AFAAGAAgAAAAhANvh9svuAAAAhQEAABMAAAAAAAAA&#10;AAAAAAAAAAAAAFtDb250ZW50X1R5cGVzXS54bWxQSwECLQAUAAYACAAAACEAWvQsW78AAAAVAQAA&#10;CwAAAAAAAAAAAAAAAAAfAQAAX3JlbHMvLnJlbHNQSwECLQAUAAYACAAAACEAddALvcYAAADcAAAA&#10;DwAAAAAAAAAAAAAAAAAHAgAAZHJzL2Rvd25yZXYueG1sUEsFBgAAAAADAAMAtwAAAPoCAAAAAA==&#10;" filled="f" strokecolor="black [3213]"/>
                </v:group>
                <v:group id="Group 676" o:spid="_x0000_s1376" style="position:absolute;left:43343;top:4142;width:8189;height:6069" coordorigin="43343,4142" coordsize="1074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TextBox 367" o:spid="_x0000_s1377" type="#_x0000_t202" style="position:absolute;left:44577;top:4813;width:8022;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3023DC14" w14:textId="77777777" w:rsidR="00777EE0" w:rsidRDefault="00777EE0" w:rsidP="007E1D13">
                          <w:pPr>
                            <w:jc w:val="center"/>
                            <w:rPr>
                              <w:szCs w:val="24"/>
                            </w:rPr>
                          </w:pPr>
                          <w:r>
                            <w:rPr>
                              <w:color w:val="000000" w:themeColor="text1"/>
                              <w:kern w:val="24"/>
                              <w:sz w:val="20"/>
                              <w:szCs w:val="20"/>
                            </w:rPr>
                            <w:t>NPS use</w:t>
                          </w:r>
                        </w:p>
                      </w:txbxContent>
                    </v:textbox>
                  </v:shape>
                  <v:roundrect id="Rectangle: Rounded Corners 678" o:spid="_x0000_s1378" style="position:absolute;left:43343;top:4142;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QjwgAAANwAAAAPAAAAZHJzL2Rvd25yZXYueG1sRE9Ni8Iw&#10;EL0L/ocwghfRVA9WqlF0YWHxsKD2sHsbm7EtNpOaZLX7781B8Ph436tNZxpxJ+drywqmkwQEcWF1&#10;zaWC/PQ5XoDwAVljY5kU/JOHzbrfW2Gm7YMPdD+GUsQQ9hkqqEJoMyl9UZFBP7EtceQu1hkMEbpS&#10;aoePGG4aOUuSuTRYc2yosKWPiorr8c8oSL93591Pmu9/F26E063dl3l7U2o46LZLEIG68Ba/3F9a&#10;wTyNa+OZeATk+gkAAP//AwBQSwECLQAUAAYACAAAACEA2+H2y+4AAACFAQAAEwAAAAAAAAAAAAAA&#10;AAAAAAAAW0NvbnRlbnRfVHlwZXNdLnhtbFBLAQItABQABgAIAAAAIQBa9CxbvwAAABUBAAALAAAA&#10;AAAAAAAAAAAAAB8BAABfcmVscy8ucmVsc1BLAQItABQABgAIAAAAIQCb0aQjwgAAANwAAAAPAAAA&#10;AAAAAAAAAAAAAAcCAABkcnMvZG93bnJldi54bWxQSwUGAAAAAAMAAwC3AAAA9gIAAAAA&#10;" filled="f" strokecolor="black [3213]"/>
                </v:group>
                <v:group id="Group 679" o:spid="_x0000_s1379" style="position:absolute;left:14718;width:13176;height:4810" coordorigin="14718" coordsize="1330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TextBox 365" o:spid="_x0000_s1380" type="#_x0000_t202" style="position:absolute;left:14718;top:1212;width:13303;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310A2C19" w14:textId="77777777" w:rsidR="00777EE0" w:rsidRDefault="00777EE0" w:rsidP="007E1D13">
                          <w:pPr>
                            <w:jc w:val="center"/>
                            <w:rPr>
                              <w:szCs w:val="24"/>
                            </w:rPr>
                          </w:pPr>
                          <w:r>
                            <w:rPr>
                              <w:color w:val="000000" w:themeColor="text1"/>
                              <w:kern w:val="24"/>
                              <w:sz w:val="20"/>
                              <w:szCs w:val="20"/>
                            </w:rPr>
                            <w:t>Risk messages</w:t>
                          </w:r>
                        </w:p>
                      </w:txbxContent>
                    </v:textbox>
                  </v:shape>
                  <v:roundrect id="Rectangle: Rounded Corners 681" o:spid="_x0000_s1381" style="position:absolute;left:16052;width:10743;height:5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ZxgAAANwAAAAPAAAAZHJzL2Rvd25yZXYueG1sRI9Ba8JA&#10;FITvgv9heYIX0U08aEhdRQuF4qFQzaG9PbOvSTD7Nu5uNf33XUHwOMzMN8xq05tWXMn5xrKCdJaA&#10;IC6tbrhSUBzfphkIH5A1tpZJwR952KyHgxXm2t74k66HUIkIYZ+jgjqELpfSlzUZ9DPbEUfvxzqD&#10;IUpXSe3wFuGmlfMkWUiDDceFGjt6rak8H36NguXH7rT7Whb778xNMN3afVV0F6XGo377AiJQH57h&#10;R/tdK1hkKdzPxCMg1/8AAAD//wMAUEsBAi0AFAAGAAgAAAAhANvh9svuAAAAhQEAABMAAAAAAAAA&#10;AAAAAAAAAAAAAFtDb250ZW50X1R5cGVzXS54bWxQSwECLQAUAAYACAAAACEAWvQsW78AAAAVAQAA&#10;CwAAAAAAAAAAAAAAAAAfAQAAX3JlbHMvLnJlbHNQSwECLQAUAAYACAAAACEAPz59mcYAAADcAAAA&#10;DwAAAAAAAAAAAAAAAAAHAgAAZHJzL2Rvd25yZXYueG1sUEsFBgAAAAADAAMAtwAAAPoCAAAAAA==&#10;" filled="f" strokecolor="black [3213]"/>
                </v:group>
                <v:group id="Group 682" o:spid="_x0000_s1382" style="position:absolute;top:5006;width:10627;height:5888" coordorigin=",5006" coordsize="7527,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683" o:spid="_x0000_s1383" style="position:absolute;top:5006;width:752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SZxgAAANwAAAAPAAAAZHJzL2Rvd25yZXYueG1sRI/NasMw&#10;EITvhbyD2EAvpZHbgBPcKCEUTAw95eeQ49baWk6slSMpifv2VaHQ4zAz3zCL1WA7cSMfWscKXiYZ&#10;COLa6ZYbBYd9+TwHESKyxs4xKfimAKvl6GGBhXZ33tJtFxuRIBwKVGBi7AspQ23IYpi4njh5X85b&#10;jEn6RmqP9wS3nXzNslxabDktGOzp3VB93l2tgidnZ36bnz7L02Z9Obr4Ma36mVKP42H9BiLSEP/D&#10;f+1KK8jnU/g9k46AXP4AAAD//wMAUEsBAi0AFAAGAAgAAAAhANvh9svuAAAAhQEAABMAAAAAAAAA&#10;AAAAAAAAAAAAAFtDb250ZW50X1R5cGVzXS54bWxQSwECLQAUAAYACAAAACEAWvQsW78AAAAVAQAA&#10;CwAAAAAAAAAAAAAAAAAfAQAAX3JlbHMvLnJlbHNQSwECLQAUAAYACAAAACEAFGkkmcYAAADcAAAA&#10;DwAAAAAAAAAAAAAAAAAHAgAAZHJzL2Rvd25yZXYueG1sUEsFBgAAAAADAAMAtwAAAPoCAAAAAA==&#10;" fillcolor="white [3212]" strokecolor="black [3213]"/>
                  <v:shape id="TextBox 364" o:spid="_x0000_s1384" type="#_x0000_t202" style="position:absolute;left:144;top:5341;width:7098;height: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3BE16EB2" w14:textId="77777777" w:rsidR="00777EE0" w:rsidRDefault="00777EE0" w:rsidP="007E1D13">
                          <w:pPr>
                            <w:jc w:val="center"/>
                            <w:rPr>
                              <w:szCs w:val="24"/>
                            </w:rPr>
                          </w:pPr>
                          <w:r>
                            <w:rPr>
                              <w:color w:val="000000" w:themeColor="text1"/>
                              <w:kern w:val="24"/>
                              <w:sz w:val="20"/>
                              <w:szCs w:val="20"/>
                            </w:rPr>
                            <w:t>Psychoactive Substances Act</w:t>
                          </w:r>
                        </w:p>
                      </w:txbxContent>
                    </v:textbox>
                  </v:shape>
                </v:group>
                <v:shape id="Straight Arrow Connector 685" o:spid="_x0000_s1385" type="#_x0000_t32" style="position:absolute;left:38589;top:2342;width:4754;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FPxgAAANwAAAAPAAAAZHJzL2Rvd25yZXYueG1sRI9BawIx&#10;FITvhf6H8ArearYFRbZGqZaCeGpXpXh7bJ6brZuXNYm723/fFAoeh5n5hpkvB9uIjnyoHSt4Gmcg&#10;iEuna64U7HfvjzMQISJrbByTgh8KsFzc380x167nT+qKWIkE4ZCjAhNjm0sZSkMWw9i1xMk7OW8x&#10;JukrqT32CW4b+ZxlU2mx5rRgsKW1ofJcXK2Cptv2l8P1+2LePrpdsf46mpVvlRo9DK8vICIN8Rb+&#10;b2+0gulsAn9n0hGQi18AAAD//wMAUEsBAi0AFAAGAAgAAAAhANvh9svuAAAAhQEAABMAAAAAAAAA&#10;AAAAAAAAAAAAAFtDb250ZW50X1R5cGVzXS54bWxQSwECLQAUAAYACAAAACEAWvQsW78AAAAVAQAA&#10;CwAAAAAAAAAAAAAAAAAfAQAAX3JlbHMvLnJlbHNQSwECLQAUAAYACAAAACEAZC5xT8YAAADcAAAA&#10;DwAAAAAAAAAAAAAAAAAHAgAAZHJzL2Rvd25yZXYueG1sUEsFBgAAAAADAAMAtwAAAPoCAAAAAA==&#10;" strokecolor="black [3213]">
                  <v:stroke endarrow="block"/>
                  <o:lock v:ext="edit" shapetype="f"/>
                </v:shape>
                <v:group id="Group 686" o:spid="_x0000_s1386" style="position:absolute;left:54638;top:4127;width:8160;height:5182" coordorigin="54638,4127" coordsize="7972,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angle 687" o:spid="_x0000_s1387" style="position:absolute;left:54674;top:4127;width:7528;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KaxQAAANwAAAAPAAAAZHJzL2Rvd25yZXYueG1sRI9Pa8JA&#10;FMTvQr/D8gq9SN3YQhKiq0hBKvTkn0OPz+wziWbfprurpt/eFQSPw8z8hpnOe9OKCznfWFYwHiUg&#10;iEurG64U7LbL9xyED8gaW8uk4J88zGcvgykW2l55TZdNqESEsC9QQR1CV0jpy5oM+pHtiKN3sM5g&#10;iNJVUju8Rrhp5UeSpNJgw3Ghxo6+aipPm7NRMLQmc+v0uF8evxd/vzb8fK66TKm3134xARGoD8/w&#10;o73SCtI8g/uZeATk7AYAAP//AwBQSwECLQAUAAYACAAAACEA2+H2y+4AAACFAQAAEwAAAAAAAAAA&#10;AAAAAAAAAAAAW0NvbnRlbnRfVHlwZXNdLnhtbFBLAQItABQABgAIAAAAIQBa9CxbvwAAABUBAAAL&#10;AAAAAAAAAAAAAAAAAB8BAABfcmVscy8ucmVsc1BLAQItABQABgAIAAAAIQBrUiKaxQAAANwAAAAP&#10;AAAAAAAAAAAAAAAAAAcCAABkcnMvZG93bnJldi54bWxQSwUGAAAAAAMAAwC3AAAA+QIAAAAA&#10;" fillcolor="white [3212]" strokecolor="black [3213]"/>
                  <v:shape id="TextBox 362" o:spid="_x0000_s1388" type="#_x0000_t202" style="position:absolute;left:54638;top:5410;width:7973;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14:paraId="589B494C" w14:textId="77777777" w:rsidR="00777EE0" w:rsidRDefault="00777EE0" w:rsidP="007E1D13">
                          <w:pPr>
                            <w:jc w:val="center"/>
                            <w:rPr>
                              <w:szCs w:val="24"/>
                            </w:rPr>
                          </w:pPr>
                          <w:r>
                            <w:rPr>
                              <w:color w:val="000000" w:themeColor="text1"/>
                              <w:kern w:val="24"/>
                              <w:sz w:val="20"/>
                              <w:szCs w:val="20"/>
                            </w:rPr>
                            <w:t>Drug harms</w:t>
                          </w:r>
                        </w:p>
                      </w:txbxContent>
                    </v:textbox>
                  </v:shape>
                </v:group>
                <v:shape id="Straight Arrow Connector 689" o:spid="_x0000_s1389" type="#_x0000_t32" style="position:absolute;left:51532;top:6415;width:3110;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HsxgAAANwAAAAPAAAAZHJzL2Rvd25yZXYueG1sRI9Ba8JA&#10;FITvQv/D8gq96UYLMYmuUgKt1lvTQOvtkX1NQrNvQ3ar8d93BcHjMDPfMOvtaDpxosG1lhXMZxEI&#10;4srqlmsF5efrNAHhPLLGzjIpuJCD7eZhssZM2zN/0KnwtQgQdhkqaLzvMyld1ZBBN7M9cfB+7GDQ&#10;BznUUg94DnDTyUUUxdJgy2GhwZ7yhqrf4s8oWMqvXZRU+8U8fS6/j3lh3w9vVqmnx/FlBcLT6O/h&#10;W3uvFcRJCtcz4QjIzT8AAAD//wMAUEsBAi0AFAAGAAgAAAAhANvh9svuAAAAhQEAABMAAAAAAAAA&#10;AAAAAAAAAAAAAFtDb250ZW50X1R5cGVzXS54bWxQSwECLQAUAAYACAAAACEAWvQsW78AAAAVAQAA&#10;CwAAAAAAAAAAAAAAAAAfAQAAX3JlbHMvLnJlbHNQSwECLQAUAAYACAAAACEAMO0h7MYAAADcAAAA&#10;DwAAAAAAAAAAAAAAAAAHAgAAZHJzL2Rvd25yZXYueG1sUEsFBgAAAAADAAMAtwAAAPoCAAAAAA==&#10;" strokecolor="black [3213]">
                  <v:stroke endarrow="block"/>
                  <o:lock v:ext="edit" shapetype="f"/>
                </v:shape>
                <v:shape id="TextBox 316" o:spid="_x0000_s1390" type="#_x0000_t202" style="position:absolute;left:27185;top:12169;width:367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14:paraId="39304E6F"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317" o:spid="_x0000_s1391" type="#_x0000_t202" style="position:absolute;left:41246;top:6611;width:332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14:paraId="167DF4E6"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v:textbox>
                </v:shape>
                <v:shape id="TextBox 318" o:spid="_x0000_s1392" type="#_x0000_t202" style="position:absolute;left:39284;top:3142;width:332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14:paraId="30FF5086"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v:textbox>
                </v:shape>
                <v:shape id="TextBox 351" o:spid="_x0000_s1393" type="#_x0000_t202" style="position:absolute;left:13075;top:386;width:432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14:paraId="7D5623FD"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354" o:spid="_x0000_s1394" type="#_x0000_t202" style="position:absolute;left:52171;top:2935;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14:paraId="28406D3C"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360" o:spid="_x0000_s1395" type="#_x0000_t202" style="position:absolute;left:12103;top:8887;width:4325;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14:paraId="28F3E99A"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v:textbox>
                </v:shape>
                <w10:wrap type="topAndBottom"/>
              </v:group>
            </w:pict>
          </mc:Fallback>
        </mc:AlternateContent>
      </w:r>
      <w:r w:rsidRPr="004B0B16">
        <w:t>Figure 7-1 proposed mechanisms of change underlying the Psychoactive Substances Act</w:t>
      </w:r>
      <w:bookmarkEnd w:id="443"/>
      <w:r w:rsidRPr="004B0B16">
        <w:t xml:space="preserve"> </w:t>
      </w:r>
    </w:p>
    <w:p w14:paraId="05AAF520" w14:textId="583A3062" w:rsidR="007E1D13" w:rsidRPr="0076281D" w:rsidRDefault="007E1D13" w:rsidP="004B0B16">
      <w:pPr>
        <w:spacing w:line="480" w:lineRule="auto"/>
      </w:pPr>
      <w:r>
        <w:rPr>
          <w:szCs w:val="24"/>
          <w:lang w:eastAsia="en-GB"/>
        </w:rPr>
        <w:br/>
      </w:r>
      <w:r w:rsidRPr="004B0B16">
        <w:t xml:space="preserve">While the supply pathway </w:t>
      </w:r>
      <w:r w:rsidRPr="0076281D">
        <w:t xml:space="preserve">impacts potential users’ indirectly via availability, the demand reduction pathway targets potential users directly, aiming to influence their self-directed behaviour by altering their beliefs about NPS. The model of behaviour assumed within the PS Act represents the intended mechanism of change for the demand reduction pathway. Although </w:t>
      </w:r>
      <w:r w:rsidR="000E6D88">
        <w:t xml:space="preserve">the </w:t>
      </w:r>
      <w:r w:rsidRPr="0076281D">
        <w:t>development of the PS Act did not</w:t>
      </w:r>
      <w:r>
        <w:t xml:space="preserve"> </w:t>
      </w:r>
      <w:r w:rsidRPr="0076281D">
        <w:t>draw on any theoretical accounts of behaviour, Government drug policy explicitly presents people’s drug avoidance behaviour as the outcome of rational decision-making processes that are said to be influenced by risk perceptions and knowledge of the legal status of substances (HM Government, 2010, 2013, 2017).</w:t>
      </w:r>
    </w:p>
    <w:p w14:paraId="0A8A923D" w14:textId="518AB769" w:rsidR="007E1D13" w:rsidRDefault="007E1D13" w:rsidP="007E1D13">
      <w:pPr>
        <w:spacing w:line="480" w:lineRule="auto"/>
      </w:pPr>
      <w:r w:rsidRPr="0076281D">
        <w:t xml:space="preserve">Although justification for the implementation of the PS Act was partially based on the </w:t>
      </w:r>
      <w:r>
        <w:t xml:space="preserve">assumption that young people use NPS due to perceptions of safety conferred by their legal status, evaluations of the Act have not included any measures of psychosocial variables within the primary target population (HM Government, 2018). In addition, no research to date has investigated the impact of the Act on young people’s beliefs, reasons or motives for NPS use or avoidance of use. Consequently, this study aimed to elicit the NPS-related cognitions of a sample of young people in the UK following implementation of the PS Act, in order to compare them with those of a </w:t>
      </w:r>
      <w:r w:rsidR="00F42121">
        <w:t>similar</w:t>
      </w:r>
      <w:r>
        <w:t xml:space="preserve"> sample collected in Study 1 prior to implementation of the Act. </w:t>
      </w:r>
    </w:p>
    <w:p w14:paraId="0118D7D3" w14:textId="0C85D2E0" w:rsidR="007E1D13" w:rsidRDefault="007E1D13" w:rsidP="007E1D13">
      <w:pPr>
        <w:pStyle w:val="Heading2"/>
      </w:pPr>
      <w:bookmarkStart w:id="444" w:name="_Toc35892701"/>
      <w:r>
        <w:t>Research aims and objectives:</w:t>
      </w:r>
      <w:bookmarkEnd w:id="444"/>
    </w:p>
    <w:p w14:paraId="311C6CD4" w14:textId="4B5EF83E" w:rsidR="007E1D13" w:rsidRDefault="007E1D13" w:rsidP="007E1D13">
      <w:pPr>
        <w:spacing w:line="480" w:lineRule="auto"/>
      </w:pPr>
      <w:r w:rsidRPr="001007C6">
        <w:rPr>
          <w:szCs w:val="24"/>
        </w:rPr>
        <w:t>With a target population of young people aged 15 to 25,</w:t>
      </w:r>
      <w:r w:rsidRPr="001007C6">
        <w:rPr>
          <w:b/>
          <w:szCs w:val="24"/>
        </w:rPr>
        <w:t xml:space="preserve"> </w:t>
      </w:r>
      <w:r w:rsidRPr="001007C6">
        <w:rPr>
          <w:szCs w:val="24"/>
        </w:rPr>
        <w:t xml:space="preserve">the </w:t>
      </w:r>
      <w:r>
        <w:rPr>
          <w:szCs w:val="24"/>
        </w:rPr>
        <w:t>specific</w:t>
      </w:r>
      <w:r w:rsidRPr="001007C6">
        <w:rPr>
          <w:szCs w:val="24"/>
        </w:rPr>
        <w:t xml:space="preserve"> aims of this </w:t>
      </w:r>
      <w:r>
        <w:rPr>
          <w:szCs w:val="24"/>
        </w:rPr>
        <w:t xml:space="preserve">study were </w:t>
      </w:r>
      <w:r>
        <w:t xml:space="preserve">to </w:t>
      </w:r>
      <w:r w:rsidRPr="001007C6">
        <w:rPr>
          <w:bCs/>
          <w:szCs w:val="24"/>
        </w:rPr>
        <w:t>compare pre- and post-ban beliefs</w:t>
      </w:r>
      <w:r>
        <w:rPr>
          <w:bCs/>
          <w:szCs w:val="24"/>
        </w:rPr>
        <w:t xml:space="preserve">, </w:t>
      </w:r>
      <w:r w:rsidRPr="001007C6">
        <w:rPr>
          <w:bCs/>
          <w:szCs w:val="24"/>
        </w:rPr>
        <w:t>reasons</w:t>
      </w:r>
      <w:r>
        <w:rPr>
          <w:bCs/>
          <w:szCs w:val="24"/>
        </w:rPr>
        <w:t xml:space="preserve"> and motives for NPS use and non-use and to assess the extent to which they may have been affected by the introduction of the </w:t>
      </w:r>
      <w:r w:rsidRPr="001007C6">
        <w:rPr>
          <w:szCs w:val="24"/>
        </w:rPr>
        <w:t>2016 Psychoactive Substances Act</w:t>
      </w:r>
      <w:r>
        <w:rPr>
          <w:szCs w:val="24"/>
        </w:rPr>
        <w:t xml:space="preserve"> (also referred to here as the ban). In line with the overarching project aim of informing NPS interventions, the findings were also considered in the light of their implications for the selection and development of theory suitable for use in intervention development. Consequently, the </w:t>
      </w:r>
      <w:r>
        <w:t>objectives of the study were to:</w:t>
      </w:r>
    </w:p>
    <w:p w14:paraId="2A87DD2E" w14:textId="77777777" w:rsidR="007E1D13" w:rsidRDefault="007E1D13" w:rsidP="00C92BD2">
      <w:pPr>
        <w:pStyle w:val="ListParagraph"/>
        <w:numPr>
          <w:ilvl w:val="0"/>
          <w:numId w:val="4"/>
        </w:numPr>
        <w:spacing w:line="480" w:lineRule="auto"/>
        <w:ind w:hanging="357"/>
      </w:pPr>
      <w:r>
        <w:t>Elicit and analyse young people’s beliefs, reasons and motivations for NPS use and non-use more than a year after implementation of the PS Act</w:t>
      </w:r>
    </w:p>
    <w:p w14:paraId="393CFCB9" w14:textId="77777777" w:rsidR="007E1D13" w:rsidRDefault="007E1D13" w:rsidP="00C92BD2">
      <w:pPr>
        <w:pStyle w:val="ListParagraph"/>
        <w:numPr>
          <w:ilvl w:val="0"/>
          <w:numId w:val="4"/>
        </w:numPr>
        <w:spacing w:line="480" w:lineRule="auto"/>
        <w:ind w:hanging="357"/>
      </w:pPr>
      <w:r w:rsidRPr="0033479F">
        <w:t>To</w:t>
      </w:r>
      <w:r>
        <w:t xml:space="preserve"> compare the findings with those of Study 1 and</w:t>
      </w:r>
      <w:r w:rsidRPr="0033479F">
        <w:t xml:space="preserve"> </w:t>
      </w:r>
      <w:r>
        <w:t xml:space="preserve">assess the </w:t>
      </w:r>
      <w:r w:rsidRPr="0033479F">
        <w:t>extent</w:t>
      </w:r>
      <w:r>
        <w:t xml:space="preserve"> to which</w:t>
      </w:r>
      <w:r w:rsidRPr="0033479F">
        <w:t xml:space="preserve"> </w:t>
      </w:r>
      <w:r>
        <w:t>implementation of the PS Act</w:t>
      </w:r>
      <w:r w:rsidRPr="0033479F">
        <w:t xml:space="preserve"> </w:t>
      </w:r>
      <w:r>
        <w:t>had affected:</w:t>
      </w:r>
    </w:p>
    <w:p w14:paraId="73B82094" w14:textId="77777777" w:rsidR="007E1D13" w:rsidRDefault="007E1D13" w:rsidP="00C92BD2">
      <w:pPr>
        <w:pStyle w:val="ListParagraph"/>
        <w:numPr>
          <w:ilvl w:val="1"/>
          <w:numId w:val="4"/>
        </w:numPr>
        <w:spacing w:line="480" w:lineRule="auto"/>
        <w:ind w:hanging="357"/>
      </w:pPr>
      <w:r>
        <w:t>Young people’s</w:t>
      </w:r>
      <w:r w:rsidRPr="0033479F">
        <w:t xml:space="preserve"> beliefs </w:t>
      </w:r>
      <w:r>
        <w:t>about NPS</w:t>
      </w:r>
    </w:p>
    <w:p w14:paraId="79C6CE57" w14:textId="77777777" w:rsidR="007E1D13" w:rsidRDefault="007E1D13" w:rsidP="00C92BD2">
      <w:pPr>
        <w:pStyle w:val="ListParagraph"/>
        <w:numPr>
          <w:ilvl w:val="1"/>
          <w:numId w:val="4"/>
        </w:numPr>
        <w:spacing w:line="480" w:lineRule="auto"/>
        <w:ind w:hanging="357"/>
      </w:pPr>
      <w:r>
        <w:t xml:space="preserve">Young people’s </w:t>
      </w:r>
      <w:r w:rsidRPr="0033479F">
        <w:t>motivations</w:t>
      </w:r>
      <w:r>
        <w:t xml:space="preserve"> and reasons for using or not using NPS</w:t>
      </w:r>
    </w:p>
    <w:p w14:paraId="5AE6D41E" w14:textId="77777777" w:rsidR="007E1D13" w:rsidRPr="00657AE3" w:rsidRDefault="007E1D13" w:rsidP="00C92BD2">
      <w:pPr>
        <w:pStyle w:val="ListParagraph"/>
        <w:numPr>
          <w:ilvl w:val="0"/>
          <w:numId w:val="4"/>
        </w:numPr>
        <w:spacing w:line="480" w:lineRule="auto"/>
        <w:ind w:hanging="357"/>
      </w:pPr>
      <w:r>
        <w:rPr>
          <w:szCs w:val="24"/>
        </w:rPr>
        <w:t>Consider</w:t>
      </w:r>
      <w:r w:rsidRPr="005350DD">
        <w:rPr>
          <w:szCs w:val="24"/>
        </w:rPr>
        <w:t xml:space="preserve"> the suitability and fit of </w:t>
      </w:r>
      <w:r>
        <w:rPr>
          <w:szCs w:val="24"/>
        </w:rPr>
        <w:t>the</w:t>
      </w:r>
      <w:r w:rsidRPr="005350DD">
        <w:rPr>
          <w:szCs w:val="24"/>
        </w:rPr>
        <w:t xml:space="preserve"> social cognition models </w:t>
      </w:r>
      <w:r>
        <w:rPr>
          <w:szCs w:val="24"/>
        </w:rPr>
        <w:t>used in the development of the studies.</w:t>
      </w:r>
    </w:p>
    <w:p w14:paraId="64646E1E" w14:textId="29BE0E07" w:rsidR="007E1D13" w:rsidRDefault="007E1D13" w:rsidP="007E1D13">
      <w:pPr>
        <w:pStyle w:val="Heading2"/>
      </w:pPr>
      <w:bookmarkStart w:id="445" w:name="_Toc35892702"/>
      <w:r w:rsidRPr="00067524">
        <w:t>Method</w:t>
      </w:r>
      <w:bookmarkEnd w:id="445"/>
    </w:p>
    <w:p w14:paraId="7BE17253" w14:textId="77777777" w:rsidR="007E1D13" w:rsidRDefault="007E1D13" w:rsidP="007E1D13">
      <w:pPr>
        <w:spacing w:line="480" w:lineRule="auto"/>
      </w:pPr>
      <w:r>
        <w:t>As the aim of this study was to provide a post-ban comparison with the data collected in Study 1 prior to implementation of the PS Act, as far as possible, Study 2 followed the same procedures as the earlier study, undertaking three focus groups with young people from local community groups 14 to 16 months after the introduction of the PS Act (17 to 29 months after the original focus groups).</w:t>
      </w:r>
    </w:p>
    <w:p w14:paraId="12EBDCE8" w14:textId="77777777" w:rsidR="007E1D13" w:rsidRPr="00F06D96" w:rsidRDefault="007E1D13" w:rsidP="007E1D13">
      <w:pPr>
        <w:widowControl w:val="0"/>
        <w:autoSpaceDE w:val="0"/>
        <w:autoSpaceDN w:val="0"/>
        <w:adjustRightInd w:val="0"/>
        <w:spacing w:line="480" w:lineRule="auto"/>
      </w:pPr>
      <w:r>
        <w:t xml:space="preserve">Ethical approval </w:t>
      </w:r>
      <w:r w:rsidRPr="007B6CD6">
        <w:rPr>
          <w:szCs w:val="24"/>
        </w:rPr>
        <w:t xml:space="preserve">was granted by the </w:t>
      </w:r>
      <w:r w:rsidRPr="007B6CD6">
        <w:rPr>
          <w:color w:val="000000"/>
          <w:szCs w:val="24"/>
          <w:lang w:val="en-US"/>
        </w:rPr>
        <w:t>Department of Psychology Research Ethics Committee</w:t>
      </w:r>
      <w:r>
        <w:rPr>
          <w:color w:val="000000"/>
          <w:szCs w:val="24"/>
          <w:lang w:val="en-US"/>
        </w:rPr>
        <w:t xml:space="preserve"> at the</w:t>
      </w:r>
      <w:r w:rsidRPr="007B6CD6">
        <w:rPr>
          <w:color w:val="000000"/>
          <w:szCs w:val="24"/>
          <w:lang w:val="en-US"/>
        </w:rPr>
        <w:t xml:space="preserve"> University of Sheffield.</w:t>
      </w:r>
    </w:p>
    <w:p w14:paraId="7D866268" w14:textId="7B5BF179" w:rsidR="007E1D13" w:rsidRPr="007E1D13" w:rsidRDefault="007E1D13" w:rsidP="007E1D13">
      <w:pPr>
        <w:pStyle w:val="Heading3"/>
      </w:pPr>
      <w:bookmarkStart w:id="446" w:name="_Toc35892703"/>
      <w:r w:rsidRPr="007E1D13">
        <w:t>Participants and procedure</w:t>
      </w:r>
      <w:bookmarkEnd w:id="446"/>
    </w:p>
    <w:p w14:paraId="277A1D7A" w14:textId="372217B5" w:rsidR="007E1D13" w:rsidRPr="001D25D4" w:rsidRDefault="007E1D13" w:rsidP="007E1D13">
      <w:pPr>
        <w:spacing w:line="480" w:lineRule="auto"/>
        <w:rPr>
          <w:color w:val="000000"/>
          <w:szCs w:val="24"/>
        </w:rPr>
      </w:pPr>
      <w:r>
        <w:t>The three focus groups were conducted during the period</w:t>
      </w:r>
      <w:r w:rsidR="00630416">
        <w:t xml:space="preserve"> from</w:t>
      </w:r>
      <w:r>
        <w:t xml:space="preserve"> July to September 2017. Twenty</w:t>
      </w:r>
      <w:r w:rsidR="00630416">
        <w:t>-</w:t>
      </w:r>
      <w:r>
        <w:t xml:space="preserve">seven participants were recruited from three community groups based in Sheffield. Although the intention was to work with the same community groups as in the earlier study, one group was no longer able to take part. Consequently, one focus group was conducted with an alternative community group that was similar in terms of location, remit and target population. The new group was a young </w:t>
      </w:r>
      <w:r>
        <w:rPr>
          <w:color w:val="000000"/>
          <w:szCs w:val="24"/>
        </w:rPr>
        <w:t xml:space="preserve">people’s empowerment project advocating for young people’s health and mental health concerns based in Sheffield city centre. The community groups taking part in this study were therefore: Sheffield Young Advisors (SYA), Young Healthwatch Sheffield (YHS) and Chilypep Sheffield (CPS). See Chapter 4 Section 4.6.1 for further information about the community groups involved in the research. </w:t>
      </w:r>
    </w:p>
    <w:p w14:paraId="12C9A82A" w14:textId="77777777" w:rsidR="007E1D13" w:rsidRPr="00702284" w:rsidRDefault="007E1D13" w:rsidP="007E1D13">
      <w:pPr>
        <w:spacing w:line="480" w:lineRule="auto"/>
      </w:pPr>
      <w:r>
        <w:rPr>
          <w:color w:val="000000"/>
          <w:szCs w:val="24"/>
        </w:rPr>
        <w:t xml:space="preserve">Similar to Study 1, </w:t>
      </w:r>
      <w:r>
        <w:t xml:space="preserve">participants were </w:t>
      </w:r>
      <w:r>
        <w:rPr>
          <w:color w:val="000000"/>
          <w:szCs w:val="24"/>
        </w:rPr>
        <w:t xml:space="preserve">a diverse group of young people from the general population who were aged 15 to 26 and from a range of postcode areas of Sheffield. </w:t>
      </w:r>
      <w:r>
        <w:t>Recruitment was undertaken working together with community group facilitators to ensure appropriate health and safety procedures were followed and young people were not inadvertently coerced into taking part (see Chapter 4 Section 4.6 for further details of the recruitment process). Eight of the</w:t>
      </w:r>
      <w:r>
        <w:rPr>
          <w:color w:val="000000"/>
          <w:szCs w:val="24"/>
        </w:rPr>
        <w:t xml:space="preserve"> participants who took part in Study 1 also took part in Study 2, 5 via one community group and 3 from another. </w:t>
      </w:r>
    </w:p>
    <w:p w14:paraId="5D451ABD" w14:textId="36A0C49C" w:rsidR="007E1D13" w:rsidRDefault="007E1D13" w:rsidP="007E1D13">
      <w:pPr>
        <w:spacing w:line="480" w:lineRule="auto"/>
      </w:pPr>
      <w:r>
        <w:t xml:space="preserve">The study procedure replicated that of Study 1 using materials adapted to include additional questions to explore participants perceptions of the impact of the PS Act and their use of NPS following implementation of the ban (see Chapter 4 Section 4.6 and Chapter 5 Section 5.3.1 for further information on the study procedure, and </w:t>
      </w:r>
      <w:r w:rsidR="00603E9F">
        <w:rPr>
          <w:color w:val="000000"/>
          <w:szCs w:val="24"/>
        </w:rPr>
        <w:t xml:space="preserve">see Appendices B, C and D </w:t>
      </w:r>
      <w:r w:rsidR="00603E9F">
        <w:t>for copies of the materials used in the focus groups,</w:t>
      </w:r>
      <w:r w:rsidR="00603E9F">
        <w:rPr>
          <w:color w:val="000000"/>
          <w:szCs w:val="24"/>
        </w:rPr>
        <w:t xml:space="preserve"> for Studies 1, 2 and 3 respectively</w:t>
      </w:r>
      <w:r>
        <w:t xml:space="preserve">). </w:t>
      </w:r>
    </w:p>
    <w:p w14:paraId="3F1FA970" w14:textId="77777777" w:rsidR="007E1D13" w:rsidRDefault="007E1D13" w:rsidP="007E1D13">
      <w:pPr>
        <w:spacing w:line="480" w:lineRule="auto"/>
      </w:pPr>
    </w:p>
    <w:p w14:paraId="3CB4134A" w14:textId="4A629546" w:rsidR="007E1D13" w:rsidRDefault="007E1D13" w:rsidP="007E1D13">
      <w:pPr>
        <w:pStyle w:val="Heading3"/>
      </w:pPr>
      <w:bookmarkStart w:id="447" w:name="_Toc35892704"/>
      <w:r>
        <w:t>Definitions</w:t>
      </w:r>
      <w:bookmarkEnd w:id="447"/>
      <w:r>
        <w:t xml:space="preserve"> </w:t>
      </w:r>
    </w:p>
    <w:p w14:paraId="6354E369" w14:textId="77777777" w:rsidR="007E1D13" w:rsidRPr="0020445B" w:rsidRDefault="007E1D13" w:rsidP="007E1D13">
      <w:pPr>
        <w:spacing w:line="480" w:lineRule="auto"/>
      </w:pPr>
      <w:r>
        <w:t xml:space="preserve">Prior to running the focus groups, the researcher met with an advisory group of young people organised together with the </w:t>
      </w:r>
      <w:r>
        <w:rPr>
          <w:color w:val="000000"/>
          <w:szCs w:val="24"/>
        </w:rPr>
        <w:t xml:space="preserve">Young People's Involvement Team from the local charity Sheffield Futures. The purpose of the session was a feasibility check following the implementation of the PS Act owing to concern that, following the change in legal status of NPS, young people may no longer associate the term ‘legal highs’ with the substances under investigation. The outcome of the session was that ‘legal highs’ was considered to be appropriate language to use as no alternative term for referring to NPS had emerged, and young people remained familiar with the terminology and the kind of substances it referred to. The definition of NPS was adapted from the description adopted in Study 1 in consultation with the advisory group of young people. Throughout the focus group sessions NPS were referred to by their colloquial term 'legal highs' which was defined as: </w:t>
      </w:r>
    </w:p>
    <w:p w14:paraId="4AA511B4" w14:textId="77777777" w:rsidR="007E1D13" w:rsidRPr="001A0B4D" w:rsidRDefault="007E1D13" w:rsidP="007E1D13">
      <w:pPr>
        <w:spacing w:line="480" w:lineRule="auto"/>
        <w:ind w:left="720"/>
        <w:rPr>
          <w:color w:val="000000"/>
          <w:szCs w:val="24"/>
        </w:rPr>
      </w:pPr>
      <w:r>
        <w:rPr>
          <w:color w:val="000000"/>
          <w:szCs w:val="24"/>
        </w:rPr>
        <w:t xml:space="preserve">'the common name for Novel Psychoactive Substances. These are chemical substances that until recently could be sold legally. They produce the same, or similar effects, to traditional illegal drugs such as cannabis, cocaine, ecstasy and heroin. They are psychoactive which means they have mood-altering properties and can act as stimulants, sedatives, hallucinogens and psychedelics. Since May 2016 they have been banned, which means it is now illegal to sell them, but apart from a few exceptions it is not illegal to possess them for personal use.' </w:t>
      </w:r>
    </w:p>
    <w:p w14:paraId="39A50912" w14:textId="77777777" w:rsidR="007E1D13" w:rsidRDefault="007E1D13" w:rsidP="007E1D13">
      <w:pPr>
        <w:spacing w:line="480" w:lineRule="auto"/>
        <w:rPr>
          <w:color w:val="000000"/>
          <w:szCs w:val="24"/>
        </w:rPr>
      </w:pPr>
      <w:r>
        <w:rPr>
          <w:color w:val="000000"/>
          <w:szCs w:val="24"/>
        </w:rPr>
        <w:t>Performance of the target behaviour was defined as 'taking legal highs' while non-performance was defined as 'not taking legal highs'.</w:t>
      </w:r>
    </w:p>
    <w:p w14:paraId="0B59D9D9" w14:textId="77777777" w:rsidR="007E1D13" w:rsidRDefault="007E1D13" w:rsidP="007E1D13">
      <w:pPr>
        <w:spacing w:line="480" w:lineRule="auto"/>
      </w:pPr>
      <w:r>
        <w:rPr>
          <w:color w:val="000000"/>
          <w:szCs w:val="24"/>
        </w:rPr>
        <w:t xml:space="preserve">Regarding the PS Act, consultation with the </w:t>
      </w:r>
      <w:r>
        <w:t>advisory group of young people established that the appropriate descriptive language for referring to the Act was ‘the ban’ as this was how group members referred to the Act and several young people were unfamiliar with its formal name. Consequently, the PS Act was defined as:</w:t>
      </w:r>
    </w:p>
    <w:p w14:paraId="1107194D" w14:textId="77777777" w:rsidR="007E1D13" w:rsidRDefault="007E1D13" w:rsidP="007E1D13">
      <w:pPr>
        <w:spacing w:line="480" w:lineRule="auto"/>
        <w:ind w:left="720"/>
      </w:pPr>
      <w:r>
        <w:t>‘the ban that came into force on 26 of May 2016. The ban is a change in the law that makes it illegal for anyone to sell or distribute what used to be known as legal highs.’</w:t>
      </w:r>
    </w:p>
    <w:p w14:paraId="58624CAE" w14:textId="11D80FD9" w:rsidR="007E1D13" w:rsidRDefault="007E1D13" w:rsidP="007E1D13">
      <w:pPr>
        <w:pStyle w:val="Heading3"/>
      </w:pPr>
      <w:bookmarkStart w:id="448" w:name="_Toc35892705"/>
      <w:r>
        <w:t>Legal status</w:t>
      </w:r>
      <w:bookmarkEnd w:id="448"/>
    </w:p>
    <w:p w14:paraId="4E248168" w14:textId="77777777" w:rsidR="007E1D13" w:rsidRDefault="007E1D13" w:rsidP="007E1D13">
      <w:pPr>
        <w:spacing w:line="480" w:lineRule="auto"/>
      </w:pPr>
      <w:r>
        <w:t xml:space="preserve">The situation surrounding the legal status of NPS, which varies from substance to substance, and changes over time is complex. Although the legal status changed with the introduction of the PS Act, personal possession of most NPS remained legal. However, referring to NPS as legal following implementation of the ban inevitably creates confusion, while referring to them as illegal is not accurate and may or may not match with user’s perceptions. For this reason, aside from the definition given above, when talking with participants during the focus group sessions, NPS were neither described as legal nor illegal by the researcher and participants’ own perceptions of the legal status of NPS could emerge. For the purposes of reporting the findings of the study, however, following the ban the legal status of NPS is described as ‘illicit’ as a way of distinguishing their post-ban status from their pre-ban status. </w:t>
      </w:r>
    </w:p>
    <w:p w14:paraId="69855695" w14:textId="355A5C42" w:rsidR="007E1D13" w:rsidRPr="00067524" w:rsidRDefault="007E1D13" w:rsidP="007E1D13">
      <w:pPr>
        <w:pStyle w:val="Heading3"/>
      </w:pPr>
      <w:bookmarkStart w:id="449" w:name="_Toc35892706"/>
      <w:r w:rsidRPr="00067524">
        <w:t>Measures</w:t>
      </w:r>
      <w:bookmarkEnd w:id="449"/>
      <w:r w:rsidRPr="00067524">
        <w:t xml:space="preserve"> </w:t>
      </w:r>
    </w:p>
    <w:p w14:paraId="3B57903C" w14:textId="06A64D54" w:rsidR="007E1D13" w:rsidRPr="00C044DD" w:rsidRDefault="007E1D13" w:rsidP="007E1D13">
      <w:pPr>
        <w:spacing w:line="480" w:lineRule="auto"/>
      </w:pPr>
      <w:r>
        <w:t>The background questionnaire collected the following socio-demographic information: age; gender; ethnicity; postcode and occupation. Participants were also asked whether they had been aware of the PS Act prior to the session. As in Study 1, the background questionnaire asked about participants’ use of NPS and illicit drugs as well as perceptions their friends use of NPS and illicit drugs. However, for the post-ban study</w:t>
      </w:r>
      <w:r w:rsidR="00630416">
        <w:t>,</w:t>
      </w:r>
      <w:r>
        <w:t xml:space="preserve"> the questions about </w:t>
      </w:r>
      <w:r w:rsidR="00630416">
        <w:t xml:space="preserve">the </w:t>
      </w:r>
      <w:r>
        <w:t>use of NPS were adapted to take account of the PS Act. Participants were therefore asked whether they had knowingly used NPS before or after the ban and whether they believed their friends had used NPS before or after the ban.</w:t>
      </w:r>
    </w:p>
    <w:p w14:paraId="29451C2C" w14:textId="3935C9CA" w:rsidR="007E1D13" w:rsidRPr="00067524" w:rsidRDefault="007E1D13" w:rsidP="007E1D13">
      <w:pPr>
        <w:pStyle w:val="Heading3"/>
      </w:pPr>
      <w:bookmarkStart w:id="450" w:name="_Toc35892707"/>
      <w:r w:rsidRPr="00067524">
        <w:t>Focus group questions</w:t>
      </w:r>
      <w:bookmarkEnd w:id="450"/>
    </w:p>
    <w:p w14:paraId="5B569DAC" w14:textId="50CA64B9" w:rsidR="007E1D13" w:rsidRPr="000C2EE7" w:rsidRDefault="007E1D13" w:rsidP="007E1D13">
      <w:pPr>
        <w:spacing w:line="480" w:lineRule="auto"/>
      </w:pPr>
      <w:r w:rsidRPr="00217DB6">
        <w:rPr>
          <w:szCs w:val="24"/>
        </w:rPr>
        <w:t xml:space="preserve">The focus group questions </w:t>
      </w:r>
      <w:r>
        <w:rPr>
          <w:szCs w:val="24"/>
        </w:rPr>
        <w:t xml:space="preserve">replicated the content and format of the semi-structured, open-ended questions used in Study 1 (see Chapter 5 Section </w:t>
      </w:r>
      <w:r>
        <w:t xml:space="preserve">5.1.3.3 for the focus group questions) </w:t>
      </w:r>
      <w:r>
        <w:rPr>
          <w:szCs w:val="24"/>
        </w:rPr>
        <w:t xml:space="preserve">with the addition of questions asked at the outset of the session that aimed to elicit responses about the impact of the PS Act (see Table </w:t>
      </w:r>
      <w:r w:rsidR="009E0DF7">
        <w:rPr>
          <w:szCs w:val="24"/>
        </w:rPr>
        <w:t>7-</w:t>
      </w:r>
      <w:r>
        <w:rPr>
          <w:szCs w:val="24"/>
        </w:rPr>
        <w:t>1).</w:t>
      </w:r>
      <w:r>
        <w:t xml:space="preserve"> In addition to some general questions designed to encourage inclusion of young people's own perspectives, the focus group questions were developed around the following constructs of selected social cognition models: (i) reasons, (ii) risk perceptions (iii) behavioural beliefs (iv) normative beliefs (v) identity and (vi) control beliefs. </w:t>
      </w:r>
      <w:r>
        <w:rPr>
          <w:szCs w:val="24"/>
        </w:rPr>
        <w:t xml:space="preserve">For </w:t>
      </w:r>
      <w:r>
        <w:t xml:space="preserve">further details of the focus group questions and the development of the model construct categories used in their development </w:t>
      </w:r>
      <w:r>
        <w:rPr>
          <w:szCs w:val="24"/>
        </w:rPr>
        <w:t>see Chapter 4</w:t>
      </w:r>
      <w:r>
        <w:t xml:space="preserve"> Sections 4.5.7 and 4.7.1. To capture beliefs, reason and motivations underlying both performance and non-performance of the target behaviour, the questions were framed in relation to both using NPS and not using NPS. The order in which the theory-based questions were presented to participants was varied for each focus group. </w:t>
      </w:r>
    </w:p>
    <w:p w14:paraId="26F20375" w14:textId="77777777" w:rsidR="002A0CCA" w:rsidRDefault="002A0CCA">
      <w:pPr>
        <w:rPr>
          <w:b/>
        </w:rPr>
      </w:pPr>
      <w:r>
        <w:rPr>
          <w:b/>
        </w:rPr>
        <w:br w:type="page"/>
      </w:r>
    </w:p>
    <w:p w14:paraId="24EBB996" w14:textId="6BFB68D7" w:rsidR="007E1D13" w:rsidRPr="008A6C99" w:rsidRDefault="007E1D13" w:rsidP="008A6C99">
      <w:pPr>
        <w:pStyle w:val="TableHeader"/>
        <w:rPr>
          <w:b/>
        </w:rPr>
      </w:pPr>
      <w:bookmarkStart w:id="451" w:name="_Toc9509075"/>
      <w:r w:rsidRPr="008A6C99">
        <w:rPr>
          <w:b/>
        </w:rPr>
        <w:t>Table</w:t>
      </w:r>
      <w:r w:rsidR="009E0DF7" w:rsidRPr="008A6C99">
        <w:rPr>
          <w:b/>
        </w:rPr>
        <w:t>7-</w:t>
      </w:r>
      <w:r w:rsidRPr="008A6C99">
        <w:rPr>
          <w:b/>
        </w:rPr>
        <w:t>1 Additional focus group questions assessing the Impact of the PS Act</w:t>
      </w:r>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tblCellMar>
        <w:tblLook w:val="04A0" w:firstRow="1" w:lastRow="0" w:firstColumn="1" w:lastColumn="0" w:noHBand="0" w:noVBand="1"/>
      </w:tblPr>
      <w:tblGrid>
        <w:gridCol w:w="817"/>
        <w:gridCol w:w="8363"/>
      </w:tblGrid>
      <w:tr w:rsidR="007E1D13" w:rsidRPr="00DB25D6" w14:paraId="6A295E39" w14:textId="77777777" w:rsidTr="007E1D13">
        <w:trPr>
          <w:trHeight w:val="431"/>
        </w:trPr>
        <w:tc>
          <w:tcPr>
            <w:tcW w:w="9180" w:type="dxa"/>
            <w:gridSpan w:val="2"/>
            <w:tcBorders>
              <w:top w:val="single" w:sz="4" w:space="0" w:color="auto"/>
              <w:bottom w:val="single" w:sz="4" w:space="0" w:color="auto"/>
            </w:tcBorders>
            <w:hideMark/>
          </w:tcPr>
          <w:p w14:paraId="023B6AC4" w14:textId="77777777" w:rsidR="007E1D13" w:rsidRDefault="007E1D13" w:rsidP="007E1D13">
            <w:pPr>
              <w:spacing w:before="60" w:after="120"/>
              <w:rPr>
                <w:rFonts w:cs="Arial"/>
                <w:b/>
              </w:rPr>
            </w:pPr>
            <w:r>
              <w:rPr>
                <w:rFonts w:cs="Arial"/>
                <w:b/>
              </w:rPr>
              <w:t>Question topic</w:t>
            </w:r>
          </w:p>
          <w:p w14:paraId="3C7B8851" w14:textId="77777777" w:rsidR="007E1D13" w:rsidRPr="00714C19" w:rsidRDefault="007E1D13" w:rsidP="007E1D13">
            <w:pPr>
              <w:spacing w:before="60" w:after="120"/>
              <w:rPr>
                <w:rFonts w:cs="Arial"/>
              </w:rPr>
            </w:pPr>
            <w:r>
              <w:rPr>
                <w:rFonts w:cs="Arial"/>
              </w:rPr>
              <w:t xml:space="preserve">     </w:t>
            </w:r>
            <w:r w:rsidRPr="00714C19">
              <w:rPr>
                <w:rFonts w:cs="Arial"/>
              </w:rPr>
              <w:t>Questions and prompt</w:t>
            </w:r>
            <w:r>
              <w:rPr>
                <w:rFonts w:cs="Arial"/>
              </w:rPr>
              <w:t>s</w:t>
            </w:r>
          </w:p>
        </w:tc>
      </w:tr>
      <w:tr w:rsidR="007E1D13" w:rsidRPr="00DB25D6" w14:paraId="276BD9D7" w14:textId="77777777" w:rsidTr="007E1D13">
        <w:trPr>
          <w:trHeight w:val="327"/>
        </w:trPr>
        <w:tc>
          <w:tcPr>
            <w:tcW w:w="9180" w:type="dxa"/>
            <w:gridSpan w:val="2"/>
            <w:tcBorders>
              <w:top w:val="single" w:sz="4" w:space="0" w:color="auto"/>
            </w:tcBorders>
          </w:tcPr>
          <w:p w14:paraId="50109689" w14:textId="77777777" w:rsidR="007E1D13" w:rsidRPr="00DB25D6" w:rsidRDefault="007E1D13" w:rsidP="007E1D13">
            <w:pPr>
              <w:spacing w:before="60" w:after="120"/>
              <w:rPr>
                <w:rFonts w:cs="Arial"/>
              </w:rPr>
            </w:pPr>
            <w:r>
              <w:rPr>
                <w:b/>
                <w:szCs w:val="24"/>
              </w:rPr>
              <w:t>Impact of the PS Act</w:t>
            </w:r>
          </w:p>
        </w:tc>
      </w:tr>
      <w:tr w:rsidR="007E1D13" w:rsidRPr="000C2EE7" w14:paraId="23D370C7" w14:textId="77777777" w:rsidTr="007E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180" w:type="dxa"/>
            <w:gridSpan w:val="2"/>
            <w:tcBorders>
              <w:top w:val="nil"/>
              <w:left w:val="nil"/>
              <w:bottom w:val="nil"/>
              <w:right w:val="nil"/>
            </w:tcBorders>
            <w:hideMark/>
          </w:tcPr>
          <w:p w14:paraId="6F90DF4D" w14:textId="77777777" w:rsidR="007E1D13" w:rsidRPr="00786503" w:rsidRDefault="007E1D13" w:rsidP="00C92BD2">
            <w:pPr>
              <w:pStyle w:val="ListParagraph"/>
              <w:numPr>
                <w:ilvl w:val="0"/>
                <w:numId w:val="42"/>
              </w:numPr>
              <w:spacing w:before="120" w:after="120"/>
            </w:pPr>
            <w:bookmarkStart w:id="452" w:name="_Hlk3300932"/>
            <w:r w:rsidRPr="00786503">
              <w:t>Do you think the ban has affected the way young people think about former ‘Legal highs’?</w:t>
            </w:r>
          </w:p>
        </w:tc>
      </w:tr>
      <w:tr w:rsidR="007E1D13" w:rsidRPr="00786503" w14:paraId="65B668A1" w14:textId="77777777" w:rsidTr="007E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17" w:type="dxa"/>
            <w:tcBorders>
              <w:top w:val="nil"/>
              <w:left w:val="nil"/>
              <w:bottom w:val="nil"/>
              <w:right w:val="nil"/>
            </w:tcBorders>
          </w:tcPr>
          <w:p w14:paraId="019A5A0A" w14:textId="77777777" w:rsidR="007E1D13" w:rsidRPr="00786503" w:rsidRDefault="007E1D13" w:rsidP="007E1D13">
            <w:pPr>
              <w:spacing w:before="120" w:after="120"/>
              <w:rPr>
                <w:sz w:val="22"/>
              </w:rPr>
            </w:pPr>
          </w:p>
        </w:tc>
        <w:tc>
          <w:tcPr>
            <w:tcW w:w="8363" w:type="dxa"/>
            <w:tcBorders>
              <w:top w:val="nil"/>
              <w:left w:val="nil"/>
              <w:bottom w:val="nil"/>
              <w:right w:val="nil"/>
            </w:tcBorders>
          </w:tcPr>
          <w:p w14:paraId="197CD9A6" w14:textId="77777777" w:rsidR="007E1D13" w:rsidRPr="00786503" w:rsidRDefault="007E1D13" w:rsidP="007E1D13">
            <w:pPr>
              <w:spacing w:before="120" w:after="120"/>
              <w:rPr>
                <w:sz w:val="22"/>
              </w:rPr>
            </w:pPr>
            <w:r w:rsidRPr="00786503">
              <w:rPr>
                <w:sz w:val="22"/>
              </w:rPr>
              <w:t>How have perceptions changed? Has it changed their attitudes or behaviour?</w:t>
            </w:r>
          </w:p>
        </w:tc>
      </w:tr>
      <w:tr w:rsidR="007E1D13" w:rsidRPr="000C2EE7" w14:paraId="17CCE23D" w14:textId="77777777" w:rsidTr="007E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180" w:type="dxa"/>
            <w:gridSpan w:val="2"/>
            <w:tcBorders>
              <w:top w:val="nil"/>
              <w:left w:val="nil"/>
              <w:bottom w:val="nil"/>
              <w:right w:val="nil"/>
            </w:tcBorders>
            <w:shd w:val="clear" w:color="auto" w:fill="auto"/>
            <w:hideMark/>
          </w:tcPr>
          <w:p w14:paraId="21D8DE17" w14:textId="77777777" w:rsidR="007E1D13" w:rsidRPr="00786503" w:rsidRDefault="007E1D13" w:rsidP="00C92BD2">
            <w:pPr>
              <w:pStyle w:val="ListParagraph"/>
              <w:numPr>
                <w:ilvl w:val="0"/>
                <w:numId w:val="42"/>
              </w:numPr>
              <w:spacing w:before="120" w:after="120"/>
            </w:pPr>
            <w:r w:rsidRPr="00786503">
              <w:t xml:space="preserve">Do you think the ban has changed which drugs young people take? </w:t>
            </w:r>
          </w:p>
        </w:tc>
      </w:tr>
      <w:tr w:rsidR="007E1D13" w:rsidRPr="00786503" w14:paraId="231C4B64" w14:textId="77777777" w:rsidTr="007E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17" w:type="dxa"/>
            <w:tcBorders>
              <w:top w:val="nil"/>
              <w:left w:val="nil"/>
              <w:bottom w:val="nil"/>
              <w:right w:val="nil"/>
            </w:tcBorders>
            <w:shd w:val="clear" w:color="auto" w:fill="auto"/>
          </w:tcPr>
          <w:p w14:paraId="2A0FF562" w14:textId="77777777" w:rsidR="007E1D13" w:rsidRPr="00786503" w:rsidRDefault="007E1D13" w:rsidP="007E1D13">
            <w:pPr>
              <w:spacing w:before="120" w:after="120"/>
              <w:rPr>
                <w:sz w:val="22"/>
              </w:rPr>
            </w:pPr>
          </w:p>
        </w:tc>
        <w:tc>
          <w:tcPr>
            <w:tcW w:w="8363" w:type="dxa"/>
            <w:tcBorders>
              <w:top w:val="nil"/>
              <w:left w:val="nil"/>
              <w:bottom w:val="nil"/>
              <w:right w:val="nil"/>
            </w:tcBorders>
            <w:shd w:val="clear" w:color="auto" w:fill="auto"/>
          </w:tcPr>
          <w:p w14:paraId="4145856C" w14:textId="77777777" w:rsidR="007E1D13" w:rsidRPr="00786503" w:rsidRDefault="007E1D13" w:rsidP="007E1D13">
            <w:pPr>
              <w:spacing w:before="120" w:after="120"/>
              <w:rPr>
                <w:sz w:val="22"/>
              </w:rPr>
            </w:pPr>
            <w:r w:rsidRPr="00786503">
              <w:rPr>
                <w:sz w:val="22"/>
              </w:rPr>
              <w:t>Which drugs are most popular? Which drugs cause the most concern?</w:t>
            </w:r>
          </w:p>
        </w:tc>
      </w:tr>
      <w:tr w:rsidR="007E1D13" w:rsidRPr="000C2EE7" w14:paraId="7ADB3A38" w14:textId="77777777" w:rsidTr="007E1D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180" w:type="dxa"/>
            <w:gridSpan w:val="2"/>
            <w:tcBorders>
              <w:top w:val="nil"/>
              <w:left w:val="nil"/>
              <w:bottom w:val="single" w:sz="4" w:space="0" w:color="auto"/>
              <w:right w:val="nil"/>
            </w:tcBorders>
            <w:shd w:val="clear" w:color="auto" w:fill="auto"/>
          </w:tcPr>
          <w:p w14:paraId="0F84F5ED" w14:textId="77777777" w:rsidR="007E1D13" w:rsidRPr="00786503" w:rsidRDefault="007E1D13" w:rsidP="00C92BD2">
            <w:pPr>
              <w:pStyle w:val="ListParagraph"/>
              <w:numPr>
                <w:ilvl w:val="0"/>
                <w:numId w:val="42"/>
              </w:numPr>
              <w:spacing w:before="120" w:after="240"/>
            </w:pPr>
            <w:r w:rsidRPr="00786503">
              <w:t>Since the ban do you think more, or less, young people are taking Legal Highs?</w:t>
            </w:r>
          </w:p>
        </w:tc>
      </w:tr>
      <w:bookmarkEnd w:id="452"/>
    </w:tbl>
    <w:p w14:paraId="47556E3B" w14:textId="77777777" w:rsidR="007E1D13" w:rsidRDefault="007E1D13" w:rsidP="007E1D13">
      <w:pPr>
        <w:rPr>
          <w:b/>
          <w:bCs/>
          <w:sz w:val="22"/>
        </w:rPr>
      </w:pPr>
    </w:p>
    <w:p w14:paraId="337298E3" w14:textId="6D5A9DBF" w:rsidR="007E1D13" w:rsidRDefault="007E1D13" w:rsidP="007E1D13">
      <w:pPr>
        <w:pStyle w:val="Heading2"/>
      </w:pPr>
      <w:bookmarkStart w:id="453" w:name="_Toc35892708"/>
      <w:r w:rsidRPr="00BA690B">
        <w:t>Results</w:t>
      </w:r>
      <w:bookmarkEnd w:id="453"/>
      <w:r w:rsidRPr="00BA690B">
        <w:t xml:space="preserve"> </w:t>
      </w:r>
    </w:p>
    <w:p w14:paraId="4E6012EE" w14:textId="77777777" w:rsidR="007E1D13" w:rsidRDefault="007E1D13" w:rsidP="007E1D13">
      <w:pPr>
        <w:spacing w:line="480" w:lineRule="auto"/>
      </w:pPr>
      <w:r>
        <w:t xml:space="preserve">Firstly, data from the background questionnaires are presented, including sample characteristics, data relating to the use of psychoactive substances by participants and their friends, and participants awareness of the PS Act. This is followed by the results of the thematic analysis which starts with the findings of the novel questions used to elicit participants beliefs about the impacts of the PS Act, before presenting the findings of the questions repeated from Study 1. </w:t>
      </w:r>
    </w:p>
    <w:p w14:paraId="56C325D4" w14:textId="77777777" w:rsidR="007E1D13" w:rsidRDefault="007E1D13" w:rsidP="007E1D13">
      <w:pPr>
        <w:spacing w:line="480" w:lineRule="auto"/>
      </w:pPr>
      <w:r>
        <w:t>The sections presenting the outcome of the comparable set of questions start with an overview of the themes expressed within the transcripts, together with information about their frequency of expression and a set of indices illustrating differences in the expression of each theme within the pre-ban and post-ban focus groups. This is followed by tables which provide a breakdown of the individual beliefs coded under each theme, one table presenting findings related to reasons for using NPS, and the other related to reasons for not using NPS. The results section then concludes with a more detailed narrative description of each of the themes as they are expressed within participants’ discourse, drawing on the information provided in the preceding tables.</w:t>
      </w:r>
    </w:p>
    <w:p w14:paraId="178F090A" w14:textId="65B7B4F4" w:rsidR="007E1D13" w:rsidRPr="00BA690B" w:rsidRDefault="007E1D13" w:rsidP="007E1D13">
      <w:pPr>
        <w:pStyle w:val="Heading3"/>
      </w:pPr>
      <w:bookmarkStart w:id="454" w:name="_Toc35892709"/>
      <w:r w:rsidRPr="00BA690B">
        <w:t>Sample characteristics</w:t>
      </w:r>
      <w:bookmarkEnd w:id="454"/>
    </w:p>
    <w:p w14:paraId="655A81FF" w14:textId="7620E01B" w:rsidR="007E1D13" w:rsidRDefault="007E1D13" w:rsidP="007E1D13">
      <w:pPr>
        <w:spacing w:line="480" w:lineRule="auto"/>
        <w:rPr>
          <w:szCs w:val="24"/>
          <w:shd w:val="clear" w:color="auto" w:fill="FFFFFF"/>
        </w:rPr>
      </w:pPr>
      <w:r w:rsidRPr="00BA690B">
        <w:rPr>
          <w:szCs w:val="24"/>
          <w:shd w:val="clear" w:color="auto" w:fill="FFFFFF"/>
        </w:rPr>
        <w:t>Overall, 27 young people participated in the</w:t>
      </w:r>
      <w:r>
        <w:rPr>
          <w:szCs w:val="24"/>
          <w:shd w:val="clear" w:color="auto" w:fill="FFFFFF"/>
        </w:rPr>
        <w:t xml:space="preserve"> three</w:t>
      </w:r>
      <w:r w:rsidRPr="00BA690B">
        <w:rPr>
          <w:szCs w:val="24"/>
          <w:shd w:val="clear" w:color="auto" w:fill="FFFFFF"/>
        </w:rPr>
        <w:t xml:space="preserve"> focus groups</w:t>
      </w:r>
      <w:r>
        <w:rPr>
          <w:szCs w:val="24"/>
          <w:shd w:val="clear" w:color="auto" w:fill="FFFFFF"/>
        </w:rPr>
        <w:t>. The demographic information for the sample is shown in Table 7</w:t>
      </w:r>
      <w:r w:rsidR="009E0DF7">
        <w:rPr>
          <w:szCs w:val="24"/>
          <w:shd w:val="clear" w:color="auto" w:fill="FFFFFF"/>
        </w:rPr>
        <w:t>-</w:t>
      </w:r>
      <w:r>
        <w:rPr>
          <w:szCs w:val="24"/>
          <w:shd w:val="clear" w:color="auto" w:fill="FFFFFF"/>
        </w:rPr>
        <w:t>2 along with comparative information for Study 1.</w:t>
      </w:r>
      <w:r w:rsidRPr="00BA690B">
        <w:rPr>
          <w:szCs w:val="24"/>
          <w:shd w:val="clear" w:color="auto" w:fill="FFFFFF"/>
        </w:rPr>
        <w:t xml:space="preserve"> The participants were mostly female </w:t>
      </w:r>
      <w:r>
        <w:rPr>
          <w:szCs w:val="24"/>
          <w:shd w:val="clear" w:color="auto" w:fill="FFFFFF"/>
        </w:rPr>
        <w:t xml:space="preserve">(78%) </w:t>
      </w:r>
      <w:r w:rsidRPr="00BA690B">
        <w:rPr>
          <w:szCs w:val="24"/>
          <w:shd w:val="clear" w:color="auto" w:fill="FFFFFF"/>
        </w:rPr>
        <w:t xml:space="preserve">with a higher proportion of female to male participants compared with the </w:t>
      </w:r>
      <w:r>
        <w:rPr>
          <w:szCs w:val="24"/>
          <w:shd w:val="clear" w:color="auto" w:fill="FFFFFF"/>
        </w:rPr>
        <w:t>S</w:t>
      </w:r>
      <w:r w:rsidRPr="00BA690B">
        <w:rPr>
          <w:szCs w:val="24"/>
          <w:shd w:val="clear" w:color="auto" w:fill="FFFFFF"/>
        </w:rPr>
        <w:t>tudy 1 groups. Participants</w:t>
      </w:r>
      <w:r>
        <w:rPr>
          <w:szCs w:val="24"/>
          <w:shd w:val="clear" w:color="auto" w:fill="FFFFFF"/>
        </w:rPr>
        <w:t>’</w:t>
      </w:r>
      <w:r w:rsidRPr="00BA690B">
        <w:rPr>
          <w:szCs w:val="24"/>
          <w:shd w:val="clear" w:color="auto" w:fill="FFFFFF"/>
        </w:rPr>
        <w:t xml:space="preserve"> ages</w:t>
      </w:r>
      <w:r w:rsidRPr="0067676F">
        <w:rPr>
          <w:szCs w:val="24"/>
          <w:shd w:val="clear" w:color="auto" w:fill="FFFFFF"/>
        </w:rPr>
        <w:t xml:space="preserve"> </w:t>
      </w:r>
      <w:r w:rsidRPr="00BA690B">
        <w:rPr>
          <w:szCs w:val="24"/>
          <w:shd w:val="clear" w:color="auto" w:fill="FFFFFF"/>
        </w:rPr>
        <w:t>w</w:t>
      </w:r>
      <w:r>
        <w:rPr>
          <w:szCs w:val="24"/>
          <w:shd w:val="clear" w:color="auto" w:fill="FFFFFF"/>
        </w:rPr>
        <w:t xml:space="preserve">ere </w:t>
      </w:r>
      <w:r w:rsidRPr="00BA690B">
        <w:rPr>
          <w:szCs w:val="24"/>
          <w:shd w:val="clear" w:color="auto" w:fill="FFFFFF"/>
        </w:rPr>
        <w:t xml:space="preserve">comparable with the ages of the participants in </w:t>
      </w:r>
      <w:r>
        <w:rPr>
          <w:szCs w:val="24"/>
          <w:shd w:val="clear" w:color="auto" w:fill="FFFFFF"/>
        </w:rPr>
        <w:t>S</w:t>
      </w:r>
      <w:r w:rsidRPr="00BA690B">
        <w:rPr>
          <w:szCs w:val="24"/>
          <w:shd w:val="clear" w:color="auto" w:fill="FFFFFF"/>
        </w:rPr>
        <w:t>tudy 1</w:t>
      </w:r>
      <w:r>
        <w:rPr>
          <w:szCs w:val="24"/>
          <w:shd w:val="clear" w:color="auto" w:fill="FFFFFF"/>
        </w:rPr>
        <w:t xml:space="preserve"> with an age range of </w:t>
      </w:r>
      <w:r w:rsidRPr="00BA690B">
        <w:rPr>
          <w:szCs w:val="24"/>
          <w:shd w:val="clear" w:color="auto" w:fill="FFFFFF"/>
        </w:rPr>
        <w:t>15 to 26,</w:t>
      </w:r>
      <w:r>
        <w:rPr>
          <w:szCs w:val="24"/>
          <w:shd w:val="clear" w:color="auto" w:fill="FFFFFF"/>
        </w:rPr>
        <w:t xml:space="preserve"> and a</w:t>
      </w:r>
      <w:r w:rsidRPr="00BA690B">
        <w:rPr>
          <w:szCs w:val="24"/>
          <w:shd w:val="clear" w:color="auto" w:fill="FFFFFF"/>
        </w:rPr>
        <w:t xml:space="preserve"> median </w:t>
      </w:r>
      <w:r w:rsidRPr="00710293">
        <w:rPr>
          <w:szCs w:val="24"/>
          <w:shd w:val="clear" w:color="auto" w:fill="FFFFFF"/>
        </w:rPr>
        <w:t xml:space="preserve">age of 18.5. As with </w:t>
      </w:r>
      <w:r>
        <w:rPr>
          <w:szCs w:val="24"/>
          <w:shd w:val="clear" w:color="auto" w:fill="FFFFFF"/>
        </w:rPr>
        <w:t>S</w:t>
      </w:r>
      <w:r w:rsidRPr="00710293">
        <w:rPr>
          <w:szCs w:val="24"/>
          <w:shd w:val="clear" w:color="auto" w:fill="FFFFFF"/>
        </w:rPr>
        <w:t>tudy 1, the</w:t>
      </w:r>
      <w:r>
        <w:rPr>
          <w:szCs w:val="24"/>
          <w:shd w:val="clear" w:color="auto" w:fill="FFFFFF"/>
        </w:rPr>
        <w:t xml:space="preserve"> </w:t>
      </w:r>
      <w:r w:rsidRPr="00710293">
        <w:rPr>
          <w:szCs w:val="24"/>
          <w:shd w:val="clear" w:color="auto" w:fill="FFFFFF"/>
        </w:rPr>
        <w:t xml:space="preserve">majority of </w:t>
      </w:r>
      <w:r>
        <w:rPr>
          <w:szCs w:val="24"/>
          <w:shd w:val="clear" w:color="auto" w:fill="FFFFFF"/>
        </w:rPr>
        <w:t>participants</w:t>
      </w:r>
      <w:r w:rsidRPr="00710293">
        <w:rPr>
          <w:szCs w:val="24"/>
          <w:shd w:val="clear" w:color="auto" w:fill="FFFFFF"/>
        </w:rPr>
        <w:t xml:space="preserve"> were in </w:t>
      </w:r>
      <w:r>
        <w:rPr>
          <w:color w:val="000000" w:themeColor="text1"/>
          <w:szCs w:val="24"/>
          <w:shd w:val="clear" w:color="auto" w:fill="FFFFFF"/>
        </w:rPr>
        <w:t>tertiary</w:t>
      </w:r>
      <w:r w:rsidRPr="00975482">
        <w:rPr>
          <w:color w:val="000000" w:themeColor="text1"/>
          <w:szCs w:val="24"/>
          <w:shd w:val="clear" w:color="auto" w:fill="FFFFFF"/>
        </w:rPr>
        <w:t xml:space="preserve"> </w:t>
      </w:r>
      <w:r w:rsidRPr="00710293">
        <w:rPr>
          <w:szCs w:val="24"/>
          <w:shd w:val="clear" w:color="auto" w:fill="FFFFFF"/>
        </w:rPr>
        <w:t xml:space="preserve">education, </w:t>
      </w:r>
      <w:r>
        <w:rPr>
          <w:szCs w:val="24"/>
          <w:shd w:val="clear" w:color="auto" w:fill="FFFFFF"/>
        </w:rPr>
        <w:t xml:space="preserve">although </w:t>
      </w:r>
      <w:r w:rsidRPr="00710293">
        <w:rPr>
          <w:szCs w:val="24"/>
          <w:shd w:val="clear" w:color="auto" w:fill="FFFFFF"/>
        </w:rPr>
        <w:t xml:space="preserve">the proportion in employment was </w:t>
      </w:r>
      <w:r>
        <w:rPr>
          <w:szCs w:val="24"/>
          <w:shd w:val="clear" w:color="auto" w:fill="FFFFFF"/>
        </w:rPr>
        <w:t>greater, and</w:t>
      </w:r>
      <w:r w:rsidRPr="00710293">
        <w:rPr>
          <w:szCs w:val="24"/>
          <w:shd w:val="clear" w:color="auto" w:fill="FFFFFF"/>
        </w:rPr>
        <w:t xml:space="preserve"> the proportion who were unemployed was noticeably </w:t>
      </w:r>
      <w:r>
        <w:rPr>
          <w:szCs w:val="24"/>
          <w:shd w:val="clear" w:color="auto" w:fill="FFFFFF"/>
        </w:rPr>
        <w:t xml:space="preserve">smaller. </w:t>
      </w:r>
      <w:r w:rsidRPr="00710293">
        <w:rPr>
          <w:szCs w:val="24"/>
          <w:shd w:val="clear" w:color="auto" w:fill="FFFFFF"/>
        </w:rPr>
        <w:t>The</w:t>
      </w:r>
      <w:r>
        <w:rPr>
          <w:szCs w:val="24"/>
          <w:shd w:val="clear" w:color="auto" w:fill="FFFFFF"/>
        </w:rPr>
        <w:t xml:space="preserve"> </w:t>
      </w:r>
      <w:r w:rsidRPr="00710293">
        <w:rPr>
          <w:szCs w:val="24"/>
          <w:shd w:val="clear" w:color="auto" w:fill="FFFFFF"/>
        </w:rPr>
        <w:t>sample included participants from diverse ethnic</w:t>
      </w:r>
      <w:r>
        <w:rPr>
          <w:szCs w:val="24"/>
          <w:shd w:val="clear" w:color="auto" w:fill="FFFFFF"/>
        </w:rPr>
        <w:t xml:space="preserve"> backgrounds and the</w:t>
      </w:r>
      <w:r w:rsidRPr="00710293">
        <w:rPr>
          <w:szCs w:val="24"/>
          <w:shd w:val="clear" w:color="auto" w:fill="FFFFFF"/>
        </w:rPr>
        <w:t xml:space="preserve"> </w:t>
      </w:r>
      <w:r>
        <w:rPr>
          <w:szCs w:val="24"/>
          <w:shd w:val="clear" w:color="auto" w:fill="FFFFFF"/>
        </w:rPr>
        <w:t>distribution of ethnic groups was similar to Study 1.</w:t>
      </w:r>
    </w:p>
    <w:p w14:paraId="5C3A0AC5" w14:textId="77777777" w:rsidR="007E1D13" w:rsidRDefault="007E1D13" w:rsidP="007E1D13">
      <w:pPr>
        <w:rPr>
          <w:rFonts w:cs="Arial"/>
          <w:b/>
          <w:color w:val="000000" w:themeColor="text1"/>
          <w:shd w:val="clear" w:color="auto" w:fill="FFFFFF"/>
        </w:rPr>
      </w:pPr>
      <w:r>
        <w:rPr>
          <w:rFonts w:cs="Arial"/>
          <w:b/>
          <w:color w:val="000000" w:themeColor="text1"/>
          <w:shd w:val="clear" w:color="auto" w:fill="FFFFFF"/>
        </w:rPr>
        <w:br w:type="page"/>
      </w:r>
    </w:p>
    <w:p w14:paraId="39BC206D" w14:textId="439019B8" w:rsidR="007E1D13" w:rsidRPr="008A6C99" w:rsidRDefault="007E1D13" w:rsidP="008A6C99">
      <w:pPr>
        <w:pStyle w:val="TableHeader"/>
        <w:rPr>
          <w:b/>
          <w:shd w:val="clear" w:color="auto" w:fill="FFFFFF"/>
        </w:rPr>
      </w:pPr>
      <w:bookmarkStart w:id="455" w:name="_Toc9509076"/>
      <w:r w:rsidRPr="008A6C99">
        <w:rPr>
          <w:b/>
          <w:shd w:val="clear" w:color="auto" w:fill="FFFFFF"/>
        </w:rPr>
        <w:t xml:space="preserve">Table </w:t>
      </w:r>
      <w:r w:rsidR="009E0DF7" w:rsidRPr="008A6C99">
        <w:rPr>
          <w:b/>
          <w:shd w:val="clear" w:color="auto" w:fill="FFFFFF"/>
        </w:rPr>
        <w:t>7-</w:t>
      </w:r>
      <w:r w:rsidRPr="008A6C99">
        <w:rPr>
          <w:b/>
          <w:shd w:val="clear" w:color="auto" w:fill="FFFFFF"/>
        </w:rPr>
        <w:t>2 Study 1 sample characteristics</w:t>
      </w:r>
      <w:bookmarkEnd w:id="455"/>
    </w:p>
    <w:tbl>
      <w:tblPr>
        <w:tblStyle w:val="TableGrid"/>
        <w:tblW w:w="9889" w:type="dxa"/>
        <w:tblLook w:val="04A0" w:firstRow="1" w:lastRow="0" w:firstColumn="1" w:lastColumn="0" w:noHBand="0" w:noVBand="1"/>
      </w:tblPr>
      <w:tblGrid>
        <w:gridCol w:w="2625"/>
        <w:gridCol w:w="885"/>
        <w:gridCol w:w="993"/>
        <w:gridCol w:w="992"/>
        <w:gridCol w:w="992"/>
        <w:gridCol w:w="1134"/>
        <w:gridCol w:w="1701"/>
        <w:gridCol w:w="567"/>
      </w:tblGrid>
      <w:tr w:rsidR="007E1D13" w:rsidRPr="004538A2" w14:paraId="4FFBBE96" w14:textId="77777777" w:rsidTr="007E1D13">
        <w:trPr>
          <w:trHeight w:val="352"/>
        </w:trPr>
        <w:tc>
          <w:tcPr>
            <w:tcW w:w="2625" w:type="dxa"/>
            <w:tcBorders>
              <w:top w:val="single" w:sz="4" w:space="0" w:color="auto"/>
              <w:left w:val="nil"/>
              <w:bottom w:val="nil"/>
              <w:right w:val="nil"/>
            </w:tcBorders>
            <w:vAlign w:val="center"/>
          </w:tcPr>
          <w:p w14:paraId="0134CEEB" w14:textId="77777777" w:rsidR="007E1D13" w:rsidRPr="004538A2" w:rsidRDefault="007E1D13" w:rsidP="007E1D13">
            <w:pPr>
              <w:spacing w:before="120" w:after="120"/>
              <w:rPr>
                <w:rFonts w:cs="Arial"/>
                <w:color w:val="000000" w:themeColor="text1"/>
                <w:shd w:val="clear" w:color="auto" w:fill="FFFFFF"/>
              </w:rPr>
            </w:pPr>
          </w:p>
        </w:tc>
        <w:tc>
          <w:tcPr>
            <w:tcW w:w="1878" w:type="dxa"/>
            <w:gridSpan w:val="2"/>
            <w:tcBorders>
              <w:top w:val="single" w:sz="4" w:space="0" w:color="auto"/>
              <w:left w:val="nil"/>
              <w:bottom w:val="single" w:sz="4" w:space="0" w:color="auto"/>
              <w:right w:val="nil"/>
            </w:tcBorders>
            <w:vAlign w:val="center"/>
          </w:tcPr>
          <w:p w14:paraId="61F2AE43" w14:textId="77777777" w:rsidR="007E1D13" w:rsidRPr="004538A2" w:rsidRDefault="007E1D13" w:rsidP="007E1D13">
            <w:pPr>
              <w:spacing w:before="120" w:after="120"/>
              <w:rPr>
                <w:rFonts w:cs="Arial"/>
                <w:color w:val="000000" w:themeColor="text1"/>
                <w:shd w:val="clear" w:color="auto" w:fill="FFFFFF"/>
              </w:rPr>
            </w:pPr>
            <w:r w:rsidRPr="00794EE7">
              <w:rPr>
                <w:rFonts w:cs="Arial"/>
                <w:b/>
                <w:color w:val="000000" w:themeColor="text1"/>
                <w:shd w:val="clear" w:color="auto" w:fill="FFFFFF"/>
              </w:rPr>
              <w:t xml:space="preserve">Focus group </w:t>
            </w:r>
          </w:p>
        </w:tc>
        <w:tc>
          <w:tcPr>
            <w:tcW w:w="992" w:type="dxa"/>
            <w:tcBorders>
              <w:top w:val="single" w:sz="4" w:space="0" w:color="auto"/>
              <w:left w:val="nil"/>
              <w:bottom w:val="single" w:sz="4" w:space="0" w:color="auto"/>
              <w:right w:val="nil"/>
            </w:tcBorders>
            <w:vAlign w:val="center"/>
          </w:tcPr>
          <w:p w14:paraId="36143694" w14:textId="77777777" w:rsidR="007E1D13" w:rsidRPr="004538A2" w:rsidRDefault="007E1D13" w:rsidP="007E1D13">
            <w:pPr>
              <w:spacing w:before="120" w:after="120"/>
              <w:rPr>
                <w:rFonts w:cs="Arial"/>
                <w:color w:val="000000" w:themeColor="text1"/>
                <w:shd w:val="clear" w:color="auto" w:fill="FFFFFF"/>
              </w:rPr>
            </w:pPr>
          </w:p>
        </w:tc>
        <w:tc>
          <w:tcPr>
            <w:tcW w:w="992" w:type="dxa"/>
            <w:tcBorders>
              <w:top w:val="single" w:sz="4" w:space="0" w:color="auto"/>
              <w:left w:val="nil"/>
              <w:bottom w:val="single" w:sz="4" w:space="0" w:color="auto"/>
              <w:right w:val="nil"/>
            </w:tcBorders>
            <w:vAlign w:val="center"/>
          </w:tcPr>
          <w:p w14:paraId="407EA2D5" w14:textId="77777777" w:rsidR="007E1D13" w:rsidRPr="004538A2" w:rsidRDefault="007E1D13" w:rsidP="007E1D13">
            <w:pPr>
              <w:spacing w:before="120" w:after="120"/>
              <w:rPr>
                <w:rFonts w:cs="Arial"/>
                <w:color w:val="000000" w:themeColor="text1"/>
                <w:shd w:val="clear" w:color="auto" w:fill="FFFFFF"/>
              </w:rPr>
            </w:pPr>
          </w:p>
        </w:tc>
        <w:tc>
          <w:tcPr>
            <w:tcW w:w="1134" w:type="dxa"/>
            <w:tcBorders>
              <w:top w:val="single" w:sz="4" w:space="0" w:color="auto"/>
              <w:left w:val="nil"/>
              <w:bottom w:val="single" w:sz="4" w:space="0" w:color="auto"/>
              <w:right w:val="nil"/>
            </w:tcBorders>
          </w:tcPr>
          <w:p w14:paraId="5539A1C4" w14:textId="77777777" w:rsidR="007E1D13" w:rsidRPr="004538A2" w:rsidRDefault="007E1D13" w:rsidP="007E1D13">
            <w:pPr>
              <w:spacing w:before="120" w:after="120"/>
              <w:rPr>
                <w:rFonts w:cs="Arial"/>
                <w:color w:val="000000" w:themeColor="text1"/>
                <w:shd w:val="clear" w:color="auto" w:fill="FFFFFF"/>
              </w:rPr>
            </w:pPr>
          </w:p>
        </w:tc>
        <w:tc>
          <w:tcPr>
            <w:tcW w:w="1701" w:type="dxa"/>
            <w:tcBorders>
              <w:top w:val="single" w:sz="4" w:space="0" w:color="auto"/>
              <w:left w:val="nil"/>
              <w:bottom w:val="single" w:sz="4" w:space="0" w:color="auto"/>
              <w:right w:val="nil"/>
            </w:tcBorders>
          </w:tcPr>
          <w:p w14:paraId="1EFFB49F" w14:textId="77777777" w:rsidR="007E1D13" w:rsidRPr="004538A2" w:rsidRDefault="007E1D13" w:rsidP="007E1D13">
            <w:pPr>
              <w:spacing w:before="120" w:after="120"/>
              <w:rPr>
                <w:rFonts w:cs="Arial"/>
                <w:color w:val="000000" w:themeColor="text1"/>
                <w:shd w:val="clear" w:color="auto" w:fill="FFFFFF"/>
              </w:rPr>
            </w:pPr>
          </w:p>
        </w:tc>
        <w:tc>
          <w:tcPr>
            <w:tcW w:w="567" w:type="dxa"/>
            <w:tcBorders>
              <w:top w:val="nil"/>
              <w:left w:val="nil"/>
              <w:bottom w:val="nil"/>
              <w:right w:val="nil"/>
            </w:tcBorders>
            <w:vAlign w:val="center"/>
          </w:tcPr>
          <w:p w14:paraId="52C0F820"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450CE1D8" w14:textId="77777777" w:rsidTr="007E1D13">
        <w:trPr>
          <w:trHeight w:val="511"/>
        </w:trPr>
        <w:tc>
          <w:tcPr>
            <w:tcW w:w="2625" w:type="dxa"/>
            <w:tcBorders>
              <w:top w:val="nil"/>
              <w:left w:val="nil"/>
              <w:bottom w:val="single" w:sz="4" w:space="0" w:color="auto"/>
              <w:right w:val="nil"/>
            </w:tcBorders>
            <w:vAlign w:val="center"/>
          </w:tcPr>
          <w:p w14:paraId="07CB6DF7" w14:textId="77777777" w:rsidR="007E1D13" w:rsidRPr="00794EE7" w:rsidRDefault="007E1D13" w:rsidP="007E1D13">
            <w:pPr>
              <w:spacing w:before="120" w:after="120"/>
              <w:rPr>
                <w:rFonts w:cs="Arial"/>
                <w:b/>
                <w:color w:val="000000" w:themeColor="text1"/>
                <w:shd w:val="clear" w:color="auto" w:fill="FFFFFF"/>
              </w:rPr>
            </w:pPr>
            <w:r w:rsidRPr="00794EE7">
              <w:rPr>
                <w:rFonts w:cs="Arial"/>
                <w:b/>
                <w:color w:val="000000" w:themeColor="text1"/>
                <w:shd w:val="clear" w:color="auto" w:fill="FFFFFF"/>
              </w:rPr>
              <w:t>Characteristic</w:t>
            </w:r>
          </w:p>
        </w:tc>
        <w:tc>
          <w:tcPr>
            <w:tcW w:w="885" w:type="dxa"/>
            <w:tcBorders>
              <w:top w:val="single" w:sz="4" w:space="0" w:color="auto"/>
              <w:left w:val="nil"/>
              <w:bottom w:val="single" w:sz="4" w:space="0" w:color="auto"/>
              <w:right w:val="nil"/>
            </w:tcBorders>
            <w:vAlign w:val="center"/>
          </w:tcPr>
          <w:p w14:paraId="22465EAB"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1</w:t>
            </w:r>
          </w:p>
        </w:tc>
        <w:tc>
          <w:tcPr>
            <w:tcW w:w="993" w:type="dxa"/>
            <w:tcBorders>
              <w:top w:val="single" w:sz="4" w:space="0" w:color="auto"/>
              <w:left w:val="nil"/>
              <w:bottom w:val="single" w:sz="4" w:space="0" w:color="auto"/>
              <w:right w:val="nil"/>
            </w:tcBorders>
            <w:vAlign w:val="center"/>
          </w:tcPr>
          <w:p w14:paraId="00AA99F8"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2</w:t>
            </w:r>
          </w:p>
        </w:tc>
        <w:tc>
          <w:tcPr>
            <w:tcW w:w="992" w:type="dxa"/>
            <w:tcBorders>
              <w:top w:val="single" w:sz="4" w:space="0" w:color="auto"/>
              <w:left w:val="nil"/>
              <w:bottom w:val="single" w:sz="4" w:space="0" w:color="auto"/>
              <w:right w:val="nil"/>
            </w:tcBorders>
            <w:vAlign w:val="center"/>
          </w:tcPr>
          <w:p w14:paraId="2BE17C63"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3</w:t>
            </w:r>
          </w:p>
        </w:tc>
        <w:tc>
          <w:tcPr>
            <w:tcW w:w="992" w:type="dxa"/>
            <w:tcBorders>
              <w:top w:val="single" w:sz="4" w:space="0" w:color="auto"/>
              <w:left w:val="nil"/>
              <w:bottom w:val="single" w:sz="4" w:space="0" w:color="auto"/>
              <w:right w:val="nil"/>
            </w:tcBorders>
            <w:vAlign w:val="center"/>
          </w:tcPr>
          <w:p w14:paraId="046DABC6"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All</w:t>
            </w:r>
          </w:p>
        </w:tc>
        <w:tc>
          <w:tcPr>
            <w:tcW w:w="1134" w:type="dxa"/>
            <w:tcBorders>
              <w:top w:val="single" w:sz="4" w:space="0" w:color="auto"/>
              <w:left w:val="nil"/>
              <w:bottom w:val="single" w:sz="4" w:space="0" w:color="auto"/>
              <w:right w:val="nil"/>
            </w:tcBorders>
            <w:vAlign w:val="center"/>
          </w:tcPr>
          <w:p w14:paraId="7E6386A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1701" w:type="dxa"/>
            <w:tcBorders>
              <w:top w:val="single" w:sz="4" w:space="0" w:color="auto"/>
              <w:left w:val="nil"/>
              <w:bottom w:val="single" w:sz="4" w:space="0" w:color="auto"/>
              <w:right w:val="nil"/>
            </w:tcBorders>
            <w:vAlign w:val="center"/>
          </w:tcPr>
          <w:p w14:paraId="4B32CF2A" w14:textId="77777777" w:rsidR="007E1D13" w:rsidRPr="00164E17" w:rsidRDefault="007E1D13" w:rsidP="007E1D13">
            <w:pPr>
              <w:spacing w:before="120" w:after="120"/>
              <w:jc w:val="center"/>
              <w:rPr>
                <w:rFonts w:cs="Arial"/>
                <w:color w:val="000000" w:themeColor="text1"/>
                <w:sz w:val="20"/>
                <w:shd w:val="clear" w:color="auto" w:fill="FFFFFF"/>
              </w:rPr>
            </w:pPr>
            <w:r>
              <w:rPr>
                <w:rFonts w:cs="Arial"/>
                <w:color w:val="000000" w:themeColor="text1"/>
                <w:sz w:val="20"/>
                <w:shd w:val="clear" w:color="auto" w:fill="FFFFFF"/>
              </w:rPr>
              <w:t>Study 1</w:t>
            </w:r>
          </w:p>
        </w:tc>
        <w:tc>
          <w:tcPr>
            <w:tcW w:w="567" w:type="dxa"/>
            <w:tcBorders>
              <w:top w:val="nil"/>
              <w:left w:val="nil"/>
              <w:bottom w:val="nil"/>
              <w:right w:val="nil"/>
            </w:tcBorders>
            <w:vAlign w:val="center"/>
          </w:tcPr>
          <w:p w14:paraId="7742498F"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3967B4E6" w14:textId="77777777" w:rsidTr="007E1D13">
        <w:trPr>
          <w:trHeight w:val="323"/>
        </w:trPr>
        <w:tc>
          <w:tcPr>
            <w:tcW w:w="2625" w:type="dxa"/>
            <w:tcBorders>
              <w:top w:val="nil"/>
              <w:left w:val="nil"/>
              <w:bottom w:val="nil"/>
              <w:right w:val="nil"/>
            </w:tcBorders>
            <w:vAlign w:val="center"/>
          </w:tcPr>
          <w:p w14:paraId="1A40EEB7" w14:textId="77777777" w:rsidR="007E1D13" w:rsidRPr="00794EE7" w:rsidRDefault="007E1D13" w:rsidP="007E1D13">
            <w:pPr>
              <w:spacing w:before="120" w:after="120"/>
              <w:rPr>
                <w:rFonts w:cs="Arial"/>
                <w:b/>
                <w:color w:val="000000" w:themeColor="text1"/>
                <w:shd w:val="clear" w:color="auto" w:fill="FFFFFF"/>
              </w:rPr>
            </w:pPr>
            <w:r>
              <w:rPr>
                <w:rFonts w:cs="Arial"/>
                <w:b/>
                <w:color w:val="000000" w:themeColor="text1"/>
                <w:shd w:val="clear" w:color="auto" w:fill="FFFFFF"/>
              </w:rPr>
              <w:t>P</w:t>
            </w:r>
            <w:r w:rsidRPr="00794EE7">
              <w:rPr>
                <w:rFonts w:cs="Arial"/>
                <w:b/>
                <w:color w:val="000000" w:themeColor="text1"/>
                <w:shd w:val="clear" w:color="auto" w:fill="FFFFFF"/>
              </w:rPr>
              <w:t>articipants</w:t>
            </w:r>
          </w:p>
        </w:tc>
        <w:tc>
          <w:tcPr>
            <w:tcW w:w="885" w:type="dxa"/>
            <w:tcBorders>
              <w:top w:val="nil"/>
              <w:left w:val="nil"/>
              <w:bottom w:val="nil"/>
              <w:right w:val="nil"/>
            </w:tcBorders>
            <w:vAlign w:val="center"/>
          </w:tcPr>
          <w:p w14:paraId="4812B4C0" w14:textId="77777777" w:rsidR="007E1D13" w:rsidRPr="004538A2" w:rsidRDefault="007E1D13" w:rsidP="007E1D13">
            <w:pPr>
              <w:spacing w:before="120" w:after="120"/>
              <w:rPr>
                <w:rFonts w:cs="Arial"/>
                <w:color w:val="000000" w:themeColor="text1"/>
                <w:shd w:val="clear" w:color="auto" w:fill="FFFFFF"/>
              </w:rPr>
            </w:pPr>
          </w:p>
        </w:tc>
        <w:tc>
          <w:tcPr>
            <w:tcW w:w="993" w:type="dxa"/>
            <w:tcBorders>
              <w:top w:val="nil"/>
              <w:left w:val="nil"/>
              <w:bottom w:val="nil"/>
              <w:right w:val="nil"/>
            </w:tcBorders>
            <w:vAlign w:val="center"/>
          </w:tcPr>
          <w:p w14:paraId="10AD1487" w14:textId="77777777" w:rsidR="007E1D13" w:rsidRPr="004538A2" w:rsidRDefault="007E1D13" w:rsidP="007E1D13">
            <w:pPr>
              <w:spacing w:before="120" w:after="120"/>
              <w:rPr>
                <w:rFonts w:cs="Arial"/>
                <w:color w:val="000000" w:themeColor="text1"/>
                <w:shd w:val="clear" w:color="auto" w:fill="FFFFFF"/>
              </w:rPr>
            </w:pPr>
          </w:p>
        </w:tc>
        <w:tc>
          <w:tcPr>
            <w:tcW w:w="992" w:type="dxa"/>
            <w:tcBorders>
              <w:top w:val="nil"/>
              <w:left w:val="nil"/>
              <w:bottom w:val="nil"/>
              <w:right w:val="nil"/>
            </w:tcBorders>
            <w:vAlign w:val="center"/>
          </w:tcPr>
          <w:p w14:paraId="5AF92C4C" w14:textId="77777777" w:rsidR="007E1D13" w:rsidRPr="004538A2" w:rsidRDefault="007E1D13" w:rsidP="007E1D13">
            <w:pPr>
              <w:spacing w:before="120" w:after="120"/>
              <w:rPr>
                <w:rFonts w:cs="Arial"/>
                <w:color w:val="000000" w:themeColor="text1"/>
                <w:shd w:val="clear" w:color="auto" w:fill="FFFFFF"/>
              </w:rPr>
            </w:pPr>
          </w:p>
        </w:tc>
        <w:tc>
          <w:tcPr>
            <w:tcW w:w="992" w:type="dxa"/>
            <w:tcBorders>
              <w:top w:val="nil"/>
              <w:left w:val="nil"/>
              <w:bottom w:val="nil"/>
              <w:right w:val="nil"/>
            </w:tcBorders>
            <w:vAlign w:val="center"/>
          </w:tcPr>
          <w:p w14:paraId="242554B9" w14:textId="77777777" w:rsidR="007E1D13" w:rsidRPr="004538A2" w:rsidRDefault="007E1D13" w:rsidP="007E1D13">
            <w:pPr>
              <w:spacing w:before="120" w:after="120"/>
              <w:rPr>
                <w:rFonts w:cs="Arial"/>
                <w:color w:val="000000" w:themeColor="text1"/>
                <w:shd w:val="clear" w:color="auto" w:fill="FFFFFF"/>
              </w:rPr>
            </w:pPr>
          </w:p>
        </w:tc>
        <w:tc>
          <w:tcPr>
            <w:tcW w:w="1134" w:type="dxa"/>
            <w:tcBorders>
              <w:top w:val="nil"/>
              <w:left w:val="nil"/>
              <w:bottom w:val="nil"/>
              <w:right w:val="nil"/>
            </w:tcBorders>
          </w:tcPr>
          <w:p w14:paraId="47301360" w14:textId="77777777" w:rsidR="007E1D13" w:rsidRPr="004538A2" w:rsidRDefault="007E1D13" w:rsidP="007E1D13">
            <w:pPr>
              <w:spacing w:before="120" w:after="120"/>
              <w:rPr>
                <w:rFonts w:cs="Arial"/>
                <w:color w:val="000000" w:themeColor="text1"/>
                <w:shd w:val="clear" w:color="auto" w:fill="FFFFFF"/>
              </w:rPr>
            </w:pPr>
          </w:p>
        </w:tc>
        <w:tc>
          <w:tcPr>
            <w:tcW w:w="1701" w:type="dxa"/>
            <w:tcBorders>
              <w:top w:val="nil"/>
              <w:left w:val="nil"/>
              <w:bottom w:val="nil"/>
              <w:right w:val="nil"/>
            </w:tcBorders>
          </w:tcPr>
          <w:p w14:paraId="1A641F5F" w14:textId="77777777" w:rsidR="007E1D13" w:rsidRPr="004538A2" w:rsidRDefault="007E1D13" w:rsidP="007E1D13">
            <w:pPr>
              <w:spacing w:before="120" w:after="120"/>
              <w:rPr>
                <w:rFonts w:cs="Arial"/>
                <w:color w:val="000000" w:themeColor="text1"/>
                <w:shd w:val="clear" w:color="auto" w:fill="FFFFFF"/>
              </w:rPr>
            </w:pPr>
          </w:p>
        </w:tc>
        <w:tc>
          <w:tcPr>
            <w:tcW w:w="567" w:type="dxa"/>
            <w:tcBorders>
              <w:top w:val="nil"/>
              <w:left w:val="nil"/>
              <w:bottom w:val="nil"/>
              <w:right w:val="nil"/>
            </w:tcBorders>
            <w:vAlign w:val="center"/>
          </w:tcPr>
          <w:p w14:paraId="0E143CA8"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316A3579" w14:textId="77777777" w:rsidTr="007E1D13">
        <w:trPr>
          <w:trHeight w:val="323"/>
        </w:trPr>
        <w:tc>
          <w:tcPr>
            <w:tcW w:w="2625" w:type="dxa"/>
            <w:tcBorders>
              <w:top w:val="nil"/>
              <w:left w:val="nil"/>
              <w:bottom w:val="nil"/>
              <w:right w:val="nil"/>
            </w:tcBorders>
            <w:vAlign w:val="center"/>
          </w:tcPr>
          <w:p w14:paraId="5A93BA6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        Number</w:t>
            </w:r>
          </w:p>
        </w:tc>
        <w:tc>
          <w:tcPr>
            <w:tcW w:w="885" w:type="dxa"/>
            <w:tcBorders>
              <w:top w:val="nil"/>
              <w:left w:val="nil"/>
              <w:bottom w:val="nil"/>
              <w:right w:val="nil"/>
            </w:tcBorders>
            <w:vAlign w:val="center"/>
          </w:tcPr>
          <w:p w14:paraId="70634CB2"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993" w:type="dxa"/>
            <w:tcBorders>
              <w:top w:val="nil"/>
              <w:left w:val="nil"/>
              <w:bottom w:val="nil"/>
              <w:right w:val="nil"/>
            </w:tcBorders>
            <w:vAlign w:val="center"/>
          </w:tcPr>
          <w:p w14:paraId="2C8240D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11</w:t>
            </w:r>
          </w:p>
        </w:tc>
        <w:tc>
          <w:tcPr>
            <w:tcW w:w="992" w:type="dxa"/>
            <w:tcBorders>
              <w:top w:val="nil"/>
              <w:left w:val="nil"/>
              <w:bottom w:val="nil"/>
              <w:right w:val="nil"/>
            </w:tcBorders>
            <w:vAlign w:val="center"/>
          </w:tcPr>
          <w:p w14:paraId="1BFEAC2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992" w:type="dxa"/>
            <w:tcBorders>
              <w:top w:val="nil"/>
              <w:left w:val="nil"/>
              <w:bottom w:val="nil"/>
              <w:right w:val="nil"/>
            </w:tcBorders>
            <w:vAlign w:val="center"/>
          </w:tcPr>
          <w:p w14:paraId="141F66E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27</w:t>
            </w:r>
          </w:p>
        </w:tc>
        <w:tc>
          <w:tcPr>
            <w:tcW w:w="1134" w:type="dxa"/>
            <w:tcBorders>
              <w:top w:val="nil"/>
              <w:left w:val="nil"/>
              <w:bottom w:val="nil"/>
              <w:right w:val="nil"/>
            </w:tcBorders>
          </w:tcPr>
          <w:p w14:paraId="13BA923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1701" w:type="dxa"/>
            <w:tcBorders>
              <w:top w:val="nil"/>
              <w:left w:val="nil"/>
              <w:bottom w:val="nil"/>
              <w:right w:val="nil"/>
            </w:tcBorders>
          </w:tcPr>
          <w:p w14:paraId="7789197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r>
              <w:rPr>
                <w:rFonts w:cs="Arial"/>
                <w:color w:val="000000" w:themeColor="text1"/>
              </w:rPr>
              <w:t>0 participants</w:t>
            </w:r>
          </w:p>
        </w:tc>
        <w:tc>
          <w:tcPr>
            <w:tcW w:w="567" w:type="dxa"/>
            <w:tcBorders>
              <w:top w:val="nil"/>
              <w:left w:val="nil"/>
              <w:bottom w:val="nil"/>
              <w:right w:val="nil"/>
            </w:tcBorders>
            <w:vAlign w:val="center"/>
          </w:tcPr>
          <w:p w14:paraId="61A27B8A"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1381F9C7" w14:textId="77777777" w:rsidTr="007E1D13">
        <w:trPr>
          <w:trHeight w:val="323"/>
        </w:trPr>
        <w:tc>
          <w:tcPr>
            <w:tcW w:w="2625" w:type="dxa"/>
            <w:tcBorders>
              <w:top w:val="nil"/>
              <w:left w:val="nil"/>
              <w:bottom w:val="nil"/>
              <w:right w:val="nil"/>
            </w:tcBorders>
            <w:vAlign w:val="center"/>
          </w:tcPr>
          <w:p w14:paraId="529242B7" w14:textId="77777777" w:rsidR="007E1D13" w:rsidRPr="00794EE7" w:rsidRDefault="007E1D13" w:rsidP="007E1D13">
            <w:pPr>
              <w:spacing w:before="120" w:after="120"/>
              <w:rPr>
                <w:rFonts w:cs="Arial"/>
                <w:b/>
                <w:color w:val="000000" w:themeColor="text1"/>
                <w:shd w:val="clear" w:color="auto" w:fill="FFFFFF"/>
              </w:rPr>
            </w:pPr>
            <w:r w:rsidRPr="00794EE7">
              <w:rPr>
                <w:rFonts w:cs="Arial"/>
                <w:b/>
                <w:color w:val="000000" w:themeColor="text1"/>
                <w:shd w:val="clear" w:color="auto" w:fill="FFFFFF"/>
              </w:rPr>
              <w:t>Gender identification</w:t>
            </w:r>
          </w:p>
        </w:tc>
        <w:tc>
          <w:tcPr>
            <w:tcW w:w="885" w:type="dxa"/>
            <w:tcBorders>
              <w:top w:val="nil"/>
              <w:left w:val="nil"/>
              <w:bottom w:val="nil"/>
              <w:right w:val="nil"/>
            </w:tcBorders>
            <w:vAlign w:val="center"/>
          </w:tcPr>
          <w:p w14:paraId="50164590" w14:textId="77777777" w:rsidR="007E1D13" w:rsidRPr="004538A2" w:rsidRDefault="007E1D13" w:rsidP="007E1D13">
            <w:pPr>
              <w:spacing w:before="120" w:after="120"/>
              <w:rPr>
                <w:rFonts w:cs="Arial"/>
                <w:color w:val="000000" w:themeColor="text1"/>
                <w:shd w:val="clear" w:color="auto" w:fill="FFFFFF"/>
              </w:rPr>
            </w:pPr>
          </w:p>
        </w:tc>
        <w:tc>
          <w:tcPr>
            <w:tcW w:w="993" w:type="dxa"/>
            <w:tcBorders>
              <w:top w:val="nil"/>
              <w:left w:val="nil"/>
              <w:bottom w:val="nil"/>
              <w:right w:val="nil"/>
            </w:tcBorders>
            <w:vAlign w:val="center"/>
          </w:tcPr>
          <w:p w14:paraId="0177926A" w14:textId="77777777" w:rsidR="007E1D13" w:rsidRPr="004538A2" w:rsidRDefault="007E1D13" w:rsidP="007E1D13">
            <w:pPr>
              <w:spacing w:before="120" w:after="120"/>
              <w:rPr>
                <w:rFonts w:cs="Arial"/>
                <w:color w:val="000000" w:themeColor="text1"/>
                <w:shd w:val="clear" w:color="auto" w:fill="FFFFFF"/>
              </w:rPr>
            </w:pPr>
          </w:p>
        </w:tc>
        <w:tc>
          <w:tcPr>
            <w:tcW w:w="992" w:type="dxa"/>
            <w:tcBorders>
              <w:top w:val="nil"/>
              <w:left w:val="nil"/>
              <w:bottom w:val="nil"/>
              <w:right w:val="nil"/>
            </w:tcBorders>
            <w:vAlign w:val="center"/>
          </w:tcPr>
          <w:p w14:paraId="63388B9A" w14:textId="77777777" w:rsidR="007E1D13" w:rsidRPr="004538A2" w:rsidRDefault="007E1D13" w:rsidP="007E1D13">
            <w:pPr>
              <w:spacing w:before="120" w:after="120"/>
              <w:rPr>
                <w:rFonts w:cs="Arial"/>
                <w:color w:val="000000" w:themeColor="text1"/>
                <w:shd w:val="clear" w:color="auto" w:fill="FFFFFF"/>
              </w:rPr>
            </w:pPr>
          </w:p>
        </w:tc>
        <w:tc>
          <w:tcPr>
            <w:tcW w:w="992" w:type="dxa"/>
            <w:tcBorders>
              <w:top w:val="nil"/>
              <w:left w:val="nil"/>
              <w:bottom w:val="nil"/>
              <w:right w:val="nil"/>
            </w:tcBorders>
            <w:vAlign w:val="center"/>
          </w:tcPr>
          <w:p w14:paraId="0B507B66" w14:textId="77777777" w:rsidR="007E1D13" w:rsidRPr="004538A2" w:rsidRDefault="007E1D13" w:rsidP="007E1D13">
            <w:pPr>
              <w:spacing w:before="120" w:after="120"/>
              <w:rPr>
                <w:rFonts w:cs="Arial"/>
                <w:color w:val="000000" w:themeColor="text1"/>
                <w:shd w:val="clear" w:color="auto" w:fill="FFFFFF"/>
              </w:rPr>
            </w:pPr>
          </w:p>
        </w:tc>
        <w:tc>
          <w:tcPr>
            <w:tcW w:w="1134" w:type="dxa"/>
            <w:tcBorders>
              <w:top w:val="nil"/>
              <w:left w:val="nil"/>
              <w:bottom w:val="nil"/>
              <w:right w:val="nil"/>
            </w:tcBorders>
          </w:tcPr>
          <w:p w14:paraId="299ABEF0" w14:textId="77777777" w:rsidR="007E1D13" w:rsidRPr="004538A2" w:rsidRDefault="007E1D13" w:rsidP="007E1D13">
            <w:pPr>
              <w:spacing w:before="120" w:after="120"/>
              <w:rPr>
                <w:rFonts w:cs="Arial"/>
                <w:color w:val="000000" w:themeColor="text1"/>
                <w:shd w:val="clear" w:color="auto" w:fill="FFFFFF"/>
              </w:rPr>
            </w:pPr>
          </w:p>
        </w:tc>
        <w:tc>
          <w:tcPr>
            <w:tcW w:w="1701" w:type="dxa"/>
            <w:tcBorders>
              <w:top w:val="nil"/>
              <w:left w:val="nil"/>
              <w:bottom w:val="nil"/>
              <w:right w:val="nil"/>
            </w:tcBorders>
          </w:tcPr>
          <w:p w14:paraId="309BD095" w14:textId="77777777" w:rsidR="007E1D13" w:rsidRPr="004538A2" w:rsidRDefault="007E1D13" w:rsidP="007E1D13">
            <w:pPr>
              <w:spacing w:before="120" w:after="120"/>
              <w:rPr>
                <w:rFonts w:cs="Arial"/>
                <w:color w:val="000000" w:themeColor="text1"/>
                <w:shd w:val="clear" w:color="auto" w:fill="FFFFFF"/>
              </w:rPr>
            </w:pPr>
          </w:p>
        </w:tc>
        <w:tc>
          <w:tcPr>
            <w:tcW w:w="567" w:type="dxa"/>
            <w:tcBorders>
              <w:top w:val="nil"/>
              <w:left w:val="nil"/>
              <w:bottom w:val="nil"/>
              <w:right w:val="nil"/>
            </w:tcBorders>
            <w:vAlign w:val="center"/>
          </w:tcPr>
          <w:p w14:paraId="649DC456"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725BFB40" w14:textId="77777777" w:rsidTr="007E1D13">
        <w:trPr>
          <w:trHeight w:val="323"/>
        </w:trPr>
        <w:tc>
          <w:tcPr>
            <w:tcW w:w="2625" w:type="dxa"/>
            <w:tcBorders>
              <w:top w:val="nil"/>
              <w:left w:val="nil"/>
              <w:bottom w:val="nil"/>
              <w:right w:val="nil"/>
            </w:tcBorders>
            <w:vAlign w:val="center"/>
          </w:tcPr>
          <w:p w14:paraId="7C57F54C"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Male </w:t>
            </w:r>
          </w:p>
        </w:tc>
        <w:tc>
          <w:tcPr>
            <w:tcW w:w="885" w:type="dxa"/>
            <w:tcBorders>
              <w:top w:val="nil"/>
              <w:left w:val="nil"/>
              <w:bottom w:val="nil"/>
              <w:right w:val="nil"/>
            </w:tcBorders>
            <w:vAlign w:val="center"/>
          </w:tcPr>
          <w:p w14:paraId="556A52A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p>
        </w:tc>
        <w:tc>
          <w:tcPr>
            <w:tcW w:w="993" w:type="dxa"/>
            <w:tcBorders>
              <w:top w:val="nil"/>
              <w:left w:val="nil"/>
              <w:bottom w:val="nil"/>
              <w:right w:val="nil"/>
            </w:tcBorders>
            <w:vAlign w:val="center"/>
          </w:tcPr>
          <w:p w14:paraId="6AF2B09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92" w:type="dxa"/>
            <w:tcBorders>
              <w:top w:val="nil"/>
              <w:left w:val="nil"/>
              <w:bottom w:val="nil"/>
              <w:right w:val="nil"/>
            </w:tcBorders>
            <w:vAlign w:val="center"/>
          </w:tcPr>
          <w:p w14:paraId="7B6E0A8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92" w:type="dxa"/>
            <w:tcBorders>
              <w:top w:val="nil"/>
              <w:left w:val="nil"/>
              <w:bottom w:val="nil"/>
              <w:right w:val="nil"/>
            </w:tcBorders>
            <w:vAlign w:val="center"/>
          </w:tcPr>
          <w:p w14:paraId="47964C7C"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1134" w:type="dxa"/>
            <w:tcBorders>
              <w:top w:val="nil"/>
              <w:left w:val="nil"/>
              <w:bottom w:val="nil"/>
              <w:right w:val="nil"/>
            </w:tcBorders>
          </w:tcPr>
          <w:p w14:paraId="6C01057D"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22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7E3C8172"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30 </w:t>
            </w:r>
            <w:r w:rsidRPr="00197CC8">
              <w:rPr>
                <w:rFonts w:cs="Arial"/>
                <w:color w:val="000000" w:themeColor="text1"/>
                <w:sz w:val="18"/>
                <w:shd w:val="clear" w:color="auto" w:fill="FFFFFF"/>
              </w:rPr>
              <w:t>%</w:t>
            </w:r>
            <w:r>
              <w:rPr>
                <w:rFonts w:cs="Arial"/>
                <w:color w:val="000000" w:themeColor="text1"/>
                <w:sz w:val="18"/>
                <w:shd w:val="clear" w:color="auto" w:fill="FFFFFF"/>
              </w:rPr>
              <w:t xml:space="preserve"> </w:t>
            </w:r>
          </w:p>
        </w:tc>
        <w:tc>
          <w:tcPr>
            <w:tcW w:w="567" w:type="dxa"/>
            <w:tcBorders>
              <w:top w:val="nil"/>
              <w:left w:val="nil"/>
              <w:bottom w:val="nil"/>
              <w:right w:val="nil"/>
            </w:tcBorders>
            <w:vAlign w:val="center"/>
          </w:tcPr>
          <w:p w14:paraId="723EE820"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16655CDA" w14:textId="77777777" w:rsidTr="007E1D13">
        <w:trPr>
          <w:trHeight w:val="323"/>
        </w:trPr>
        <w:tc>
          <w:tcPr>
            <w:tcW w:w="2625" w:type="dxa"/>
            <w:tcBorders>
              <w:top w:val="nil"/>
              <w:left w:val="nil"/>
              <w:bottom w:val="nil"/>
              <w:right w:val="nil"/>
            </w:tcBorders>
            <w:vAlign w:val="center"/>
          </w:tcPr>
          <w:p w14:paraId="4DC2A82E"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Female</w:t>
            </w:r>
          </w:p>
        </w:tc>
        <w:tc>
          <w:tcPr>
            <w:tcW w:w="885" w:type="dxa"/>
            <w:tcBorders>
              <w:top w:val="nil"/>
              <w:left w:val="nil"/>
              <w:bottom w:val="nil"/>
              <w:right w:val="nil"/>
            </w:tcBorders>
            <w:vAlign w:val="center"/>
          </w:tcPr>
          <w:p w14:paraId="3FBAD62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93" w:type="dxa"/>
            <w:tcBorders>
              <w:top w:val="nil"/>
              <w:left w:val="nil"/>
              <w:bottom w:val="nil"/>
              <w:right w:val="nil"/>
            </w:tcBorders>
            <w:vAlign w:val="center"/>
          </w:tcPr>
          <w:p w14:paraId="7DB5C5F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992" w:type="dxa"/>
            <w:tcBorders>
              <w:top w:val="nil"/>
              <w:left w:val="nil"/>
              <w:bottom w:val="nil"/>
              <w:right w:val="nil"/>
            </w:tcBorders>
            <w:vAlign w:val="center"/>
          </w:tcPr>
          <w:p w14:paraId="417993D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92" w:type="dxa"/>
            <w:tcBorders>
              <w:top w:val="nil"/>
              <w:left w:val="nil"/>
              <w:bottom w:val="nil"/>
              <w:right w:val="nil"/>
            </w:tcBorders>
            <w:vAlign w:val="center"/>
          </w:tcPr>
          <w:p w14:paraId="70296E9A"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21</w:t>
            </w:r>
          </w:p>
        </w:tc>
        <w:tc>
          <w:tcPr>
            <w:tcW w:w="1134" w:type="dxa"/>
            <w:tcBorders>
              <w:top w:val="nil"/>
              <w:left w:val="nil"/>
              <w:bottom w:val="nil"/>
              <w:right w:val="nil"/>
            </w:tcBorders>
          </w:tcPr>
          <w:p w14:paraId="0084FF7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78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094817F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70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2DCC6C59" w14:textId="77777777" w:rsidR="007E1D13" w:rsidRPr="004538A2" w:rsidRDefault="007E1D13" w:rsidP="007E1D13">
            <w:pPr>
              <w:spacing w:before="120" w:after="120"/>
              <w:rPr>
                <w:rFonts w:cs="Arial"/>
                <w:color w:val="000000" w:themeColor="text1"/>
                <w:shd w:val="clear" w:color="auto" w:fill="FFFFFF"/>
              </w:rPr>
            </w:pPr>
          </w:p>
        </w:tc>
      </w:tr>
      <w:tr w:rsidR="007E1D13" w:rsidRPr="00794EE7" w14:paraId="413D8ED5" w14:textId="77777777" w:rsidTr="007E1D13">
        <w:trPr>
          <w:trHeight w:val="323"/>
        </w:trPr>
        <w:tc>
          <w:tcPr>
            <w:tcW w:w="2625" w:type="dxa"/>
            <w:tcBorders>
              <w:top w:val="nil"/>
              <w:left w:val="nil"/>
              <w:bottom w:val="nil"/>
              <w:right w:val="nil"/>
            </w:tcBorders>
            <w:vAlign w:val="center"/>
          </w:tcPr>
          <w:p w14:paraId="49A7D01A" w14:textId="77777777" w:rsidR="007E1D13" w:rsidRPr="00794EE7" w:rsidRDefault="007E1D13" w:rsidP="007E1D13">
            <w:pPr>
              <w:spacing w:before="120" w:after="120"/>
              <w:rPr>
                <w:rFonts w:cs="Arial"/>
                <w:b/>
                <w:color w:val="000000" w:themeColor="text1"/>
                <w:shd w:val="clear" w:color="auto" w:fill="FFFFFF"/>
              </w:rPr>
            </w:pPr>
            <w:r w:rsidRPr="00794EE7">
              <w:rPr>
                <w:rFonts w:cs="Arial"/>
                <w:b/>
                <w:color w:val="000000" w:themeColor="text1"/>
                <w:shd w:val="clear" w:color="auto" w:fill="FFFFFF"/>
              </w:rPr>
              <w:t>Age (years)</w:t>
            </w:r>
          </w:p>
        </w:tc>
        <w:tc>
          <w:tcPr>
            <w:tcW w:w="885" w:type="dxa"/>
            <w:tcBorders>
              <w:top w:val="nil"/>
              <w:left w:val="nil"/>
              <w:bottom w:val="nil"/>
              <w:right w:val="nil"/>
            </w:tcBorders>
            <w:vAlign w:val="center"/>
          </w:tcPr>
          <w:p w14:paraId="45E760C8" w14:textId="77777777" w:rsidR="007E1D13" w:rsidRPr="00794EE7" w:rsidRDefault="007E1D13" w:rsidP="007E1D13">
            <w:pPr>
              <w:spacing w:before="120" w:after="120"/>
              <w:rPr>
                <w:rFonts w:cs="Arial"/>
                <w:b/>
                <w:color w:val="000000" w:themeColor="text1"/>
                <w:shd w:val="clear" w:color="auto" w:fill="FFFFFF"/>
              </w:rPr>
            </w:pPr>
          </w:p>
        </w:tc>
        <w:tc>
          <w:tcPr>
            <w:tcW w:w="993" w:type="dxa"/>
            <w:tcBorders>
              <w:top w:val="nil"/>
              <w:left w:val="nil"/>
              <w:bottom w:val="nil"/>
              <w:right w:val="nil"/>
            </w:tcBorders>
            <w:vAlign w:val="center"/>
          </w:tcPr>
          <w:p w14:paraId="5878A708"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27ACB799"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280C2C52" w14:textId="77777777" w:rsidR="007E1D13" w:rsidRPr="00794EE7" w:rsidRDefault="007E1D13" w:rsidP="007E1D13">
            <w:pPr>
              <w:spacing w:before="120" w:after="120"/>
              <w:rPr>
                <w:rFonts w:cs="Arial"/>
                <w:b/>
                <w:color w:val="000000" w:themeColor="text1"/>
                <w:shd w:val="clear" w:color="auto" w:fill="FFFFFF"/>
              </w:rPr>
            </w:pPr>
          </w:p>
        </w:tc>
        <w:tc>
          <w:tcPr>
            <w:tcW w:w="1134" w:type="dxa"/>
            <w:tcBorders>
              <w:top w:val="nil"/>
              <w:left w:val="nil"/>
              <w:bottom w:val="nil"/>
              <w:right w:val="nil"/>
            </w:tcBorders>
          </w:tcPr>
          <w:p w14:paraId="760D010E" w14:textId="77777777" w:rsidR="007E1D13" w:rsidRPr="00794EE7" w:rsidRDefault="007E1D13" w:rsidP="007E1D13">
            <w:pPr>
              <w:spacing w:before="120" w:after="120"/>
              <w:rPr>
                <w:rFonts w:cs="Arial"/>
                <w:b/>
                <w:color w:val="000000" w:themeColor="text1"/>
                <w:shd w:val="clear" w:color="auto" w:fill="FFFFFF"/>
              </w:rPr>
            </w:pPr>
          </w:p>
        </w:tc>
        <w:tc>
          <w:tcPr>
            <w:tcW w:w="1701" w:type="dxa"/>
            <w:tcBorders>
              <w:top w:val="nil"/>
              <w:left w:val="nil"/>
              <w:bottom w:val="nil"/>
              <w:right w:val="nil"/>
            </w:tcBorders>
          </w:tcPr>
          <w:p w14:paraId="6BEE69EC" w14:textId="77777777" w:rsidR="007E1D13" w:rsidRPr="00794EE7" w:rsidRDefault="007E1D13" w:rsidP="007E1D13">
            <w:pPr>
              <w:spacing w:before="120" w:after="120"/>
              <w:rPr>
                <w:rFonts w:cs="Arial"/>
                <w:b/>
                <w:color w:val="000000" w:themeColor="text1"/>
                <w:shd w:val="clear" w:color="auto" w:fill="FFFFFF"/>
              </w:rPr>
            </w:pPr>
          </w:p>
        </w:tc>
        <w:tc>
          <w:tcPr>
            <w:tcW w:w="567" w:type="dxa"/>
            <w:tcBorders>
              <w:top w:val="nil"/>
              <w:left w:val="nil"/>
              <w:bottom w:val="nil"/>
              <w:right w:val="nil"/>
            </w:tcBorders>
            <w:vAlign w:val="center"/>
          </w:tcPr>
          <w:p w14:paraId="34627C0B" w14:textId="77777777" w:rsidR="007E1D13" w:rsidRPr="00794EE7" w:rsidRDefault="007E1D13" w:rsidP="007E1D13">
            <w:pPr>
              <w:spacing w:before="120" w:after="120"/>
              <w:rPr>
                <w:rFonts w:cs="Arial"/>
                <w:b/>
                <w:color w:val="000000" w:themeColor="text1"/>
                <w:shd w:val="clear" w:color="auto" w:fill="FFFFFF"/>
              </w:rPr>
            </w:pPr>
          </w:p>
        </w:tc>
      </w:tr>
      <w:tr w:rsidR="007E1D13" w:rsidRPr="004538A2" w14:paraId="32543F36" w14:textId="77777777" w:rsidTr="007E1D13">
        <w:trPr>
          <w:trHeight w:val="323"/>
        </w:trPr>
        <w:tc>
          <w:tcPr>
            <w:tcW w:w="2625" w:type="dxa"/>
            <w:tcBorders>
              <w:top w:val="nil"/>
              <w:left w:val="nil"/>
              <w:bottom w:val="nil"/>
              <w:right w:val="nil"/>
            </w:tcBorders>
            <w:vAlign w:val="center"/>
          </w:tcPr>
          <w:p w14:paraId="719D5D3D"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Youngest </w:t>
            </w:r>
          </w:p>
        </w:tc>
        <w:tc>
          <w:tcPr>
            <w:tcW w:w="885" w:type="dxa"/>
            <w:tcBorders>
              <w:top w:val="nil"/>
              <w:left w:val="nil"/>
              <w:bottom w:val="nil"/>
              <w:right w:val="nil"/>
            </w:tcBorders>
            <w:vAlign w:val="center"/>
          </w:tcPr>
          <w:p w14:paraId="3D0EE18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17</w:t>
            </w:r>
          </w:p>
        </w:tc>
        <w:tc>
          <w:tcPr>
            <w:tcW w:w="993" w:type="dxa"/>
            <w:tcBorders>
              <w:top w:val="nil"/>
              <w:left w:val="nil"/>
              <w:bottom w:val="nil"/>
              <w:right w:val="nil"/>
            </w:tcBorders>
            <w:vAlign w:val="center"/>
          </w:tcPr>
          <w:p w14:paraId="7EEEAEF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15</w:t>
            </w:r>
          </w:p>
        </w:tc>
        <w:tc>
          <w:tcPr>
            <w:tcW w:w="992" w:type="dxa"/>
            <w:tcBorders>
              <w:top w:val="nil"/>
              <w:left w:val="nil"/>
              <w:bottom w:val="nil"/>
              <w:right w:val="nil"/>
            </w:tcBorders>
            <w:vAlign w:val="center"/>
          </w:tcPr>
          <w:p w14:paraId="25BB190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15</w:t>
            </w:r>
          </w:p>
        </w:tc>
        <w:tc>
          <w:tcPr>
            <w:tcW w:w="992" w:type="dxa"/>
            <w:tcBorders>
              <w:top w:val="nil"/>
              <w:left w:val="nil"/>
              <w:bottom w:val="nil"/>
              <w:right w:val="nil"/>
            </w:tcBorders>
            <w:vAlign w:val="center"/>
          </w:tcPr>
          <w:p w14:paraId="15BC704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15</w:t>
            </w:r>
          </w:p>
        </w:tc>
        <w:tc>
          <w:tcPr>
            <w:tcW w:w="1134" w:type="dxa"/>
            <w:tcBorders>
              <w:top w:val="nil"/>
              <w:left w:val="nil"/>
              <w:bottom w:val="nil"/>
              <w:right w:val="nil"/>
            </w:tcBorders>
          </w:tcPr>
          <w:p w14:paraId="792BE68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1701" w:type="dxa"/>
            <w:tcBorders>
              <w:top w:val="nil"/>
              <w:left w:val="nil"/>
              <w:bottom w:val="nil"/>
              <w:right w:val="nil"/>
            </w:tcBorders>
            <w:vAlign w:val="center"/>
          </w:tcPr>
          <w:p w14:paraId="24378C4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15    years</w:t>
            </w:r>
          </w:p>
        </w:tc>
        <w:tc>
          <w:tcPr>
            <w:tcW w:w="567" w:type="dxa"/>
            <w:tcBorders>
              <w:top w:val="nil"/>
              <w:left w:val="nil"/>
              <w:bottom w:val="nil"/>
              <w:right w:val="nil"/>
            </w:tcBorders>
            <w:vAlign w:val="center"/>
          </w:tcPr>
          <w:p w14:paraId="020C70E9"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571D763F" w14:textId="77777777" w:rsidTr="007E1D13">
        <w:trPr>
          <w:trHeight w:val="323"/>
        </w:trPr>
        <w:tc>
          <w:tcPr>
            <w:tcW w:w="2625" w:type="dxa"/>
            <w:tcBorders>
              <w:top w:val="nil"/>
              <w:left w:val="nil"/>
              <w:bottom w:val="nil"/>
              <w:right w:val="nil"/>
            </w:tcBorders>
            <w:vAlign w:val="center"/>
          </w:tcPr>
          <w:p w14:paraId="6509C6AB"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Oldest</w:t>
            </w:r>
          </w:p>
        </w:tc>
        <w:tc>
          <w:tcPr>
            <w:tcW w:w="885" w:type="dxa"/>
            <w:tcBorders>
              <w:top w:val="nil"/>
              <w:left w:val="nil"/>
              <w:bottom w:val="nil"/>
              <w:right w:val="nil"/>
            </w:tcBorders>
            <w:vAlign w:val="center"/>
          </w:tcPr>
          <w:p w14:paraId="43178CF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23</w:t>
            </w:r>
          </w:p>
        </w:tc>
        <w:tc>
          <w:tcPr>
            <w:tcW w:w="993" w:type="dxa"/>
            <w:tcBorders>
              <w:top w:val="nil"/>
              <w:left w:val="nil"/>
              <w:bottom w:val="nil"/>
              <w:right w:val="nil"/>
            </w:tcBorders>
            <w:vAlign w:val="center"/>
          </w:tcPr>
          <w:p w14:paraId="79881A2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23</w:t>
            </w:r>
          </w:p>
        </w:tc>
        <w:tc>
          <w:tcPr>
            <w:tcW w:w="992" w:type="dxa"/>
            <w:tcBorders>
              <w:top w:val="nil"/>
              <w:left w:val="nil"/>
              <w:bottom w:val="nil"/>
              <w:right w:val="nil"/>
            </w:tcBorders>
            <w:vAlign w:val="center"/>
          </w:tcPr>
          <w:p w14:paraId="75602102"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26</w:t>
            </w:r>
          </w:p>
        </w:tc>
        <w:tc>
          <w:tcPr>
            <w:tcW w:w="992" w:type="dxa"/>
            <w:tcBorders>
              <w:top w:val="nil"/>
              <w:left w:val="nil"/>
              <w:bottom w:val="nil"/>
              <w:right w:val="nil"/>
            </w:tcBorders>
            <w:vAlign w:val="center"/>
          </w:tcPr>
          <w:p w14:paraId="03DF37A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26</w:t>
            </w:r>
          </w:p>
        </w:tc>
        <w:tc>
          <w:tcPr>
            <w:tcW w:w="1134" w:type="dxa"/>
            <w:tcBorders>
              <w:top w:val="nil"/>
              <w:left w:val="nil"/>
              <w:bottom w:val="nil"/>
              <w:right w:val="nil"/>
            </w:tcBorders>
          </w:tcPr>
          <w:p w14:paraId="2566A0C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1701" w:type="dxa"/>
            <w:tcBorders>
              <w:top w:val="nil"/>
              <w:left w:val="nil"/>
              <w:bottom w:val="nil"/>
              <w:right w:val="nil"/>
            </w:tcBorders>
            <w:vAlign w:val="center"/>
          </w:tcPr>
          <w:p w14:paraId="6D32414A"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25    years</w:t>
            </w:r>
          </w:p>
        </w:tc>
        <w:tc>
          <w:tcPr>
            <w:tcW w:w="567" w:type="dxa"/>
            <w:tcBorders>
              <w:top w:val="nil"/>
              <w:left w:val="nil"/>
              <w:bottom w:val="nil"/>
              <w:right w:val="nil"/>
            </w:tcBorders>
            <w:vAlign w:val="center"/>
          </w:tcPr>
          <w:p w14:paraId="3BFF95AA"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4F049D8B" w14:textId="77777777" w:rsidTr="007E1D13">
        <w:trPr>
          <w:trHeight w:val="323"/>
        </w:trPr>
        <w:tc>
          <w:tcPr>
            <w:tcW w:w="2625" w:type="dxa"/>
            <w:tcBorders>
              <w:top w:val="nil"/>
              <w:left w:val="nil"/>
              <w:bottom w:val="nil"/>
              <w:right w:val="nil"/>
            </w:tcBorders>
            <w:vAlign w:val="center"/>
          </w:tcPr>
          <w:p w14:paraId="204E2069"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Median</w:t>
            </w:r>
          </w:p>
        </w:tc>
        <w:tc>
          <w:tcPr>
            <w:tcW w:w="885" w:type="dxa"/>
            <w:tcBorders>
              <w:top w:val="nil"/>
              <w:left w:val="nil"/>
              <w:bottom w:val="nil"/>
              <w:right w:val="nil"/>
            </w:tcBorders>
            <w:vAlign w:val="center"/>
          </w:tcPr>
          <w:p w14:paraId="703E279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20</w:t>
            </w:r>
          </w:p>
        </w:tc>
        <w:tc>
          <w:tcPr>
            <w:tcW w:w="993" w:type="dxa"/>
            <w:tcBorders>
              <w:top w:val="nil"/>
              <w:left w:val="nil"/>
              <w:bottom w:val="nil"/>
              <w:right w:val="nil"/>
            </w:tcBorders>
            <w:vAlign w:val="center"/>
          </w:tcPr>
          <w:p w14:paraId="1B81EF0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18</w:t>
            </w:r>
          </w:p>
        </w:tc>
        <w:tc>
          <w:tcPr>
            <w:tcW w:w="992" w:type="dxa"/>
            <w:tcBorders>
              <w:top w:val="nil"/>
              <w:left w:val="nil"/>
              <w:bottom w:val="nil"/>
              <w:right w:val="nil"/>
            </w:tcBorders>
            <w:vAlign w:val="center"/>
          </w:tcPr>
          <w:p w14:paraId="62BC90E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17</w:t>
            </w:r>
          </w:p>
        </w:tc>
        <w:tc>
          <w:tcPr>
            <w:tcW w:w="992" w:type="dxa"/>
            <w:tcBorders>
              <w:top w:val="nil"/>
              <w:left w:val="nil"/>
              <w:bottom w:val="nil"/>
              <w:right w:val="nil"/>
            </w:tcBorders>
            <w:vAlign w:val="center"/>
          </w:tcPr>
          <w:p w14:paraId="770EC25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18.5</w:t>
            </w:r>
          </w:p>
        </w:tc>
        <w:tc>
          <w:tcPr>
            <w:tcW w:w="1134" w:type="dxa"/>
            <w:tcBorders>
              <w:top w:val="nil"/>
              <w:left w:val="nil"/>
              <w:bottom w:val="nil"/>
              <w:right w:val="nil"/>
            </w:tcBorders>
          </w:tcPr>
          <w:p w14:paraId="0C42125F"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1701" w:type="dxa"/>
            <w:tcBorders>
              <w:top w:val="nil"/>
              <w:left w:val="nil"/>
              <w:bottom w:val="nil"/>
              <w:right w:val="nil"/>
            </w:tcBorders>
            <w:vAlign w:val="center"/>
          </w:tcPr>
          <w:p w14:paraId="5DC771B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18.5 years</w:t>
            </w:r>
          </w:p>
        </w:tc>
        <w:tc>
          <w:tcPr>
            <w:tcW w:w="567" w:type="dxa"/>
            <w:tcBorders>
              <w:top w:val="nil"/>
              <w:left w:val="nil"/>
              <w:bottom w:val="nil"/>
              <w:right w:val="nil"/>
            </w:tcBorders>
            <w:vAlign w:val="center"/>
          </w:tcPr>
          <w:p w14:paraId="47637ECF" w14:textId="77777777" w:rsidR="007E1D13" w:rsidRPr="004538A2" w:rsidRDefault="007E1D13" w:rsidP="007E1D13">
            <w:pPr>
              <w:spacing w:before="120" w:after="120"/>
              <w:rPr>
                <w:rFonts w:cs="Arial"/>
                <w:color w:val="000000" w:themeColor="text1"/>
                <w:shd w:val="clear" w:color="auto" w:fill="FFFFFF"/>
              </w:rPr>
            </w:pPr>
          </w:p>
        </w:tc>
      </w:tr>
      <w:tr w:rsidR="007E1D13" w:rsidRPr="00794EE7" w14:paraId="7F9D0471" w14:textId="77777777" w:rsidTr="007E1D13">
        <w:trPr>
          <w:trHeight w:val="323"/>
        </w:trPr>
        <w:tc>
          <w:tcPr>
            <w:tcW w:w="2625" w:type="dxa"/>
            <w:tcBorders>
              <w:top w:val="nil"/>
              <w:left w:val="nil"/>
              <w:bottom w:val="nil"/>
              <w:right w:val="nil"/>
            </w:tcBorders>
            <w:vAlign w:val="center"/>
          </w:tcPr>
          <w:p w14:paraId="7F1CCF3C" w14:textId="77777777" w:rsidR="007E1D13" w:rsidRPr="00794EE7" w:rsidRDefault="007E1D13" w:rsidP="007E1D13">
            <w:pPr>
              <w:spacing w:before="120" w:after="120"/>
              <w:rPr>
                <w:rFonts w:cs="Arial"/>
                <w:b/>
                <w:color w:val="000000" w:themeColor="text1"/>
                <w:shd w:val="clear" w:color="auto" w:fill="FFFFFF"/>
              </w:rPr>
            </w:pPr>
            <w:r w:rsidRPr="00794EE7">
              <w:rPr>
                <w:rFonts w:cs="Arial"/>
                <w:b/>
                <w:color w:val="000000" w:themeColor="text1"/>
                <w:shd w:val="clear" w:color="auto" w:fill="FFFFFF"/>
              </w:rPr>
              <w:t>Occupation</w:t>
            </w:r>
          </w:p>
        </w:tc>
        <w:tc>
          <w:tcPr>
            <w:tcW w:w="885" w:type="dxa"/>
            <w:tcBorders>
              <w:top w:val="nil"/>
              <w:left w:val="nil"/>
              <w:bottom w:val="nil"/>
              <w:right w:val="nil"/>
            </w:tcBorders>
            <w:vAlign w:val="center"/>
          </w:tcPr>
          <w:p w14:paraId="0F4726AA" w14:textId="77777777" w:rsidR="007E1D13" w:rsidRPr="00794EE7" w:rsidRDefault="007E1D13" w:rsidP="007E1D13">
            <w:pPr>
              <w:spacing w:before="120" w:after="120"/>
              <w:rPr>
                <w:rFonts w:cs="Arial"/>
                <w:b/>
                <w:color w:val="000000" w:themeColor="text1"/>
                <w:shd w:val="clear" w:color="auto" w:fill="FFFFFF"/>
              </w:rPr>
            </w:pPr>
          </w:p>
        </w:tc>
        <w:tc>
          <w:tcPr>
            <w:tcW w:w="993" w:type="dxa"/>
            <w:tcBorders>
              <w:top w:val="nil"/>
              <w:left w:val="nil"/>
              <w:bottom w:val="nil"/>
              <w:right w:val="nil"/>
            </w:tcBorders>
            <w:vAlign w:val="center"/>
          </w:tcPr>
          <w:p w14:paraId="37A2F098"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00F4D0D6"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4AFC5E82" w14:textId="77777777" w:rsidR="007E1D13" w:rsidRPr="00794EE7" w:rsidRDefault="007E1D13" w:rsidP="007E1D13">
            <w:pPr>
              <w:spacing w:before="120" w:after="120"/>
              <w:rPr>
                <w:rFonts w:cs="Arial"/>
                <w:b/>
                <w:color w:val="000000" w:themeColor="text1"/>
                <w:shd w:val="clear" w:color="auto" w:fill="FFFFFF"/>
              </w:rPr>
            </w:pPr>
          </w:p>
        </w:tc>
        <w:tc>
          <w:tcPr>
            <w:tcW w:w="1134" w:type="dxa"/>
            <w:tcBorders>
              <w:top w:val="nil"/>
              <w:left w:val="nil"/>
              <w:bottom w:val="nil"/>
              <w:right w:val="nil"/>
            </w:tcBorders>
          </w:tcPr>
          <w:p w14:paraId="4EC286FB" w14:textId="77777777" w:rsidR="007E1D13" w:rsidRPr="00794EE7" w:rsidRDefault="007E1D13" w:rsidP="007E1D13">
            <w:pPr>
              <w:spacing w:before="120" w:after="120"/>
              <w:rPr>
                <w:rFonts w:cs="Arial"/>
                <w:b/>
                <w:color w:val="000000" w:themeColor="text1"/>
                <w:shd w:val="clear" w:color="auto" w:fill="FFFFFF"/>
              </w:rPr>
            </w:pPr>
          </w:p>
        </w:tc>
        <w:tc>
          <w:tcPr>
            <w:tcW w:w="1701" w:type="dxa"/>
            <w:tcBorders>
              <w:top w:val="nil"/>
              <w:left w:val="nil"/>
              <w:bottom w:val="nil"/>
              <w:right w:val="nil"/>
            </w:tcBorders>
          </w:tcPr>
          <w:p w14:paraId="17C123C0" w14:textId="77777777" w:rsidR="007E1D13" w:rsidRPr="00794EE7" w:rsidRDefault="007E1D13" w:rsidP="007E1D13">
            <w:pPr>
              <w:spacing w:before="120" w:after="120"/>
              <w:rPr>
                <w:rFonts w:cs="Arial"/>
                <w:b/>
                <w:color w:val="000000" w:themeColor="text1"/>
                <w:shd w:val="clear" w:color="auto" w:fill="FFFFFF"/>
              </w:rPr>
            </w:pPr>
          </w:p>
        </w:tc>
        <w:tc>
          <w:tcPr>
            <w:tcW w:w="567" w:type="dxa"/>
            <w:tcBorders>
              <w:top w:val="nil"/>
              <w:left w:val="nil"/>
              <w:bottom w:val="nil"/>
              <w:right w:val="nil"/>
            </w:tcBorders>
            <w:vAlign w:val="center"/>
          </w:tcPr>
          <w:p w14:paraId="67854B0C" w14:textId="77777777" w:rsidR="007E1D13" w:rsidRPr="00794EE7" w:rsidRDefault="007E1D13" w:rsidP="007E1D13">
            <w:pPr>
              <w:spacing w:before="120" w:after="120"/>
              <w:rPr>
                <w:rFonts w:cs="Arial"/>
                <w:b/>
                <w:color w:val="000000" w:themeColor="text1"/>
                <w:shd w:val="clear" w:color="auto" w:fill="FFFFFF"/>
              </w:rPr>
            </w:pPr>
          </w:p>
        </w:tc>
      </w:tr>
      <w:tr w:rsidR="007E1D13" w:rsidRPr="004538A2" w14:paraId="0525CB90" w14:textId="77777777" w:rsidTr="007E1D13">
        <w:trPr>
          <w:trHeight w:val="323"/>
        </w:trPr>
        <w:tc>
          <w:tcPr>
            <w:tcW w:w="2625" w:type="dxa"/>
            <w:tcBorders>
              <w:top w:val="nil"/>
              <w:left w:val="nil"/>
              <w:bottom w:val="nil"/>
              <w:right w:val="nil"/>
            </w:tcBorders>
            <w:vAlign w:val="center"/>
          </w:tcPr>
          <w:p w14:paraId="45C05145"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Student</w:t>
            </w:r>
          </w:p>
        </w:tc>
        <w:tc>
          <w:tcPr>
            <w:tcW w:w="885" w:type="dxa"/>
            <w:tcBorders>
              <w:top w:val="nil"/>
              <w:left w:val="nil"/>
              <w:bottom w:val="nil"/>
              <w:right w:val="nil"/>
            </w:tcBorders>
            <w:vAlign w:val="center"/>
          </w:tcPr>
          <w:p w14:paraId="7DFAA56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93" w:type="dxa"/>
            <w:tcBorders>
              <w:top w:val="nil"/>
              <w:left w:val="nil"/>
              <w:bottom w:val="nil"/>
              <w:right w:val="nil"/>
            </w:tcBorders>
            <w:vAlign w:val="center"/>
          </w:tcPr>
          <w:p w14:paraId="13A8120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992" w:type="dxa"/>
            <w:tcBorders>
              <w:top w:val="nil"/>
              <w:left w:val="nil"/>
              <w:bottom w:val="nil"/>
              <w:right w:val="nil"/>
            </w:tcBorders>
            <w:vAlign w:val="center"/>
          </w:tcPr>
          <w:p w14:paraId="31C82D3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992" w:type="dxa"/>
            <w:tcBorders>
              <w:top w:val="nil"/>
              <w:left w:val="nil"/>
              <w:bottom w:val="nil"/>
              <w:right w:val="nil"/>
            </w:tcBorders>
            <w:vAlign w:val="center"/>
          </w:tcPr>
          <w:p w14:paraId="677CA52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18</w:t>
            </w:r>
          </w:p>
        </w:tc>
        <w:tc>
          <w:tcPr>
            <w:tcW w:w="1134" w:type="dxa"/>
            <w:tcBorders>
              <w:top w:val="nil"/>
              <w:left w:val="nil"/>
              <w:bottom w:val="nil"/>
              <w:right w:val="nil"/>
            </w:tcBorders>
          </w:tcPr>
          <w:p w14:paraId="33D885C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67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149147D7"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67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247DB216"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32F0A3E5" w14:textId="77777777" w:rsidTr="007E1D13">
        <w:trPr>
          <w:trHeight w:val="323"/>
        </w:trPr>
        <w:tc>
          <w:tcPr>
            <w:tcW w:w="2625" w:type="dxa"/>
            <w:tcBorders>
              <w:top w:val="nil"/>
              <w:left w:val="nil"/>
              <w:bottom w:val="nil"/>
              <w:right w:val="nil"/>
            </w:tcBorders>
            <w:vAlign w:val="center"/>
          </w:tcPr>
          <w:p w14:paraId="15FF176D"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Employed</w:t>
            </w:r>
          </w:p>
        </w:tc>
        <w:tc>
          <w:tcPr>
            <w:tcW w:w="885" w:type="dxa"/>
            <w:tcBorders>
              <w:top w:val="nil"/>
              <w:left w:val="nil"/>
              <w:bottom w:val="nil"/>
              <w:right w:val="nil"/>
            </w:tcBorders>
            <w:vAlign w:val="center"/>
          </w:tcPr>
          <w:p w14:paraId="7632685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p>
        </w:tc>
        <w:tc>
          <w:tcPr>
            <w:tcW w:w="993" w:type="dxa"/>
            <w:tcBorders>
              <w:top w:val="nil"/>
              <w:left w:val="nil"/>
              <w:bottom w:val="nil"/>
              <w:right w:val="nil"/>
            </w:tcBorders>
            <w:vAlign w:val="center"/>
          </w:tcPr>
          <w:p w14:paraId="06D9D73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992" w:type="dxa"/>
            <w:tcBorders>
              <w:top w:val="nil"/>
              <w:left w:val="nil"/>
              <w:bottom w:val="nil"/>
              <w:right w:val="nil"/>
            </w:tcBorders>
            <w:vAlign w:val="center"/>
          </w:tcPr>
          <w:p w14:paraId="6E21BAA2"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92" w:type="dxa"/>
            <w:tcBorders>
              <w:top w:val="nil"/>
              <w:left w:val="nil"/>
              <w:bottom w:val="nil"/>
              <w:right w:val="nil"/>
            </w:tcBorders>
            <w:vAlign w:val="center"/>
          </w:tcPr>
          <w:p w14:paraId="1F01C367"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1134" w:type="dxa"/>
            <w:tcBorders>
              <w:top w:val="nil"/>
              <w:left w:val="nil"/>
              <w:bottom w:val="nil"/>
              <w:right w:val="nil"/>
            </w:tcBorders>
          </w:tcPr>
          <w:p w14:paraId="21B2054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33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4581843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23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14B9B20F"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268FF49D" w14:textId="77777777" w:rsidTr="007E1D13">
        <w:trPr>
          <w:trHeight w:val="323"/>
        </w:trPr>
        <w:tc>
          <w:tcPr>
            <w:tcW w:w="2625" w:type="dxa"/>
            <w:tcBorders>
              <w:top w:val="nil"/>
              <w:left w:val="nil"/>
              <w:bottom w:val="nil"/>
              <w:right w:val="nil"/>
            </w:tcBorders>
            <w:vAlign w:val="center"/>
          </w:tcPr>
          <w:p w14:paraId="54CC55BE"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Unemployed</w:t>
            </w:r>
          </w:p>
        </w:tc>
        <w:tc>
          <w:tcPr>
            <w:tcW w:w="885" w:type="dxa"/>
            <w:tcBorders>
              <w:top w:val="nil"/>
              <w:left w:val="nil"/>
              <w:bottom w:val="nil"/>
              <w:right w:val="nil"/>
            </w:tcBorders>
            <w:vAlign w:val="center"/>
          </w:tcPr>
          <w:p w14:paraId="3E0233C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3" w:type="dxa"/>
            <w:tcBorders>
              <w:top w:val="nil"/>
              <w:left w:val="nil"/>
              <w:bottom w:val="nil"/>
              <w:right w:val="nil"/>
            </w:tcBorders>
            <w:vAlign w:val="center"/>
          </w:tcPr>
          <w:p w14:paraId="7589971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2" w:type="dxa"/>
            <w:tcBorders>
              <w:top w:val="nil"/>
              <w:left w:val="nil"/>
              <w:bottom w:val="nil"/>
              <w:right w:val="nil"/>
            </w:tcBorders>
            <w:vAlign w:val="center"/>
          </w:tcPr>
          <w:p w14:paraId="3A76048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92" w:type="dxa"/>
            <w:tcBorders>
              <w:top w:val="nil"/>
              <w:left w:val="nil"/>
              <w:bottom w:val="nil"/>
              <w:right w:val="nil"/>
            </w:tcBorders>
            <w:vAlign w:val="center"/>
          </w:tcPr>
          <w:p w14:paraId="5C9796B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134" w:type="dxa"/>
            <w:tcBorders>
              <w:top w:val="nil"/>
              <w:left w:val="nil"/>
              <w:bottom w:val="nil"/>
              <w:right w:val="nil"/>
            </w:tcBorders>
          </w:tcPr>
          <w:p w14:paraId="3E7DB9C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784C01B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30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16E9E8AD"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59F61C5A" w14:textId="77777777" w:rsidTr="007E1D13">
        <w:trPr>
          <w:trHeight w:val="323"/>
        </w:trPr>
        <w:tc>
          <w:tcPr>
            <w:tcW w:w="2625" w:type="dxa"/>
            <w:tcBorders>
              <w:top w:val="nil"/>
              <w:left w:val="nil"/>
              <w:bottom w:val="nil"/>
              <w:right w:val="nil"/>
            </w:tcBorders>
            <w:vAlign w:val="center"/>
          </w:tcPr>
          <w:p w14:paraId="7BA7F49D"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Other / training</w:t>
            </w:r>
          </w:p>
        </w:tc>
        <w:tc>
          <w:tcPr>
            <w:tcW w:w="885" w:type="dxa"/>
            <w:tcBorders>
              <w:top w:val="nil"/>
              <w:left w:val="nil"/>
              <w:bottom w:val="nil"/>
              <w:right w:val="nil"/>
            </w:tcBorders>
            <w:vAlign w:val="center"/>
          </w:tcPr>
          <w:p w14:paraId="7560131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93" w:type="dxa"/>
            <w:tcBorders>
              <w:top w:val="nil"/>
              <w:left w:val="nil"/>
              <w:bottom w:val="nil"/>
              <w:right w:val="nil"/>
            </w:tcBorders>
            <w:vAlign w:val="center"/>
          </w:tcPr>
          <w:p w14:paraId="01C9FE8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992" w:type="dxa"/>
            <w:tcBorders>
              <w:top w:val="nil"/>
              <w:left w:val="nil"/>
              <w:bottom w:val="nil"/>
              <w:right w:val="nil"/>
            </w:tcBorders>
            <w:vAlign w:val="center"/>
          </w:tcPr>
          <w:p w14:paraId="3D3737E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92" w:type="dxa"/>
            <w:tcBorders>
              <w:top w:val="nil"/>
              <w:left w:val="nil"/>
              <w:bottom w:val="nil"/>
              <w:right w:val="nil"/>
            </w:tcBorders>
            <w:vAlign w:val="center"/>
          </w:tcPr>
          <w:p w14:paraId="0A69244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1134" w:type="dxa"/>
            <w:tcBorders>
              <w:top w:val="nil"/>
              <w:left w:val="nil"/>
              <w:bottom w:val="nil"/>
              <w:right w:val="nil"/>
            </w:tcBorders>
          </w:tcPr>
          <w:p w14:paraId="7EA112C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19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045A407A"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67" w:type="dxa"/>
            <w:tcBorders>
              <w:top w:val="nil"/>
              <w:left w:val="nil"/>
              <w:bottom w:val="nil"/>
              <w:right w:val="nil"/>
            </w:tcBorders>
            <w:vAlign w:val="center"/>
          </w:tcPr>
          <w:p w14:paraId="15683641" w14:textId="77777777" w:rsidR="007E1D13" w:rsidRPr="004538A2" w:rsidRDefault="007E1D13" w:rsidP="007E1D13">
            <w:pPr>
              <w:spacing w:before="120" w:after="120"/>
              <w:rPr>
                <w:rFonts w:cs="Arial"/>
                <w:color w:val="000000" w:themeColor="text1"/>
                <w:shd w:val="clear" w:color="auto" w:fill="FFFFFF"/>
              </w:rPr>
            </w:pPr>
          </w:p>
        </w:tc>
      </w:tr>
      <w:tr w:rsidR="007E1D13" w:rsidRPr="00794EE7" w14:paraId="1727F72B" w14:textId="77777777" w:rsidTr="007E1D13">
        <w:trPr>
          <w:trHeight w:val="323"/>
        </w:trPr>
        <w:tc>
          <w:tcPr>
            <w:tcW w:w="2625" w:type="dxa"/>
            <w:tcBorders>
              <w:top w:val="nil"/>
              <w:left w:val="nil"/>
              <w:bottom w:val="nil"/>
              <w:right w:val="nil"/>
            </w:tcBorders>
            <w:vAlign w:val="center"/>
          </w:tcPr>
          <w:p w14:paraId="51AA8023" w14:textId="77777777" w:rsidR="007E1D13" w:rsidRPr="00794EE7" w:rsidRDefault="007E1D13" w:rsidP="007E1D13">
            <w:pPr>
              <w:spacing w:before="120" w:after="120"/>
              <w:rPr>
                <w:rFonts w:cs="Arial"/>
                <w:b/>
                <w:color w:val="000000" w:themeColor="text1"/>
                <w:shd w:val="clear" w:color="auto" w:fill="FFFFFF"/>
              </w:rPr>
            </w:pPr>
            <w:r w:rsidRPr="00794EE7">
              <w:rPr>
                <w:rFonts w:cs="Arial"/>
                <w:b/>
                <w:color w:val="000000" w:themeColor="text1"/>
                <w:shd w:val="clear" w:color="auto" w:fill="FFFFFF"/>
              </w:rPr>
              <w:t>Ethnicity</w:t>
            </w:r>
          </w:p>
        </w:tc>
        <w:tc>
          <w:tcPr>
            <w:tcW w:w="885" w:type="dxa"/>
            <w:tcBorders>
              <w:top w:val="nil"/>
              <w:left w:val="nil"/>
              <w:bottom w:val="nil"/>
              <w:right w:val="nil"/>
            </w:tcBorders>
            <w:vAlign w:val="center"/>
          </w:tcPr>
          <w:p w14:paraId="15029795" w14:textId="77777777" w:rsidR="007E1D13" w:rsidRPr="00794EE7" w:rsidRDefault="007E1D13" w:rsidP="007E1D13">
            <w:pPr>
              <w:spacing w:before="120" w:after="120"/>
              <w:rPr>
                <w:rFonts w:cs="Arial"/>
                <w:b/>
                <w:color w:val="000000" w:themeColor="text1"/>
                <w:shd w:val="clear" w:color="auto" w:fill="FFFFFF"/>
              </w:rPr>
            </w:pPr>
          </w:p>
        </w:tc>
        <w:tc>
          <w:tcPr>
            <w:tcW w:w="993" w:type="dxa"/>
            <w:tcBorders>
              <w:top w:val="nil"/>
              <w:left w:val="nil"/>
              <w:bottom w:val="nil"/>
              <w:right w:val="nil"/>
            </w:tcBorders>
            <w:vAlign w:val="center"/>
          </w:tcPr>
          <w:p w14:paraId="1F7DF2F1"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3DDDC9CA" w14:textId="77777777" w:rsidR="007E1D13" w:rsidRPr="00794EE7" w:rsidRDefault="007E1D13" w:rsidP="007E1D13">
            <w:pPr>
              <w:spacing w:before="120" w:after="120"/>
              <w:rPr>
                <w:rFonts w:cs="Arial"/>
                <w:b/>
                <w:color w:val="000000" w:themeColor="text1"/>
                <w:shd w:val="clear" w:color="auto" w:fill="FFFFFF"/>
              </w:rPr>
            </w:pPr>
          </w:p>
        </w:tc>
        <w:tc>
          <w:tcPr>
            <w:tcW w:w="992" w:type="dxa"/>
            <w:tcBorders>
              <w:top w:val="nil"/>
              <w:left w:val="nil"/>
              <w:bottom w:val="nil"/>
              <w:right w:val="nil"/>
            </w:tcBorders>
            <w:vAlign w:val="center"/>
          </w:tcPr>
          <w:p w14:paraId="009313BE" w14:textId="77777777" w:rsidR="007E1D13" w:rsidRPr="00794EE7" w:rsidRDefault="007E1D13" w:rsidP="007E1D13">
            <w:pPr>
              <w:spacing w:before="120" w:after="120"/>
              <w:rPr>
                <w:rFonts w:cs="Arial"/>
                <w:b/>
                <w:color w:val="000000" w:themeColor="text1"/>
                <w:shd w:val="clear" w:color="auto" w:fill="FFFFFF"/>
              </w:rPr>
            </w:pPr>
          </w:p>
        </w:tc>
        <w:tc>
          <w:tcPr>
            <w:tcW w:w="1134" w:type="dxa"/>
            <w:tcBorders>
              <w:top w:val="nil"/>
              <w:left w:val="nil"/>
              <w:bottom w:val="nil"/>
              <w:right w:val="nil"/>
            </w:tcBorders>
          </w:tcPr>
          <w:p w14:paraId="25690CD5" w14:textId="77777777" w:rsidR="007E1D13" w:rsidRPr="00794EE7" w:rsidRDefault="007E1D13" w:rsidP="007E1D13">
            <w:pPr>
              <w:spacing w:before="120" w:after="120"/>
              <w:rPr>
                <w:rFonts w:cs="Arial"/>
                <w:b/>
                <w:color w:val="000000" w:themeColor="text1"/>
                <w:shd w:val="clear" w:color="auto" w:fill="FFFFFF"/>
              </w:rPr>
            </w:pPr>
          </w:p>
        </w:tc>
        <w:tc>
          <w:tcPr>
            <w:tcW w:w="1701" w:type="dxa"/>
            <w:tcBorders>
              <w:top w:val="nil"/>
              <w:left w:val="nil"/>
              <w:bottom w:val="nil"/>
              <w:right w:val="nil"/>
            </w:tcBorders>
          </w:tcPr>
          <w:p w14:paraId="4A1E12AF" w14:textId="77777777" w:rsidR="007E1D13" w:rsidRPr="00794EE7" w:rsidRDefault="007E1D13" w:rsidP="007E1D13">
            <w:pPr>
              <w:spacing w:before="120" w:after="120"/>
              <w:rPr>
                <w:rFonts w:cs="Arial"/>
                <w:b/>
                <w:color w:val="000000" w:themeColor="text1"/>
                <w:shd w:val="clear" w:color="auto" w:fill="FFFFFF"/>
              </w:rPr>
            </w:pPr>
          </w:p>
        </w:tc>
        <w:tc>
          <w:tcPr>
            <w:tcW w:w="567" w:type="dxa"/>
            <w:tcBorders>
              <w:top w:val="nil"/>
              <w:left w:val="nil"/>
              <w:bottom w:val="nil"/>
              <w:right w:val="nil"/>
            </w:tcBorders>
            <w:vAlign w:val="center"/>
          </w:tcPr>
          <w:p w14:paraId="7EBF979A" w14:textId="77777777" w:rsidR="007E1D13" w:rsidRPr="00794EE7" w:rsidRDefault="007E1D13" w:rsidP="007E1D13">
            <w:pPr>
              <w:spacing w:before="120" w:after="120"/>
              <w:rPr>
                <w:rFonts w:cs="Arial"/>
                <w:b/>
                <w:color w:val="000000" w:themeColor="text1"/>
                <w:shd w:val="clear" w:color="auto" w:fill="FFFFFF"/>
              </w:rPr>
            </w:pPr>
          </w:p>
        </w:tc>
      </w:tr>
      <w:tr w:rsidR="007E1D13" w:rsidRPr="004538A2" w14:paraId="611606F7" w14:textId="77777777" w:rsidTr="007E1D13">
        <w:trPr>
          <w:trHeight w:val="323"/>
        </w:trPr>
        <w:tc>
          <w:tcPr>
            <w:tcW w:w="2625" w:type="dxa"/>
            <w:tcBorders>
              <w:top w:val="nil"/>
              <w:left w:val="nil"/>
              <w:bottom w:val="nil"/>
              <w:right w:val="nil"/>
            </w:tcBorders>
            <w:vAlign w:val="center"/>
          </w:tcPr>
          <w:p w14:paraId="7341E8C9"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White British</w:t>
            </w:r>
          </w:p>
        </w:tc>
        <w:tc>
          <w:tcPr>
            <w:tcW w:w="885" w:type="dxa"/>
            <w:tcBorders>
              <w:top w:val="nil"/>
              <w:left w:val="nil"/>
              <w:bottom w:val="nil"/>
              <w:right w:val="nil"/>
            </w:tcBorders>
            <w:vAlign w:val="center"/>
          </w:tcPr>
          <w:p w14:paraId="428C61C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993" w:type="dxa"/>
            <w:tcBorders>
              <w:top w:val="nil"/>
              <w:left w:val="nil"/>
              <w:bottom w:val="nil"/>
              <w:right w:val="nil"/>
            </w:tcBorders>
            <w:vAlign w:val="center"/>
          </w:tcPr>
          <w:p w14:paraId="1E8EF0F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992" w:type="dxa"/>
            <w:tcBorders>
              <w:top w:val="nil"/>
              <w:left w:val="nil"/>
              <w:bottom w:val="nil"/>
              <w:right w:val="nil"/>
            </w:tcBorders>
            <w:vAlign w:val="center"/>
          </w:tcPr>
          <w:p w14:paraId="6CBF3B5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992" w:type="dxa"/>
            <w:tcBorders>
              <w:top w:val="nil"/>
              <w:left w:val="nil"/>
              <w:bottom w:val="nil"/>
              <w:right w:val="nil"/>
            </w:tcBorders>
            <w:vAlign w:val="center"/>
          </w:tcPr>
          <w:p w14:paraId="7F54BCB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17</w:t>
            </w:r>
          </w:p>
        </w:tc>
        <w:tc>
          <w:tcPr>
            <w:tcW w:w="1134" w:type="dxa"/>
            <w:tcBorders>
              <w:top w:val="nil"/>
              <w:left w:val="nil"/>
              <w:bottom w:val="nil"/>
              <w:right w:val="nil"/>
            </w:tcBorders>
          </w:tcPr>
          <w:p w14:paraId="70D7B9C6"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63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1EFEDB4A"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60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322F7130"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6849D586" w14:textId="77777777" w:rsidTr="007E1D13">
        <w:trPr>
          <w:trHeight w:val="323"/>
        </w:trPr>
        <w:tc>
          <w:tcPr>
            <w:tcW w:w="2625" w:type="dxa"/>
            <w:tcBorders>
              <w:top w:val="nil"/>
              <w:left w:val="nil"/>
              <w:bottom w:val="nil"/>
              <w:right w:val="nil"/>
            </w:tcBorders>
            <w:vAlign w:val="center"/>
          </w:tcPr>
          <w:p w14:paraId="25162B57"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Black /Black British</w:t>
            </w:r>
          </w:p>
        </w:tc>
        <w:tc>
          <w:tcPr>
            <w:tcW w:w="885" w:type="dxa"/>
            <w:tcBorders>
              <w:top w:val="nil"/>
              <w:left w:val="nil"/>
              <w:bottom w:val="nil"/>
              <w:right w:val="nil"/>
            </w:tcBorders>
            <w:vAlign w:val="center"/>
          </w:tcPr>
          <w:p w14:paraId="5E897AE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93" w:type="dxa"/>
            <w:tcBorders>
              <w:top w:val="nil"/>
              <w:left w:val="nil"/>
              <w:bottom w:val="nil"/>
              <w:right w:val="nil"/>
            </w:tcBorders>
            <w:vAlign w:val="center"/>
          </w:tcPr>
          <w:p w14:paraId="5B3BCE2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92" w:type="dxa"/>
            <w:tcBorders>
              <w:top w:val="nil"/>
              <w:left w:val="nil"/>
              <w:bottom w:val="nil"/>
              <w:right w:val="nil"/>
            </w:tcBorders>
            <w:vAlign w:val="center"/>
          </w:tcPr>
          <w:p w14:paraId="20605B6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2" w:type="dxa"/>
            <w:tcBorders>
              <w:top w:val="nil"/>
              <w:left w:val="nil"/>
              <w:bottom w:val="nil"/>
              <w:right w:val="nil"/>
            </w:tcBorders>
            <w:vAlign w:val="center"/>
          </w:tcPr>
          <w:p w14:paraId="2BA0335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1134" w:type="dxa"/>
            <w:tcBorders>
              <w:top w:val="nil"/>
              <w:left w:val="nil"/>
              <w:bottom w:val="nil"/>
              <w:right w:val="nil"/>
            </w:tcBorders>
          </w:tcPr>
          <w:p w14:paraId="3BDEB38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15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69990AF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20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2F4795C8"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5327E3AD" w14:textId="77777777" w:rsidTr="007E1D13">
        <w:trPr>
          <w:trHeight w:val="323"/>
        </w:trPr>
        <w:tc>
          <w:tcPr>
            <w:tcW w:w="2625" w:type="dxa"/>
            <w:tcBorders>
              <w:top w:val="nil"/>
              <w:left w:val="nil"/>
              <w:bottom w:val="nil"/>
              <w:right w:val="nil"/>
            </w:tcBorders>
            <w:vAlign w:val="center"/>
          </w:tcPr>
          <w:p w14:paraId="7391548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       Asian /Asian British </w:t>
            </w:r>
          </w:p>
        </w:tc>
        <w:tc>
          <w:tcPr>
            <w:tcW w:w="885" w:type="dxa"/>
            <w:tcBorders>
              <w:top w:val="nil"/>
              <w:left w:val="nil"/>
              <w:bottom w:val="nil"/>
              <w:right w:val="nil"/>
            </w:tcBorders>
            <w:vAlign w:val="center"/>
          </w:tcPr>
          <w:p w14:paraId="29650A5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3" w:type="dxa"/>
            <w:tcBorders>
              <w:top w:val="nil"/>
              <w:left w:val="nil"/>
              <w:bottom w:val="nil"/>
              <w:right w:val="nil"/>
            </w:tcBorders>
            <w:vAlign w:val="center"/>
          </w:tcPr>
          <w:p w14:paraId="2449E40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992" w:type="dxa"/>
            <w:tcBorders>
              <w:top w:val="nil"/>
              <w:left w:val="nil"/>
              <w:bottom w:val="nil"/>
              <w:right w:val="nil"/>
            </w:tcBorders>
            <w:vAlign w:val="center"/>
          </w:tcPr>
          <w:p w14:paraId="41BE8EA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92" w:type="dxa"/>
            <w:tcBorders>
              <w:top w:val="nil"/>
              <w:left w:val="nil"/>
              <w:bottom w:val="nil"/>
              <w:right w:val="nil"/>
            </w:tcBorders>
            <w:vAlign w:val="center"/>
          </w:tcPr>
          <w:p w14:paraId="467384E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1134" w:type="dxa"/>
            <w:tcBorders>
              <w:top w:val="nil"/>
              <w:left w:val="nil"/>
              <w:bottom w:val="nil"/>
              <w:right w:val="nil"/>
            </w:tcBorders>
          </w:tcPr>
          <w:p w14:paraId="58BE121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22 </w:t>
            </w:r>
            <w:r w:rsidRPr="00815B84">
              <w:rPr>
                <w:rFonts w:cs="Arial"/>
                <w:color w:val="000000" w:themeColor="text1"/>
                <w:sz w:val="18"/>
                <w:shd w:val="clear" w:color="auto" w:fill="FFFFFF"/>
              </w:rPr>
              <w:t>%</w:t>
            </w:r>
          </w:p>
        </w:tc>
        <w:tc>
          <w:tcPr>
            <w:tcW w:w="1701" w:type="dxa"/>
            <w:tcBorders>
              <w:top w:val="nil"/>
              <w:left w:val="nil"/>
              <w:bottom w:val="nil"/>
              <w:right w:val="nil"/>
            </w:tcBorders>
          </w:tcPr>
          <w:p w14:paraId="0EC7FDF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17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29664312"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5C3A8ED4" w14:textId="77777777" w:rsidTr="007E1D13">
        <w:trPr>
          <w:trHeight w:val="323"/>
        </w:trPr>
        <w:tc>
          <w:tcPr>
            <w:tcW w:w="2625" w:type="dxa"/>
            <w:tcBorders>
              <w:top w:val="nil"/>
              <w:left w:val="nil"/>
              <w:bottom w:val="nil"/>
              <w:right w:val="nil"/>
            </w:tcBorders>
            <w:vAlign w:val="center"/>
          </w:tcPr>
          <w:p w14:paraId="3C56516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       Other </w:t>
            </w:r>
          </w:p>
        </w:tc>
        <w:tc>
          <w:tcPr>
            <w:tcW w:w="885" w:type="dxa"/>
            <w:tcBorders>
              <w:top w:val="nil"/>
              <w:left w:val="nil"/>
              <w:bottom w:val="nil"/>
              <w:right w:val="nil"/>
            </w:tcBorders>
            <w:vAlign w:val="center"/>
          </w:tcPr>
          <w:p w14:paraId="567D589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3" w:type="dxa"/>
            <w:tcBorders>
              <w:top w:val="nil"/>
              <w:left w:val="nil"/>
              <w:bottom w:val="nil"/>
              <w:right w:val="nil"/>
            </w:tcBorders>
            <w:vAlign w:val="center"/>
          </w:tcPr>
          <w:p w14:paraId="21BCB54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2" w:type="dxa"/>
            <w:tcBorders>
              <w:top w:val="nil"/>
              <w:left w:val="nil"/>
              <w:bottom w:val="nil"/>
              <w:right w:val="nil"/>
            </w:tcBorders>
            <w:vAlign w:val="center"/>
          </w:tcPr>
          <w:p w14:paraId="5F84555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92" w:type="dxa"/>
            <w:tcBorders>
              <w:top w:val="nil"/>
              <w:left w:val="nil"/>
              <w:bottom w:val="nil"/>
              <w:right w:val="nil"/>
            </w:tcBorders>
            <w:vAlign w:val="center"/>
          </w:tcPr>
          <w:p w14:paraId="72CBBD6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1134" w:type="dxa"/>
            <w:tcBorders>
              <w:top w:val="nil"/>
              <w:left w:val="nil"/>
              <w:bottom w:val="nil"/>
              <w:right w:val="nil"/>
            </w:tcBorders>
          </w:tcPr>
          <w:p w14:paraId="0D2F0D57"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0 </w:t>
            </w:r>
            <w:r w:rsidRPr="00C93F39">
              <w:rPr>
                <w:rFonts w:cs="Arial"/>
                <w:color w:val="000000" w:themeColor="text1"/>
                <w:sz w:val="18"/>
                <w:shd w:val="clear" w:color="auto" w:fill="FFFFFF"/>
              </w:rPr>
              <w:t>%</w:t>
            </w:r>
          </w:p>
        </w:tc>
        <w:tc>
          <w:tcPr>
            <w:tcW w:w="1701" w:type="dxa"/>
            <w:tcBorders>
              <w:top w:val="nil"/>
              <w:left w:val="nil"/>
              <w:bottom w:val="nil"/>
              <w:right w:val="nil"/>
            </w:tcBorders>
          </w:tcPr>
          <w:p w14:paraId="611F7721"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3 </w:t>
            </w:r>
            <w:r w:rsidRPr="00197CC8">
              <w:rPr>
                <w:rFonts w:cs="Arial"/>
                <w:color w:val="000000" w:themeColor="text1"/>
                <w:sz w:val="18"/>
                <w:shd w:val="clear" w:color="auto" w:fill="FFFFFF"/>
              </w:rPr>
              <w:t>%</w:t>
            </w:r>
          </w:p>
        </w:tc>
        <w:tc>
          <w:tcPr>
            <w:tcW w:w="567" w:type="dxa"/>
            <w:tcBorders>
              <w:top w:val="nil"/>
              <w:left w:val="nil"/>
              <w:bottom w:val="nil"/>
              <w:right w:val="nil"/>
            </w:tcBorders>
            <w:vAlign w:val="center"/>
          </w:tcPr>
          <w:p w14:paraId="0F2A137E" w14:textId="77777777" w:rsidR="007E1D13" w:rsidRPr="004538A2" w:rsidRDefault="007E1D13" w:rsidP="007E1D13">
            <w:pPr>
              <w:spacing w:before="120" w:after="120"/>
              <w:rPr>
                <w:rFonts w:cs="Arial"/>
                <w:color w:val="000000" w:themeColor="text1"/>
                <w:shd w:val="clear" w:color="auto" w:fill="FFFFFF"/>
              </w:rPr>
            </w:pPr>
          </w:p>
        </w:tc>
      </w:tr>
      <w:tr w:rsidR="007E1D13" w:rsidRPr="00376A13" w14:paraId="7AC4CD24" w14:textId="77777777" w:rsidTr="007E1D13">
        <w:trPr>
          <w:trHeight w:val="95"/>
        </w:trPr>
        <w:tc>
          <w:tcPr>
            <w:tcW w:w="2625" w:type="dxa"/>
            <w:tcBorders>
              <w:top w:val="nil"/>
              <w:left w:val="nil"/>
              <w:bottom w:val="single" w:sz="4" w:space="0" w:color="auto"/>
              <w:right w:val="nil"/>
            </w:tcBorders>
            <w:vAlign w:val="center"/>
          </w:tcPr>
          <w:p w14:paraId="4D8654D9" w14:textId="77777777" w:rsidR="007E1D13" w:rsidRPr="00376A13" w:rsidRDefault="007E1D13" w:rsidP="007E1D13">
            <w:pPr>
              <w:rPr>
                <w:rFonts w:cs="Arial"/>
                <w:color w:val="000000" w:themeColor="text1"/>
                <w:sz w:val="2"/>
                <w:szCs w:val="2"/>
                <w:shd w:val="clear" w:color="auto" w:fill="FFFFFF"/>
              </w:rPr>
            </w:pPr>
          </w:p>
        </w:tc>
        <w:tc>
          <w:tcPr>
            <w:tcW w:w="885" w:type="dxa"/>
            <w:tcBorders>
              <w:top w:val="nil"/>
              <w:left w:val="nil"/>
              <w:bottom w:val="single" w:sz="4" w:space="0" w:color="auto"/>
              <w:right w:val="nil"/>
            </w:tcBorders>
            <w:vAlign w:val="center"/>
          </w:tcPr>
          <w:p w14:paraId="3571F002" w14:textId="77777777" w:rsidR="007E1D13" w:rsidRPr="00376A13" w:rsidRDefault="007E1D13" w:rsidP="007E1D13">
            <w:pPr>
              <w:rPr>
                <w:rFonts w:cs="Arial"/>
                <w:color w:val="000000" w:themeColor="text1"/>
                <w:sz w:val="2"/>
                <w:szCs w:val="2"/>
                <w:shd w:val="clear" w:color="auto" w:fill="FFFFFF"/>
              </w:rPr>
            </w:pPr>
          </w:p>
        </w:tc>
        <w:tc>
          <w:tcPr>
            <w:tcW w:w="993" w:type="dxa"/>
            <w:tcBorders>
              <w:top w:val="nil"/>
              <w:left w:val="nil"/>
              <w:bottom w:val="single" w:sz="4" w:space="0" w:color="auto"/>
              <w:right w:val="nil"/>
            </w:tcBorders>
            <w:vAlign w:val="center"/>
          </w:tcPr>
          <w:p w14:paraId="6F115B22" w14:textId="77777777" w:rsidR="007E1D13" w:rsidRPr="00376A13" w:rsidRDefault="007E1D13" w:rsidP="007E1D13">
            <w:pPr>
              <w:rPr>
                <w:rFonts w:cs="Arial"/>
                <w:color w:val="000000" w:themeColor="text1"/>
                <w:sz w:val="2"/>
                <w:szCs w:val="2"/>
                <w:shd w:val="clear" w:color="auto" w:fill="FFFFFF"/>
              </w:rPr>
            </w:pPr>
          </w:p>
        </w:tc>
        <w:tc>
          <w:tcPr>
            <w:tcW w:w="992" w:type="dxa"/>
            <w:tcBorders>
              <w:top w:val="nil"/>
              <w:left w:val="nil"/>
              <w:bottom w:val="single" w:sz="4" w:space="0" w:color="auto"/>
              <w:right w:val="nil"/>
            </w:tcBorders>
            <w:vAlign w:val="center"/>
          </w:tcPr>
          <w:p w14:paraId="07E22276" w14:textId="77777777" w:rsidR="007E1D13" w:rsidRPr="00376A13" w:rsidRDefault="007E1D13" w:rsidP="007E1D13">
            <w:pPr>
              <w:rPr>
                <w:rFonts w:cs="Arial"/>
                <w:color w:val="000000" w:themeColor="text1"/>
                <w:sz w:val="2"/>
                <w:szCs w:val="2"/>
                <w:shd w:val="clear" w:color="auto" w:fill="FFFFFF"/>
              </w:rPr>
            </w:pPr>
          </w:p>
        </w:tc>
        <w:tc>
          <w:tcPr>
            <w:tcW w:w="992" w:type="dxa"/>
            <w:tcBorders>
              <w:top w:val="nil"/>
              <w:left w:val="nil"/>
              <w:bottom w:val="single" w:sz="4" w:space="0" w:color="auto"/>
              <w:right w:val="nil"/>
            </w:tcBorders>
          </w:tcPr>
          <w:p w14:paraId="0950CD21" w14:textId="77777777" w:rsidR="007E1D13" w:rsidRPr="00376A13" w:rsidRDefault="007E1D13" w:rsidP="007E1D13">
            <w:pPr>
              <w:rPr>
                <w:rFonts w:cs="Arial"/>
                <w:color w:val="000000" w:themeColor="text1"/>
                <w:sz w:val="2"/>
                <w:szCs w:val="2"/>
                <w:shd w:val="clear" w:color="auto" w:fill="FFFFFF"/>
              </w:rPr>
            </w:pPr>
          </w:p>
        </w:tc>
        <w:tc>
          <w:tcPr>
            <w:tcW w:w="1134" w:type="dxa"/>
            <w:tcBorders>
              <w:top w:val="nil"/>
              <w:left w:val="nil"/>
              <w:bottom w:val="single" w:sz="4" w:space="0" w:color="auto"/>
              <w:right w:val="nil"/>
            </w:tcBorders>
          </w:tcPr>
          <w:p w14:paraId="7BDA30AB" w14:textId="77777777" w:rsidR="007E1D13" w:rsidRPr="00376A13" w:rsidRDefault="007E1D13" w:rsidP="007E1D13">
            <w:pPr>
              <w:rPr>
                <w:rFonts w:cs="Arial"/>
                <w:color w:val="000000" w:themeColor="text1"/>
                <w:sz w:val="2"/>
                <w:szCs w:val="2"/>
                <w:shd w:val="clear" w:color="auto" w:fill="FFFFFF"/>
              </w:rPr>
            </w:pPr>
          </w:p>
        </w:tc>
        <w:tc>
          <w:tcPr>
            <w:tcW w:w="1701" w:type="dxa"/>
            <w:tcBorders>
              <w:top w:val="nil"/>
              <w:left w:val="nil"/>
              <w:bottom w:val="single" w:sz="4" w:space="0" w:color="auto"/>
              <w:right w:val="nil"/>
            </w:tcBorders>
          </w:tcPr>
          <w:p w14:paraId="7C8A0D79" w14:textId="77777777" w:rsidR="007E1D13" w:rsidRPr="00376A13" w:rsidRDefault="007E1D13" w:rsidP="007E1D13">
            <w:pPr>
              <w:rPr>
                <w:rFonts w:cs="Arial"/>
                <w:color w:val="000000" w:themeColor="text1"/>
                <w:sz w:val="2"/>
                <w:szCs w:val="2"/>
                <w:shd w:val="clear" w:color="auto" w:fill="FFFFFF"/>
              </w:rPr>
            </w:pPr>
          </w:p>
        </w:tc>
        <w:tc>
          <w:tcPr>
            <w:tcW w:w="567" w:type="dxa"/>
            <w:tcBorders>
              <w:top w:val="nil"/>
              <w:left w:val="nil"/>
              <w:bottom w:val="nil"/>
              <w:right w:val="nil"/>
            </w:tcBorders>
            <w:vAlign w:val="center"/>
          </w:tcPr>
          <w:p w14:paraId="5733D6D0" w14:textId="77777777" w:rsidR="007E1D13" w:rsidRPr="00376A13" w:rsidRDefault="007E1D13" w:rsidP="007E1D13">
            <w:pPr>
              <w:rPr>
                <w:rFonts w:cs="Arial"/>
                <w:color w:val="000000" w:themeColor="text1"/>
                <w:sz w:val="2"/>
                <w:szCs w:val="2"/>
                <w:shd w:val="clear" w:color="auto" w:fill="FFFFFF"/>
              </w:rPr>
            </w:pPr>
          </w:p>
        </w:tc>
      </w:tr>
    </w:tbl>
    <w:p w14:paraId="6AFEC746" w14:textId="77777777" w:rsidR="007E1D13" w:rsidRDefault="007E1D13" w:rsidP="007E1D13">
      <w:pPr>
        <w:spacing w:line="240" w:lineRule="auto"/>
        <w:rPr>
          <w:szCs w:val="24"/>
          <w:shd w:val="clear" w:color="auto" w:fill="FFFFFF"/>
        </w:rPr>
      </w:pPr>
    </w:p>
    <w:p w14:paraId="4B2FC988" w14:textId="77777777" w:rsidR="007E1D13" w:rsidRDefault="007E1D13" w:rsidP="007E1D13">
      <w:pPr>
        <w:rPr>
          <w:b/>
          <w:bCs/>
          <w:iCs/>
          <w:sz w:val="22"/>
          <w:shd w:val="clear" w:color="auto" w:fill="FFFFFF"/>
        </w:rPr>
      </w:pPr>
      <w:r>
        <w:rPr>
          <w:shd w:val="clear" w:color="auto" w:fill="FFFFFF"/>
        </w:rPr>
        <w:br w:type="page"/>
      </w:r>
    </w:p>
    <w:p w14:paraId="03533F0D" w14:textId="77777777" w:rsidR="007E1D13" w:rsidRPr="00637919" w:rsidRDefault="007E1D13" w:rsidP="007E1D13">
      <w:pPr>
        <w:spacing w:line="480" w:lineRule="auto"/>
        <w:rPr>
          <w:b/>
          <w:bCs/>
          <w:iCs/>
          <w:sz w:val="22"/>
          <w:shd w:val="clear" w:color="auto" w:fill="FFFFFF"/>
        </w:rPr>
      </w:pPr>
      <w:r>
        <w:rPr>
          <w:szCs w:val="24"/>
          <w:shd w:val="clear" w:color="auto" w:fill="FFFFFF"/>
        </w:rPr>
        <w:t xml:space="preserve">Participants’ responses to questions about their own and their friends use of legal highs and traditional illicit drugs are shown in Table 6.3. </w:t>
      </w:r>
    </w:p>
    <w:p w14:paraId="2BA684A1" w14:textId="218EDAD0" w:rsidR="007E1D13" w:rsidRDefault="007E1D13" w:rsidP="007E1D13">
      <w:pPr>
        <w:pStyle w:val="Heading3"/>
        <w:rPr>
          <w:shd w:val="clear" w:color="auto" w:fill="FFFFFF"/>
        </w:rPr>
      </w:pPr>
      <w:bookmarkStart w:id="456" w:name="_Toc35892710"/>
      <w:r>
        <w:rPr>
          <w:shd w:val="clear" w:color="auto" w:fill="FFFFFF"/>
        </w:rPr>
        <w:t>Previous u</w:t>
      </w:r>
      <w:r w:rsidRPr="00507256">
        <w:rPr>
          <w:shd w:val="clear" w:color="auto" w:fill="FFFFFF"/>
        </w:rPr>
        <w:t>se of NPS</w:t>
      </w:r>
      <w:bookmarkEnd w:id="456"/>
      <w:r w:rsidRPr="00507256">
        <w:rPr>
          <w:shd w:val="clear" w:color="auto" w:fill="FFFFFF"/>
        </w:rPr>
        <w:t xml:space="preserve"> </w:t>
      </w:r>
    </w:p>
    <w:p w14:paraId="2E3AE318" w14:textId="49C9CFCE" w:rsidR="007E1D13" w:rsidRPr="0049739C" w:rsidRDefault="007E1D13" w:rsidP="007E1D13">
      <w:pPr>
        <w:spacing w:line="480" w:lineRule="auto"/>
        <w:rPr>
          <w:szCs w:val="24"/>
          <w:shd w:val="clear" w:color="auto" w:fill="FFFFFF"/>
        </w:rPr>
      </w:pPr>
      <w:r>
        <w:rPr>
          <w:szCs w:val="24"/>
          <w:shd w:val="clear" w:color="auto" w:fill="FFFFFF"/>
        </w:rPr>
        <w:t>Seven</w:t>
      </w:r>
      <w:r w:rsidRPr="000D11CE">
        <w:rPr>
          <w:szCs w:val="24"/>
          <w:shd w:val="clear" w:color="auto" w:fill="FFFFFF"/>
        </w:rPr>
        <w:t xml:space="preserve"> participants reporting personal experience of </w:t>
      </w:r>
      <w:r>
        <w:rPr>
          <w:szCs w:val="24"/>
          <w:shd w:val="clear" w:color="auto" w:fill="FFFFFF"/>
        </w:rPr>
        <w:t>NPS use</w:t>
      </w:r>
      <w:r w:rsidRPr="000D11CE">
        <w:rPr>
          <w:szCs w:val="24"/>
          <w:shd w:val="clear" w:color="auto" w:fill="FFFFFF"/>
        </w:rPr>
        <w:t xml:space="preserve"> </w:t>
      </w:r>
      <w:r>
        <w:rPr>
          <w:szCs w:val="24"/>
          <w:shd w:val="clear" w:color="auto" w:fill="FFFFFF"/>
        </w:rPr>
        <w:t>in the present study compare to six in Study 1</w:t>
      </w:r>
      <w:r w:rsidR="009E0DF7">
        <w:rPr>
          <w:szCs w:val="24"/>
          <w:shd w:val="clear" w:color="auto" w:fill="FFFFFF"/>
        </w:rPr>
        <w:t xml:space="preserve"> (See table 7-3). </w:t>
      </w:r>
      <w:r w:rsidRPr="000D11CE">
        <w:rPr>
          <w:szCs w:val="24"/>
          <w:shd w:val="clear" w:color="auto" w:fill="FFFFFF"/>
        </w:rPr>
        <w:t>At 26%</w:t>
      </w:r>
      <w:r>
        <w:rPr>
          <w:szCs w:val="24"/>
          <w:shd w:val="clear" w:color="auto" w:fill="FFFFFF"/>
        </w:rPr>
        <w:t>,</w:t>
      </w:r>
      <w:r w:rsidRPr="000D11CE">
        <w:rPr>
          <w:szCs w:val="24"/>
          <w:shd w:val="clear" w:color="auto" w:fill="FFFFFF"/>
        </w:rPr>
        <w:t xml:space="preserve"> the proportion of participants in the sample who had used NPS was higher than might be expected based on general population estimates for young people in the UK which vary between about 2 – 10% (see </w:t>
      </w:r>
      <w:r>
        <w:rPr>
          <w:szCs w:val="24"/>
          <w:shd w:val="clear" w:color="auto" w:fill="FFFFFF"/>
        </w:rPr>
        <w:t>C</w:t>
      </w:r>
      <w:r w:rsidRPr="000D11CE">
        <w:rPr>
          <w:szCs w:val="24"/>
          <w:shd w:val="clear" w:color="auto" w:fill="FFFFFF"/>
        </w:rPr>
        <w:t>hapter 2).</w:t>
      </w:r>
      <w:r>
        <w:rPr>
          <w:szCs w:val="24"/>
          <w:shd w:val="clear" w:color="auto" w:fill="FFFFFF"/>
        </w:rPr>
        <w:t xml:space="preserve"> F</w:t>
      </w:r>
      <w:r w:rsidRPr="000D11CE">
        <w:rPr>
          <w:szCs w:val="24"/>
          <w:shd w:val="clear" w:color="auto" w:fill="FFFFFF"/>
        </w:rPr>
        <w:t>or those participants who had taken NPS, most had used them before implementation of the PS Act, as the number of participants reporting use of legal highs after the ban (11%) was less than half that reporting pre-ban use (26%). All participants citing use of NPS after May 2016 also reported us</w:t>
      </w:r>
      <w:r>
        <w:rPr>
          <w:szCs w:val="24"/>
          <w:shd w:val="clear" w:color="auto" w:fill="FFFFFF"/>
        </w:rPr>
        <w:t>e of</w:t>
      </w:r>
      <w:r w:rsidRPr="000D11CE">
        <w:rPr>
          <w:szCs w:val="24"/>
          <w:shd w:val="clear" w:color="auto" w:fill="FFFFFF"/>
        </w:rPr>
        <w:t xml:space="preserve"> NPS prior to </w:t>
      </w:r>
      <w:r>
        <w:rPr>
          <w:szCs w:val="24"/>
          <w:shd w:val="clear" w:color="auto" w:fill="FFFFFF"/>
        </w:rPr>
        <w:t xml:space="preserve">implementation of </w:t>
      </w:r>
      <w:r w:rsidRPr="000D11CE">
        <w:rPr>
          <w:szCs w:val="24"/>
          <w:shd w:val="clear" w:color="auto" w:fill="FFFFFF"/>
        </w:rPr>
        <w:t xml:space="preserve">the ban. </w:t>
      </w:r>
      <w:r>
        <w:rPr>
          <w:szCs w:val="24"/>
          <w:shd w:val="clear" w:color="auto" w:fill="FFFFFF"/>
        </w:rPr>
        <w:t xml:space="preserve">In addition, all participants reporting use of NPS also reported use of traditional illicit drugs as well as both friends’ use of NPS and friends’ use of traditional illicit drugs. </w:t>
      </w:r>
    </w:p>
    <w:p w14:paraId="2426C897" w14:textId="765EF824" w:rsidR="007E1D13" w:rsidRDefault="007E1D13" w:rsidP="007E1D13">
      <w:pPr>
        <w:spacing w:line="480" w:lineRule="auto"/>
        <w:rPr>
          <w:szCs w:val="24"/>
          <w:shd w:val="clear" w:color="auto" w:fill="FFFFFF"/>
        </w:rPr>
      </w:pPr>
      <w:r w:rsidRPr="00345774">
        <w:rPr>
          <w:szCs w:val="24"/>
          <w:shd w:val="clear" w:color="auto" w:fill="FFFFFF"/>
        </w:rPr>
        <w:t xml:space="preserve">The reduction in </w:t>
      </w:r>
      <w:r w:rsidR="00630416">
        <w:rPr>
          <w:szCs w:val="24"/>
          <w:shd w:val="clear" w:color="auto" w:fill="FFFFFF"/>
        </w:rPr>
        <w:t xml:space="preserve">the </w:t>
      </w:r>
      <w:r w:rsidRPr="00345774">
        <w:rPr>
          <w:szCs w:val="24"/>
          <w:shd w:val="clear" w:color="auto" w:fill="FFFFFF"/>
        </w:rPr>
        <w:t xml:space="preserve">use of NPS </w:t>
      </w:r>
      <w:r>
        <w:rPr>
          <w:szCs w:val="24"/>
          <w:shd w:val="clear" w:color="auto" w:fill="FFFFFF"/>
        </w:rPr>
        <w:t xml:space="preserve">following </w:t>
      </w:r>
      <w:r w:rsidR="00630416">
        <w:rPr>
          <w:szCs w:val="24"/>
          <w:shd w:val="clear" w:color="auto" w:fill="FFFFFF"/>
        </w:rPr>
        <w:t xml:space="preserve">the </w:t>
      </w:r>
      <w:r>
        <w:rPr>
          <w:szCs w:val="24"/>
          <w:shd w:val="clear" w:color="auto" w:fill="FFFFFF"/>
        </w:rPr>
        <w:t xml:space="preserve">introduction of the PS Act </w:t>
      </w:r>
      <w:r w:rsidRPr="00345774">
        <w:rPr>
          <w:szCs w:val="24"/>
          <w:shd w:val="clear" w:color="auto" w:fill="FFFFFF"/>
        </w:rPr>
        <w:t>was also apparent within participants</w:t>
      </w:r>
      <w:r>
        <w:rPr>
          <w:szCs w:val="24"/>
          <w:shd w:val="clear" w:color="auto" w:fill="FFFFFF"/>
        </w:rPr>
        <w:t>’</w:t>
      </w:r>
      <w:r w:rsidRPr="00345774">
        <w:rPr>
          <w:szCs w:val="24"/>
          <w:shd w:val="clear" w:color="auto" w:fill="FFFFFF"/>
        </w:rPr>
        <w:t xml:space="preserve"> perceptions of their friends</w:t>
      </w:r>
      <w:r w:rsidR="00630416">
        <w:rPr>
          <w:szCs w:val="24"/>
          <w:shd w:val="clear" w:color="auto" w:fill="FFFFFF"/>
        </w:rPr>
        <w:t>'</w:t>
      </w:r>
      <w:r w:rsidRPr="00345774">
        <w:rPr>
          <w:szCs w:val="24"/>
          <w:shd w:val="clear" w:color="auto" w:fill="FFFFFF"/>
        </w:rPr>
        <w:t xml:space="preserve"> use of </w:t>
      </w:r>
      <w:r>
        <w:rPr>
          <w:szCs w:val="24"/>
          <w:shd w:val="clear" w:color="auto" w:fill="FFFFFF"/>
        </w:rPr>
        <w:t>NPS</w:t>
      </w:r>
      <w:r w:rsidRPr="00345774">
        <w:rPr>
          <w:szCs w:val="24"/>
          <w:shd w:val="clear" w:color="auto" w:fill="FFFFFF"/>
        </w:rPr>
        <w:t xml:space="preserve">, with friends’ pre-ban use of </w:t>
      </w:r>
      <w:r>
        <w:rPr>
          <w:szCs w:val="24"/>
          <w:shd w:val="clear" w:color="auto" w:fill="FFFFFF"/>
        </w:rPr>
        <w:t>NPS</w:t>
      </w:r>
      <w:r w:rsidRPr="00345774">
        <w:rPr>
          <w:szCs w:val="24"/>
          <w:shd w:val="clear" w:color="auto" w:fill="FFFFFF"/>
        </w:rPr>
        <w:t xml:space="preserve"> reported by 63% of participants, while friends’ post-ban use was reported </w:t>
      </w:r>
      <w:r w:rsidR="00630416">
        <w:rPr>
          <w:szCs w:val="24"/>
          <w:shd w:val="clear" w:color="auto" w:fill="FFFFFF"/>
        </w:rPr>
        <w:t>as</w:t>
      </w:r>
      <w:r w:rsidRPr="00345774">
        <w:rPr>
          <w:szCs w:val="24"/>
          <w:shd w:val="clear" w:color="auto" w:fill="FFFFFF"/>
        </w:rPr>
        <w:t xml:space="preserve"> 19%. As with those reporting personal use of</w:t>
      </w:r>
      <w:r>
        <w:rPr>
          <w:szCs w:val="24"/>
          <w:shd w:val="clear" w:color="auto" w:fill="FFFFFF"/>
        </w:rPr>
        <w:t xml:space="preserve"> NPS</w:t>
      </w:r>
      <w:r w:rsidRPr="00345774">
        <w:rPr>
          <w:szCs w:val="24"/>
          <w:shd w:val="clear" w:color="auto" w:fill="FFFFFF"/>
        </w:rPr>
        <w:t xml:space="preserve">, all participants who reported that their friends had used NPS after the ban </w:t>
      </w:r>
      <w:r>
        <w:rPr>
          <w:szCs w:val="24"/>
          <w:shd w:val="clear" w:color="auto" w:fill="FFFFFF"/>
        </w:rPr>
        <w:t xml:space="preserve">came onto force </w:t>
      </w:r>
      <w:r w:rsidRPr="00345774">
        <w:rPr>
          <w:szCs w:val="24"/>
          <w:shd w:val="clear" w:color="auto" w:fill="FFFFFF"/>
        </w:rPr>
        <w:t xml:space="preserve">also reported that their friends had used NPS prior to the ban.  </w:t>
      </w:r>
    </w:p>
    <w:p w14:paraId="7EEA1D85" w14:textId="77777777" w:rsidR="007E1D13" w:rsidRPr="00B8010C" w:rsidRDefault="007E1D13" w:rsidP="007E1D13">
      <w:pPr>
        <w:spacing w:line="480" w:lineRule="auto"/>
        <w:rPr>
          <w:szCs w:val="24"/>
          <w:shd w:val="clear" w:color="auto" w:fill="FFFFFF"/>
        </w:rPr>
      </w:pPr>
      <w:r>
        <w:rPr>
          <w:szCs w:val="24"/>
          <w:shd w:val="clear" w:color="auto" w:fill="FFFFFF"/>
        </w:rPr>
        <w:t xml:space="preserve"> </w:t>
      </w:r>
    </w:p>
    <w:p w14:paraId="767B8142" w14:textId="77777777" w:rsidR="007E1D13" w:rsidRDefault="007E1D13" w:rsidP="007E1D13">
      <w:pPr>
        <w:rPr>
          <w:rStyle w:val="Heading3Char"/>
          <w:bCs w:val="0"/>
          <w:color w:val="auto"/>
        </w:rPr>
      </w:pPr>
      <w:bookmarkStart w:id="457" w:name="_Hlk3539864"/>
      <w:r>
        <w:rPr>
          <w:rStyle w:val="Heading3Char"/>
          <w:b w:val="0"/>
          <w:color w:val="auto"/>
        </w:rPr>
        <w:br w:type="page"/>
      </w:r>
    </w:p>
    <w:p w14:paraId="0786EA84" w14:textId="77777777" w:rsidR="00BA1B3B" w:rsidRPr="00BA1B3B" w:rsidRDefault="00BA1B3B" w:rsidP="00BA1B3B">
      <w:pPr>
        <w:pStyle w:val="TableHeader"/>
        <w:rPr>
          <w:b/>
        </w:rPr>
      </w:pPr>
      <w:bookmarkStart w:id="458" w:name="_Toc9509077"/>
      <w:r w:rsidRPr="00BA1B3B">
        <w:rPr>
          <w:b/>
        </w:rPr>
        <w:t>Table 7-3 Use of NPS and illicit drugs by participants and their friends</w:t>
      </w:r>
      <w:bookmarkEnd w:id="458"/>
    </w:p>
    <w:tbl>
      <w:tblPr>
        <w:tblStyle w:val="TableGrid"/>
        <w:tblW w:w="0" w:type="auto"/>
        <w:tblLook w:val="04A0" w:firstRow="1" w:lastRow="0" w:firstColumn="1" w:lastColumn="0" w:noHBand="0" w:noVBand="1"/>
      </w:tblPr>
      <w:tblGrid>
        <w:gridCol w:w="2906"/>
        <w:gridCol w:w="748"/>
        <w:gridCol w:w="884"/>
        <w:gridCol w:w="857"/>
        <w:gridCol w:w="902"/>
        <w:gridCol w:w="1311"/>
        <w:gridCol w:w="944"/>
        <w:gridCol w:w="512"/>
      </w:tblGrid>
      <w:tr w:rsidR="007E1D13" w:rsidRPr="004538A2" w14:paraId="7BAF177D" w14:textId="77777777" w:rsidTr="00BA1B3B">
        <w:trPr>
          <w:trHeight w:val="352"/>
        </w:trPr>
        <w:tc>
          <w:tcPr>
            <w:tcW w:w="2906" w:type="dxa"/>
            <w:tcBorders>
              <w:top w:val="single" w:sz="4" w:space="0" w:color="auto"/>
              <w:left w:val="nil"/>
              <w:bottom w:val="nil"/>
              <w:right w:val="nil"/>
            </w:tcBorders>
          </w:tcPr>
          <w:p w14:paraId="49023B08" w14:textId="77777777" w:rsidR="007E1D13" w:rsidRPr="004538A2" w:rsidRDefault="007E1D13" w:rsidP="007E1D13">
            <w:pPr>
              <w:rPr>
                <w:rFonts w:cs="Arial"/>
                <w:color w:val="000000" w:themeColor="text1"/>
                <w:shd w:val="clear" w:color="auto" w:fill="FFFFFF"/>
              </w:rPr>
            </w:pPr>
          </w:p>
        </w:tc>
        <w:tc>
          <w:tcPr>
            <w:tcW w:w="1632" w:type="dxa"/>
            <w:gridSpan w:val="2"/>
            <w:tcBorders>
              <w:top w:val="single" w:sz="4" w:space="0" w:color="auto"/>
              <w:left w:val="nil"/>
              <w:bottom w:val="single" w:sz="4" w:space="0" w:color="auto"/>
              <w:right w:val="nil"/>
            </w:tcBorders>
          </w:tcPr>
          <w:p w14:paraId="759F7D64" w14:textId="77777777" w:rsidR="007E1D13" w:rsidRPr="004538A2" w:rsidRDefault="007E1D13" w:rsidP="007E1D13">
            <w:pPr>
              <w:rPr>
                <w:rFonts w:cs="Arial"/>
                <w:color w:val="000000" w:themeColor="text1"/>
                <w:shd w:val="clear" w:color="auto" w:fill="FFFFFF"/>
              </w:rPr>
            </w:pPr>
            <w:r w:rsidRPr="00D572AB">
              <w:rPr>
                <w:rFonts w:cs="Arial"/>
                <w:b/>
                <w:color w:val="000000" w:themeColor="text1"/>
                <w:shd w:val="clear" w:color="auto" w:fill="FFFFFF"/>
              </w:rPr>
              <w:t xml:space="preserve">Focus group </w:t>
            </w:r>
          </w:p>
        </w:tc>
        <w:tc>
          <w:tcPr>
            <w:tcW w:w="857" w:type="dxa"/>
            <w:tcBorders>
              <w:top w:val="single" w:sz="4" w:space="0" w:color="auto"/>
              <w:left w:val="nil"/>
              <w:bottom w:val="single" w:sz="4" w:space="0" w:color="auto"/>
              <w:right w:val="nil"/>
            </w:tcBorders>
          </w:tcPr>
          <w:p w14:paraId="029A5D38" w14:textId="77777777" w:rsidR="007E1D13" w:rsidRPr="004538A2" w:rsidRDefault="007E1D13" w:rsidP="007E1D13">
            <w:pPr>
              <w:rPr>
                <w:rFonts w:cs="Arial"/>
                <w:color w:val="000000" w:themeColor="text1"/>
                <w:shd w:val="clear" w:color="auto" w:fill="FFFFFF"/>
              </w:rPr>
            </w:pPr>
          </w:p>
        </w:tc>
        <w:tc>
          <w:tcPr>
            <w:tcW w:w="902" w:type="dxa"/>
            <w:tcBorders>
              <w:top w:val="single" w:sz="4" w:space="0" w:color="auto"/>
              <w:left w:val="nil"/>
              <w:bottom w:val="single" w:sz="4" w:space="0" w:color="auto"/>
              <w:right w:val="nil"/>
            </w:tcBorders>
            <w:vAlign w:val="center"/>
          </w:tcPr>
          <w:p w14:paraId="76F6D26E" w14:textId="77777777" w:rsidR="007E1D13" w:rsidRPr="004538A2" w:rsidRDefault="007E1D13" w:rsidP="007E1D13">
            <w:pPr>
              <w:rPr>
                <w:rFonts w:cs="Arial"/>
                <w:color w:val="000000" w:themeColor="text1"/>
                <w:shd w:val="clear" w:color="auto" w:fill="FFFFFF"/>
              </w:rPr>
            </w:pPr>
          </w:p>
        </w:tc>
        <w:tc>
          <w:tcPr>
            <w:tcW w:w="1311" w:type="dxa"/>
            <w:tcBorders>
              <w:top w:val="single" w:sz="4" w:space="0" w:color="auto"/>
              <w:left w:val="nil"/>
              <w:bottom w:val="single" w:sz="4" w:space="0" w:color="auto"/>
              <w:right w:val="single" w:sz="4" w:space="0" w:color="auto"/>
            </w:tcBorders>
          </w:tcPr>
          <w:p w14:paraId="75F3C2CA" w14:textId="77777777" w:rsidR="007E1D13" w:rsidRPr="004538A2" w:rsidRDefault="007E1D13" w:rsidP="007E1D13">
            <w:pPr>
              <w:rPr>
                <w:rFonts w:cs="Arial"/>
                <w:color w:val="000000" w:themeColor="text1"/>
                <w:shd w:val="clear" w:color="auto" w:fill="FFFFFF"/>
              </w:rPr>
            </w:pPr>
          </w:p>
        </w:tc>
        <w:tc>
          <w:tcPr>
            <w:tcW w:w="944" w:type="dxa"/>
            <w:tcBorders>
              <w:top w:val="single" w:sz="4" w:space="0" w:color="auto"/>
              <w:left w:val="single" w:sz="4" w:space="0" w:color="auto"/>
              <w:bottom w:val="single" w:sz="4" w:space="0" w:color="auto"/>
              <w:right w:val="nil"/>
            </w:tcBorders>
          </w:tcPr>
          <w:p w14:paraId="2384C7D4" w14:textId="77777777" w:rsidR="007E1D13" w:rsidRPr="004538A2" w:rsidRDefault="007E1D13" w:rsidP="007E1D13">
            <w:pPr>
              <w:rPr>
                <w:rFonts w:cs="Arial"/>
                <w:color w:val="000000" w:themeColor="text1"/>
                <w:shd w:val="clear" w:color="auto" w:fill="FFFFFF"/>
              </w:rPr>
            </w:pPr>
          </w:p>
        </w:tc>
        <w:tc>
          <w:tcPr>
            <w:tcW w:w="512" w:type="dxa"/>
            <w:tcBorders>
              <w:top w:val="nil"/>
              <w:left w:val="nil"/>
              <w:bottom w:val="nil"/>
              <w:right w:val="nil"/>
            </w:tcBorders>
          </w:tcPr>
          <w:p w14:paraId="37F2E104" w14:textId="77777777" w:rsidR="007E1D13" w:rsidRPr="004538A2" w:rsidRDefault="007E1D13" w:rsidP="007E1D13">
            <w:pPr>
              <w:rPr>
                <w:rFonts w:cs="Arial"/>
                <w:color w:val="000000" w:themeColor="text1"/>
                <w:shd w:val="clear" w:color="auto" w:fill="FFFFFF"/>
              </w:rPr>
            </w:pPr>
          </w:p>
        </w:tc>
      </w:tr>
      <w:tr w:rsidR="007E1D13" w:rsidRPr="004538A2" w14:paraId="03ACBCF0" w14:textId="77777777" w:rsidTr="00BA1B3B">
        <w:trPr>
          <w:trHeight w:val="511"/>
        </w:trPr>
        <w:tc>
          <w:tcPr>
            <w:tcW w:w="2906" w:type="dxa"/>
            <w:tcBorders>
              <w:top w:val="nil"/>
              <w:left w:val="nil"/>
              <w:bottom w:val="single" w:sz="4" w:space="0" w:color="auto"/>
              <w:right w:val="nil"/>
            </w:tcBorders>
          </w:tcPr>
          <w:p w14:paraId="072509BB" w14:textId="77777777" w:rsidR="007E1D13" w:rsidRPr="00D572AB" w:rsidRDefault="007E1D13" w:rsidP="007E1D13">
            <w:pPr>
              <w:rPr>
                <w:rFonts w:cs="Arial"/>
                <w:b/>
                <w:color w:val="000000" w:themeColor="text1"/>
                <w:shd w:val="clear" w:color="auto" w:fill="FFFFFF"/>
              </w:rPr>
            </w:pPr>
            <w:r>
              <w:rPr>
                <w:rFonts w:cs="Arial"/>
                <w:b/>
                <w:color w:val="000000" w:themeColor="text1"/>
                <w:shd w:val="clear" w:color="auto" w:fill="FFFFFF"/>
              </w:rPr>
              <w:t>Question</w:t>
            </w:r>
          </w:p>
        </w:tc>
        <w:tc>
          <w:tcPr>
            <w:tcW w:w="748" w:type="dxa"/>
            <w:tcBorders>
              <w:top w:val="single" w:sz="4" w:space="0" w:color="auto"/>
              <w:left w:val="nil"/>
              <w:bottom w:val="single" w:sz="4" w:space="0" w:color="auto"/>
              <w:right w:val="nil"/>
            </w:tcBorders>
            <w:vAlign w:val="center"/>
          </w:tcPr>
          <w:p w14:paraId="32F2ED07"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1</w:t>
            </w:r>
          </w:p>
        </w:tc>
        <w:tc>
          <w:tcPr>
            <w:tcW w:w="884" w:type="dxa"/>
            <w:tcBorders>
              <w:top w:val="single" w:sz="4" w:space="0" w:color="auto"/>
              <w:left w:val="nil"/>
              <w:bottom w:val="single" w:sz="4" w:space="0" w:color="auto"/>
              <w:right w:val="nil"/>
            </w:tcBorders>
            <w:vAlign w:val="center"/>
          </w:tcPr>
          <w:p w14:paraId="2C7BF1D2"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2</w:t>
            </w:r>
          </w:p>
        </w:tc>
        <w:tc>
          <w:tcPr>
            <w:tcW w:w="857" w:type="dxa"/>
            <w:tcBorders>
              <w:top w:val="single" w:sz="4" w:space="0" w:color="auto"/>
              <w:left w:val="nil"/>
              <w:bottom w:val="single" w:sz="4" w:space="0" w:color="auto"/>
              <w:right w:val="nil"/>
            </w:tcBorders>
            <w:vAlign w:val="center"/>
          </w:tcPr>
          <w:p w14:paraId="29F8DBAF"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3</w:t>
            </w:r>
          </w:p>
        </w:tc>
        <w:tc>
          <w:tcPr>
            <w:tcW w:w="902" w:type="dxa"/>
            <w:tcBorders>
              <w:top w:val="single" w:sz="4" w:space="0" w:color="auto"/>
              <w:left w:val="nil"/>
              <w:bottom w:val="single" w:sz="4" w:space="0" w:color="auto"/>
              <w:right w:val="nil"/>
            </w:tcBorders>
            <w:vAlign w:val="center"/>
          </w:tcPr>
          <w:p w14:paraId="4B108C9C"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All</w:t>
            </w:r>
          </w:p>
        </w:tc>
        <w:tc>
          <w:tcPr>
            <w:tcW w:w="1311" w:type="dxa"/>
            <w:tcBorders>
              <w:top w:val="single" w:sz="4" w:space="0" w:color="auto"/>
              <w:left w:val="nil"/>
              <w:bottom w:val="single" w:sz="4" w:space="0" w:color="auto"/>
              <w:right w:val="single" w:sz="4" w:space="0" w:color="auto"/>
            </w:tcBorders>
            <w:vAlign w:val="center"/>
          </w:tcPr>
          <w:p w14:paraId="54EF13D0" w14:textId="77777777" w:rsidR="007E1D13" w:rsidRDefault="007E1D13" w:rsidP="007E1D13">
            <w:pPr>
              <w:rPr>
                <w:rFonts w:cs="Arial"/>
                <w:color w:val="000000" w:themeColor="text1"/>
                <w:shd w:val="clear" w:color="auto" w:fill="FFFFFF"/>
              </w:rPr>
            </w:pPr>
            <w:r>
              <w:rPr>
                <w:rFonts w:cs="Arial"/>
                <w:color w:val="000000" w:themeColor="text1"/>
                <w:shd w:val="clear" w:color="auto" w:fill="FFFFFF"/>
              </w:rPr>
              <w:t>%</w:t>
            </w:r>
          </w:p>
        </w:tc>
        <w:tc>
          <w:tcPr>
            <w:tcW w:w="944" w:type="dxa"/>
            <w:tcBorders>
              <w:top w:val="single" w:sz="4" w:space="0" w:color="auto"/>
              <w:left w:val="single" w:sz="4" w:space="0" w:color="auto"/>
              <w:bottom w:val="single" w:sz="4" w:space="0" w:color="auto"/>
              <w:right w:val="nil"/>
            </w:tcBorders>
            <w:vAlign w:val="center"/>
          </w:tcPr>
          <w:p w14:paraId="72D7F5EA" w14:textId="77777777" w:rsidR="007E1D13" w:rsidRPr="003C4CC3" w:rsidRDefault="007E1D13" w:rsidP="007E1D13">
            <w:pPr>
              <w:jc w:val="center"/>
              <w:rPr>
                <w:rFonts w:cs="Arial"/>
                <w:color w:val="000000" w:themeColor="text1"/>
                <w:sz w:val="20"/>
                <w:shd w:val="clear" w:color="auto" w:fill="FFFFFF"/>
              </w:rPr>
            </w:pPr>
            <w:r w:rsidRPr="00BA690B">
              <w:rPr>
                <w:rFonts w:cs="Arial"/>
                <w:color w:val="000000" w:themeColor="text1"/>
                <w:sz w:val="20"/>
                <w:shd w:val="clear" w:color="auto" w:fill="FFFFFF"/>
              </w:rPr>
              <w:t>S</w:t>
            </w:r>
            <w:r>
              <w:rPr>
                <w:rFonts w:cs="Arial"/>
                <w:color w:val="000000" w:themeColor="text1"/>
                <w:sz w:val="20"/>
                <w:shd w:val="clear" w:color="auto" w:fill="FFFFFF"/>
              </w:rPr>
              <w:t>tudy 1</w:t>
            </w:r>
          </w:p>
        </w:tc>
        <w:tc>
          <w:tcPr>
            <w:tcW w:w="512" w:type="dxa"/>
            <w:tcBorders>
              <w:top w:val="nil"/>
              <w:left w:val="nil"/>
              <w:bottom w:val="nil"/>
              <w:right w:val="nil"/>
            </w:tcBorders>
          </w:tcPr>
          <w:p w14:paraId="62020CAA" w14:textId="77777777" w:rsidR="007E1D13" w:rsidRPr="004538A2" w:rsidRDefault="007E1D13" w:rsidP="007E1D13">
            <w:pPr>
              <w:rPr>
                <w:rFonts w:cs="Arial"/>
                <w:color w:val="000000" w:themeColor="text1"/>
                <w:shd w:val="clear" w:color="auto" w:fill="FFFFFF"/>
              </w:rPr>
            </w:pPr>
          </w:p>
        </w:tc>
      </w:tr>
      <w:tr w:rsidR="007E1D13" w:rsidRPr="00376A13" w14:paraId="3FDA1715" w14:textId="77777777" w:rsidTr="00BA1B3B">
        <w:trPr>
          <w:trHeight w:val="95"/>
        </w:trPr>
        <w:tc>
          <w:tcPr>
            <w:tcW w:w="2906" w:type="dxa"/>
            <w:tcBorders>
              <w:top w:val="nil"/>
              <w:left w:val="nil"/>
              <w:bottom w:val="nil"/>
              <w:right w:val="nil"/>
            </w:tcBorders>
            <w:vAlign w:val="center"/>
          </w:tcPr>
          <w:p w14:paraId="14D8FB3D" w14:textId="77777777" w:rsidR="007E1D13" w:rsidRPr="00376A13" w:rsidRDefault="007E1D13" w:rsidP="007E1D13">
            <w:pPr>
              <w:rPr>
                <w:rFonts w:cs="Arial"/>
                <w:color w:val="000000" w:themeColor="text1"/>
                <w:sz w:val="2"/>
                <w:szCs w:val="2"/>
                <w:shd w:val="clear" w:color="auto" w:fill="FFFFFF"/>
              </w:rPr>
            </w:pPr>
          </w:p>
        </w:tc>
        <w:tc>
          <w:tcPr>
            <w:tcW w:w="748" w:type="dxa"/>
            <w:tcBorders>
              <w:top w:val="nil"/>
              <w:left w:val="nil"/>
              <w:bottom w:val="nil"/>
              <w:right w:val="nil"/>
            </w:tcBorders>
            <w:vAlign w:val="center"/>
          </w:tcPr>
          <w:p w14:paraId="632B018A" w14:textId="77777777" w:rsidR="007E1D13" w:rsidRPr="00376A13" w:rsidRDefault="007E1D13" w:rsidP="007E1D13">
            <w:pPr>
              <w:rPr>
                <w:rFonts w:cs="Arial"/>
                <w:color w:val="000000" w:themeColor="text1"/>
                <w:sz w:val="2"/>
                <w:szCs w:val="2"/>
                <w:shd w:val="clear" w:color="auto" w:fill="FFFFFF"/>
              </w:rPr>
            </w:pPr>
          </w:p>
        </w:tc>
        <w:tc>
          <w:tcPr>
            <w:tcW w:w="884" w:type="dxa"/>
            <w:tcBorders>
              <w:top w:val="nil"/>
              <w:left w:val="nil"/>
              <w:bottom w:val="nil"/>
              <w:right w:val="nil"/>
            </w:tcBorders>
            <w:vAlign w:val="center"/>
          </w:tcPr>
          <w:p w14:paraId="03E6F5AF" w14:textId="77777777" w:rsidR="007E1D13" w:rsidRPr="00376A13" w:rsidRDefault="007E1D13" w:rsidP="007E1D13">
            <w:pPr>
              <w:rPr>
                <w:rFonts w:cs="Arial"/>
                <w:color w:val="000000" w:themeColor="text1"/>
                <w:sz w:val="2"/>
                <w:szCs w:val="2"/>
                <w:shd w:val="clear" w:color="auto" w:fill="FFFFFF"/>
              </w:rPr>
            </w:pPr>
          </w:p>
        </w:tc>
        <w:tc>
          <w:tcPr>
            <w:tcW w:w="857" w:type="dxa"/>
            <w:tcBorders>
              <w:top w:val="nil"/>
              <w:left w:val="nil"/>
              <w:bottom w:val="nil"/>
              <w:right w:val="nil"/>
            </w:tcBorders>
            <w:vAlign w:val="center"/>
          </w:tcPr>
          <w:p w14:paraId="4E6BF94A" w14:textId="77777777" w:rsidR="007E1D13" w:rsidRPr="00376A13" w:rsidRDefault="007E1D13" w:rsidP="007E1D13">
            <w:pPr>
              <w:rPr>
                <w:rFonts w:cs="Arial"/>
                <w:color w:val="000000" w:themeColor="text1"/>
                <w:sz w:val="2"/>
                <w:szCs w:val="2"/>
                <w:shd w:val="clear" w:color="auto" w:fill="FFFFFF"/>
              </w:rPr>
            </w:pPr>
          </w:p>
        </w:tc>
        <w:tc>
          <w:tcPr>
            <w:tcW w:w="902" w:type="dxa"/>
            <w:tcBorders>
              <w:top w:val="nil"/>
              <w:left w:val="nil"/>
              <w:bottom w:val="nil"/>
              <w:right w:val="nil"/>
            </w:tcBorders>
            <w:vAlign w:val="center"/>
          </w:tcPr>
          <w:p w14:paraId="1F4766FF" w14:textId="77777777" w:rsidR="007E1D13" w:rsidRPr="00376A13" w:rsidRDefault="007E1D13" w:rsidP="007E1D13">
            <w:pPr>
              <w:rPr>
                <w:rFonts w:cs="Arial"/>
                <w:color w:val="000000" w:themeColor="text1"/>
                <w:sz w:val="2"/>
                <w:szCs w:val="2"/>
                <w:shd w:val="clear" w:color="auto" w:fill="FFFFFF"/>
              </w:rPr>
            </w:pPr>
          </w:p>
        </w:tc>
        <w:tc>
          <w:tcPr>
            <w:tcW w:w="1311" w:type="dxa"/>
            <w:tcBorders>
              <w:top w:val="nil"/>
              <w:left w:val="nil"/>
              <w:bottom w:val="nil"/>
              <w:right w:val="single" w:sz="4" w:space="0" w:color="auto"/>
            </w:tcBorders>
          </w:tcPr>
          <w:p w14:paraId="114719AF" w14:textId="77777777" w:rsidR="007E1D13" w:rsidRPr="00376A13" w:rsidRDefault="007E1D13" w:rsidP="007E1D13">
            <w:pPr>
              <w:rPr>
                <w:rFonts w:cs="Arial"/>
                <w:color w:val="000000" w:themeColor="text1"/>
                <w:sz w:val="2"/>
                <w:szCs w:val="2"/>
                <w:shd w:val="clear" w:color="auto" w:fill="FFFFFF"/>
              </w:rPr>
            </w:pPr>
          </w:p>
        </w:tc>
        <w:tc>
          <w:tcPr>
            <w:tcW w:w="944" w:type="dxa"/>
            <w:tcBorders>
              <w:top w:val="nil"/>
              <w:left w:val="single" w:sz="4" w:space="0" w:color="auto"/>
              <w:bottom w:val="nil"/>
              <w:right w:val="nil"/>
            </w:tcBorders>
          </w:tcPr>
          <w:p w14:paraId="6FB10844" w14:textId="77777777" w:rsidR="007E1D13" w:rsidRPr="00376A13" w:rsidRDefault="007E1D13" w:rsidP="007E1D13">
            <w:pPr>
              <w:rPr>
                <w:rFonts w:cs="Arial"/>
                <w:color w:val="000000" w:themeColor="text1"/>
                <w:sz w:val="2"/>
                <w:szCs w:val="2"/>
                <w:shd w:val="clear" w:color="auto" w:fill="FFFFFF"/>
              </w:rPr>
            </w:pPr>
          </w:p>
        </w:tc>
        <w:tc>
          <w:tcPr>
            <w:tcW w:w="512" w:type="dxa"/>
            <w:tcBorders>
              <w:top w:val="nil"/>
              <w:left w:val="nil"/>
              <w:bottom w:val="nil"/>
              <w:right w:val="nil"/>
            </w:tcBorders>
          </w:tcPr>
          <w:p w14:paraId="759713A8" w14:textId="77777777" w:rsidR="007E1D13" w:rsidRPr="00376A13" w:rsidRDefault="007E1D13" w:rsidP="007E1D13">
            <w:pPr>
              <w:rPr>
                <w:rFonts w:cs="Arial"/>
                <w:color w:val="000000" w:themeColor="text1"/>
                <w:sz w:val="2"/>
                <w:szCs w:val="2"/>
                <w:shd w:val="clear" w:color="auto" w:fill="FFFFFF"/>
              </w:rPr>
            </w:pPr>
          </w:p>
        </w:tc>
      </w:tr>
      <w:tr w:rsidR="007E1D13" w:rsidRPr="004538A2" w14:paraId="2A31F5B5" w14:textId="77777777" w:rsidTr="00BA1B3B">
        <w:trPr>
          <w:trHeight w:val="323"/>
        </w:trPr>
        <w:tc>
          <w:tcPr>
            <w:tcW w:w="2906" w:type="dxa"/>
            <w:tcBorders>
              <w:top w:val="nil"/>
              <w:left w:val="nil"/>
              <w:bottom w:val="nil"/>
              <w:right w:val="nil"/>
            </w:tcBorders>
            <w:vAlign w:val="center"/>
          </w:tcPr>
          <w:p w14:paraId="2CB44EA1"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Pre-ban NPS use</w:t>
            </w:r>
          </w:p>
        </w:tc>
        <w:tc>
          <w:tcPr>
            <w:tcW w:w="748" w:type="dxa"/>
            <w:tcBorders>
              <w:top w:val="nil"/>
              <w:left w:val="nil"/>
              <w:bottom w:val="nil"/>
              <w:right w:val="nil"/>
            </w:tcBorders>
            <w:vAlign w:val="center"/>
          </w:tcPr>
          <w:p w14:paraId="1C3953B4" w14:textId="77777777" w:rsidR="007E1D13" w:rsidRPr="004538A2" w:rsidRDefault="007E1D13" w:rsidP="007E1D13">
            <w:pPr>
              <w:spacing w:before="120" w:after="120"/>
              <w:rPr>
                <w:rFonts w:cs="Arial"/>
                <w:color w:val="000000" w:themeColor="text1"/>
                <w:shd w:val="clear" w:color="auto" w:fill="FFFFFF"/>
              </w:rPr>
            </w:pPr>
          </w:p>
        </w:tc>
        <w:tc>
          <w:tcPr>
            <w:tcW w:w="884" w:type="dxa"/>
            <w:tcBorders>
              <w:top w:val="nil"/>
              <w:left w:val="nil"/>
              <w:bottom w:val="nil"/>
              <w:right w:val="nil"/>
            </w:tcBorders>
            <w:vAlign w:val="center"/>
          </w:tcPr>
          <w:p w14:paraId="5E4CD25E"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nil"/>
              <w:left w:val="nil"/>
              <w:bottom w:val="nil"/>
              <w:right w:val="nil"/>
            </w:tcBorders>
            <w:vAlign w:val="center"/>
          </w:tcPr>
          <w:p w14:paraId="442F3FE8"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63B3865D"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nil"/>
              <w:left w:val="nil"/>
              <w:bottom w:val="nil"/>
              <w:right w:val="single" w:sz="4" w:space="0" w:color="auto"/>
            </w:tcBorders>
          </w:tcPr>
          <w:p w14:paraId="79368AE1"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nil"/>
              <w:left w:val="single" w:sz="4" w:space="0" w:color="auto"/>
              <w:bottom w:val="nil"/>
              <w:right w:val="nil"/>
            </w:tcBorders>
          </w:tcPr>
          <w:p w14:paraId="3C7AC590"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nil"/>
              <w:left w:val="nil"/>
              <w:bottom w:val="nil"/>
              <w:right w:val="nil"/>
            </w:tcBorders>
          </w:tcPr>
          <w:p w14:paraId="4CF9E779"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4669A793" w14:textId="77777777" w:rsidTr="00BA1B3B">
        <w:trPr>
          <w:trHeight w:val="323"/>
        </w:trPr>
        <w:tc>
          <w:tcPr>
            <w:tcW w:w="2906" w:type="dxa"/>
            <w:tcBorders>
              <w:top w:val="nil"/>
              <w:left w:val="nil"/>
              <w:bottom w:val="nil"/>
              <w:right w:val="nil"/>
            </w:tcBorders>
            <w:vAlign w:val="center"/>
          </w:tcPr>
          <w:p w14:paraId="59ABF80B"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48" w:type="dxa"/>
            <w:tcBorders>
              <w:top w:val="nil"/>
              <w:left w:val="nil"/>
              <w:bottom w:val="nil"/>
              <w:right w:val="nil"/>
            </w:tcBorders>
            <w:vAlign w:val="center"/>
          </w:tcPr>
          <w:p w14:paraId="3557AF4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7FEC75E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57" w:type="dxa"/>
            <w:tcBorders>
              <w:top w:val="nil"/>
              <w:left w:val="nil"/>
              <w:bottom w:val="nil"/>
              <w:right w:val="nil"/>
            </w:tcBorders>
            <w:vAlign w:val="center"/>
          </w:tcPr>
          <w:p w14:paraId="2D7539A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902" w:type="dxa"/>
            <w:tcBorders>
              <w:top w:val="nil"/>
              <w:left w:val="nil"/>
              <w:bottom w:val="nil"/>
              <w:right w:val="nil"/>
            </w:tcBorders>
            <w:vAlign w:val="center"/>
          </w:tcPr>
          <w:p w14:paraId="0532726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1311" w:type="dxa"/>
            <w:tcBorders>
              <w:top w:val="nil"/>
              <w:left w:val="nil"/>
              <w:bottom w:val="nil"/>
              <w:right w:val="single" w:sz="4" w:space="0" w:color="auto"/>
            </w:tcBorders>
          </w:tcPr>
          <w:p w14:paraId="7B5B70A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26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7DFD4F9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20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79E44CF7" w14:textId="77777777" w:rsidR="007E1D13" w:rsidRDefault="007E1D13" w:rsidP="007E1D13">
            <w:pPr>
              <w:spacing w:before="120" w:after="120"/>
              <w:rPr>
                <w:rFonts w:cs="Arial"/>
                <w:color w:val="000000" w:themeColor="text1"/>
                <w:shd w:val="clear" w:color="auto" w:fill="FFFFFF"/>
              </w:rPr>
            </w:pPr>
          </w:p>
        </w:tc>
      </w:tr>
      <w:tr w:rsidR="007E1D13" w:rsidRPr="004538A2" w14:paraId="3F5E6167" w14:textId="77777777" w:rsidTr="00BA1B3B">
        <w:trPr>
          <w:trHeight w:val="323"/>
        </w:trPr>
        <w:tc>
          <w:tcPr>
            <w:tcW w:w="2906" w:type="dxa"/>
            <w:tcBorders>
              <w:top w:val="nil"/>
              <w:left w:val="nil"/>
              <w:bottom w:val="nil"/>
              <w:right w:val="nil"/>
            </w:tcBorders>
            <w:vAlign w:val="center"/>
          </w:tcPr>
          <w:p w14:paraId="5E4E9861"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48" w:type="dxa"/>
            <w:tcBorders>
              <w:top w:val="nil"/>
              <w:left w:val="nil"/>
              <w:bottom w:val="nil"/>
              <w:right w:val="nil"/>
            </w:tcBorders>
            <w:vAlign w:val="center"/>
          </w:tcPr>
          <w:p w14:paraId="0838A34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884" w:type="dxa"/>
            <w:tcBorders>
              <w:top w:val="nil"/>
              <w:left w:val="nil"/>
              <w:bottom w:val="nil"/>
              <w:right w:val="nil"/>
            </w:tcBorders>
            <w:vAlign w:val="center"/>
          </w:tcPr>
          <w:p w14:paraId="7FDB71D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857" w:type="dxa"/>
            <w:tcBorders>
              <w:top w:val="nil"/>
              <w:left w:val="nil"/>
              <w:bottom w:val="nil"/>
              <w:right w:val="nil"/>
            </w:tcBorders>
            <w:vAlign w:val="center"/>
          </w:tcPr>
          <w:p w14:paraId="20AB29A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902" w:type="dxa"/>
            <w:tcBorders>
              <w:top w:val="nil"/>
              <w:left w:val="nil"/>
              <w:bottom w:val="nil"/>
              <w:right w:val="nil"/>
            </w:tcBorders>
            <w:vAlign w:val="center"/>
          </w:tcPr>
          <w:p w14:paraId="616A093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19</w:t>
            </w:r>
          </w:p>
        </w:tc>
        <w:tc>
          <w:tcPr>
            <w:tcW w:w="1311" w:type="dxa"/>
            <w:tcBorders>
              <w:top w:val="nil"/>
              <w:left w:val="nil"/>
              <w:bottom w:val="nil"/>
              <w:right w:val="single" w:sz="4" w:space="0" w:color="auto"/>
            </w:tcBorders>
          </w:tcPr>
          <w:p w14:paraId="3BF168FD"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70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3755871B"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80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672CDE70" w14:textId="77777777" w:rsidR="007E1D13" w:rsidRDefault="007E1D13" w:rsidP="007E1D13">
            <w:pPr>
              <w:spacing w:before="120" w:after="120"/>
              <w:rPr>
                <w:rFonts w:cs="Arial"/>
                <w:color w:val="000000" w:themeColor="text1"/>
                <w:shd w:val="clear" w:color="auto" w:fill="FFFFFF"/>
              </w:rPr>
            </w:pPr>
          </w:p>
        </w:tc>
      </w:tr>
      <w:tr w:rsidR="007E1D13" w:rsidRPr="004538A2" w14:paraId="2D52146E" w14:textId="77777777" w:rsidTr="00BA1B3B">
        <w:trPr>
          <w:trHeight w:val="323"/>
        </w:trPr>
        <w:tc>
          <w:tcPr>
            <w:tcW w:w="2906" w:type="dxa"/>
            <w:tcBorders>
              <w:top w:val="nil"/>
              <w:left w:val="nil"/>
              <w:bottom w:val="nil"/>
              <w:right w:val="nil"/>
            </w:tcBorders>
            <w:vAlign w:val="center"/>
          </w:tcPr>
          <w:p w14:paraId="22CB89C8"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48" w:type="dxa"/>
            <w:tcBorders>
              <w:top w:val="nil"/>
              <w:left w:val="nil"/>
              <w:bottom w:val="nil"/>
              <w:right w:val="nil"/>
            </w:tcBorders>
            <w:vAlign w:val="center"/>
          </w:tcPr>
          <w:p w14:paraId="75717D9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1DEB218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6073246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3C4902E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580200B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FE20BF3"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7DF14E34" w14:textId="77777777" w:rsidR="007E1D13" w:rsidRDefault="007E1D13" w:rsidP="007E1D13">
            <w:pPr>
              <w:spacing w:before="120" w:after="120"/>
              <w:rPr>
                <w:rFonts w:cs="Arial"/>
                <w:color w:val="000000" w:themeColor="text1"/>
                <w:shd w:val="clear" w:color="auto" w:fill="FFFFFF"/>
              </w:rPr>
            </w:pPr>
          </w:p>
        </w:tc>
      </w:tr>
      <w:tr w:rsidR="007E1D13" w:rsidRPr="004538A2" w14:paraId="0A16404D" w14:textId="77777777" w:rsidTr="00BA1B3B">
        <w:trPr>
          <w:trHeight w:val="323"/>
        </w:trPr>
        <w:tc>
          <w:tcPr>
            <w:tcW w:w="2906" w:type="dxa"/>
            <w:tcBorders>
              <w:top w:val="nil"/>
              <w:left w:val="nil"/>
              <w:bottom w:val="nil"/>
              <w:right w:val="nil"/>
            </w:tcBorders>
            <w:vAlign w:val="center"/>
          </w:tcPr>
          <w:p w14:paraId="40E69D66"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Post-ban NPS use</w:t>
            </w:r>
          </w:p>
        </w:tc>
        <w:tc>
          <w:tcPr>
            <w:tcW w:w="748" w:type="dxa"/>
            <w:tcBorders>
              <w:top w:val="nil"/>
              <w:left w:val="nil"/>
              <w:bottom w:val="nil"/>
              <w:right w:val="nil"/>
            </w:tcBorders>
            <w:vAlign w:val="center"/>
          </w:tcPr>
          <w:p w14:paraId="6A3118EF" w14:textId="77777777" w:rsidR="007E1D13" w:rsidRPr="004538A2" w:rsidRDefault="007E1D13" w:rsidP="007E1D13">
            <w:pPr>
              <w:spacing w:before="120" w:after="120"/>
              <w:rPr>
                <w:rFonts w:cs="Arial"/>
                <w:color w:val="000000" w:themeColor="text1"/>
                <w:shd w:val="clear" w:color="auto" w:fill="FFFFFF"/>
              </w:rPr>
            </w:pPr>
          </w:p>
        </w:tc>
        <w:tc>
          <w:tcPr>
            <w:tcW w:w="884" w:type="dxa"/>
            <w:tcBorders>
              <w:top w:val="nil"/>
              <w:left w:val="nil"/>
              <w:bottom w:val="nil"/>
              <w:right w:val="nil"/>
            </w:tcBorders>
            <w:vAlign w:val="center"/>
          </w:tcPr>
          <w:p w14:paraId="78968294"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nil"/>
              <w:left w:val="nil"/>
              <w:bottom w:val="nil"/>
              <w:right w:val="nil"/>
            </w:tcBorders>
            <w:vAlign w:val="center"/>
          </w:tcPr>
          <w:p w14:paraId="411C6E56"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7AC1BBC5"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nil"/>
              <w:left w:val="nil"/>
              <w:bottom w:val="nil"/>
              <w:right w:val="single" w:sz="4" w:space="0" w:color="auto"/>
            </w:tcBorders>
          </w:tcPr>
          <w:p w14:paraId="754D6F4C"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nil"/>
              <w:left w:val="single" w:sz="4" w:space="0" w:color="auto"/>
              <w:bottom w:val="nil"/>
              <w:right w:val="nil"/>
            </w:tcBorders>
          </w:tcPr>
          <w:p w14:paraId="36B3A4D4"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nil"/>
              <w:left w:val="nil"/>
              <w:bottom w:val="nil"/>
              <w:right w:val="nil"/>
            </w:tcBorders>
          </w:tcPr>
          <w:p w14:paraId="24C73A59"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16B3CC47" w14:textId="77777777" w:rsidTr="00BA1B3B">
        <w:trPr>
          <w:trHeight w:val="323"/>
        </w:trPr>
        <w:tc>
          <w:tcPr>
            <w:tcW w:w="2906" w:type="dxa"/>
            <w:tcBorders>
              <w:top w:val="nil"/>
              <w:left w:val="nil"/>
              <w:bottom w:val="nil"/>
              <w:right w:val="nil"/>
            </w:tcBorders>
            <w:vAlign w:val="center"/>
          </w:tcPr>
          <w:p w14:paraId="12AD86E4"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48" w:type="dxa"/>
            <w:tcBorders>
              <w:top w:val="nil"/>
              <w:left w:val="nil"/>
              <w:bottom w:val="nil"/>
              <w:right w:val="nil"/>
            </w:tcBorders>
            <w:vAlign w:val="center"/>
          </w:tcPr>
          <w:p w14:paraId="261CA62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884" w:type="dxa"/>
            <w:tcBorders>
              <w:top w:val="nil"/>
              <w:left w:val="nil"/>
              <w:bottom w:val="nil"/>
              <w:right w:val="nil"/>
            </w:tcBorders>
            <w:vAlign w:val="center"/>
          </w:tcPr>
          <w:p w14:paraId="341F116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26EB006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02" w:type="dxa"/>
            <w:tcBorders>
              <w:top w:val="nil"/>
              <w:left w:val="nil"/>
              <w:bottom w:val="nil"/>
              <w:right w:val="nil"/>
            </w:tcBorders>
            <w:vAlign w:val="center"/>
          </w:tcPr>
          <w:p w14:paraId="207AFF1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p>
        </w:tc>
        <w:tc>
          <w:tcPr>
            <w:tcW w:w="1311" w:type="dxa"/>
            <w:tcBorders>
              <w:top w:val="nil"/>
              <w:left w:val="nil"/>
              <w:bottom w:val="nil"/>
              <w:right w:val="single" w:sz="4" w:space="0" w:color="auto"/>
            </w:tcBorders>
          </w:tcPr>
          <w:p w14:paraId="29987AAF"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11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9A74BF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02191128" w14:textId="77777777" w:rsidR="007E1D13" w:rsidRDefault="007E1D13" w:rsidP="007E1D13">
            <w:pPr>
              <w:spacing w:before="120" w:after="120"/>
              <w:rPr>
                <w:rFonts w:cs="Arial"/>
                <w:color w:val="000000" w:themeColor="text1"/>
                <w:shd w:val="clear" w:color="auto" w:fill="FFFFFF"/>
              </w:rPr>
            </w:pPr>
          </w:p>
        </w:tc>
      </w:tr>
      <w:tr w:rsidR="007E1D13" w:rsidRPr="004538A2" w14:paraId="58181931" w14:textId="77777777" w:rsidTr="00BA1B3B">
        <w:trPr>
          <w:trHeight w:val="323"/>
        </w:trPr>
        <w:tc>
          <w:tcPr>
            <w:tcW w:w="2906" w:type="dxa"/>
            <w:tcBorders>
              <w:top w:val="nil"/>
              <w:left w:val="nil"/>
              <w:bottom w:val="nil"/>
              <w:right w:val="nil"/>
            </w:tcBorders>
            <w:vAlign w:val="center"/>
          </w:tcPr>
          <w:p w14:paraId="0AB081BC"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48" w:type="dxa"/>
            <w:tcBorders>
              <w:top w:val="nil"/>
              <w:left w:val="nil"/>
              <w:bottom w:val="nil"/>
              <w:right w:val="nil"/>
            </w:tcBorders>
            <w:vAlign w:val="center"/>
          </w:tcPr>
          <w:p w14:paraId="306DCDC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884" w:type="dxa"/>
            <w:tcBorders>
              <w:top w:val="nil"/>
              <w:left w:val="nil"/>
              <w:bottom w:val="nil"/>
              <w:right w:val="nil"/>
            </w:tcBorders>
            <w:vAlign w:val="center"/>
          </w:tcPr>
          <w:p w14:paraId="7F7C4C3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11</w:t>
            </w:r>
          </w:p>
        </w:tc>
        <w:tc>
          <w:tcPr>
            <w:tcW w:w="857" w:type="dxa"/>
            <w:tcBorders>
              <w:top w:val="nil"/>
              <w:left w:val="nil"/>
              <w:bottom w:val="nil"/>
              <w:right w:val="nil"/>
            </w:tcBorders>
            <w:vAlign w:val="center"/>
          </w:tcPr>
          <w:p w14:paraId="5E85D78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02" w:type="dxa"/>
            <w:tcBorders>
              <w:top w:val="nil"/>
              <w:left w:val="nil"/>
              <w:bottom w:val="nil"/>
              <w:right w:val="nil"/>
            </w:tcBorders>
            <w:vAlign w:val="center"/>
          </w:tcPr>
          <w:p w14:paraId="4FA9B97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23</w:t>
            </w:r>
          </w:p>
        </w:tc>
        <w:tc>
          <w:tcPr>
            <w:tcW w:w="1311" w:type="dxa"/>
            <w:tcBorders>
              <w:top w:val="nil"/>
              <w:left w:val="nil"/>
              <w:bottom w:val="nil"/>
              <w:right w:val="single" w:sz="4" w:space="0" w:color="auto"/>
            </w:tcBorders>
          </w:tcPr>
          <w:p w14:paraId="3D3E0F1C"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85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10D67413"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0E2FBAA6" w14:textId="77777777" w:rsidR="007E1D13" w:rsidRDefault="007E1D13" w:rsidP="007E1D13">
            <w:pPr>
              <w:spacing w:before="120" w:after="120"/>
              <w:rPr>
                <w:rFonts w:cs="Arial"/>
                <w:color w:val="000000" w:themeColor="text1"/>
                <w:shd w:val="clear" w:color="auto" w:fill="FFFFFF"/>
              </w:rPr>
            </w:pPr>
          </w:p>
        </w:tc>
      </w:tr>
      <w:tr w:rsidR="007E1D13" w:rsidRPr="004538A2" w14:paraId="7DB15776" w14:textId="77777777" w:rsidTr="00BA1B3B">
        <w:trPr>
          <w:trHeight w:val="323"/>
        </w:trPr>
        <w:tc>
          <w:tcPr>
            <w:tcW w:w="2906" w:type="dxa"/>
            <w:tcBorders>
              <w:top w:val="nil"/>
              <w:left w:val="nil"/>
              <w:bottom w:val="nil"/>
              <w:right w:val="nil"/>
            </w:tcBorders>
            <w:vAlign w:val="center"/>
          </w:tcPr>
          <w:p w14:paraId="2F8B510E"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48" w:type="dxa"/>
            <w:tcBorders>
              <w:top w:val="nil"/>
              <w:left w:val="nil"/>
              <w:bottom w:val="nil"/>
              <w:right w:val="nil"/>
            </w:tcBorders>
            <w:vAlign w:val="center"/>
          </w:tcPr>
          <w:p w14:paraId="0EB1614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45ED967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46B148F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1A49E6E2"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202B1ED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314A83BB"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12AC792C" w14:textId="77777777" w:rsidR="007E1D13" w:rsidRDefault="007E1D13" w:rsidP="007E1D13">
            <w:pPr>
              <w:spacing w:before="120" w:after="120"/>
              <w:rPr>
                <w:rFonts w:cs="Arial"/>
                <w:color w:val="000000" w:themeColor="text1"/>
                <w:shd w:val="clear" w:color="auto" w:fill="FFFFFF"/>
              </w:rPr>
            </w:pPr>
          </w:p>
        </w:tc>
      </w:tr>
      <w:tr w:rsidR="007E1D13" w:rsidRPr="004538A2" w14:paraId="7E9B3976" w14:textId="77777777" w:rsidTr="00BA1B3B">
        <w:trPr>
          <w:trHeight w:val="323"/>
        </w:trPr>
        <w:tc>
          <w:tcPr>
            <w:tcW w:w="2906" w:type="dxa"/>
            <w:tcBorders>
              <w:top w:val="nil"/>
              <w:left w:val="nil"/>
              <w:bottom w:val="nil"/>
              <w:right w:val="nil"/>
            </w:tcBorders>
            <w:vAlign w:val="center"/>
          </w:tcPr>
          <w:p w14:paraId="177538D7"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Illicit drug use</w:t>
            </w:r>
          </w:p>
        </w:tc>
        <w:tc>
          <w:tcPr>
            <w:tcW w:w="748" w:type="dxa"/>
            <w:tcBorders>
              <w:top w:val="nil"/>
              <w:left w:val="nil"/>
              <w:bottom w:val="nil"/>
              <w:right w:val="nil"/>
            </w:tcBorders>
            <w:vAlign w:val="center"/>
          </w:tcPr>
          <w:p w14:paraId="07124409" w14:textId="77777777" w:rsidR="007E1D13" w:rsidRPr="004538A2" w:rsidRDefault="007E1D13" w:rsidP="007E1D13">
            <w:pPr>
              <w:spacing w:before="120" w:after="120"/>
              <w:rPr>
                <w:rFonts w:cs="Arial"/>
                <w:color w:val="000000" w:themeColor="text1"/>
                <w:shd w:val="clear" w:color="auto" w:fill="FFFFFF"/>
              </w:rPr>
            </w:pPr>
          </w:p>
        </w:tc>
        <w:tc>
          <w:tcPr>
            <w:tcW w:w="884" w:type="dxa"/>
            <w:tcBorders>
              <w:top w:val="nil"/>
              <w:left w:val="nil"/>
              <w:bottom w:val="nil"/>
              <w:right w:val="nil"/>
            </w:tcBorders>
            <w:vAlign w:val="center"/>
          </w:tcPr>
          <w:p w14:paraId="62C8BC06"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nil"/>
              <w:left w:val="nil"/>
              <w:bottom w:val="nil"/>
              <w:right w:val="nil"/>
            </w:tcBorders>
            <w:vAlign w:val="center"/>
          </w:tcPr>
          <w:p w14:paraId="49E21935"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01EDD6BB"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nil"/>
              <w:left w:val="nil"/>
              <w:bottom w:val="nil"/>
              <w:right w:val="single" w:sz="4" w:space="0" w:color="auto"/>
            </w:tcBorders>
          </w:tcPr>
          <w:p w14:paraId="1C537A8F"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nil"/>
              <w:left w:val="single" w:sz="4" w:space="0" w:color="auto"/>
              <w:bottom w:val="nil"/>
              <w:right w:val="nil"/>
            </w:tcBorders>
          </w:tcPr>
          <w:p w14:paraId="49918363"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nil"/>
              <w:left w:val="nil"/>
              <w:bottom w:val="nil"/>
              <w:right w:val="nil"/>
            </w:tcBorders>
          </w:tcPr>
          <w:p w14:paraId="6E6A49B9"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2FFF014A" w14:textId="77777777" w:rsidTr="00BA1B3B">
        <w:trPr>
          <w:trHeight w:val="323"/>
        </w:trPr>
        <w:tc>
          <w:tcPr>
            <w:tcW w:w="2906" w:type="dxa"/>
            <w:tcBorders>
              <w:top w:val="nil"/>
              <w:left w:val="nil"/>
              <w:bottom w:val="nil"/>
              <w:right w:val="nil"/>
            </w:tcBorders>
            <w:vAlign w:val="center"/>
          </w:tcPr>
          <w:p w14:paraId="23F85C6E"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48" w:type="dxa"/>
            <w:tcBorders>
              <w:top w:val="nil"/>
              <w:left w:val="nil"/>
              <w:bottom w:val="nil"/>
              <w:right w:val="nil"/>
            </w:tcBorders>
            <w:vAlign w:val="center"/>
          </w:tcPr>
          <w:p w14:paraId="09FEA57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84" w:type="dxa"/>
            <w:tcBorders>
              <w:top w:val="nil"/>
              <w:left w:val="nil"/>
              <w:bottom w:val="nil"/>
              <w:right w:val="nil"/>
            </w:tcBorders>
            <w:vAlign w:val="center"/>
          </w:tcPr>
          <w:p w14:paraId="091F180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857" w:type="dxa"/>
            <w:tcBorders>
              <w:top w:val="nil"/>
              <w:left w:val="nil"/>
              <w:bottom w:val="nil"/>
              <w:right w:val="nil"/>
            </w:tcBorders>
            <w:vAlign w:val="center"/>
          </w:tcPr>
          <w:p w14:paraId="08E9B52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p>
        </w:tc>
        <w:tc>
          <w:tcPr>
            <w:tcW w:w="902" w:type="dxa"/>
            <w:tcBorders>
              <w:top w:val="nil"/>
              <w:left w:val="nil"/>
              <w:bottom w:val="nil"/>
              <w:right w:val="nil"/>
            </w:tcBorders>
            <w:vAlign w:val="center"/>
          </w:tcPr>
          <w:p w14:paraId="08D7BFF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12</w:t>
            </w:r>
          </w:p>
        </w:tc>
        <w:tc>
          <w:tcPr>
            <w:tcW w:w="1311" w:type="dxa"/>
            <w:tcBorders>
              <w:top w:val="nil"/>
              <w:left w:val="nil"/>
              <w:bottom w:val="nil"/>
              <w:right w:val="single" w:sz="4" w:space="0" w:color="auto"/>
            </w:tcBorders>
          </w:tcPr>
          <w:p w14:paraId="57EC009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13DF212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50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7207CAE1" w14:textId="77777777" w:rsidR="007E1D13" w:rsidRDefault="007E1D13" w:rsidP="007E1D13">
            <w:pPr>
              <w:spacing w:before="120" w:after="120"/>
              <w:rPr>
                <w:rFonts w:cs="Arial"/>
                <w:color w:val="000000" w:themeColor="text1"/>
                <w:shd w:val="clear" w:color="auto" w:fill="FFFFFF"/>
              </w:rPr>
            </w:pPr>
          </w:p>
        </w:tc>
      </w:tr>
      <w:tr w:rsidR="007E1D13" w:rsidRPr="004538A2" w14:paraId="47FCEE52" w14:textId="77777777" w:rsidTr="00BA1B3B">
        <w:trPr>
          <w:trHeight w:val="323"/>
        </w:trPr>
        <w:tc>
          <w:tcPr>
            <w:tcW w:w="2906" w:type="dxa"/>
            <w:tcBorders>
              <w:top w:val="nil"/>
              <w:left w:val="nil"/>
              <w:bottom w:val="nil"/>
              <w:right w:val="nil"/>
            </w:tcBorders>
            <w:vAlign w:val="center"/>
          </w:tcPr>
          <w:p w14:paraId="64E14EEB"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48" w:type="dxa"/>
            <w:tcBorders>
              <w:top w:val="nil"/>
              <w:left w:val="nil"/>
              <w:bottom w:val="nil"/>
              <w:right w:val="nil"/>
            </w:tcBorders>
            <w:vAlign w:val="center"/>
          </w:tcPr>
          <w:p w14:paraId="329D81D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84" w:type="dxa"/>
            <w:tcBorders>
              <w:top w:val="nil"/>
              <w:left w:val="nil"/>
              <w:bottom w:val="nil"/>
              <w:right w:val="nil"/>
            </w:tcBorders>
            <w:vAlign w:val="center"/>
          </w:tcPr>
          <w:p w14:paraId="5F89C66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857" w:type="dxa"/>
            <w:tcBorders>
              <w:top w:val="nil"/>
              <w:left w:val="nil"/>
              <w:bottom w:val="nil"/>
              <w:right w:val="nil"/>
            </w:tcBorders>
            <w:vAlign w:val="center"/>
          </w:tcPr>
          <w:p w14:paraId="438C4B7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902" w:type="dxa"/>
            <w:tcBorders>
              <w:top w:val="nil"/>
              <w:left w:val="nil"/>
              <w:bottom w:val="nil"/>
              <w:right w:val="nil"/>
            </w:tcBorders>
            <w:vAlign w:val="center"/>
          </w:tcPr>
          <w:p w14:paraId="7837A7A2"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14</w:t>
            </w:r>
          </w:p>
        </w:tc>
        <w:tc>
          <w:tcPr>
            <w:tcW w:w="1311" w:type="dxa"/>
            <w:tcBorders>
              <w:top w:val="nil"/>
              <w:left w:val="nil"/>
              <w:bottom w:val="nil"/>
              <w:right w:val="single" w:sz="4" w:space="0" w:color="auto"/>
            </w:tcBorders>
          </w:tcPr>
          <w:p w14:paraId="0A26F3C8"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52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1362F1F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50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55E83317" w14:textId="77777777" w:rsidR="007E1D13" w:rsidRDefault="007E1D13" w:rsidP="007E1D13">
            <w:pPr>
              <w:spacing w:before="120" w:after="120"/>
              <w:rPr>
                <w:rFonts w:cs="Arial"/>
                <w:color w:val="000000" w:themeColor="text1"/>
                <w:shd w:val="clear" w:color="auto" w:fill="FFFFFF"/>
              </w:rPr>
            </w:pPr>
          </w:p>
        </w:tc>
      </w:tr>
      <w:tr w:rsidR="007E1D13" w:rsidRPr="004538A2" w14:paraId="5238CE00" w14:textId="77777777" w:rsidTr="00BA1B3B">
        <w:trPr>
          <w:trHeight w:val="323"/>
        </w:trPr>
        <w:tc>
          <w:tcPr>
            <w:tcW w:w="2906" w:type="dxa"/>
            <w:tcBorders>
              <w:top w:val="nil"/>
              <w:left w:val="nil"/>
              <w:bottom w:val="nil"/>
              <w:right w:val="nil"/>
            </w:tcBorders>
            <w:vAlign w:val="center"/>
          </w:tcPr>
          <w:p w14:paraId="4D4F8805"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48" w:type="dxa"/>
            <w:tcBorders>
              <w:top w:val="nil"/>
              <w:left w:val="nil"/>
              <w:bottom w:val="nil"/>
              <w:right w:val="nil"/>
            </w:tcBorders>
            <w:vAlign w:val="center"/>
          </w:tcPr>
          <w:p w14:paraId="7F22058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573BD4F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2D66643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4C208E2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17FAD3D3"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0C9D151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0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013E686D" w14:textId="77777777" w:rsidR="007E1D13" w:rsidRDefault="007E1D13" w:rsidP="007E1D13">
            <w:pPr>
              <w:spacing w:before="120" w:after="120"/>
              <w:rPr>
                <w:rFonts w:cs="Arial"/>
                <w:color w:val="000000" w:themeColor="text1"/>
                <w:shd w:val="clear" w:color="auto" w:fill="FFFFFF"/>
              </w:rPr>
            </w:pPr>
          </w:p>
        </w:tc>
      </w:tr>
      <w:tr w:rsidR="007E1D13" w:rsidRPr="004538A2" w14:paraId="333B4CC6" w14:textId="77777777" w:rsidTr="00BA1B3B">
        <w:trPr>
          <w:trHeight w:val="323"/>
        </w:trPr>
        <w:tc>
          <w:tcPr>
            <w:tcW w:w="2906" w:type="dxa"/>
            <w:tcBorders>
              <w:top w:val="nil"/>
              <w:left w:val="nil"/>
              <w:bottom w:val="nil"/>
              <w:right w:val="nil"/>
            </w:tcBorders>
            <w:vAlign w:val="center"/>
          </w:tcPr>
          <w:p w14:paraId="6843BCE0"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Friends</w:t>
            </w:r>
            <w:r>
              <w:rPr>
                <w:rFonts w:cs="Arial"/>
                <w:b/>
                <w:color w:val="000000" w:themeColor="text1"/>
                <w:shd w:val="clear" w:color="auto" w:fill="FFFFFF"/>
              </w:rPr>
              <w:t>’</w:t>
            </w:r>
            <w:r w:rsidRPr="00D572AB">
              <w:rPr>
                <w:rFonts w:cs="Arial"/>
                <w:b/>
                <w:color w:val="000000" w:themeColor="text1"/>
                <w:shd w:val="clear" w:color="auto" w:fill="FFFFFF"/>
              </w:rPr>
              <w:t xml:space="preserve"> pre-ban NPS use</w:t>
            </w:r>
          </w:p>
        </w:tc>
        <w:tc>
          <w:tcPr>
            <w:tcW w:w="748" w:type="dxa"/>
            <w:tcBorders>
              <w:top w:val="nil"/>
              <w:left w:val="nil"/>
              <w:bottom w:val="nil"/>
              <w:right w:val="nil"/>
            </w:tcBorders>
            <w:vAlign w:val="center"/>
          </w:tcPr>
          <w:p w14:paraId="09B1D1BE" w14:textId="77777777" w:rsidR="007E1D13" w:rsidRPr="004538A2" w:rsidRDefault="007E1D13" w:rsidP="007E1D13">
            <w:pPr>
              <w:spacing w:before="120" w:after="120"/>
              <w:rPr>
                <w:rFonts w:cs="Arial"/>
                <w:color w:val="000000" w:themeColor="text1"/>
                <w:shd w:val="clear" w:color="auto" w:fill="FFFFFF"/>
              </w:rPr>
            </w:pPr>
          </w:p>
        </w:tc>
        <w:tc>
          <w:tcPr>
            <w:tcW w:w="884" w:type="dxa"/>
            <w:tcBorders>
              <w:top w:val="nil"/>
              <w:left w:val="nil"/>
              <w:bottom w:val="nil"/>
              <w:right w:val="nil"/>
            </w:tcBorders>
            <w:vAlign w:val="center"/>
          </w:tcPr>
          <w:p w14:paraId="05C81CE0"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nil"/>
              <w:left w:val="nil"/>
              <w:bottom w:val="nil"/>
              <w:right w:val="nil"/>
            </w:tcBorders>
            <w:vAlign w:val="center"/>
          </w:tcPr>
          <w:p w14:paraId="69086F5A"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03A4AF75"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nil"/>
              <w:left w:val="nil"/>
              <w:bottom w:val="nil"/>
              <w:right w:val="single" w:sz="4" w:space="0" w:color="auto"/>
            </w:tcBorders>
          </w:tcPr>
          <w:p w14:paraId="5FEBD439"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nil"/>
              <w:left w:val="single" w:sz="4" w:space="0" w:color="auto"/>
              <w:bottom w:val="nil"/>
              <w:right w:val="nil"/>
            </w:tcBorders>
          </w:tcPr>
          <w:p w14:paraId="75397BCD"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nil"/>
              <w:left w:val="nil"/>
              <w:bottom w:val="nil"/>
              <w:right w:val="nil"/>
            </w:tcBorders>
          </w:tcPr>
          <w:p w14:paraId="394F534C"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74A34298" w14:textId="77777777" w:rsidTr="00BA1B3B">
        <w:trPr>
          <w:trHeight w:val="323"/>
        </w:trPr>
        <w:tc>
          <w:tcPr>
            <w:tcW w:w="2906" w:type="dxa"/>
            <w:tcBorders>
              <w:top w:val="nil"/>
              <w:left w:val="nil"/>
              <w:bottom w:val="nil"/>
              <w:right w:val="nil"/>
            </w:tcBorders>
            <w:vAlign w:val="center"/>
          </w:tcPr>
          <w:p w14:paraId="04FD0A52"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48" w:type="dxa"/>
            <w:tcBorders>
              <w:top w:val="nil"/>
              <w:left w:val="nil"/>
              <w:bottom w:val="nil"/>
              <w:right w:val="nil"/>
            </w:tcBorders>
            <w:vAlign w:val="center"/>
          </w:tcPr>
          <w:p w14:paraId="7A819CB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84" w:type="dxa"/>
            <w:tcBorders>
              <w:top w:val="nil"/>
              <w:left w:val="nil"/>
              <w:bottom w:val="nil"/>
              <w:right w:val="nil"/>
            </w:tcBorders>
            <w:vAlign w:val="center"/>
          </w:tcPr>
          <w:p w14:paraId="596609C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8</w:t>
            </w:r>
          </w:p>
        </w:tc>
        <w:tc>
          <w:tcPr>
            <w:tcW w:w="857" w:type="dxa"/>
            <w:tcBorders>
              <w:top w:val="nil"/>
              <w:left w:val="nil"/>
              <w:bottom w:val="nil"/>
              <w:right w:val="nil"/>
            </w:tcBorders>
            <w:vAlign w:val="center"/>
          </w:tcPr>
          <w:p w14:paraId="3A91BCF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02" w:type="dxa"/>
            <w:tcBorders>
              <w:top w:val="nil"/>
              <w:left w:val="nil"/>
              <w:bottom w:val="nil"/>
              <w:right w:val="nil"/>
            </w:tcBorders>
            <w:vAlign w:val="center"/>
          </w:tcPr>
          <w:p w14:paraId="040BD10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17</w:t>
            </w:r>
          </w:p>
        </w:tc>
        <w:tc>
          <w:tcPr>
            <w:tcW w:w="1311" w:type="dxa"/>
            <w:tcBorders>
              <w:top w:val="nil"/>
              <w:left w:val="nil"/>
              <w:bottom w:val="nil"/>
              <w:right w:val="single" w:sz="4" w:space="0" w:color="auto"/>
            </w:tcBorders>
          </w:tcPr>
          <w:p w14:paraId="545F16AB"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63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EF57423"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57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097550A3" w14:textId="77777777" w:rsidR="007E1D13" w:rsidRDefault="007E1D13" w:rsidP="007E1D13">
            <w:pPr>
              <w:spacing w:before="120" w:after="120"/>
              <w:rPr>
                <w:rFonts w:cs="Arial"/>
                <w:color w:val="000000" w:themeColor="text1"/>
                <w:shd w:val="clear" w:color="auto" w:fill="FFFFFF"/>
              </w:rPr>
            </w:pPr>
          </w:p>
        </w:tc>
      </w:tr>
      <w:tr w:rsidR="007E1D13" w:rsidRPr="004538A2" w14:paraId="5154C5A6" w14:textId="77777777" w:rsidTr="00BA1B3B">
        <w:trPr>
          <w:trHeight w:val="323"/>
        </w:trPr>
        <w:tc>
          <w:tcPr>
            <w:tcW w:w="2906" w:type="dxa"/>
            <w:tcBorders>
              <w:top w:val="nil"/>
              <w:left w:val="nil"/>
              <w:bottom w:val="nil"/>
              <w:right w:val="nil"/>
            </w:tcBorders>
            <w:vAlign w:val="center"/>
          </w:tcPr>
          <w:p w14:paraId="363EC911"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48" w:type="dxa"/>
            <w:tcBorders>
              <w:top w:val="nil"/>
              <w:left w:val="nil"/>
              <w:bottom w:val="nil"/>
              <w:right w:val="nil"/>
            </w:tcBorders>
            <w:vAlign w:val="center"/>
          </w:tcPr>
          <w:p w14:paraId="21B450C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84" w:type="dxa"/>
            <w:tcBorders>
              <w:top w:val="nil"/>
              <w:left w:val="nil"/>
              <w:bottom w:val="nil"/>
              <w:right w:val="nil"/>
            </w:tcBorders>
            <w:vAlign w:val="center"/>
          </w:tcPr>
          <w:p w14:paraId="1D8C376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857" w:type="dxa"/>
            <w:tcBorders>
              <w:top w:val="nil"/>
              <w:left w:val="nil"/>
              <w:bottom w:val="nil"/>
              <w:right w:val="nil"/>
            </w:tcBorders>
            <w:vAlign w:val="center"/>
          </w:tcPr>
          <w:p w14:paraId="2735C14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02" w:type="dxa"/>
            <w:tcBorders>
              <w:top w:val="nil"/>
              <w:left w:val="nil"/>
              <w:bottom w:val="nil"/>
              <w:right w:val="nil"/>
            </w:tcBorders>
            <w:vAlign w:val="center"/>
          </w:tcPr>
          <w:p w14:paraId="5444CBB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1311" w:type="dxa"/>
            <w:tcBorders>
              <w:top w:val="nil"/>
              <w:left w:val="nil"/>
              <w:bottom w:val="nil"/>
              <w:right w:val="single" w:sz="4" w:space="0" w:color="auto"/>
            </w:tcBorders>
          </w:tcPr>
          <w:p w14:paraId="6E47D5D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26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4E27E74"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43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101A0594" w14:textId="77777777" w:rsidR="007E1D13" w:rsidRDefault="007E1D13" w:rsidP="007E1D13">
            <w:pPr>
              <w:spacing w:before="120" w:after="120"/>
              <w:rPr>
                <w:rFonts w:cs="Arial"/>
                <w:color w:val="000000" w:themeColor="text1"/>
                <w:shd w:val="clear" w:color="auto" w:fill="FFFFFF"/>
              </w:rPr>
            </w:pPr>
          </w:p>
        </w:tc>
      </w:tr>
      <w:tr w:rsidR="007E1D13" w:rsidRPr="004538A2" w14:paraId="5184B8E0" w14:textId="77777777" w:rsidTr="00BA1B3B">
        <w:trPr>
          <w:trHeight w:val="323"/>
        </w:trPr>
        <w:tc>
          <w:tcPr>
            <w:tcW w:w="2906" w:type="dxa"/>
            <w:tcBorders>
              <w:top w:val="nil"/>
              <w:left w:val="nil"/>
              <w:bottom w:val="nil"/>
              <w:right w:val="nil"/>
            </w:tcBorders>
            <w:vAlign w:val="center"/>
          </w:tcPr>
          <w:p w14:paraId="3C2F44B3"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Not Sure</w:t>
            </w:r>
          </w:p>
        </w:tc>
        <w:tc>
          <w:tcPr>
            <w:tcW w:w="748" w:type="dxa"/>
            <w:tcBorders>
              <w:top w:val="nil"/>
              <w:left w:val="nil"/>
              <w:bottom w:val="nil"/>
              <w:right w:val="nil"/>
            </w:tcBorders>
            <w:vAlign w:val="center"/>
          </w:tcPr>
          <w:p w14:paraId="7C6B673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84" w:type="dxa"/>
            <w:tcBorders>
              <w:top w:val="nil"/>
              <w:left w:val="nil"/>
              <w:bottom w:val="nil"/>
              <w:right w:val="nil"/>
            </w:tcBorders>
            <w:vAlign w:val="center"/>
          </w:tcPr>
          <w:p w14:paraId="3F644B5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57" w:type="dxa"/>
            <w:tcBorders>
              <w:top w:val="nil"/>
              <w:left w:val="nil"/>
              <w:bottom w:val="nil"/>
              <w:right w:val="nil"/>
            </w:tcBorders>
            <w:vAlign w:val="center"/>
          </w:tcPr>
          <w:p w14:paraId="05AAA9F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7F47110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1311" w:type="dxa"/>
            <w:tcBorders>
              <w:top w:val="nil"/>
              <w:left w:val="nil"/>
              <w:bottom w:val="nil"/>
              <w:right w:val="single" w:sz="4" w:space="0" w:color="auto"/>
            </w:tcBorders>
          </w:tcPr>
          <w:p w14:paraId="6465A232"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2A0C31DB"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30E1624C" w14:textId="77777777" w:rsidR="007E1D13" w:rsidRDefault="007E1D13" w:rsidP="007E1D13">
            <w:pPr>
              <w:spacing w:before="120" w:after="120"/>
              <w:rPr>
                <w:rFonts w:cs="Arial"/>
                <w:color w:val="000000" w:themeColor="text1"/>
                <w:shd w:val="clear" w:color="auto" w:fill="FFFFFF"/>
              </w:rPr>
            </w:pPr>
          </w:p>
        </w:tc>
      </w:tr>
      <w:tr w:rsidR="007E1D13" w:rsidRPr="004538A2" w14:paraId="1DA06EC8" w14:textId="77777777" w:rsidTr="00BA1B3B">
        <w:trPr>
          <w:trHeight w:val="323"/>
        </w:trPr>
        <w:tc>
          <w:tcPr>
            <w:tcW w:w="2906" w:type="dxa"/>
            <w:tcBorders>
              <w:top w:val="nil"/>
              <w:left w:val="nil"/>
              <w:bottom w:val="nil"/>
              <w:right w:val="nil"/>
            </w:tcBorders>
            <w:vAlign w:val="center"/>
          </w:tcPr>
          <w:p w14:paraId="6BB55D36"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48" w:type="dxa"/>
            <w:tcBorders>
              <w:top w:val="nil"/>
              <w:left w:val="nil"/>
              <w:bottom w:val="nil"/>
              <w:right w:val="nil"/>
            </w:tcBorders>
            <w:vAlign w:val="center"/>
          </w:tcPr>
          <w:p w14:paraId="27C5D9C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6C40763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000319E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1205A689"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7DD293A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1277A36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12C4A952" w14:textId="77777777" w:rsidR="007E1D13" w:rsidRDefault="007E1D13" w:rsidP="007E1D13">
            <w:pPr>
              <w:spacing w:before="120" w:after="120"/>
              <w:rPr>
                <w:rFonts w:cs="Arial"/>
                <w:color w:val="000000" w:themeColor="text1"/>
                <w:shd w:val="clear" w:color="auto" w:fill="FFFFFF"/>
              </w:rPr>
            </w:pPr>
          </w:p>
        </w:tc>
      </w:tr>
      <w:tr w:rsidR="007E1D13" w:rsidRPr="004538A2" w14:paraId="57616379" w14:textId="77777777" w:rsidTr="00BA1B3B">
        <w:trPr>
          <w:trHeight w:val="323"/>
        </w:trPr>
        <w:tc>
          <w:tcPr>
            <w:tcW w:w="2906" w:type="dxa"/>
            <w:tcBorders>
              <w:top w:val="nil"/>
              <w:left w:val="nil"/>
              <w:bottom w:val="nil"/>
              <w:right w:val="nil"/>
            </w:tcBorders>
            <w:vAlign w:val="center"/>
          </w:tcPr>
          <w:p w14:paraId="2EC6A6C7"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Friends</w:t>
            </w:r>
            <w:r>
              <w:rPr>
                <w:rFonts w:cs="Arial"/>
                <w:b/>
                <w:color w:val="000000" w:themeColor="text1"/>
                <w:shd w:val="clear" w:color="auto" w:fill="FFFFFF"/>
              </w:rPr>
              <w:t>’</w:t>
            </w:r>
            <w:r w:rsidRPr="00D572AB">
              <w:rPr>
                <w:rFonts w:cs="Arial"/>
                <w:b/>
                <w:color w:val="000000" w:themeColor="text1"/>
                <w:shd w:val="clear" w:color="auto" w:fill="FFFFFF"/>
              </w:rPr>
              <w:t xml:space="preserve"> post-ban NPS use</w:t>
            </w:r>
          </w:p>
        </w:tc>
        <w:tc>
          <w:tcPr>
            <w:tcW w:w="748" w:type="dxa"/>
            <w:tcBorders>
              <w:top w:val="nil"/>
              <w:left w:val="nil"/>
              <w:bottom w:val="nil"/>
              <w:right w:val="nil"/>
            </w:tcBorders>
            <w:vAlign w:val="center"/>
          </w:tcPr>
          <w:p w14:paraId="15F8FC02" w14:textId="77777777" w:rsidR="007E1D13" w:rsidRPr="004538A2" w:rsidRDefault="007E1D13" w:rsidP="007E1D13">
            <w:pPr>
              <w:spacing w:before="120" w:after="120"/>
              <w:rPr>
                <w:rFonts w:cs="Arial"/>
                <w:color w:val="000000" w:themeColor="text1"/>
                <w:shd w:val="clear" w:color="auto" w:fill="FFFFFF"/>
              </w:rPr>
            </w:pPr>
          </w:p>
        </w:tc>
        <w:tc>
          <w:tcPr>
            <w:tcW w:w="884" w:type="dxa"/>
            <w:tcBorders>
              <w:top w:val="nil"/>
              <w:left w:val="nil"/>
              <w:bottom w:val="nil"/>
              <w:right w:val="nil"/>
            </w:tcBorders>
            <w:vAlign w:val="center"/>
          </w:tcPr>
          <w:p w14:paraId="0BE898CB"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nil"/>
              <w:left w:val="nil"/>
              <w:bottom w:val="nil"/>
              <w:right w:val="nil"/>
            </w:tcBorders>
            <w:vAlign w:val="center"/>
          </w:tcPr>
          <w:p w14:paraId="753A62D5"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5BEE8355"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nil"/>
              <w:left w:val="nil"/>
              <w:bottom w:val="nil"/>
              <w:right w:val="single" w:sz="4" w:space="0" w:color="auto"/>
            </w:tcBorders>
          </w:tcPr>
          <w:p w14:paraId="68313AC1"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nil"/>
              <w:left w:val="single" w:sz="4" w:space="0" w:color="auto"/>
              <w:bottom w:val="nil"/>
              <w:right w:val="nil"/>
            </w:tcBorders>
          </w:tcPr>
          <w:p w14:paraId="43A7E703"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nil"/>
              <w:left w:val="nil"/>
              <w:bottom w:val="nil"/>
              <w:right w:val="nil"/>
            </w:tcBorders>
          </w:tcPr>
          <w:p w14:paraId="1B564352"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56E2E1B3" w14:textId="77777777" w:rsidTr="00BA1B3B">
        <w:trPr>
          <w:trHeight w:val="323"/>
        </w:trPr>
        <w:tc>
          <w:tcPr>
            <w:tcW w:w="2906" w:type="dxa"/>
            <w:tcBorders>
              <w:top w:val="nil"/>
              <w:left w:val="nil"/>
              <w:bottom w:val="nil"/>
              <w:right w:val="nil"/>
            </w:tcBorders>
            <w:vAlign w:val="center"/>
          </w:tcPr>
          <w:p w14:paraId="4E320C1F"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48" w:type="dxa"/>
            <w:tcBorders>
              <w:top w:val="nil"/>
              <w:left w:val="nil"/>
              <w:bottom w:val="nil"/>
              <w:right w:val="nil"/>
            </w:tcBorders>
            <w:vAlign w:val="center"/>
          </w:tcPr>
          <w:p w14:paraId="7107E21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884" w:type="dxa"/>
            <w:tcBorders>
              <w:top w:val="nil"/>
              <w:left w:val="nil"/>
              <w:bottom w:val="nil"/>
              <w:right w:val="nil"/>
            </w:tcBorders>
            <w:vAlign w:val="center"/>
          </w:tcPr>
          <w:p w14:paraId="56789A1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857" w:type="dxa"/>
            <w:tcBorders>
              <w:top w:val="nil"/>
              <w:left w:val="nil"/>
              <w:bottom w:val="nil"/>
              <w:right w:val="nil"/>
            </w:tcBorders>
            <w:vAlign w:val="center"/>
          </w:tcPr>
          <w:p w14:paraId="6BBC3E3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02" w:type="dxa"/>
            <w:tcBorders>
              <w:top w:val="nil"/>
              <w:left w:val="nil"/>
              <w:bottom w:val="nil"/>
              <w:right w:val="nil"/>
            </w:tcBorders>
            <w:vAlign w:val="center"/>
          </w:tcPr>
          <w:p w14:paraId="2FAAD5D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1311" w:type="dxa"/>
            <w:tcBorders>
              <w:top w:val="nil"/>
              <w:left w:val="nil"/>
              <w:bottom w:val="nil"/>
              <w:right w:val="single" w:sz="4" w:space="0" w:color="auto"/>
            </w:tcBorders>
          </w:tcPr>
          <w:p w14:paraId="47DA4C48"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19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1CAD4252"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3DD6074D" w14:textId="77777777" w:rsidR="007E1D13" w:rsidRDefault="007E1D13" w:rsidP="007E1D13">
            <w:pPr>
              <w:spacing w:before="120" w:after="120"/>
              <w:rPr>
                <w:rFonts w:cs="Arial"/>
                <w:color w:val="000000" w:themeColor="text1"/>
                <w:shd w:val="clear" w:color="auto" w:fill="FFFFFF"/>
              </w:rPr>
            </w:pPr>
          </w:p>
        </w:tc>
      </w:tr>
      <w:tr w:rsidR="007E1D13" w:rsidRPr="004538A2" w14:paraId="4CCDEC06" w14:textId="77777777" w:rsidTr="00BA1B3B">
        <w:trPr>
          <w:trHeight w:val="323"/>
        </w:trPr>
        <w:tc>
          <w:tcPr>
            <w:tcW w:w="2906" w:type="dxa"/>
            <w:tcBorders>
              <w:top w:val="nil"/>
              <w:left w:val="nil"/>
              <w:bottom w:val="nil"/>
              <w:right w:val="nil"/>
            </w:tcBorders>
            <w:vAlign w:val="center"/>
          </w:tcPr>
          <w:p w14:paraId="58F969DD"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48" w:type="dxa"/>
            <w:tcBorders>
              <w:top w:val="nil"/>
              <w:left w:val="nil"/>
              <w:bottom w:val="nil"/>
              <w:right w:val="nil"/>
            </w:tcBorders>
            <w:vAlign w:val="center"/>
          </w:tcPr>
          <w:p w14:paraId="735F3B51"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884" w:type="dxa"/>
            <w:tcBorders>
              <w:top w:val="nil"/>
              <w:left w:val="nil"/>
              <w:bottom w:val="nil"/>
              <w:right w:val="nil"/>
            </w:tcBorders>
            <w:vAlign w:val="center"/>
          </w:tcPr>
          <w:p w14:paraId="2773922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8</w:t>
            </w:r>
          </w:p>
        </w:tc>
        <w:tc>
          <w:tcPr>
            <w:tcW w:w="857" w:type="dxa"/>
            <w:tcBorders>
              <w:top w:val="nil"/>
              <w:left w:val="nil"/>
              <w:bottom w:val="nil"/>
              <w:right w:val="nil"/>
            </w:tcBorders>
            <w:vAlign w:val="center"/>
          </w:tcPr>
          <w:p w14:paraId="17BBBD0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902" w:type="dxa"/>
            <w:tcBorders>
              <w:top w:val="nil"/>
              <w:left w:val="nil"/>
              <w:bottom w:val="nil"/>
              <w:right w:val="nil"/>
            </w:tcBorders>
            <w:vAlign w:val="center"/>
          </w:tcPr>
          <w:p w14:paraId="184EEED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19</w:t>
            </w:r>
          </w:p>
        </w:tc>
        <w:tc>
          <w:tcPr>
            <w:tcW w:w="1311" w:type="dxa"/>
            <w:tcBorders>
              <w:top w:val="nil"/>
              <w:left w:val="nil"/>
              <w:bottom w:val="nil"/>
              <w:right w:val="single" w:sz="4" w:space="0" w:color="auto"/>
            </w:tcBorders>
          </w:tcPr>
          <w:p w14:paraId="272C696C"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70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6DD50F2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21B235FD" w14:textId="77777777" w:rsidR="007E1D13" w:rsidRDefault="007E1D13" w:rsidP="007E1D13">
            <w:pPr>
              <w:spacing w:before="120" w:after="120"/>
              <w:rPr>
                <w:rFonts w:cs="Arial"/>
                <w:color w:val="000000" w:themeColor="text1"/>
                <w:shd w:val="clear" w:color="auto" w:fill="FFFFFF"/>
              </w:rPr>
            </w:pPr>
          </w:p>
        </w:tc>
      </w:tr>
      <w:tr w:rsidR="007E1D13" w:rsidRPr="004538A2" w14:paraId="5313E8E9" w14:textId="77777777" w:rsidTr="00BA1B3B">
        <w:trPr>
          <w:trHeight w:val="323"/>
        </w:trPr>
        <w:tc>
          <w:tcPr>
            <w:tcW w:w="2906" w:type="dxa"/>
            <w:tcBorders>
              <w:top w:val="nil"/>
              <w:left w:val="nil"/>
              <w:bottom w:val="nil"/>
              <w:right w:val="nil"/>
            </w:tcBorders>
            <w:vAlign w:val="center"/>
          </w:tcPr>
          <w:p w14:paraId="12E4761A"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Not Sure</w:t>
            </w:r>
          </w:p>
        </w:tc>
        <w:tc>
          <w:tcPr>
            <w:tcW w:w="748" w:type="dxa"/>
            <w:tcBorders>
              <w:top w:val="nil"/>
              <w:left w:val="nil"/>
              <w:bottom w:val="nil"/>
              <w:right w:val="nil"/>
            </w:tcBorders>
            <w:vAlign w:val="center"/>
          </w:tcPr>
          <w:p w14:paraId="619387B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84" w:type="dxa"/>
            <w:tcBorders>
              <w:top w:val="nil"/>
              <w:left w:val="nil"/>
              <w:bottom w:val="nil"/>
              <w:right w:val="nil"/>
            </w:tcBorders>
            <w:vAlign w:val="center"/>
          </w:tcPr>
          <w:p w14:paraId="73C9F06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57" w:type="dxa"/>
            <w:tcBorders>
              <w:top w:val="nil"/>
              <w:left w:val="nil"/>
              <w:bottom w:val="nil"/>
              <w:right w:val="nil"/>
            </w:tcBorders>
            <w:vAlign w:val="center"/>
          </w:tcPr>
          <w:p w14:paraId="2519CFA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02" w:type="dxa"/>
            <w:tcBorders>
              <w:top w:val="nil"/>
              <w:left w:val="nil"/>
              <w:bottom w:val="nil"/>
              <w:right w:val="nil"/>
            </w:tcBorders>
            <w:vAlign w:val="center"/>
          </w:tcPr>
          <w:p w14:paraId="6A411BB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w:t>
            </w:r>
          </w:p>
        </w:tc>
        <w:tc>
          <w:tcPr>
            <w:tcW w:w="1311" w:type="dxa"/>
            <w:tcBorders>
              <w:top w:val="nil"/>
              <w:left w:val="nil"/>
              <w:bottom w:val="nil"/>
              <w:right w:val="single" w:sz="4" w:space="0" w:color="auto"/>
            </w:tcBorders>
          </w:tcPr>
          <w:p w14:paraId="5ED0ABE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065F526D"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11E9D819" w14:textId="77777777" w:rsidR="007E1D13" w:rsidRDefault="007E1D13" w:rsidP="007E1D13">
            <w:pPr>
              <w:spacing w:before="120" w:after="120"/>
              <w:rPr>
                <w:rFonts w:cs="Arial"/>
                <w:color w:val="000000" w:themeColor="text1"/>
                <w:shd w:val="clear" w:color="auto" w:fill="FFFFFF"/>
              </w:rPr>
            </w:pPr>
          </w:p>
        </w:tc>
      </w:tr>
      <w:tr w:rsidR="007E1D13" w:rsidRPr="004538A2" w14:paraId="539E320A" w14:textId="77777777" w:rsidTr="00BA1B3B">
        <w:trPr>
          <w:trHeight w:val="323"/>
        </w:trPr>
        <w:tc>
          <w:tcPr>
            <w:tcW w:w="2906" w:type="dxa"/>
            <w:tcBorders>
              <w:top w:val="nil"/>
              <w:left w:val="nil"/>
              <w:bottom w:val="nil"/>
              <w:right w:val="nil"/>
            </w:tcBorders>
            <w:vAlign w:val="center"/>
          </w:tcPr>
          <w:p w14:paraId="3DDB0477"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48" w:type="dxa"/>
            <w:tcBorders>
              <w:top w:val="nil"/>
              <w:left w:val="nil"/>
              <w:bottom w:val="nil"/>
              <w:right w:val="nil"/>
            </w:tcBorders>
            <w:vAlign w:val="center"/>
          </w:tcPr>
          <w:p w14:paraId="1647308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4" w:type="dxa"/>
            <w:tcBorders>
              <w:top w:val="nil"/>
              <w:left w:val="nil"/>
              <w:bottom w:val="nil"/>
              <w:right w:val="nil"/>
            </w:tcBorders>
            <w:vAlign w:val="center"/>
          </w:tcPr>
          <w:p w14:paraId="441EA3E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6683D45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6A755F7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33DB9CD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0B1BAFD5"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403530CE" w14:textId="77777777" w:rsidR="007E1D13" w:rsidRDefault="007E1D13" w:rsidP="007E1D13">
            <w:pPr>
              <w:spacing w:before="120" w:after="120"/>
              <w:rPr>
                <w:rFonts w:cs="Arial"/>
                <w:color w:val="000000" w:themeColor="text1"/>
                <w:shd w:val="clear" w:color="auto" w:fill="FFFFFF"/>
              </w:rPr>
            </w:pPr>
          </w:p>
        </w:tc>
      </w:tr>
      <w:tr w:rsidR="007E1D13" w:rsidRPr="00376A13" w14:paraId="292D20C2" w14:textId="77777777" w:rsidTr="00BA1B3B">
        <w:trPr>
          <w:trHeight w:val="95"/>
        </w:trPr>
        <w:tc>
          <w:tcPr>
            <w:tcW w:w="2906" w:type="dxa"/>
            <w:tcBorders>
              <w:top w:val="nil"/>
              <w:left w:val="nil"/>
              <w:bottom w:val="single" w:sz="4" w:space="0" w:color="auto"/>
              <w:right w:val="nil"/>
            </w:tcBorders>
            <w:vAlign w:val="center"/>
          </w:tcPr>
          <w:p w14:paraId="76F2965A" w14:textId="77777777" w:rsidR="007E1D13" w:rsidRPr="00376A13" w:rsidRDefault="007E1D13" w:rsidP="007E1D13">
            <w:pPr>
              <w:rPr>
                <w:rFonts w:cs="Arial"/>
                <w:color w:val="000000" w:themeColor="text1"/>
                <w:sz w:val="2"/>
                <w:szCs w:val="2"/>
                <w:shd w:val="clear" w:color="auto" w:fill="FFFFFF"/>
              </w:rPr>
            </w:pPr>
          </w:p>
        </w:tc>
        <w:tc>
          <w:tcPr>
            <w:tcW w:w="748" w:type="dxa"/>
            <w:tcBorders>
              <w:top w:val="nil"/>
              <w:left w:val="nil"/>
              <w:bottom w:val="single" w:sz="4" w:space="0" w:color="auto"/>
              <w:right w:val="nil"/>
            </w:tcBorders>
            <w:vAlign w:val="center"/>
          </w:tcPr>
          <w:p w14:paraId="537EEA0A" w14:textId="77777777" w:rsidR="007E1D13" w:rsidRPr="00376A13" w:rsidRDefault="007E1D13" w:rsidP="007E1D13">
            <w:pPr>
              <w:rPr>
                <w:rFonts w:cs="Arial"/>
                <w:color w:val="000000" w:themeColor="text1"/>
                <w:sz w:val="2"/>
                <w:szCs w:val="2"/>
                <w:shd w:val="clear" w:color="auto" w:fill="FFFFFF"/>
              </w:rPr>
            </w:pPr>
          </w:p>
        </w:tc>
        <w:tc>
          <w:tcPr>
            <w:tcW w:w="884" w:type="dxa"/>
            <w:tcBorders>
              <w:top w:val="nil"/>
              <w:left w:val="nil"/>
              <w:bottom w:val="single" w:sz="4" w:space="0" w:color="auto"/>
              <w:right w:val="nil"/>
            </w:tcBorders>
            <w:vAlign w:val="center"/>
          </w:tcPr>
          <w:p w14:paraId="46E55879" w14:textId="77777777" w:rsidR="007E1D13" w:rsidRPr="00376A13" w:rsidRDefault="007E1D13" w:rsidP="007E1D13">
            <w:pPr>
              <w:rPr>
                <w:rFonts w:cs="Arial"/>
                <w:color w:val="000000" w:themeColor="text1"/>
                <w:sz w:val="2"/>
                <w:szCs w:val="2"/>
                <w:shd w:val="clear" w:color="auto" w:fill="FFFFFF"/>
              </w:rPr>
            </w:pPr>
          </w:p>
        </w:tc>
        <w:tc>
          <w:tcPr>
            <w:tcW w:w="857" w:type="dxa"/>
            <w:tcBorders>
              <w:top w:val="nil"/>
              <w:left w:val="nil"/>
              <w:bottom w:val="single" w:sz="4" w:space="0" w:color="auto"/>
              <w:right w:val="nil"/>
            </w:tcBorders>
            <w:vAlign w:val="center"/>
          </w:tcPr>
          <w:p w14:paraId="678007CD" w14:textId="77777777" w:rsidR="007E1D13" w:rsidRPr="00376A13" w:rsidRDefault="007E1D13" w:rsidP="007E1D13">
            <w:pPr>
              <w:rPr>
                <w:rFonts w:cs="Arial"/>
                <w:color w:val="000000" w:themeColor="text1"/>
                <w:sz w:val="2"/>
                <w:szCs w:val="2"/>
                <w:shd w:val="clear" w:color="auto" w:fill="FFFFFF"/>
              </w:rPr>
            </w:pPr>
          </w:p>
        </w:tc>
        <w:tc>
          <w:tcPr>
            <w:tcW w:w="902" w:type="dxa"/>
            <w:tcBorders>
              <w:top w:val="nil"/>
              <w:left w:val="nil"/>
              <w:bottom w:val="single" w:sz="4" w:space="0" w:color="auto"/>
              <w:right w:val="nil"/>
            </w:tcBorders>
            <w:vAlign w:val="center"/>
          </w:tcPr>
          <w:p w14:paraId="35B82841" w14:textId="77777777" w:rsidR="007E1D13" w:rsidRPr="00376A13" w:rsidRDefault="007E1D13" w:rsidP="007E1D13">
            <w:pPr>
              <w:rPr>
                <w:rFonts w:cs="Arial"/>
                <w:color w:val="000000" w:themeColor="text1"/>
                <w:sz w:val="2"/>
                <w:szCs w:val="2"/>
                <w:shd w:val="clear" w:color="auto" w:fill="FFFFFF"/>
              </w:rPr>
            </w:pPr>
          </w:p>
        </w:tc>
        <w:tc>
          <w:tcPr>
            <w:tcW w:w="1311" w:type="dxa"/>
            <w:tcBorders>
              <w:top w:val="nil"/>
              <w:left w:val="nil"/>
              <w:bottom w:val="single" w:sz="4" w:space="0" w:color="auto"/>
              <w:right w:val="single" w:sz="4" w:space="0" w:color="auto"/>
            </w:tcBorders>
          </w:tcPr>
          <w:p w14:paraId="74ED04DA" w14:textId="77777777" w:rsidR="007E1D13" w:rsidRPr="00376A13" w:rsidRDefault="007E1D13" w:rsidP="007E1D13">
            <w:pPr>
              <w:rPr>
                <w:rFonts w:cs="Arial"/>
                <w:color w:val="000000" w:themeColor="text1"/>
                <w:sz w:val="2"/>
                <w:szCs w:val="2"/>
                <w:shd w:val="clear" w:color="auto" w:fill="FFFFFF"/>
              </w:rPr>
            </w:pPr>
          </w:p>
        </w:tc>
        <w:tc>
          <w:tcPr>
            <w:tcW w:w="944" w:type="dxa"/>
            <w:tcBorders>
              <w:top w:val="nil"/>
              <w:left w:val="single" w:sz="4" w:space="0" w:color="auto"/>
              <w:bottom w:val="single" w:sz="4" w:space="0" w:color="auto"/>
              <w:right w:val="nil"/>
            </w:tcBorders>
          </w:tcPr>
          <w:p w14:paraId="43E004B9" w14:textId="77777777" w:rsidR="007E1D13" w:rsidRPr="00376A13" w:rsidRDefault="007E1D13" w:rsidP="007E1D13">
            <w:pPr>
              <w:rPr>
                <w:rFonts w:cs="Arial"/>
                <w:color w:val="000000" w:themeColor="text1"/>
                <w:sz w:val="2"/>
                <w:szCs w:val="2"/>
                <w:shd w:val="clear" w:color="auto" w:fill="FFFFFF"/>
              </w:rPr>
            </w:pPr>
          </w:p>
        </w:tc>
        <w:tc>
          <w:tcPr>
            <w:tcW w:w="512" w:type="dxa"/>
            <w:tcBorders>
              <w:top w:val="nil"/>
              <w:left w:val="nil"/>
              <w:bottom w:val="nil"/>
              <w:right w:val="nil"/>
            </w:tcBorders>
          </w:tcPr>
          <w:p w14:paraId="04220BD8" w14:textId="77777777" w:rsidR="007E1D13" w:rsidRPr="00376A13" w:rsidRDefault="007E1D13" w:rsidP="007E1D13">
            <w:pPr>
              <w:rPr>
                <w:rFonts w:cs="Arial"/>
                <w:color w:val="000000" w:themeColor="text1"/>
                <w:sz w:val="2"/>
                <w:szCs w:val="2"/>
                <w:shd w:val="clear" w:color="auto" w:fill="FFFFFF"/>
              </w:rPr>
            </w:pPr>
          </w:p>
        </w:tc>
      </w:tr>
    </w:tbl>
    <w:p w14:paraId="434E6A4C" w14:textId="77777777" w:rsidR="007E1D13" w:rsidRDefault="007E1D13" w:rsidP="007E1D13">
      <w:pPr>
        <w:spacing w:line="480" w:lineRule="auto"/>
        <w:rPr>
          <w:szCs w:val="24"/>
          <w:shd w:val="clear" w:color="auto" w:fill="FFFFFF"/>
        </w:rPr>
      </w:pPr>
    </w:p>
    <w:p w14:paraId="12DC5388" w14:textId="77777777" w:rsidR="00BA1B3B" w:rsidRPr="00BA1B3B" w:rsidRDefault="00BA1B3B" w:rsidP="00BA1B3B">
      <w:pPr>
        <w:rPr>
          <w:b/>
        </w:rPr>
      </w:pPr>
      <w:r w:rsidRPr="00BA1B3B">
        <w:rPr>
          <w:b/>
        </w:rPr>
        <w:t>Table 7-3 Continued</w:t>
      </w:r>
    </w:p>
    <w:tbl>
      <w:tblPr>
        <w:tblStyle w:val="TableGrid"/>
        <w:tblW w:w="0" w:type="auto"/>
        <w:tblLook w:val="04A0" w:firstRow="1" w:lastRow="0" w:firstColumn="1" w:lastColumn="0" w:noHBand="0" w:noVBand="1"/>
      </w:tblPr>
      <w:tblGrid>
        <w:gridCol w:w="2906"/>
        <w:gridCol w:w="751"/>
        <w:gridCol w:w="881"/>
        <w:gridCol w:w="857"/>
        <w:gridCol w:w="902"/>
        <w:gridCol w:w="1311"/>
        <w:gridCol w:w="944"/>
        <w:gridCol w:w="512"/>
      </w:tblGrid>
      <w:tr w:rsidR="007E1D13" w:rsidRPr="004538A2" w14:paraId="64375063" w14:textId="77777777" w:rsidTr="00BA1B3B">
        <w:trPr>
          <w:trHeight w:val="352"/>
        </w:trPr>
        <w:tc>
          <w:tcPr>
            <w:tcW w:w="2906" w:type="dxa"/>
            <w:tcBorders>
              <w:top w:val="single" w:sz="4" w:space="0" w:color="auto"/>
              <w:left w:val="nil"/>
              <w:bottom w:val="nil"/>
              <w:right w:val="nil"/>
            </w:tcBorders>
          </w:tcPr>
          <w:p w14:paraId="60A7BB1C" w14:textId="77777777" w:rsidR="007E1D13" w:rsidRPr="004538A2" w:rsidRDefault="007E1D13" w:rsidP="007E1D13">
            <w:pPr>
              <w:rPr>
                <w:rFonts w:cs="Arial"/>
                <w:color w:val="000000" w:themeColor="text1"/>
                <w:shd w:val="clear" w:color="auto" w:fill="FFFFFF"/>
              </w:rPr>
            </w:pPr>
          </w:p>
        </w:tc>
        <w:tc>
          <w:tcPr>
            <w:tcW w:w="1632" w:type="dxa"/>
            <w:gridSpan w:val="2"/>
            <w:tcBorders>
              <w:top w:val="single" w:sz="4" w:space="0" w:color="auto"/>
              <w:left w:val="nil"/>
              <w:bottom w:val="single" w:sz="4" w:space="0" w:color="auto"/>
              <w:right w:val="nil"/>
            </w:tcBorders>
          </w:tcPr>
          <w:p w14:paraId="1DC20521" w14:textId="77777777" w:rsidR="007E1D13" w:rsidRPr="004538A2" w:rsidRDefault="007E1D13" w:rsidP="007E1D13">
            <w:pPr>
              <w:rPr>
                <w:rFonts w:cs="Arial"/>
                <w:color w:val="000000" w:themeColor="text1"/>
                <w:shd w:val="clear" w:color="auto" w:fill="FFFFFF"/>
              </w:rPr>
            </w:pPr>
            <w:r w:rsidRPr="00D572AB">
              <w:rPr>
                <w:rFonts w:cs="Arial"/>
                <w:b/>
                <w:color w:val="000000" w:themeColor="text1"/>
                <w:shd w:val="clear" w:color="auto" w:fill="FFFFFF"/>
              </w:rPr>
              <w:t xml:space="preserve">Focus group </w:t>
            </w:r>
          </w:p>
        </w:tc>
        <w:tc>
          <w:tcPr>
            <w:tcW w:w="857" w:type="dxa"/>
            <w:tcBorders>
              <w:top w:val="single" w:sz="4" w:space="0" w:color="auto"/>
              <w:left w:val="nil"/>
              <w:bottom w:val="single" w:sz="4" w:space="0" w:color="auto"/>
              <w:right w:val="nil"/>
            </w:tcBorders>
          </w:tcPr>
          <w:p w14:paraId="374B824E" w14:textId="77777777" w:rsidR="007E1D13" w:rsidRPr="004538A2" w:rsidRDefault="007E1D13" w:rsidP="007E1D13">
            <w:pPr>
              <w:rPr>
                <w:rFonts w:cs="Arial"/>
                <w:color w:val="000000" w:themeColor="text1"/>
                <w:shd w:val="clear" w:color="auto" w:fill="FFFFFF"/>
              </w:rPr>
            </w:pPr>
          </w:p>
        </w:tc>
        <w:tc>
          <w:tcPr>
            <w:tcW w:w="902" w:type="dxa"/>
            <w:tcBorders>
              <w:top w:val="single" w:sz="4" w:space="0" w:color="auto"/>
              <w:left w:val="nil"/>
              <w:bottom w:val="single" w:sz="4" w:space="0" w:color="auto"/>
              <w:right w:val="nil"/>
            </w:tcBorders>
            <w:vAlign w:val="center"/>
          </w:tcPr>
          <w:p w14:paraId="66D2B077" w14:textId="77777777" w:rsidR="007E1D13" w:rsidRPr="004538A2" w:rsidRDefault="007E1D13" w:rsidP="007E1D13">
            <w:pPr>
              <w:rPr>
                <w:rFonts w:cs="Arial"/>
                <w:color w:val="000000" w:themeColor="text1"/>
                <w:shd w:val="clear" w:color="auto" w:fill="FFFFFF"/>
              </w:rPr>
            </w:pPr>
          </w:p>
        </w:tc>
        <w:tc>
          <w:tcPr>
            <w:tcW w:w="1311" w:type="dxa"/>
            <w:tcBorders>
              <w:top w:val="single" w:sz="4" w:space="0" w:color="auto"/>
              <w:left w:val="nil"/>
              <w:bottom w:val="single" w:sz="4" w:space="0" w:color="auto"/>
              <w:right w:val="single" w:sz="4" w:space="0" w:color="auto"/>
            </w:tcBorders>
          </w:tcPr>
          <w:p w14:paraId="3BC8C608" w14:textId="77777777" w:rsidR="007E1D13" w:rsidRPr="004538A2" w:rsidRDefault="007E1D13" w:rsidP="007E1D13">
            <w:pPr>
              <w:rPr>
                <w:rFonts w:cs="Arial"/>
                <w:color w:val="000000" w:themeColor="text1"/>
                <w:shd w:val="clear" w:color="auto" w:fill="FFFFFF"/>
              </w:rPr>
            </w:pPr>
          </w:p>
        </w:tc>
        <w:tc>
          <w:tcPr>
            <w:tcW w:w="944" w:type="dxa"/>
            <w:tcBorders>
              <w:top w:val="single" w:sz="4" w:space="0" w:color="auto"/>
              <w:left w:val="single" w:sz="4" w:space="0" w:color="auto"/>
              <w:bottom w:val="single" w:sz="4" w:space="0" w:color="auto"/>
              <w:right w:val="nil"/>
            </w:tcBorders>
          </w:tcPr>
          <w:p w14:paraId="206203F7" w14:textId="77777777" w:rsidR="007E1D13" w:rsidRPr="004538A2" w:rsidRDefault="007E1D13" w:rsidP="007E1D13">
            <w:pPr>
              <w:rPr>
                <w:rFonts w:cs="Arial"/>
                <w:color w:val="000000" w:themeColor="text1"/>
                <w:shd w:val="clear" w:color="auto" w:fill="FFFFFF"/>
              </w:rPr>
            </w:pPr>
          </w:p>
        </w:tc>
        <w:tc>
          <w:tcPr>
            <w:tcW w:w="512" w:type="dxa"/>
            <w:tcBorders>
              <w:top w:val="nil"/>
              <w:left w:val="nil"/>
              <w:bottom w:val="nil"/>
              <w:right w:val="nil"/>
            </w:tcBorders>
          </w:tcPr>
          <w:p w14:paraId="6B3ED326" w14:textId="77777777" w:rsidR="007E1D13" w:rsidRPr="004538A2" w:rsidRDefault="007E1D13" w:rsidP="007E1D13">
            <w:pPr>
              <w:rPr>
                <w:rFonts w:cs="Arial"/>
                <w:color w:val="000000" w:themeColor="text1"/>
                <w:shd w:val="clear" w:color="auto" w:fill="FFFFFF"/>
              </w:rPr>
            </w:pPr>
          </w:p>
        </w:tc>
      </w:tr>
      <w:tr w:rsidR="007E1D13" w:rsidRPr="004538A2" w14:paraId="5F975C7E" w14:textId="77777777" w:rsidTr="00BA1B3B">
        <w:trPr>
          <w:trHeight w:val="511"/>
        </w:trPr>
        <w:tc>
          <w:tcPr>
            <w:tcW w:w="2906" w:type="dxa"/>
            <w:tcBorders>
              <w:top w:val="nil"/>
              <w:left w:val="nil"/>
              <w:bottom w:val="single" w:sz="4" w:space="0" w:color="auto"/>
              <w:right w:val="nil"/>
            </w:tcBorders>
          </w:tcPr>
          <w:p w14:paraId="3913E246" w14:textId="77777777" w:rsidR="007E1D13" w:rsidRPr="00D572AB" w:rsidRDefault="007E1D13" w:rsidP="007E1D13">
            <w:pPr>
              <w:rPr>
                <w:rFonts w:cs="Arial"/>
                <w:b/>
                <w:color w:val="000000" w:themeColor="text1"/>
                <w:shd w:val="clear" w:color="auto" w:fill="FFFFFF"/>
              </w:rPr>
            </w:pPr>
            <w:r>
              <w:rPr>
                <w:rFonts w:cs="Arial"/>
                <w:b/>
                <w:color w:val="000000" w:themeColor="text1"/>
                <w:shd w:val="clear" w:color="auto" w:fill="FFFFFF"/>
              </w:rPr>
              <w:t>Question</w:t>
            </w:r>
          </w:p>
        </w:tc>
        <w:tc>
          <w:tcPr>
            <w:tcW w:w="751" w:type="dxa"/>
            <w:tcBorders>
              <w:top w:val="single" w:sz="4" w:space="0" w:color="auto"/>
              <w:left w:val="nil"/>
              <w:bottom w:val="single" w:sz="4" w:space="0" w:color="auto"/>
              <w:right w:val="nil"/>
            </w:tcBorders>
            <w:vAlign w:val="center"/>
          </w:tcPr>
          <w:p w14:paraId="4ADC5804"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1</w:t>
            </w:r>
          </w:p>
        </w:tc>
        <w:tc>
          <w:tcPr>
            <w:tcW w:w="881" w:type="dxa"/>
            <w:tcBorders>
              <w:top w:val="single" w:sz="4" w:space="0" w:color="auto"/>
              <w:left w:val="nil"/>
              <w:bottom w:val="single" w:sz="4" w:space="0" w:color="auto"/>
              <w:right w:val="nil"/>
            </w:tcBorders>
            <w:vAlign w:val="center"/>
          </w:tcPr>
          <w:p w14:paraId="02298153"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2</w:t>
            </w:r>
          </w:p>
        </w:tc>
        <w:tc>
          <w:tcPr>
            <w:tcW w:w="857" w:type="dxa"/>
            <w:tcBorders>
              <w:top w:val="single" w:sz="4" w:space="0" w:color="auto"/>
              <w:left w:val="nil"/>
              <w:bottom w:val="single" w:sz="4" w:space="0" w:color="auto"/>
              <w:right w:val="nil"/>
            </w:tcBorders>
            <w:vAlign w:val="center"/>
          </w:tcPr>
          <w:p w14:paraId="0D5307E6"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3</w:t>
            </w:r>
          </w:p>
        </w:tc>
        <w:tc>
          <w:tcPr>
            <w:tcW w:w="902" w:type="dxa"/>
            <w:tcBorders>
              <w:top w:val="single" w:sz="4" w:space="0" w:color="auto"/>
              <w:left w:val="nil"/>
              <w:bottom w:val="single" w:sz="4" w:space="0" w:color="auto"/>
              <w:right w:val="nil"/>
            </w:tcBorders>
            <w:vAlign w:val="center"/>
          </w:tcPr>
          <w:p w14:paraId="4562C59E"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All</w:t>
            </w:r>
          </w:p>
        </w:tc>
        <w:tc>
          <w:tcPr>
            <w:tcW w:w="1311" w:type="dxa"/>
            <w:tcBorders>
              <w:top w:val="single" w:sz="4" w:space="0" w:color="auto"/>
              <w:left w:val="nil"/>
              <w:bottom w:val="single" w:sz="4" w:space="0" w:color="auto"/>
              <w:right w:val="single" w:sz="4" w:space="0" w:color="auto"/>
            </w:tcBorders>
            <w:vAlign w:val="center"/>
          </w:tcPr>
          <w:p w14:paraId="79441EAB" w14:textId="77777777" w:rsidR="007E1D13" w:rsidRDefault="007E1D13" w:rsidP="007E1D13">
            <w:pPr>
              <w:rPr>
                <w:rFonts w:cs="Arial"/>
                <w:color w:val="000000" w:themeColor="text1"/>
                <w:shd w:val="clear" w:color="auto" w:fill="FFFFFF"/>
              </w:rPr>
            </w:pPr>
            <w:r>
              <w:rPr>
                <w:rFonts w:cs="Arial"/>
                <w:color w:val="000000" w:themeColor="text1"/>
                <w:shd w:val="clear" w:color="auto" w:fill="FFFFFF"/>
              </w:rPr>
              <w:t>%</w:t>
            </w:r>
          </w:p>
        </w:tc>
        <w:tc>
          <w:tcPr>
            <w:tcW w:w="944" w:type="dxa"/>
            <w:tcBorders>
              <w:top w:val="single" w:sz="4" w:space="0" w:color="auto"/>
              <w:left w:val="single" w:sz="4" w:space="0" w:color="auto"/>
              <w:bottom w:val="single" w:sz="4" w:space="0" w:color="auto"/>
              <w:right w:val="nil"/>
            </w:tcBorders>
            <w:vAlign w:val="center"/>
          </w:tcPr>
          <w:p w14:paraId="455986B3" w14:textId="77777777" w:rsidR="007E1D13" w:rsidRPr="003C4CC3" w:rsidRDefault="007E1D13" w:rsidP="007E1D13">
            <w:pPr>
              <w:jc w:val="center"/>
              <w:rPr>
                <w:rFonts w:cs="Arial"/>
                <w:color w:val="000000" w:themeColor="text1"/>
                <w:sz w:val="20"/>
                <w:shd w:val="clear" w:color="auto" w:fill="FFFFFF"/>
              </w:rPr>
            </w:pPr>
            <w:r w:rsidRPr="00BA690B">
              <w:rPr>
                <w:rFonts w:cs="Arial"/>
                <w:color w:val="000000" w:themeColor="text1"/>
                <w:sz w:val="20"/>
                <w:shd w:val="clear" w:color="auto" w:fill="FFFFFF"/>
              </w:rPr>
              <w:t>S</w:t>
            </w:r>
            <w:r>
              <w:rPr>
                <w:rFonts w:cs="Arial"/>
                <w:color w:val="000000" w:themeColor="text1"/>
                <w:sz w:val="20"/>
                <w:shd w:val="clear" w:color="auto" w:fill="FFFFFF"/>
              </w:rPr>
              <w:t>tudy 1</w:t>
            </w:r>
          </w:p>
        </w:tc>
        <w:tc>
          <w:tcPr>
            <w:tcW w:w="512" w:type="dxa"/>
            <w:tcBorders>
              <w:top w:val="nil"/>
              <w:left w:val="nil"/>
              <w:bottom w:val="nil"/>
              <w:right w:val="nil"/>
            </w:tcBorders>
          </w:tcPr>
          <w:p w14:paraId="16914F2E" w14:textId="77777777" w:rsidR="007E1D13" w:rsidRPr="004538A2" w:rsidRDefault="007E1D13" w:rsidP="007E1D13">
            <w:pPr>
              <w:rPr>
                <w:rFonts w:cs="Arial"/>
                <w:color w:val="000000" w:themeColor="text1"/>
                <w:shd w:val="clear" w:color="auto" w:fill="FFFFFF"/>
              </w:rPr>
            </w:pPr>
          </w:p>
        </w:tc>
      </w:tr>
      <w:tr w:rsidR="007E1D13" w:rsidRPr="004538A2" w14:paraId="1879095F" w14:textId="77777777" w:rsidTr="00BA1B3B">
        <w:trPr>
          <w:trHeight w:val="323"/>
        </w:trPr>
        <w:tc>
          <w:tcPr>
            <w:tcW w:w="2906" w:type="dxa"/>
            <w:tcBorders>
              <w:top w:val="single" w:sz="4" w:space="0" w:color="auto"/>
              <w:left w:val="nil"/>
              <w:bottom w:val="nil"/>
              <w:right w:val="nil"/>
            </w:tcBorders>
            <w:vAlign w:val="center"/>
          </w:tcPr>
          <w:p w14:paraId="4CC4443C"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Friends</w:t>
            </w:r>
            <w:r>
              <w:rPr>
                <w:rFonts w:cs="Arial"/>
                <w:b/>
                <w:color w:val="000000" w:themeColor="text1"/>
                <w:shd w:val="clear" w:color="auto" w:fill="FFFFFF"/>
              </w:rPr>
              <w:t>’</w:t>
            </w:r>
            <w:r w:rsidRPr="00D572AB">
              <w:rPr>
                <w:rFonts w:cs="Arial"/>
                <w:b/>
                <w:color w:val="000000" w:themeColor="text1"/>
                <w:shd w:val="clear" w:color="auto" w:fill="FFFFFF"/>
              </w:rPr>
              <w:t xml:space="preserve"> illicit drug use</w:t>
            </w:r>
          </w:p>
        </w:tc>
        <w:tc>
          <w:tcPr>
            <w:tcW w:w="751" w:type="dxa"/>
            <w:tcBorders>
              <w:top w:val="single" w:sz="4" w:space="0" w:color="auto"/>
              <w:left w:val="nil"/>
              <w:bottom w:val="nil"/>
              <w:right w:val="nil"/>
            </w:tcBorders>
            <w:vAlign w:val="center"/>
          </w:tcPr>
          <w:p w14:paraId="207A924F" w14:textId="77777777" w:rsidR="007E1D13" w:rsidRPr="004538A2" w:rsidRDefault="007E1D13" w:rsidP="007E1D13">
            <w:pPr>
              <w:spacing w:before="120" w:after="120"/>
              <w:rPr>
                <w:rFonts w:cs="Arial"/>
                <w:color w:val="000000" w:themeColor="text1"/>
                <w:shd w:val="clear" w:color="auto" w:fill="FFFFFF"/>
              </w:rPr>
            </w:pPr>
          </w:p>
        </w:tc>
        <w:tc>
          <w:tcPr>
            <w:tcW w:w="881" w:type="dxa"/>
            <w:tcBorders>
              <w:top w:val="single" w:sz="4" w:space="0" w:color="auto"/>
              <w:left w:val="nil"/>
              <w:bottom w:val="nil"/>
              <w:right w:val="nil"/>
            </w:tcBorders>
            <w:vAlign w:val="center"/>
          </w:tcPr>
          <w:p w14:paraId="194B9261" w14:textId="77777777" w:rsidR="007E1D13" w:rsidRPr="004538A2" w:rsidRDefault="007E1D13" w:rsidP="007E1D13">
            <w:pPr>
              <w:spacing w:before="120" w:after="120"/>
              <w:rPr>
                <w:rFonts w:cs="Arial"/>
                <w:color w:val="000000" w:themeColor="text1"/>
                <w:shd w:val="clear" w:color="auto" w:fill="FFFFFF"/>
              </w:rPr>
            </w:pPr>
          </w:p>
        </w:tc>
        <w:tc>
          <w:tcPr>
            <w:tcW w:w="857" w:type="dxa"/>
            <w:tcBorders>
              <w:top w:val="single" w:sz="4" w:space="0" w:color="auto"/>
              <w:left w:val="nil"/>
              <w:bottom w:val="nil"/>
              <w:right w:val="nil"/>
            </w:tcBorders>
            <w:vAlign w:val="center"/>
          </w:tcPr>
          <w:p w14:paraId="033B5721"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single" w:sz="4" w:space="0" w:color="auto"/>
              <w:left w:val="nil"/>
              <w:bottom w:val="nil"/>
              <w:right w:val="nil"/>
            </w:tcBorders>
            <w:vAlign w:val="center"/>
          </w:tcPr>
          <w:p w14:paraId="168A2FD5" w14:textId="77777777" w:rsidR="007E1D13" w:rsidRPr="004538A2" w:rsidRDefault="007E1D13" w:rsidP="007E1D13">
            <w:pPr>
              <w:spacing w:before="120" w:after="120"/>
              <w:rPr>
                <w:rFonts w:cs="Arial"/>
                <w:color w:val="000000" w:themeColor="text1"/>
                <w:shd w:val="clear" w:color="auto" w:fill="FFFFFF"/>
              </w:rPr>
            </w:pPr>
          </w:p>
        </w:tc>
        <w:tc>
          <w:tcPr>
            <w:tcW w:w="1311" w:type="dxa"/>
            <w:tcBorders>
              <w:top w:val="single" w:sz="4" w:space="0" w:color="auto"/>
              <w:left w:val="nil"/>
              <w:bottom w:val="nil"/>
              <w:right w:val="single" w:sz="4" w:space="0" w:color="auto"/>
            </w:tcBorders>
          </w:tcPr>
          <w:p w14:paraId="4E59C39D" w14:textId="77777777" w:rsidR="007E1D13" w:rsidRPr="004538A2" w:rsidRDefault="007E1D13" w:rsidP="007E1D13">
            <w:pPr>
              <w:spacing w:before="120" w:after="120"/>
              <w:rPr>
                <w:rFonts w:cs="Arial"/>
                <w:color w:val="000000" w:themeColor="text1"/>
                <w:shd w:val="clear" w:color="auto" w:fill="FFFFFF"/>
              </w:rPr>
            </w:pPr>
          </w:p>
        </w:tc>
        <w:tc>
          <w:tcPr>
            <w:tcW w:w="944" w:type="dxa"/>
            <w:tcBorders>
              <w:top w:val="single" w:sz="4" w:space="0" w:color="auto"/>
              <w:left w:val="single" w:sz="4" w:space="0" w:color="auto"/>
              <w:bottom w:val="nil"/>
              <w:right w:val="nil"/>
            </w:tcBorders>
          </w:tcPr>
          <w:p w14:paraId="64B24895" w14:textId="77777777" w:rsidR="007E1D13" w:rsidRPr="004538A2" w:rsidRDefault="007E1D13" w:rsidP="007E1D13">
            <w:pPr>
              <w:spacing w:before="120" w:after="120"/>
              <w:rPr>
                <w:rFonts w:cs="Arial"/>
                <w:color w:val="000000" w:themeColor="text1"/>
                <w:shd w:val="clear" w:color="auto" w:fill="FFFFFF"/>
              </w:rPr>
            </w:pPr>
          </w:p>
        </w:tc>
        <w:tc>
          <w:tcPr>
            <w:tcW w:w="512" w:type="dxa"/>
            <w:tcBorders>
              <w:top w:val="single" w:sz="4" w:space="0" w:color="auto"/>
              <w:left w:val="nil"/>
              <w:bottom w:val="nil"/>
              <w:right w:val="nil"/>
            </w:tcBorders>
          </w:tcPr>
          <w:p w14:paraId="26976136"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18D27CA9" w14:textId="77777777" w:rsidTr="00BA1B3B">
        <w:trPr>
          <w:trHeight w:val="323"/>
        </w:trPr>
        <w:tc>
          <w:tcPr>
            <w:tcW w:w="2906" w:type="dxa"/>
            <w:tcBorders>
              <w:top w:val="nil"/>
              <w:left w:val="nil"/>
              <w:bottom w:val="nil"/>
              <w:right w:val="nil"/>
            </w:tcBorders>
            <w:vAlign w:val="center"/>
          </w:tcPr>
          <w:p w14:paraId="76693030"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Yes </w:t>
            </w:r>
          </w:p>
        </w:tc>
        <w:tc>
          <w:tcPr>
            <w:tcW w:w="751" w:type="dxa"/>
            <w:tcBorders>
              <w:top w:val="nil"/>
              <w:left w:val="nil"/>
              <w:bottom w:val="nil"/>
              <w:right w:val="nil"/>
            </w:tcBorders>
            <w:vAlign w:val="center"/>
          </w:tcPr>
          <w:p w14:paraId="3C6AA7D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881" w:type="dxa"/>
            <w:tcBorders>
              <w:top w:val="nil"/>
              <w:left w:val="nil"/>
              <w:bottom w:val="nil"/>
              <w:right w:val="nil"/>
            </w:tcBorders>
            <w:vAlign w:val="center"/>
          </w:tcPr>
          <w:p w14:paraId="62B677A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857" w:type="dxa"/>
            <w:tcBorders>
              <w:top w:val="nil"/>
              <w:left w:val="nil"/>
              <w:bottom w:val="nil"/>
              <w:right w:val="nil"/>
            </w:tcBorders>
            <w:vAlign w:val="center"/>
          </w:tcPr>
          <w:p w14:paraId="0D199F4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02" w:type="dxa"/>
            <w:tcBorders>
              <w:top w:val="nil"/>
              <w:left w:val="nil"/>
              <w:bottom w:val="nil"/>
              <w:right w:val="nil"/>
            </w:tcBorders>
            <w:vAlign w:val="center"/>
          </w:tcPr>
          <w:p w14:paraId="2B01586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22</w:t>
            </w:r>
          </w:p>
        </w:tc>
        <w:tc>
          <w:tcPr>
            <w:tcW w:w="1311" w:type="dxa"/>
            <w:tcBorders>
              <w:top w:val="nil"/>
              <w:left w:val="nil"/>
              <w:bottom w:val="nil"/>
              <w:right w:val="single" w:sz="4" w:space="0" w:color="auto"/>
            </w:tcBorders>
          </w:tcPr>
          <w:p w14:paraId="6DA9B59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81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22A969CF"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83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584CE3F8" w14:textId="77777777" w:rsidR="007E1D13" w:rsidRDefault="007E1D13" w:rsidP="007E1D13">
            <w:pPr>
              <w:spacing w:before="120" w:after="120"/>
              <w:rPr>
                <w:rFonts w:cs="Arial"/>
                <w:color w:val="000000" w:themeColor="text1"/>
                <w:shd w:val="clear" w:color="auto" w:fill="FFFFFF"/>
              </w:rPr>
            </w:pPr>
          </w:p>
        </w:tc>
      </w:tr>
      <w:tr w:rsidR="007E1D13" w:rsidRPr="004538A2" w14:paraId="3129822E" w14:textId="77777777" w:rsidTr="00BA1B3B">
        <w:trPr>
          <w:trHeight w:val="323"/>
        </w:trPr>
        <w:tc>
          <w:tcPr>
            <w:tcW w:w="2906" w:type="dxa"/>
            <w:tcBorders>
              <w:top w:val="nil"/>
              <w:left w:val="nil"/>
              <w:bottom w:val="nil"/>
              <w:right w:val="nil"/>
            </w:tcBorders>
            <w:vAlign w:val="center"/>
          </w:tcPr>
          <w:p w14:paraId="5E051185"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 xml:space="preserve">No </w:t>
            </w:r>
          </w:p>
        </w:tc>
        <w:tc>
          <w:tcPr>
            <w:tcW w:w="751" w:type="dxa"/>
            <w:tcBorders>
              <w:top w:val="nil"/>
              <w:left w:val="nil"/>
              <w:bottom w:val="nil"/>
              <w:right w:val="nil"/>
            </w:tcBorders>
            <w:vAlign w:val="center"/>
          </w:tcPr>
          <w:p w14:paraId="037E090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1" w:type="dxa"/>
            <w:tcBorders>
              <w:top w:val="nil"/>
              <w:left w:val="nil"/>
              <w:bottom w:val="nil"/>
              <w:right w:val="nil"/>
            </w:tcBorders>
            <w:vAlign w:val="center"/>
          </w:tcPr>
          <w:p w14:paraId="152C8EEF"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57" w:type="dxa"/>
            <w:tcBorders>
              <w:top w:val="nil"/>
              <w:left w:val="nil"/>
              <w:bottom w:val="nil"/>
              <w:right w:val="nil"/>
            </w:tcBorders>
            <w:vAlign w:val="center"/>
          </w:tcPr>
          <w:p w14:paraId="69742E4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02" w:type="dxa"/>
            <w:tcBorders>
              <w:top w:val="nil"/>
              <w:left w:val="nil"/>
              <w:bottom w:val="nil"/>
              <w:right w:val="nil"/>
            </w:tcBorders>
            <w:vAlign w:val="center"/>
          </w:tcPr>
          <w:p w14:paraId="29214B1E"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3</w:t>
            </w:r>
          </w:p>
        </w:tc>
        <w:tc>
          <w:tcPr>
            <w:tcW w:w="1311" w:type="dxa"/>
            <w:tcBorders>
              <w:top w:val="nil"/>
              <w:left w:val="nil"/>
              <w:bottom w:val="nil"/>
              <w:right w:val="single" w:sz="4" w:space="0" w:color="auto"/>
            </w:tcBorders>
          </w:tcPr>
          <w:p w14:paraId="7D4B7D22"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11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40C8D3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17 </w:t>
            </w:r>
            <w:r w:rsidRPr="00197CC8">
              <w:rPr>
                <w:rFonts w:cs="Arial"/>
                <w:color w:val="000000" w:themeColor="text1"/>
                <w:sz w:val="18"/>
                <w:shd w:val="clear" w:color="auto" w:fill="FFFFFF"/>
              </w:rPr>
              <w:t>%</w:t>
            </w:r>
          </w:p>
        </w:tc>
        <w:tc>
          <w:tcPr>
            <w:tcW w:w="512" w:type="dxa"/>
            <w:tcBorders>
              <w:top w:val="nil"/>
              <w:left w:val="nil"/>
              <w:bottom w:val="nil"/>
              <w:right w:val="nil"/>
            </w:tcBorders>
          </w:tcPr>
          <w:p w14:paraId="00936229" w14:textId="77777777" w:rsidR="007E1D13" w:rsidRDefault="007E1D13" w:rsidP="007E1D13">
            <w:pPr>
              <w:spacing w:before="120" w:after="120"/>
              <w:rPr>
                <w:rFonts w:cs="Arial"/>
                <w:color w:val="000000" w:themeColor="text1"/>
                <w:shd w:val="clear" w:color="auto" w:fill="FFFFFF"/>
              </w:rPr>
            </w:pPr>
          </w:p>
        </w:tc>
      </w:tr>
      <w:tr w:rsidR="007E1D13" w:rsidRPr="004538A2" w14:paraId="354E752C" w14:textId="77777777" w:rsidTr="00BA1B3B">
        <w:trPr>
          <w:trHeight w:val="323"/>
        </w:trPr>
        <w:tc>
          <w:tcPr>
            <w:tcW w:w="2906" w:type="dxa"/>
            <w:tcBorders>
              <w:top w:val="nil"/>
              <w:left w:val="nil"/>
              <w:bottom w:val="nil"/>
              <w:right w:val="nil"/>
            </w:tcBorders>
            <w:vAlign w:val="center"/>
          </w:tcPr>
          <w:p w14:paraId="2073FCE6"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Not Sure</w:t>
            </w:r>
          </w:p>
        </w:tc>
        <w:tc>
          <w:tcPr>
            <w:tcW w:w="751" w:type="dxa"/>
            <w:tcBorders>
              <w:top w:val="nil"/>
              <w:left w:val="nil"/>
              <w:bottom w:val="nil"/>
              <w:right w:val="nil"/>
            </w:tcBorders>
            <w:vAlign w:val="center"/>
          </w:tcPr>
          <w:p w14:paraId="1CB9CEE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81" w:type="dxa"/>
            <w:tcBorders>
              <w:top w:val="nil"/>
              <w:left w:val="nil"/>
              <w:bottom w:val="nil"/>
              <w:right w:val="nil"/>
            </w:tcBorders>
            <w:vAlign w:val="center"/>
          </w:tcPr>
          <w:p w14:paraId="1F43066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57" w:type="dxa"/>
            <w:tcBorders>
              <w:top w:val="nil"/>
              <w:left w:val="nil"/>
              <w:bottom w:val="nil"/>
              <w:right w:val="nil"/>
            </w:tcBorders>
            <w:vAlign w:val="center"/>
          </w:tcPr>
          <w:p w14:paraId="6958E85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12D5D75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30B2E74B"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5A5FF50C"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2E48AE2B" w14:textId="77777777" w:rsidR="007E1D13" w:rsidRDefault="007E1D13" w:rsidP="007E1D13">
            <w:pPr>
              <w:spacing w:before="120" w:after="120"/>
              <w:rPr>
                <w:rFonts w:cs="Arial"/>
                <w:color w:val="000000" w:themeColor="text1"/>
                <w:shd w:val="clear" w:color="auto" w:fill="FFFFFF"/>
              </w:rPr>
            </w:pPr>
          </w:p>
        </w:tc>
      </w:tr>
      <w:tr w:rsidR="007E1D13" w:rsidRPr="004538A2" w14:paraId="3CF3A7C6" w14:textId="77777777" w:rsidTr="00BA1B3B">
        <w:trPr>
          <w:trHeight w:val="323"/>
        </w:trPr>
        <w:tc>
          <w:tcPr>
            <w:tcW w:w="2906" w:type="dxa"/>
            <w:tcBorders>
              <w:top w:val="nil"/>
              <w:left w:val="nil"/>
              <w:bottom w:val="nil"/>
              <w:right w:val="nil"/>
            </w:tcBorders>
            <w:vAlign w:val="center"/>
          </w:tcPr>
          <w:p w14:paraId="1DF1F2C0"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Prefer not to say</w:t>
            </w:r>
          </w:p>
        </w:tc>
        <w:tc>
          <w:tcPr>
            <w:tcW w:w="751" w:type="dxa"/>
            <w:tcBorders>
              <w:top w:val="nil"/>
              <w:left w:val="nil"/>
              <w:bottom w:val="nil"/>
              <w:right w:val="nil"/>
            </w:tcBorders>
            <w:vAlign w:val="center"/>
          </w:tcPr>
          <w:p w14:paraId="65FA7A7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1" w:type="dxa"/>
            <w:tcBorders>
              <w:top w:val="nil"/>
              <w:left w:val="nil"/>
              <w:bottom w:val="nil"/>
              <w:right w:val="nil"/>
            </w:tcBorders>
            <w:vAlign w:val="center"/>
          </w:tcPr>
          <w:p w14:paraId="553891A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857" w:type="dxa"/>
            <w:tcBorders>
              <w:top w:val="nil"/>
              <w:left w:val="nil"/>
              <w:bottom w:val="nil"/>
              <w:right w:val="nil"/>
            </w:tcBorders>
            <w:vAlign w:val="center"/>
          </w:tcPr>
          <w:p w14:paraId="7638818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70CD9A9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1311" w:type="dxa"/>
            <w:tcBorders>
              <w:top w:val="nil"/>
              <w:left w:val="nil"/>
              <w:bottom w:val="nil"/>
              <w:right w:val="single" w:sz="4" w:space="0" w:color="auto"/>
            </w:tcBorders>
          </w:tcPr>
          <w:p w14:paraId="1AB07397"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c>
          <w:tcPr>
            <w:tcW w:w="944" w:type="dxa"/>
            <w:tcBorders>
              <w:top w:val="nil"/>
              <w:left w:val="single" w:sz="4" w:space="0" w:color="auto"/>
              <w:bottom w:val="nil"/>
              <w:right w:val="nil"/>
            </w:tcBorders>
          </w:tcPr>
          <w:p w14:paraId="7E4F2E82"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w:t>
            </w:r>
          </w:p>
        </w:tc>
        <w:tc>
          <w:tcPr>
            <w:tcW w:w="512" w:type="dxa"/>
            <w:tcBorders>
              <w:top w:val="nil"/>
              <w:left w:val="nil"/>
              <w:bottom w:val="nil"/>
              <w:right w:val="nil"/>
            </w:tcBorders>
          </w:tcPr>
          <w:p w14:paraId="3EB83C72" w14:textId="77777777" w:rsidR="007E1D13" w:rsidRDefault="007E1D13" w:rsidP="007E1D13">
            <w:pPr>
              <w:spacing w:before="120" w:after="120"/>
              <w:rPr>
                <w:rFonts w:cs="Arial"/>
                <w:color w:val="000000" w:themeColor="text1"/>
                <w:shd w:val="clear" w:color="auto" w:fill="FFFFFF"/>
              </w:rPr>
            </w:pPr>
          </w:p>
        </w:tc>
      </w:tr>
      <w:tr w:rsidR="007E1D13" w:rsidRPr="00376A13" w14:paraId="393F872D" w14:textId="77777777" w:rsidTr="00BA1B3B">
        <w:trPr>
          <w:trHeight w:val="95"/>
        </w:trPr>
        <w:tc>
          <w:tcPr>
            <w:tcW w:w="2906" w:type="dxa"/>
            <w:tcBorders>
              <w:top w:val="nil"/>
              <w:left w:val="nil"/>
              <w:bottom w:val="single" w:sz="4" w:space="0" w:color="auto"/>
              <w:right w:val="nil"/>
            </w:tcBorders>
          </w:tcPr>
          <w:p w14:paraId="6A781FE8" w14:textId="77777777" w:rsidR="007E1D13" w:rsidRPr="00376A13" w:rsidRDefault="007E1D13" w:rsidP="007E1D13">
            <w:pPr>
              <w:rPr>
                <w:rFonts w:cs="Arial"/>
                <w:color w:val="000000" w:themeColor="text1"/>
                <w:sz w:val="2"/>
                <w:szCs w:val="2"/>
                <w:shd w:val="clear" w:color="auto" w:fill="FFFFFF"/>
              </w:rPr>
            </w:pPr>
          </w:p>
        </w:tc>
        <w:tc>
          <w:tcPr>
            <w:tcW w:w="751" w:type="dxa"/>
            <w:tcBorders>
              <w:top w:val="nil"/>
              <w:left w:val="nil"/>
              <w:bottom w:val="single" w:sz="4" w:space="0" w:color="auto"/>
              <w:right w:val="nil"/>
            </w:tcBorders>
          </w:tcPr>
          <w:p w14:paraId="1D6D0457" w14:textId="77777777" w:rsidR="007E1D13" w:rsidRPr="00376A13" w:rsidRDefault="007E1D13" w:rsidP="007E1D13">
            <w:pPr>
              <w:rPr>
                <w:rFonts w:cs="Arial"/>
                <w:color w:val="000000" w:themeColor="text1"/>
                <w:sz w:val="2"/>
                <w:szCs w:val="2"/>
                <w:shd w:val="clear" w:color="auto" w:fill="FFFFFF"/>
              </w:rPr>
            </w:pPr>
          </w:p>
        </w:tc>
        <w:tc>
          <w:tcPr>
            <w:tcW w:w="881" w:type="dxa"/>
            <w:tcBorders>
              <w:top w:val="nil"/>
              <w:left w:val="nil"/>
              <w:bottom w:val="single" w:sz="4" w:space="0" w:color="auto"/>
              <w:right w:val="nil"/>
            </w:tcBorders>
          </w:tcPr>
          <w:p w14:paraId="7A4C3726" w14:textId="77777777" w:rsidR="007E1D13" w:rsidRPr="00376A13" w:rsidRDefault="007E1D13" w:rsidP="007E1D13">
            <w:pPr>
              <w:rPr>
                <w:rFonts w:cs="Arial"/>
                <w:color w:val="000000" w:themeColor="text1"/>
                <w:sz w:val="2"/>
                <w:szCs w:val="2"/>
                <w:shd w:val="clear" w:color="auto" w:fill="FFFFFF"/>
              </w:rPr>
            </w:pPr>
          </w:p>
        </w:tc>
        <w:tc>
          <w:tcPr>
            <w:tcW w:w="857" w:type="dxa"/>
            <w:tcBorders>
              <w:top w:val="nil"/>
              <w:left w:val="nil"/>
              <w:bottom w:val="single" w:sz="4" w:space="0" w:color="auto"/>
              <w:right w:val="nil"/>
            </w:tcBorders>
          </w:tcPr>
          <w:p w14:paraId="58EC99D3" w14:textId="77777777" w:rsidR="007E1D13" w:rsidRPr="00376A13" w:rsidRDefault="007E1D13" w:rsidP="007E1D13">
            <w:pPr>
              <w:rPr>
                <w:rFonts w:cs="Arial"/>
                <w:color w:val="000000" w:themeColor="text1"/>
                <w:sz w:val="2"/>
                <w:szCs w:val="2"/>
                <w:shd w:val="clear" w:color="auto" w:fill="FFFFFF"/>
              </w:rPr>
            </w:pPr>
          </w:p>
        </w:tc>
        <w:tc>
          <w:tcPr>
            <w:tcW w:w="902" w:type="dxa"/>
            <w:tcBorders>
              <w:top w:val="nil"/>
              <w:left w:val="nil"/>
              <w:bottom w:val="single" w:sz="4" w:space="0" w:color="auto"/>
              <w:right w:val="nil"/>
            </w:tcBorders>
          </w:tcPr>
          <w:p w14:paraId="07D61896" w14:textId="77777777" w:rsidR="007E1D13" w:rsidRPr="00376A13" w:rsidRDefault="007E1D13" w:rsidP="007E1D13">
            <w:pPr>
              <w:rPr>
                <w:rFonts w:cs="Arial"/>
                <w:color w:val="000000" w:themeColor="text1"/>
                <w:sz w:val="2"/>
                <w:szCs w:val="2"/>
                <w:shd w:val="clear" w:color="auto" w:fill="FFFFFF"/>
              </w:rPr>
            </w:pPr>
          </w:p>
        </w:tc>
        <w:tc>
          <w:tcPr>
            <w:tcW w:w="1311" w:type="dxa"/>
            <w:tcBorders>
              <w:top w:val="nil"/>
              <w:left w:val="nil"/>
              <w:bottom w:val="single" w:sz="4" w:space="0" w:color="auto"/>
              <w:right w:val="single" w:sz="4" w:space="0" w:color="auto"/>
            </w:tcBorders>
          </w:tcPr>
          <w:p w14:paraId="3B79D94E" w14:textId="77777777" w:rsidR="007E1D13" w:rsidRPr="00376A13" w:rsidRDefault="007E1D13" w:rsidP="007E1D13">
            <w:pPr>
              <w:rPr>
                <w:rFonts w:cs="Arial"/>
                <w:color w:val="000000" w:themeColor="text1"/>
                <w:sz w:val="2"/>
                <w:szCs w:val="2"/>
                <w:shd w:val="clear" w:color="auto" w:fill="FFFFFF"/>
              </w:rPr>
            </w:pPr>
          </w:p>
        </w:tc>
        <w:tc>
          <w:tcPr>
            <w:tcW w:w="944" w:type="dxa"/>
            <w:tcBorders>
              <w:top w:val="nil"/>
              <w:left w:val="single" w:sz="4" w:space="0" w:color="auto"/>
              <w:bottom w:val="single" w:sz="4" w:space="0" w:color="auto"/>
              <w:right w:val="nil"/>
            </w:tcBorders>
          </w:tcPr>
          <w:p w14:paraId="4C92629F" w14:textId="77777777" w:rsidR="007E1D13" w:rsidRPr="00376A13" w:rsidRDefault="007E1D13" w:rsidP="007E1D13">
            <w:pPr>
              <w:rPr>
                <w:rFonts w:cs="Arial"/>
                <w:color w:val="000000" w:themeColor="text1"/>
                <w:sz w:val="2"/>
                <w:szCs w:val="2"/>
                <w:shd w:val="clear" w:color="auto" w:fill="FFFFFF"/>
              </w:rPr>
            </w:pPr>
          </w:p>
        </w:tc>
        <w:tc>
          <w:tcPr>
            <w:tcW w:w="512" w:type="dxa"/>
            <w:tcBorders>
              <w:top w:val="nil"/>
              <w:left w:val="nil"/>
              <w:bottom w:val="single" w:sz="4" w:space="0" w:color="auto"/>
              <w:right w:val="nil"/>
            </w:tcBorders>
          </w:tcPr>
          <w:p w14:paraId="26DE4D13" w14:textId="77777777" w:rsidR="007E1D13" w:rsidRPr="00376A13" w:rsidRDefault="007E1D13" w:rsidP="007E1D13">
            <w:pPr>
              <w:rPr>
                <w:rFonts w:cs="Arial"/>
                <w:color w:val="000000" w:themeColor="text1"/>
                <w:sz w:val="2"/>
                <w:szCs w:val="2"/>
                <w:shd w:val="clear" w:color="auto" w:fill="FFFFFF"/>
              </w:rPr>
            </w:pPr>
          </w:p>
        </w:tc>
      </w:tr>
    </w:tbl>
    <w:p w14:paraId="5531A8CE" w14:textId="77777777" w:rsidR="007E1D13" w:rsidRDefault="007E1D13" w:rsidP="007E1D13">
      <w:pPr>
        <w:spacing w:line="480" w:lineRule="auto"/>
        <w:rPr>
          <w:szCs w:val="24"/>
          <w:shd w:val="clear" w:color="auto" w:fill="FFFFFF"/>
        </w:rPr>
      </w:pPr>
    </w:p>
    <w:p w14:paraId="6D25D068" w14:textId="77777777" w:rsidR="007E1D13" w:rsidRDefault="007E1D13" w:rsidP="007E1D13">
      <w:pPr>
        <w:pStyle w:val="Heading3"/>
        <w:rPr>
          <w:shd w:val="clear" w:color="auto" w:fill="FFFFFF"/>
        </w:rPr>
      </w:pPr>
      <w:bookmarkStart w:id="459" w:name="_Toc35892711"/>
      <w:r w:rsidRPr="00507256">
        <w:rPr>
          <w:shd w:val="clear" w:color="auto" w:fill="FFFFFF"/>
        </w:rPr>
        <w:t>Previous use of illicit drugs</w:t>
      </w:r>
      <w:bookmarkEnd w:id="459"/>
    </w:p>
    <w:p w14:paraId="5EB9235C" w14:textId="77777777" w:rsidR="007E1D13" w:rsidRDefault="007E1D13" w:rsidP="007E1D13">
      <w:pPr>
        <w:spacing w:line="480" w:lineRule="auto"/>
        <w:rPr>
          <w:szCs w:val="24"/>
          <w:shd w:val="clear" w:color="auto" w:fill="FFFFFF"/>
        </w:rPr>
      </w:pPr>
      <w:r>
        <w:rPr>
          <w:szCs w:val="24"/>
          <w:shd w:val="clear" w:color="auto" w:fill="FFFFFF"/>
        </w:rPr>
        <w:t xml:space="preserve">The number of participants reporting use of traditional illicit drugs (44%) was fewer than Study 1 (50%), but still </w:t>
      </w:r>
      <w:r w:rsidRPr="00FE4B43">
        <w:rPr>
          <w:szCs w:val="24"/>
          <w:shd w:val="clear" w:color="auto" w:fill="FFFFFF"/>
        </w:rPr>
        <w:t xml:space="preserve">greater than general population estimates for young people in the UK </w:t>
      </w:r>
      <w:r>
        <w:rPr>
          <w:szCs w:val="24"/>
          <w:shd w:val="clear" w:color="auto" w:fill="FFFFFF"/>
        </w:rPr>
        <w:t xml:space="preserve">which according to the Crime Survey for England and Wales is about </w:t>
      </w:r>
      <w:r w:rsidRPr="00FE4B43">
        <w:rPr>
          <w:szCs w:val="24"/>
          <w:shd w:val="clear" w:color="auto" w:fill="FFFFFF"/>
        </w:rPr>
        <w:t xml:space="preserve">35% </w:t>
      </w:r>
      <w:r>
        <w:rPr>
          <w:szCs w:val="24"/>
          <w:shd w:val="clear" w:color="auto" w:fill="FFFFFF"/>
        </w:rPr>
        <w:t>(</w:t>
      </w:r>
      <w:r w:rsidRPr="00FE4B43">
        <w:rPr>
          <w:szCs w:val="24"/>
          <w:shd w:val="clear" w:color="auto" w:fill="FFFFFF"/>
        </w:rPr>
        <w:t xml:space="preserve">CSEW, 2017).  </w:t>
      </w:r>
      <w:r>
        <w:rPr>
          <w:szCs w:val="24"/>
          <w:shd w:val="clear" w:color="auto" w:fill="FFFFFF"/>
        </w:rPr>
        <w:t>Participants’ perceptions of their friends’ use of traditional illicit drugs were more comparable, with 83% of Participants in Study 1 reporting that their friends had used illicit drugs, and 81% in Study 2.</w:t>
      </w:r>
    </w:p>
    <w:p w14:paraId="7F8E6ABE" w14:textId="77777777" w:rsidR="007E1D13" w:rsidRPr="006B7E73" w:rsidRDefault="007E1D13" w:rsidP="007E1D13">
      <w:pPr>
        <w:pStyle w:val="Heading3"/>
        <w:rPr>
          <w:rStyle w:val="Heading3Char"/>
          <w:b/>
          <w:bCs/>
        </w:rPr>
      </w:pPr>
      <w:bookmarkStart w:id="460" w:name="_Toc35892712"/>
      <w:r w:rsidRPr="006B7E73">
        <w:rPr>
          <w:rStyle w:val="Heading3Char"/>
          <w:b/>
          <w:bCs/>
        </w:rPr>
        <w:t>Substances</w:t>
      </w:r>
      <w:bookmarkEnd w:id="460"/>
      <w:r>
        <w:rPr>
          <w:rStyle w:val="Heading3Char"/>
          <w:b/>
          <w:bCs/>
        </w:rPr>
        <w:t xml:space="preserve"> </w:t>
      </w:r>
    </w:p>
    <w:p w14:paraId="15A1F190" w14:textId="519305BC" w:rsidR="007E1D13" w:rsidRDefault="007E1D13" w:rsidP="007E1D13">
      <w:pPr>
        <w:spacing w:line="480" w:lineRule="auto"/>
      </w:pPr>
      <w:r>
        <w:t>During their discussions p</w:t>
      </w:r>
      <w:r w:rsidRPr="007531CE">
        <w:t xml:space="preserve">articipants generally referred to NPS as </w:t>
      </w:r>
      <w:r>
        <w:t>‘</w:t>
      </w:r>
      <w:r w:rsidRPr="007531CE">
        <w:t>legal highs</w:t>
      </w:r>
      <w:r>
        <w:t xml:space="preserve">’ in line </w:t>
      </w:r>
      <w:r w:rsidRPr="007531CE">
        <w:t>with the wording used in the questions</w:t>
      </w:r>
      <w:r>
        <w:t>.</w:t>
      </w:r>
      <w:r w:rsidRPr="007531CE">
        <w:t xml:space="preserve"> </w:t>
      </w:r>
      <w:r>
        <w:t>H</w:t>
      </w:r>
      <w:r w:rsidRPr="007531CE">
        <w:t>owever</w:t>
      </w:r>
      <w:r>
        <w:t>,</w:t>
      </w:r>
      <w:r w:rsidRPr="007531CE">
        <w:t xml:space="preserve"> </w:t>
      </w:r>
      <w:r>
        <w:t xml:space="preserve">as in Study 1, there were several spontaneous references to specific named substances (see Table </w:t>
      </w:r>
      <w:r w:rsidR="009E0DF7">
        <w:t>7-</w:t>
      </w:r>
      <w:r>
        <w:t xml:space="preserve">4). The range of substances referred to in Study 2 was narrower than Study 1, and fewer references were made to specific substances with the exception of nitrous oxide (NOS) which was commented on with somewhat greater frequency. </w:t>
      </w:r>
    </w:p>
    <w:p w14:paraId="00BCE294" w14:textId="77777777" w:rsidR="007E1D13" w:rsidRDefault="007E1D13" w:rsidP="007E1D13">
      <w:pPr>
        <w:spacing w:line="480" w:lineRule="auto"/>
      </w:pPr>
    </w:p>
    <w:p w14:paraId="577505C0" w14:textId="77777777" w:rsidR="000857CE" w:rsidRPr="000857CE" w:rsidRDefault="000857CE" w:rsidP="000857CE">
      <w:pPr>
        <w:pStyle w:val="TableHeader"/>
        <w:rPr>
          <w:b/>
        </w:rPr>
      </w:pPr>
      <w:bookmarkStart w:id="461" w:name="_Toc9509078"/>
      <w:r w:rsidRPr="000857CE">
        <w:rPr>
          <w:b/>
        </w:rPr>
        <w:t>Table 7-4 Specific named substances spontaneously referred to in Studies 1 and 2</w:t>
      </w:r>
      <w:bookmarkEnd w:id="461"/>
    </w:p>
    <w:tbl>
      <w:tblPr>
        <w:tblW w:w="8755" w:type="dxa"/>
        <w:tblLayout w:type="fixed"/>
        <w:tblLook w:val="04A0" w:firstRow="1" w:lastRow="0" w:firstColumn="1" w:lastColumn="0" w:noHBand="0" w:noVBand="1"/>
      </w:tblPr>
      <w:tblGrid>
        <w:gridCol w:w="3369"/>
        <w:gridCol w:w="1417"/>
        <w:gridCol w:w="553"/>
        <w:gridCol w:w="14"/>
        <w:gridCol w:w="1276"/>
        <w:gridCol w:w="567"/>
        <w:gridCol w:w="1098"/>
        <w:gridCol w:w="461"/>
      </w:tblGrid>
      <w:tr w:rsidR="007E1D13" w:rsidRPr="0020601A" w14:paraId="1F9FFB6B" w14:textId="77777777" w:rsidTr="007E1D13">
        <w:trPr>
          <w:trHeight w:val="290"/>
        </w:trPr>
        <w:tc>
          <w:tcPr>
            <w:tcW w:w="3369" w:type="dxa"/>
            <w:tcBorders>
              <w:top w:val="single" w:sz="4" w:space="0" w:color="auto"/>
              <w:bottom w:val="single" w:sz="4" w:space="0" w:color="auto"/>
            </w:tcBorders>
            <w:shd w:val="clear" w:color="auto" w:fill="auto"/>
            <w:noWrap/>
          </w:tcPr>
          <w:p w14:paraId="4A82DD5C" w14:textId="77777777" w:rsidR="007E1D13" w:rsidRPr="0020601A" w:rsidRDefault="007E1D13" w:rsidP="007E1D13">
            <w:pPr>
              <w:spacing w:before="120" w:after="120" w:line="240" w:lineRule="auto"/>
              <w:rPr>
                <w:b/>
                <w:lang w:eastAsia="en-GB"/>
              </w:rPr>
            </w:pPr>
            <w:r>
              <w:rPr>
                <w:b/>
                <w:lang w:eastAsia="en-GB"/>
              </w:rPr>
              <w:t xml:space="preserve">Substance / product </w:t>
            </w:r>
          </w:p>
        </w:tc>
        <w:tc>
          <w:tcPr>
            <w:tcW w:w="1984" w:type="dxa"/>
            <w:gridSpan w:val="3"/>
            <w:tcBorders>
              <w:top w:val="single" w:sz="4" w:space="0" w:color="auto"/>
              <w:bottom w:val="single" w:sz="4" w:space="0" w:color="auto"/>
            </w:tcBorders>
            <w:shd w:val="clear" w:color="auto" w:fill="auto"/>
          </w:tcPr>
          <w:p w14:paraId="1972E452" w14:textId="77777777" w:rsidR="007E1D13" w:rsidRPr="0020601A" w:rsidRDefault="007E1D13" w:rsidP="007E1D13">
            <w:pPr>
              <w:spacing w:before="120" w:after="120" w:line="240" w:lineRule="auto"/>
              <w:jc w:val="center"/>
              <w:rPr>
                <w:b/>
                <w:lang w:eastAsia="en-GB"/>
              </w:rPr>
            </w:pPr>
            <w:r>
              <w:rPr>
                <w:b/>
                <w:lang w:eastAsia="en-GB"/>
              </w:rPr>
              <w:t>Study 1</w:t>
            </w:r>
          </w:p>
        </w:tc>
        <w:tc>
          <w:tcPr>
            <w:tcW w:w="1843" w:type="dxa"/>
            <w:gridSpan w:val="2"/>
            <w:tcBorders>
              <w:top w:val="single" w:sz="4" w:space="0" w:color="auto"/>
              <w:bottom w:val="single" w:sz="4" w:space="0" w:color="auto"/>
            </w:tcBorders>
            <w:shd w:val="clear" w:color="auto" w:fill="auto"/>
          </w:tcPr>
          <w:p w14:paraId="67ADE5B8" w14:textId="77777777" w:rsidR="007E1D13" w:rsidRPr="0020601A" w:rsidRDefault="007E1D13" w:rsidP="007E1D13">
            <w:pPr>
              <w:spacing w:before="120" w:after="120" w:line="240" w:lineRule="auto"/>
              <w:jc w:val="center"/>
              <w:rPr>
                <w:b/>
                <w:lang w:eastAsia="en-GB"/>
              </w:rPr>
            </w:pPr>
            <w:r>
              <w:rPr>
                <w:b/>
                <w:lang w:eastAsia="en-GB"/>
              </w:rPr>
              <w:t>Study 2</w:t>
            </w:r>
          </w:p>
        </w:tc>
        <w:tc>
          <w:tcPr>
            <w:tcW w:w="1559" w:type="dxa"/>
            <w:gridSpan w:val="2"/>
            <w:tcBorders>
              <w:top w:val="single" w:sz="4" w:space="0" w:color="auto"/>
              <w:bottom w:val="single" w:sz="4" w:space="0" w:color="auto"/>
            </w:tcBorders>
            <w:shd w:val="clear" w:color="auto" w:fill="auto"/>
            <w:vAlign w:val="center"/>
          </w:tcPr>
          <w:p w14:paraId="1552AC12" w14:textId="77777777" w:rsidR="007E1D13" w:rsidRDefault="007E1D13" w:rsidP="007E1D13">
            <w:pPr>
              <w:spacing w:before="120" w:after="120" w:line="240" w:lineRule="auto"/>
              <w:jc w:val="center"/>
              <w:rPr>
                <w:b/>
                <w:lang w:eastAsia="en-GB"/>
              </w:rPr>
            </w:pPr>
            <w:r>
              <w:rPr>
                <w:b/>
                <w:lang w:eastAsia="en-GB"/>
              </w:rPr>
              <w:t>Diff.</w:t>
            </w:r>
          </w:p>
        </w:tc>
      </w:tr>
      <w:tr w:rsidR="007E1D13" w:rsidRPr="00841715" w14:paraId="11546DC7" w14:textId="77777777" w:rsidTr="007E1D13">
        <w:trPr>
          <w:trHeight w:val="407"/>
        </w:trPr>
        <w:tc>
          <w:tcPr>
            <w:tcW w:w="3369" w:type="dxa"/>
            <w:tcBorders>
              <w:top w:val="single" w:sz="4" w:space="0" w:color="auto"/>
            </w:tcBorders>
            <w:shd w:val="clear" w:color="auto" w:fill="auto"/>
            <w:noWrap/>
          </w:tcPr>
          <w:p w14:paraId="577CF948" w14:textId="77777777" w:rsidR="007E1D13" w:rsidRPr="00841715" w:rsidRDefault="007E1D13" w:rsidP="007E1D13">
            <w:pPr>
              <w:spacing w:before="120" w:after="120" w:line="240" w:lineRule="auto"/>
              <w:rPr>
                <w:szCs w:val="24"/>
                <w:lang w:eastAsia="en-GB"/>
              </w:rPr>
            </w:pPr>
            <w:r w:rsidRPr="00841715">
              <w:rPr>
                <w:szCs w:val="24"/>
              </w:rPr>
              <w:t xml:space="preserve">Spice </w:t>
            </w:r>
          </w:p>
        </w:tc>
        <w:tc>
          <w:tcPr>
            <w:tcW w:w="1417" w:type="dxa"/>
            <w:tcBorders>
              <w:top w:val="single" w:sz="4" w:space="0" w:color="auto"/>
            </w:tcBorders>
            <w:shd w:val="clear" w:color="auto" w:fill="auto"/>
            <w:noWrap/>
            <w:vAlign w:val="center"/>
          </w:tcPr>
          <w:p w14:paraId="70742EF2" w14:textId="77777777" w:rsidR="007E1D13" w:rsidRPr="00841715" w:rsidRDefault="007E1D13" w:rsidP="007E1D13">
            <w:pPr>
              <w:spacing w:before="120" w:after="120" w:line="240" w:lineRule="auto"/>
              <w:jc w:val="right"/>
              <w:rPr>
                <w:szCs w:val="24"/>
                <w:lang w:eastAsia="en-GB"/>
              </w:rPr>
            </w:pPr>
            <w:r>
              <w:rPr>
                <w:szCs w:val="24"/>
                <w:lang w:eastAsia="en-GB"/>
              </w:rPr>
              <w:t>23</w:t>
            </w:r>
          </w:p>
        </w:tc>
        <w:tc>
          <w:tcPr>
            <w:tcW w:w="553" w:type="dxa"/>
            <w:tcBorders>
              <w:top w:val="single" w:sz="4" w:space="0" w:color="auto"/>
            </w:tcBorders>
            <w:shd w:val="clear" w:color="auto" w:fill="auto"/>
            <w:vAlign w:val="center"/>
          </w:tcPr>
          <w:p w14:paraId="3439FA6B" w14:textId="77777777" w:rsidR="007E1D13" w:rsidRPr="00841715" w:rsidRDefault="007E1D13" w:rsidP="007E1D13">
            <w:pPr>
              <w:spacing w:before="120" w:after="120" w:line="240" w:lineRule="auto"/>
              <w:jc w:val="right"/>
              <w:rPr>
                <w:szCs w:val="24"/>
                <w:lang w:eastAsia="en-GB"/>
              </w:rPr>
            </w:pPr>
          </w:p>
        </w:tc>
        <w:tc>
          <w:tcPr>
            <w:tcW w:w="1290" w:type="dxa"/>
            <w:gridSpan w:val="2"/>
            <w:tcBorders>
              <w:top w:val="single" w:sz="4" w:space="0" w:color="auto"/>
            </w:tcBorders>
            <w:shd w:val="clear" w:color="auto" w:fill="auto"/>
            <w:vAlign w:val="center"/>
          </w:tcPr>
          <w:p w14:paraId="2F48A221" w14:textId="77777777" w:rsidR="007E1D13" w:rsidRPr="00841715" w:rsidRDefault="007E1D13" w:rsidP="007E1D13">
            <w:pPr>
              <w:spacing w:before="120" w:after="120" w:line="240" w:lineRule="auto"/>
              <w:jc w:val="right"/>
              <w:rPr>
                <w:szCs w:val="24"/>
                <w:lang w:eastAsia="en-GB"/>
              </w:rPr>
            </w:pPr>
            <w:r>
              <w:rPr>
                <w:szCs w:val="24"/>
                <w:lang w:eastAsia="en-GB"/>
              </w:rPr>
              <w:t>20</w:t>
            </w:r>
          </w:p>
        </w:tc>
        <w:tc>
          <w:tcPr>
            <w:tcW w:w="567" w:type="dxa"/>
            <w:tcBorders>
              <w:top w:val="single" w:sz="4" w:space="0" w:color="auto"/>
            </w:tcBorders>
            <w:shd w:val="clear" w:color="auto" w:fill="auto"/>
            <w:vAlign w:val="center"/>
          </w:tcPr>
          <w:p w14:paraId="10809BDD" w14:textId="77777777" w:rsidR="007E1D13" w:rsidRPr="00841715" w:rsidRDefault="007E1D13" w:rsidP="007E1D13">
            <w:pPr>
              <w:spacing w:before="120" w:after="120" w:line="240" w:lineRule="auto"/>
              <w:jc w:val="center"/>
              <w:rPr>
                <w:szCs w:val="24"/>
                <w:lang w:eastAsia="en-GB"/>
              </w:rPr>
            </w:pPr>
          </w:p>
        </w:tc>
        <w:tc>
          <w:tcPr>
            <w:tcW w:w="1098" w:type="dxa"/>
            <w:tcBorders>
              <w:top w:val="single" w:sz="4" w:space="0" w:color="auto"/>
            </w:tcBorders>
            <w:shd w:val="clear" w:color="auto" w:fill="auto"/>
            <w:vAlign w:val="center"/>
          </w:tcPr>
          <w:p w14:paraId="30E838E4" w14:textId="77777777" w:rsidR="007E1D13" w:rsidRPr="00841715" w:rsidRDefault="007E1D13" w:rsidP="007E1D13">
            <w:pPr>
              <w:spacing w:before="120" w:after="120" w:line="240" w:lineRule="auto"/>
              <w:jc w:val="right"/>
              <w:rPr>
                <w:lang w:eastAsia="en-GB"/>
              </w:rPr>
            </w:pPr>
            <w:r>
              <w:rPr>
                <w:lang w:eastAsia="en-GB"/>
              </w:rPr>
              <w:t>3</w:t>
            </w:r>
          </w:p>
        </w:tc>
        <w:tc>
          <w:tcPr>
            <w:tcW w:w="461" w:type="dxa"/>
            <w:tcBorders>
              <w:top w:val="single" w:sz="4" w:space="0" w:color="auto"/>
            </w:tcBorders>
          </w:tcPr>
          <w:p w14:paraId="57DB40DE" w14:textId="77777777" w:rsidR="007E1D13" w:rsidRDefault="007E1D13" w:rsidP="007E1D13">
            <w:pPr>
              <w:spacing w:before="120" w:after="120" w:line="240" w:lineRule="auto"/>
              <w:jc w:val="right"/>
              <w:rPr>
                <w:lang w:eastAsia="en-GB"/>
              </w:rPr>
            </w:pPr>
          </w:p>
        </w:tc>
      </w:tr>
      <w:tr w:rsidR="007E1D13" w:rsidRPr="0020601A" w14:paraId="32BBCA72" w14:textId="77777777" w:rsidTr="007E1D13">
        <w:trPr>
          <w:trHeight w:val="407"/>
        </w:trPr>
        <w:tc>
          <w:tcPr>
            <w:tcW w:w="3369" w:type="dxa"/>
            <w:shd w:val="clear" w:color="auto" w:fill="auto"/>
            <w:noWrap/>
            <w:vAlign w:val="center"/>
          </w:tcPr>
          <w:p w14:paraId="6F0418B2" w14:textId="77777777" w:rsidR="007E1D13" w:rsidRPr="00841715" w:rsidRDefault="007E1D13" w:rsidP="007E1D13">
            <w:pPr>
              <w:spacing w:before="120" w:after="120" w:line="240" w:lineRule="auto"/>
              <w:rPr>
                <w:szCs w:val="24"/>
                <w:lang w:eastAsia="en-GB"/>
              </w:rPr>
            </w:pPr>
            <w:r w:rsidRPr="00841715">
              <w:rPr>
                <w:szCs w:val="24"/>
                <w:lang w:eastAsia="en-GB"/>
              </w:rPr>
              <w:t xml:space="preserve">Bath Salts </w:t>
            </w:r>
          </w:p>
        </w:tc>
        <w:tc>
          <w:tcPr>
            <w:tcW w:w="1417" w:type="dxa"/>
            <w:shd w:val="clear" w:color="auto" w:fill="auto"/>
            <w:noWrap/>
            <w:vAlign w:val="center"/>
          </w:tcPr>
          <w:p w14:paraId="0B3467B8" w14:textId="77777777" w:rsidR="007E1D13" w:rsidRPr="00841715" w:rsidRDefault="007E1D13" w:rsidP="007E1D13">
            <w:pPr>
              <w:spacing w:before="120" w:after="120" w:line="240" w:lineRule="auto"/>
              <w:jc w:val="right"/>
              <w:rPr>
                <w:szCs w:val="24"/>
                <w:lang w:eastAsia="en-GB"/>
              </w:rPr>
            </w:pPr>
            <w:r>
              <w:rPr>
                <w:szCs w:val="24"/>
                <w:lang w:eastAsia="en-GB"/>
              </w:rPr>
              <w:t>6</w:t>
            </w:r>
          </w:p>
        </w:tc>
        <w:tc>
          <w:tcPr>
            <w:tcW w:w="553" w:type="dxa"/>
            <w:shd w:val="clear" w:color="auto" w:fill="auto"/>
            <w:vAlign w:val="center"/>
          </w:tcPr>
          <w:p w14:paraId="747BA57A" w14:textId="77777777" w:rsidR="007E1D13" w:rsidRPr="00841715" w:rsidRDefault="007E1D13" w:rsidP="007E1D13">
            <w:pPr>
              <w:spacing w:before="120" w:after="120" w:line="240" w:lineRule="auto"/>
              <w:jc w:val="right"/>
              <w:rPr>
                <w:szCs w:val="24"/>
                <w:lang w:eastAsia="en-GB"/>
              </w:rPr>
            </w:pPr>
          </w:p>
        </w:tc>
        <w:tc>
          <w:tcPr>
            <w:tcW w:w="1290" w:type="dxa"/>
            <w:gridSpan w:val="2"/>
            <w:shd w:val="clear" w:color="auto" w:fill="auto"/>
            <w:vAlign w:val="center"/>
          </w:tcPr>
          <w:p w14:paraId="46883CE5" w14:textId="77777777" w:rsidR="007E1D13" w:rsidRPr="00841715" w:rsidRDefault="007E1D13" w:rsidP="007E1D13">
            <w:pPr>
              <w:spacing w:before="120" w:after="120" w:line="240" w:lineRule="auto"/>
              <w:jc w:val="right"/>
              <w:rPr>
                <w:szCs w:val="24"/>
                <w:lang w:eastAsia="en-GB"/>
              </w:rPr>
            </w:pPr>
            <w:r>
              <w:rPr>
                <w:szCs w:val="24"/>
                <w:lang w:eastAsia="en-GB"/>
              </w:rPr>
              <w:t>0</w:t>
            </w:r>
          </w:p>
        </w:tc>
        <w:tc>
          <w:tcPr>
            <w:tcW w:w="567" w:type="dxa"/>
            <w:shd w:val="clear" w:color="auto" w:fill="auto"/>
            <w:vAlign w:val="center"/>
          </w:tcPr>
          <w:p w14:paraId="7394F587" w14:textId="77777777" w:rsidR="007E1D13" w:rsidRPr="00841715" w:rsidRDefault="007E1D13" w:rsidP="007E1D13">
            <w:pPr>
              <w:spacing w:before="120" w:after="120" w:line="240" w:lineRule="auto"/>
              <w:jc w:val="center"/>
              <w:rPr>
                <w:szCs w:val="24"/>
                <w:lang w:eastAsia="en-GB"/>
              </w:rPr>
            </w:pPr>
          </w:p>
        </w:tc>
        <w:tc>
          <w:tcPr>
            <w:tcW w:w="1098" w:type="dxa"/>
            <w:shd w:val="clear" w:color="auto" w:fill="auto"/>
            <w:vAlign w:val="center"/>
          </w:tcPr>
          <w:p w14:paraId="349C422A" w14:textId="77777777" w:rsidR="007E1D13" w:rsidRDefault="007E1D13" w:rsidP="007E1D13">
            <w:pPr>
              <w:spacing w:before="120" w:after="120" w:line="240" w:lineRule="auto"/>
              <w:jc w:val="right"/>
              <w:rPr>
                <w:lang w:eastAsia="en-GB"/>
              </w:rPr>
            </w:pPr>
            <w:r>
              <w:rPr>
                <w:lang w:eastAsia="en-GB"/>
              </w:rPr>
              <w:t>- 6</w:t>
            </w:r>
          </w:p>
        </w:tc>
        <w:tc>
          <w:tcPr>
            <w:tcW w:w="461" w:type="dxa"/>
          </w:tcPr>
          <w:p w14:paraId="69A3247D" w14:textId="77777777" w:rsidR="007E1D13" w:rsidRDefault="007E1D13" w:rsidP="007E1D13">
            <w:pPr>
              <w:spacing w:before="120" w:after="120" w:line="240" w:lineRule="auto"/>
              <w:jc w:val="right"/>
              <w:rPr>
                <w:lang w:eastAsia="en-GB"/>
              </w:rPr>
            </w:pPr>
          </w:p>
        </w:tc>
      </w:tr>
      <w:tr w:rsidR="007E1D13" w:rsidRPr="0020601A" w14:paraId="6CDFDE1C" w14:textId="77777777" w:rsidTr="007E1D13">
        <w:trPr>
          <w:trHeight w:val="407"/>
        </w:trPr>
        <w:tc>
          <w:tcPr>
            <w:tcW w:w="3369" w:type="dxa"/>
            <w:shd w:val="clear" w:color="auto" w:fill="auto"/>
            <w:noWrap/>
            <w:vAlign w:val="center"/>
          </w:tcPr>
          <w:p w14:paraId="695234A1" w14:textId="77777777" w:rsidR="007E1D13" w:rsidRPr="00841715" w:rsidRDefault="007E1D13" w:rsidP="007E1D13">
            <w:pPr>
              <w:spacing w:before="120" w:after="120" w:line="240" w:lineRule="auto"/>
              <w:rPr>
                <w:szCs w:val="24"/>
                <w:lang w:eastAsia="en-GB"/>
              </w:rPr>
            </w:pPr>
            <w:r w:rsidRPr="00841715">
              <w:rPr>
                <w:szCs w:val="24"/>
                <w:lang w:eastAsia="en-GB"/>
              </w:rPr>
              <w:t>Michael Jordan</w:t>
            </w:r>
          </w:p>
        </w:tc>
        <w:tc>
          <w:tcPr>
            <w:tcW w:w="1417" w:type="dxa"/>
            <w:shd w:val="clear" w:color="auto" w:fill="auto"/>
            <w:noWrap/>
            <w:vAlign w:val="center"/>
          </w:tcPr>
          <w:p w14:paraId="11B9EDB1" w14:textId="77777777" w:rsidR="007E1D13" w:rsidRPr="00841715" w:rsidRDefault="007E1D13" w:rsidP="007E1D13">
            <w:pPr>
              <w:spacing w:before="120" w:after="120" w:line="240" w:lineRule="auto"/>
              <w:jc w:val="right"/>
              <w:rPr>
                <w:szCs w:val="24"/>
                <w:lang w:eastAsia="en-GB"/>
              </w:rPr>
            </w:pPr>
            <w:r>
              <w:rPr>
                <w:szCs w:val="24"/>
                <w:lang w:eastAsia="en-GB"/>
              </w:rPr>
              <w:t>4</w:t>
            </w:r>
          </w:p>
        </w:tc>
        <w:tc>
          <w:tcPr>
            <w:tcW w:w="553" w:type="dxa"/>
            <w:shd w:val="clear" w:color="auto" w:fill="auto"/>
            <w:vAlign w:val="center"/>
          </w:tcPr>
          <w:p w14:paraId="24E053AD" w14:textId="77777777" w:rsidR="007E1D13" w:rsidRPr="00841715" w:rsidRDefault="007E1D13" w:rsidP="007E1D13">
            <w:pPr>
              <w:spacing w:before="120" w:after="120" w:line="240" w:lineRule="auto"/>
              <w:jc w:val="right"/>
              <w:rPr>
                <w:szCs w:val="24"/>
                <w:lang w:eastAsia="en-GB"/>
              </w:rPr>
            </w:pPr>
          </w:p>
        </w:tc>
        <w:tc>
          <w:tcPr>
            <w:tcW w:w="1290" w:type="dxa"/>
            <w:gridSpan w:val="2"/>
            <w:shd w:val="clear" w:color="auto" w:fill="auto"/>
            <w:vAlign w:val="center"/>
          </w:tcPr>
          <w:p w14:paraId="4CF6EC6A" w14:textId="77777777" w:rsidR="007E1D13" w:rsidRPr="00841715" w:rsidRDefault="007E1D13" w:rsidP="007E1D13">
            <w:pPr>
              <w:spacing w:before="120" w:after="120" w:line="240" w:lineRule="auto"/>
              <w:jc w:val="right"/>
              <w:rPr>
                <w:szCs w:val="24"/>
                <w:lang w:eastAsia="en-GB"/>
              </w:rPr>
            </w:pPr>
            <w:r>
              <w:rPr>
                <w:szCs w:val="24"/>
                <w:lang w:eastAsia="en-GB"/>
              </w:rPr>
              <w:t>0</w:t>
            </w:r>
          </w:p>
        </w:tc>
        <w:tc>
          <w:tcPr>
            <w:tcW w:w="567" w:type="dxa"/>
            <w:shd w:val="clear" w:color="auto" w:fill="auto"/>
            <w:vAlign w:val="center"/>
          </w:tcPr>
          <w:p w14:paraId="37D86CCF" w14:textId="77777777" w:rsidR="007E1D13" w:rsidRPr="00841715" w:rsidRDefault="007E1D13" w:rsidP="007E1D13">
            <w:pPr>
              <w:spacing w:before="120" w:after="120" w:line="240" w:lineRule="auto"/>
              <w:jc w:val="center"/>
              <w:rPr>
                <w:szCs w:val="24"/>
                <w:lang w:eastAsia="en-GB"/>
              </w:rPr>
            </w:pPr>
          </w:p>
        </w:tc>
        <w:tc>
          <w:tcPr>
            <w:tcW w:w="1098" w:type="dxa"/>
            <w:shd w:val="clear" w:color="auto" w:fill="auto"/>
            <w:vAlign w:val="center"/>
          </w:tcPr>
          <w:p w14:paraId="04D313ED" w14:textId="77777777" w:rsidR="007E1D13" w:rsidRPr="0020601A" w:rsidRDefault="007E1D13" w:rsidP="007E1D13">
            <w:pPr>
              <w:spacing w:before="120" w:after="120" w:line="240" w:lineRule="auto"/>
              <w:jc w:val="right"/>
              <w:rPr>
                <w:lang w:eastAsia="en-GB"/>
              </w:rPr>
            </w:pPr>
            <w:r>
              <w:rPr>
                <w:lang w:eastAsia="en-GB"/>
              </w:rPr>
              <w:t>- 4</w:t>
            </w:r>
          </w:p>
        </w:tc>
        <w:tc>
          <w:tcPr>
            <w:tcW w:w="461" w:type="dxa"/>
          </w:tcPr>
          <w:p w14:paraId="30B00C98" w14:textId="77777777" w:rsidR="007E1D13" w:rsidRDefault="007E1D13" w:rsidP="007E1D13">
            <w:pPr>
              <w:spacing w:before="120" w:after="120" w:line="240" w:lineRule="auto"/>
              <w:jc w:val="right"/>
              <w:rPr>
                <w:lang w:eastAsia="en-GB"/>
              </w:rPr>
            </w:pPr>
          </w:p>
        </w:tc>
      </w:tr>
      <w:tr w:rsidR="007E1D13" w:rsidRPr="0020601A" w14:paraId="39676C4B" w14:textId="77777777" w:rsidTr="007E1D13">
        <w:trPr>
          <w:trHeight w:val="407"/>
        </w:trPr>
        <w:tc>
          <w:tcPr>
            <w:tcW w:w="3369" w:type="dxa"/>
            <w:shd w:val="clear" w:color="auto" w:fill="auto"/>
            <w:noWrap/>
            <w:vAlign w:val="center"/>
          </w:tcPr>
          <w:p w14:paraId="6358CF88" w14:textId="77777777" w:rsidR="007E1D13" w:rsidRPr="00841715" w:rsidRDefault="007E1D13" w:rsidP="007E1D13">
            <w:pPr>
              <w:spacing w:before="120" w:after="120" w:line="240" w:lineRule="auto"/>
              <w:rPr>
                <w:szCs w:val="24"/>
                <w:lang w:eastAsia="en-GB"/>
              </w:rPr>
            </w:pPr>
            <w:r w:rsidRPr="00841715">
              <w:rPr>
                <w:szCs w:val="24"/>
                <w:lang w:eastAsia="en-GB"/>
              </w:rPr>
              <w:t>Black mamba</w:t>
            </w:r>
          </w:p>
        </w:tc>
        <w:tc>
          <w:tcPr>
            <w:tcW w:w="1417" w:type="dxa"/>
            <w:shd w:val="clear" w:color="auto" w:fill="auto"/>
            <w:noWrap/>
            <w:vAlign w:val="center"/>
          </w:tcPr>
          <w:p w14:paraId="611E7BE1" w14:textId="77777777" w:rsidR="007E1D13" w:rsidRPr="00841715" w:rsidRDefault="007E1D13" w:rsidP="007E1D13">
            <w:pPr>
              <w:spacing w:before="120" w:after="120" w:line="240" w:lineRule="auto"/>
              <w:jc w:val="right"/>
              <w:rPr>
                <w:szCs w:val="24"/>
                <w:lang w:eastAsia="en-GB"/>
              </w:rPr>
            </w:pPr>
            <w:r>
              <w:rPr>
                <w:szCs w:val="24"/>
                <w:lang w:eastAsia="en-GB"/>
              </w:rPr>
              <w:t>3</w:t>
            </w:r>
          </w:p>
        </w:tc>
        <w:tc>
          <w:tcPr>
            <w:tcW w:w="553" w:type="dxa"/>
            <w:shd w:val="clear" w:color="auto" w:fill="auto"/>
            <w:vAlign w:val="center"/>
          </w:tcPr>
          <w:p w14:paraId="69836105" w14:textId="77777777" w:rsidR="007E1D13" w:rsidRPr="00841715" w:rsidRDefault="007E1D13" w:rsidP="007E1D13">
            <w:pPr>
              <w:spacing w:before="120" w:after="120" w:line="240" w:lineRule="auto"/>
              <w:jc w:val="right"/>
              <w:rPr>
                <w:szCs w:val="24"/>
                <w:lang w:eastAsia="en-GB"/>
              </w:rPr>
            </w:pPr>
          </w:p>
        </w:tc>
        <w:tc>
          <w:tcPr>
            <w:tcW w:w="1290" w:type="dxa"/>
            <w:gridSpan w:val="2"/>
            <w:shd w:val="clear" w:color="auto" w:fill="auto"/>
            <w:vAlign w:val="center"/>
          </w:tcPr>
          <w:p w14:paraId="702DE770" w14:textId="77777777" w:rsidR="007E1D13" w:rsidRPr="00841715" w:rsidRDefault="007E1D13" w:rsidP="007E1D13">
            <w:pPr>
              <w:spacing w:before="120" w:after="120" w:line="240" w:lineRule="auto"/>
              <w:jc w:val="right"/>
              <w:rPr>
                <w:szCs w:val="24"/>
                <w:lang w:eastAsia="en-GB"/>
              </w:rPr>
            </w:pPr>
            <w:r>
              <w:rPr>
                <w:szCs w:val="24"/>
                <w:lang w:eastAsia="en-GB"/>
              </w:rPr>
              <w:t>1</w:t>
            </w:r>
          </w:p>
        </w:tc>
        <w:tc>
          <w:tcPr>
            <w:tcW w:w="567" w:type="dxa"/>
            <w:shd w:val="clear" w:color="auto" w:fill="auto"/>
            <w:vAlign w:val="center"/>
          </w:tcPr>
          <w:p w14:paraId="2C149FBC" w14:textId="77777777" w:rsidR="007E1D13" w:rsidRPr="00841715" w:rsidRDefault="007E1D13" w:rsidP="007E1D13">
            <w:pPr>
              <w:spacing w:before="120" w:after="120" w:line="240" w:lineRule="auto"/>
              <w:jc w:val="center"/>
              <w:rPr>
                <w:szCs w:val="24"/>
                <w:lang w:eastAsia="en-GB"/>
              </w:rPr>
            </w:pPr>
          </w:p>
        </w:tc>
        <w:tc>
          <w:tcPr>
            <w:tcW w:w="1098" w:type="dxa"/>
            <w:shd w:val="clear" w:color="auto" w:fill="auto"/>
            <w:vAlign w:val="center"/>
          </w:tcPr>
          <w:p w14:paraId="2E40C671" w14:textId="77777777" w:rsidR="007E1D13" w:rsidRPr="0020601A" w:rsidRDefault="007E1D13" w:rsidP="007E1D13">
            <w:pPr>
              <w:spacing w:before="120" w:after="120" w:line="240" w:lineRule="auto"/>
              <w:jc w:val="right"/>
              <w:rPr>
                <w:lang w:eastAsia="en-GB"/>
              </w:rPr>
            </w:pPr>
            <w:r>
              <w:rPr>
                <w:lang w:eastAsia="en-GB"/>
              </w:rPr>
              <w:t>- 2</w:t>
            </w:r>
          </w:p>
        </w:tc>
        <w:tc>
          <w:tcPr>
            <w:tcW w:w="461" w:type="dxa"/>
          </w:tcPr>
          <w:p w14:paraId="06099A0C" w14:textId="77777777" w:rsidR="007E1D13" w:rsidRDefault="007E1D13" w:rsidP="007E1D13">
            <w:pPr>
              <w:spacing w:before="120" w:after="120" w:line="240" w:lineRule="auto"/>
              <w:jc w:val="right"/>
              <w:rPr>
                <w:lang w:eastAsia="en-GB"/>
              </w:rPr>
            </w:pPr>
          </w:p>
        </w:tc>
      </w:tr>
      <w:tr w:rsidR="007E1D13" w:rsidRPr="0020601A" w14:paraId="42B17F1F" w14:textId="77777777" w:rsidTr="007E1D13">
        <w:trPr>
          <w:trHeight w:val="407"/>
        </w:trPr>
        <w:tc>
          <w:tcPr>
            <w:tcW w:w="3369" w:type="dxa"/>
            <w:shd w:val="clear" w:color="auto" w:fill="auto"/>
            <w:noWrap/>
            <w:vAlign w:val="center"/>
          </w:tcPr>
          <w:p w14:paraId="4FB239FC" w14:textId="77777777" w:rsidR="007E1D13" w:rsidRPr="00841715" w:rsidRDefault="007E1D13" w:rsidP="007E1D13">
            <w:pPr>
              <w:spacing w:before="120" w:after="120" w:line="240" w:lineRule="auto"/>
              <w:rPr>
                <w:szCs w:val="24"/>
                <w:lang w:eastAsia="en-GB"/>
              </w:rPr>
            </w:pPr>
            <w:r w:rsidRPr="00841715">
              <w:rPr>
                <w:szCs w:val="24"/>
                <w:lang w:eastAsia="en-GB"/>
              </w:rPr>
              <w:t>Clockwork orange</w:t>
            </w:r>
          </w:p>
        </w:tc>
        <w:tc>
          <w:tcPr>
            <w:tcW w:w="1417" w:type="dxa"/>
            <w:shd w:val="clear" w:color="auto" w:fill="auto"/>
            <w:noWrap/>
            <w:vAlign w:val="center"/>
          </w:tcPr>
          <w:p w14:paraId="03674FFE" w14:textId="77777777" w:rsidR="007E1D13" w:rsidRPr="00841715" w:rsidRDefault="007E1D13" w:rsidP="007E1D13">
            <w:pPr>
              <w:spacing w:before="120" w:after="120" w:line="240" w:lineRule="auto"/>
              <w:jc w:val="right"/>
              <w:rPr>
                <w:szCs w:val="24"/>
                <w:lang w:eastAsia="en-GB"/>
              </w:rPr>
            </w:pPr>
            <w:r>
              <w:rPr>
                <w:szCs w:val="24"/>
                <w:lang w:eastAsia="en-GB"/>
              </w:rPr>
              <w:t>2</w:t>
            </w:r>
          </w:p>
        </w:tc>
        <w:tc>
          <w:tcPr>
            <w:tcW w:w="553" w:type="dxa"/>
            <w:shd w:val="clear" w:color="auto" w:fill="auto"/>
            <w:vAlign w:val="center"/>
          </w:tcPr>
          <w:p w14:paraId="2D7475C7" w14:textId="77777777" w:rsidR="007E1D13" w:rsidRPr="00841715" w:rsidRDefault="007E1D13" w:rsidP="007E1D13">
            <w:pPr>
              <w:spacing w:before="120" w:after="120" w:line="240" w:lineRule="auto"/>
              <w:jc w:val="right"/>
              <w:rPr>
                <w:szCs w:val="24"/>
                <w:lang w:eastAsia="en-GB"/>
              </w:rPr>
            </w:pPr>
          </w:p>
        </w:tc>
        <w:tc>
          <w:tcPr>
            <w:tcW w:w="1290" w:type="dxa"/>
            <w:gridSpan w:val="2"/>
            <w:shd w:val="clear" w:color="auto" w:fill="auto"/>
            <w:vAlign w:val="center"/>
          </w:tcPr>
          <w:p w14:paraId="67D7171A" w14:textId="77777777" w:rsidR="007E1D13" w:rsidRPr="00841715" w:rsidRDefault="007E1D13" w:rsidP="007E1D13">
            <w:pPr>
              <w:spacing w:before="120" w:after="120" w:line="240" w:lineRule="auto"/>
              <w:jc w:val="right"/>
              <w:rPr>
                <w:szCs w:val="24"/>
                <w:lang w:eastAsia="en-GB"/>
              </w:rPr>
            </w:pPr>
            <w:r>
              <w:rPr>
                <w:szCs w:val="24"/>
                <w:lang w:eastAsia="en-GB"/>
              </w:rPr>
              <w:t>1</w:t>
            </w:r>
          </w:p>
        </w:tc>
        <w:tc>
          <w:tcPr>
            <w:tcW w:w="567" w:type="dxa"/>
            <w:shd w:val="clear" w:color="auto" w:fill="auto"/>
            <w:vAlign w:val="center"/>
          </w:tcPr>
          <w:p w14:paraId="419E290C" w14:textId="77777777" w:rsidR="007E1D13" w:rsidRPr="00841715" w:rsidRDefault="007E1D13" w:rsidP="007E1D13">
            <w:pPr>
              <w:spacing w:before="120" w:after="120" w:line="240" w:lineRule="auto"/>
              <w:jc w:val="center"/>
              <w:rPr>
                <w:szCs w:val="24"/>
                <w:lang w:eastAsia="en-GB"/>
              </w:rPr>
            </w:pPr>
          </w:p>
        </w:tc>
        <w:tc>
          <w:tcPr>
            <w:tcW w:w="1098" w:type="dxa"/>
            <w:shd w:val="clear" w:color="auto" w:fill="auto"/>
            <w:vAlign w:val="center"/>
          </w:tcPr>
          <w:p w14:paraId="6B997AB6" w14:textId="77777777" w:rsidR="007E1D13" w:rsidRPr="0020601A" w:rsidRDefault="007E1D13" w:rsidP="007E1D13">
            <w:pPr>
              <w:spacing w:before="120" w:after="120" w:line="240" w:lineRule="auto"/>
              <w:jc w:val="right"/>
              <w:rPr>
                <w:lang w:eastAsia="en-GB"/>
              </w:rPr>
            </w:pPr>
            <w:r>
              <w:rPr>
                <w:lang w:eastAsia="en-GB"/>
              </w:rPr>
              <w:t>- 1</w:t>
            </w:r>
          </w:p>
        </w:tc>
        <w:tc>
          <w:tcPr>
            <w:tcW w:w="461" w:type="dxa"/>
          </w:tcPr>
          <w:p w14:paraId="7A0591A6" w14:textId="77777777" w:rsidR="007E1D13" w:rsidRDefault="007E1D13" w:rsidP="007E1D13">
            <w:pPr>
              <w:spacing w:before="120" w:after="120" w:line="240" w:lineRule="auto"/>
              <w:jc w:val="right"/>
              <w:rPr>
                <w:lang w:eastAsia="en-GB"/>
              </w:rPr>
            </w:pPr>
          </w:p>
        </w:tc>
      </w:tr>
      <w:tr w:rsidR="007E1D13" w:rsidRPr="0020601A" w14:paraId="24AFC6ED" w14:textId="77777777" w:rsidTr="007E1D13">
        <w:trPr>
          <w:trHeight w:val="407"/>
        </w:trPr>
        <w:tc>
          <w:tcPr>
            <w:tcW w:w="3369" w:type="dxa"/>
            <w:shd w:val="clear" w:color="auto" w:fill="auto"/>
            <w:noWrap/>
            <w:vAlign w:val="center"/>
          </w:tcPr>
          <w:p w14:paraId="2E669ECE" w14:textId="77777777" w:rsidR="007E1D13" w:rsidRPr="00841715" w:rsidRDefault="007E1D13" w:rsidP="007E1D13">
            <w:pPr>
              <w:spacing w:before="120" w:after="120" w:line="240" w:lineRule="auto"/>
              <w:rPr>
                <w:szCs w:val="24"/>
                <w:lang w:eastAsia="en-GB"/>
              </w:rPr>
            </w:pPr>
            <w:r w:rsidRPr="00841715">
              <w:rPr>
                <w:szCs w:val="24"/>
                <w:lang w:eastAsia="en-GB"/>
              </w:rPr>
              <w:t>Mephedrone</w:t>
            </w:r>
          </w:p>
        </w:tc>
        <w:tc>
          <w:tcPr>
            <w:tcW w:w="1417" w:type="dxa"/>
            <w:shd w:val="clear" w:color="auto" w:fill="auto"/>
            <w:noWrap/>
            <w:vAlign w:val="center"/>
          </w:tcPr>
          <w:p w14:paraId="31E716CF" w14:textId="77777777" w:rsidR="007E1D13" w:rsidRPr="00841715" w:rsidRDefault="007E1D13" w:rsidP="007E1D13">
            <w:pPr>
              <w:spacing w:before="120" w:after="120" w:line="240" w:lineRule="auto"/>
              <w:jc w:val="right"/>
              <w:rPr>
                <w:szCs w:val="24"/>
                <w:lang w:eastAsia="en-GB"/>
              </w:rPr>
            </w:pPr>
            <w:r>
              <w:rPr>
                <w:szCs w:val="24"/>
                <w:lang w:eastAsia="en-GB"/>
              </w:rPr>
              <w:t>2</w:t>
            </w:r>
          </w:p>
        </w:tc>
        <w:tc>
          <w:tcPr>
            <w:tcW w:w="553" w:type="dxa"/>
            <w:shd w:val="clear" w:color="auto" w:fill="auto"/>
            <w:vAlign w:val="center"/>
          </w:tcPr>
          <w:p w14:paraId="0962D21A" w14:textId="77777777" w:rsidR="007E1D13" w:rsidRPr="00841715" w:rsidRDefault="007E1D13" w:rsidP="007E1D13">
            <w:pPr>
              <w:spacing w:before="120" w:after="120" w:line="240" w:lineRule="auto"/>
              <w:jc w:val="right"/>
              <w:rPr>
                <w:szCs w:val="24"/>
                <w:lang w:eastAsia="en-GB"/>
              </w:rPr>
            </w:pPr>
          </w:p>
        </w:tc>
        <w:tc>
          <w:tcPr>
            <w:tcW w:w="1290" w:type="dxa"/>
            <w:gridSpan w:val="2"/>
            <w:shd w:val="clear" w:color="auto" w:fill="auto"/>
            <w:vAlign w:val="center"/>
          </w:tcPr>
          <w:p w14:paraId="2F22ED30" w14:textId="77777777" w:rsidR="007E1D13" w:rsidRPr="00841715" w:rsidRDefault="007E1D13" w:rsidP="007E1D13">
            <w:pPr>
              <w:spacing w:before="120" w:after="120" w:line="240" w:lineRule="auto"/>
              <w:jc w:val="right"/>
              <w:rPr>
                <w:szCs w:val="24"/>
                <w:lang w:eastAsia="en-GB"/>
              </w:rPr>
            </w:pPr>
            <w:r>
              <w:rPr>
                <w:szCs w:val="24"/>
                <w:lang w:eastAsia="en-GB"/>
              </w:rPr>
              <w:t>0</w:t>
            </w:r>
          </w:p>
        </w:tc>
        <w:tc>
          <w:tcPr>
            <w:tcW w:w="567" w:type="dxa"/>
            <w:shd w:val="clear" w:color="auto" w:fill="auto"/>
            <w:vAlign w:val="center"/>
          </w:tcPr>
          <w:p w14:paraId="69F217B0" w14:textId="77777777" w:rsidR="007E1D13" w:rsidRPr="00841715" w:rsidRDefault="007E1D13" w:rsidP="007E1D13">
            <w:pPr>
              <w:spacing w:before="120" w:after="120" w:line="240" w:lineRule="auto"/>
              <w:jc w:val="center"/>
              <w:rPr>
                <w:szCs w:val="24"/>
                <w:lang w:eastAsia="en-GB"/>
              </w:rPr>
            </w:pPr>
          </w:p>
        </w:tc>
        <w:tc>
          <w:tcPr>
            <w:tcW w:w="1098" w:type="dxa"/>
            <w:shd w:val="clear" w:color="auto" w:fill="auto"/>
            <w:vAlign w:val="center"/>
          </w:tcPr>
          <w:p w14:paraId="07839F32" w14:textId="77777777" w:rsidR="007E1D13" w:rsidRDefault="007E1D13" w:rsidP="007E1D13">
            <w:pPr>
              <w:spacing w:before="120" w:after="120" w:line="240" w:lineRule="auto"/>
              <w:jc w:val="right"/>
              <w:rPr>
                <w:lang w:eastAsia="en-GB"/>
              </w:rPr>
            </w:pPr>
            <w:r>
              <w:rPr>
                <w:lang w:eastAsia="en-GB"/>
              </w:rPr>
              <w:t>- 2</w:t>
            </w:r>
          </w:p>
        </w:tc>
        <w:tc>
          <w:tcPr>
            <w:tcW w:w="461" w:type="dxa"/>
          </w:tcPr>
          <w:p w14:paraId="5F7EF5FD" w14:textId="77777777" w:rsidR="007E1D13" w:rsidRDefault="007E1D13" w:rsidP="007E1D13">
            <w:pPr>
              <w:spacing w:before="120" w:after="120" w:line="240" w:lineRule="auto"/>
              <w:jc w:val="right"/>
              <w:rPr>
                <w:lang w:eastAsia="en-GB"/>
              </w:rPr>
            </w:pPr>
          </w:p>
        </w:tc>
      </w:tr>
      <w:tr w:rsidR="007E1D13" w:rsidRPr="0020601A" w14:paraId="3E7E60AE" w14:textId="77777777" w:rsidTr="007E1D13">
        <w:trPr>
          <w:trHeight w:val="407"/>
        </w:trPr>
        <w:tc>
          <w:tcPr>
            <w:tcW w:w="3369" w:type="dxa"/>
            <w:tcBorders>
              <w:bottom w:val="single" w:sz="4" w:space="0" w:color="auto"/>
            </w:tcBorders>
            <w:shd w:val="clear" w:color="auto" w:fill="auto"/>
            <w:noWrap/>
            <w:vAlign w:val="center"/>
          </w:tcPr>
          <w:p w14:paraId="066F27AD" w14:textId="77777777" w:rsidR="007E1D13" w:rsidRPr="00841715" w:rsidRDefault="007E1D13" w:rsidP="007E1D13">
            <w:pPr>
              <w:spacing w:before="120" w:after="240" w:line="240" w:lineRule="auto"/>
              <w:rPr>
                <w:szCs w:val="24"/>
                <w:lang w:eastAsia="en-GB"/>
              </w:rPr>
            </w:pPr>
            <w:r w:rsidRPr="00841715">
              <w:rPr>
                <w:szCs w:val="24"/>
                <w:lang w:eastAsia="en-GB"/>
              </w:rPr>
              <w:t>Nitrous oxide</w:t>
            </w:r>
          </w:p>
        </w:tc>
        <w:tc>
          <w:tcPr>
            <w:tcW w:w="1417" w:type="dxa"/>
            <w:tcBorders>
              <w:bottom w:val="single" w:sz="4" w:space="0" w:color="auto"/>
            </w:tcBorders>
            <w:shd w:val="clear" w:color="auto" w:fill="auto"/>
            <w:noWrap/>
            <w:vAlign w:val="center"/>
          </w:tcPr>
          <w:p w14:paraId="7151C673" w14:textId="77777777" w:rsidR="007E1D13" w:rsidRPr="00841715" w:rsidRDefault="007E1D13" w:rsidP="007E1D13">
            <w:pPr>
              <w:spacing w:before="120" w:after="240" w:line="240" w:lineRule="auto"/>
              <w:jc w:val="right"/>
              <w:rPr>
                <w:szCs w:val="24"/>
                <w:lang w:eastAsia="en-GB"/>
              </w:rPr>
            </w:pPr>
            <w:r>
              <w:rPr>
                <w:szCs w:val="24"/>
                <w:lang w:eastAsia="en-GB"/>
              </w:rPr>
              <w:t>2</w:t>
            </w:r>
          </w:p>
        </w:tc>
        <w:tc>
          <w:tcPr>
            <w:tcW w:w="553" w:type="dxa"/>
            <w:tcBorders>
              <w:bottom w:val="single" w:sz="4" w:space="0" w:color="auto"/>
            </w:tcBorders>
            <w:shd w:val="clear" w:color="auto" w:fill="auto"/>
            <w:vAlign w:val="center"/>
          </w:tcPr>
          <w:p w14:paraId="6937293A" w14:textId="77777777" w:rsidR="007E1D13" w:rsidRPr="00841715" w:rsidRDefault="007E1D13" w:rsidP="007E1D13">
            <w:pPr>
              <w:spacing w:before="120" w:after="240" w:line="240" w:lineRule="auto"/>
              <w:jc w:val="right"/>
              <w:rPr>
                <w:szCs w:val="24"/>
                <w:lang w:eastAsia="en-GB"/>
              </w:rPr>
            </w:pPr>
          </w:p>
        </w:tc>
        <w:tc>
          <w:tcPr>
            <w:tcW w:w="1290" w:type="dxa"/>
            <w:gridSpan w:val="2"/>
            <w:tcBorders>
              <w:bottom w:val="single" w:sz="4" w:space="0" w:color="auto"/>
            </w:tcBorders>
            <w:shd w:val="clear" w:color="auto" w:fill="auto"/>
            <w:vAlign w:val="center"/>
          </w:tcPr>
          <w:p w14:paraId="0435953A" w14:textId="77777777" w:rsidR="007E1D13" w:rsidRPr="00841715" w:rsidRDefault="007E1D13" w:rsidP="007E1D13">
            <w:pPr>
              <w:spacing w:before="120" w:after="240" w:line="240" w:lineRule="auto"/>
              <w:jc w:val="right"/>
              <w:rPr>
                <w:szCs w:val="24"/>
                <w:lang w:eastAsia="en-GB"/>
              </w:rPr>
            </w:pPr>
            <w:r>
              <w:rPr>
                <w:szCs w:val="24"/>
                <w:lang w:eastAsia="en-GB"/>
              </w:rPr>
              <w:t>9</w:t>
            </w:r>
          </w:p>
        </w:tc>
        <w:tc>
          <w:tcPr>
            <w:tcW w:w="567" w:type="dxa"/>
            <w:tcBorders>
              <w:bottom w:val="single" w:sz="4" w:space="0" w:color="auto"/>
            </w:tcBorders>
            <w:shd w:val="clear" w:color="auto" w:fill="auto"/>
            <w:vAlign w:val="center"/>
          </w:tcPr>
          <w:p w14:paraId="16AA8EEA" w14:textId="77777777" w:rsidR="007E1D13" w:rsidRPr="00841715" w:rsidRDefault="007E1D13" w:rsidP="007E1D13">
            <w:pPr>
              <w:spacing w:before="120" w:after="240" w:line="240" w:lineRule="auto"/>
              <w:jc w:val="center"/>
              <w:rPr>
                <w:szCs w:val="24"/>
                <w:lang w:eastAsia="en-GB"/>
              </w:rPr>
            </w:pPr>
          </w:p>
        </w:tc>
        <w:tc>
          <w:tcPr>
            <w:tcW w:w="1098" w:type="dxa"/>
            <w:tcBorders>
              <w:bottom w:val="single" w:sz="4" w:space="0" w:color="auto"/>
            </w:tcBorders>
            <w:shd w:val="clear" w:color="auto" w:fill="auto"/>
            <w:vAlign w:val="center"/>
          </w:tcPr>
          <w:p w14:paraId="28396D5E" w14:textId="77777777" w:rsidR="007E1D13" w:rsidRDefault="007E1D13" w:rsidP="007E1D13">
            <w:pPr>
              <w:spacing w:before="120" w:after="240" w:line="240" w:lineRule="auto"/>
              <w:jc w:val="right"/>
              <w:rPr>
                <w:lang w:eastAsia="en-GB"/>
              </w:rPr>
            </w:pPr>
            <w:r>
              <w:rPr>
                <w:lang w:eastAsia="en-GB"/>
              </w:rPr>
              <w:t>+ 7</w:t>
            </w:r>
          </w:p>
        </w:tc>
        <w:tc>
          <w:tcPr>
            <w:tcW w:w="461" w:type="dxa"/>
            <w:tcBorders>
              <w:bottom w:val="single" w:sz="4" w:space="0" w:color="auto"/>
            </w:tcBorders>
          </w:tcPr>
          <w:p w14:paraId="3E257821" w14:textId="77777777" w:rsidR="007E1D13" w:rsidRDefault="007E1D13" w:rsidP="007E1D13">
            <w:pPr>
              <w:spacing w:before="120" w:after="240" w:line="240" w:lineRule="auto"/>
              <w:jc w:val="right"/>
              <w:rPr>
                <w:lang w:eastAsia="en-GB"/>
              </w:rPr>
            </w:pPr>
          </w:p>
        </w:tc>
      </w:tr>
    </w:tbl>
    <w:p w14:paraId="114FD31F" w14:textId="77777777" w:rsidR="007E1D13" w:rsidRDefault="007E1D13" w:rsidP="007E1D13">
      <w:pPr>
        <w:spacing w:line="480" w:lineRule="auto"/>
      </w:pPr>
    </w:p>
    <w:p w14:paraId="3E6312EB" w14:textId="5A36F1E1" w:rsidR="007E1D13" w:rsidRDefault="007E1D13" w:rsidP="007E1D13">
      <w:pPr>
        <w:pStyle w:val="Heading3"/>
      </w:pPr>
      <w:bookmarkStart w:id="462" w:name="_Toc35892713"/>
      <w:bookmarkEnd w:id="457"/>
      <w:r>
        <w:t>Participants perceptions</w:t>
      </w:r>
      <w:r w:rsidRPr="00B72AC2">
        <w:t xml:space="preserve"> of the PS Act</w:t>
      </w:r>
      <w:bookmarkEnd w:id="462"/>
    </w:p>
    <w:p w14:paraId="23467164" w14:textId="77777777" w:rsidR="00B25910" w:rsidRDefault="007E1D13" w:rsidP="007E1D13">
      <w:pPr>
        <w:spacing w:line="480" w:lineRule="auto"/>
      </w:pPr>
      <w:r>
        <w:t>While all participants taking part in the study had heard of legal highs, not all of them were aware of the PS Act, although the majority reported that they had heard about the ban prior to attending the focus group session (see Table</w:t>
      </w:r>
      <w:r w:rsidR="009E0DF7">
        <w:t>7-</w:t>
      </w:r>
      <w:r>
        <w:t>5).</w:t>
      </w:r>
    </w:p>
    <w:p w14:paraId="79D9A639" w14:textId="14C4876E" w:rsidR="007E1D13" w:rsidRPr="004B0B16" w:rsidRDefault="007E1D13" w:rsidP="00B25910">
      <w:pPr>
        <w:pStyle w:val="TableHeader"/>
        <w:rPr>
          <w:rStyle w:val="TableHeaderChar"/>
          <w:b/>
        </w:rPr>
      </w:pPr>
      <w:bookmarkStart w:id="463" w:name="_Toc9509079"/>
      <w:r w:rsidRPr="004B0B16">
        <w:rPr>
          <w:rStyle w:val="TableHeaderChar"/>
          <w:b/>
        </w:rPr>
        <w:t xml:space="preserve">Table </w:t>
      </w:r>
      <w:r w:rsidR="009E0DF7" w:rsidRPr="004B0B16">
        <w:rPr>
          <w:rStyle w:val="TableHeaderChar"/>
          <w:b/>
        </w:rPr>
        <w:t>7-</w:t>
      </w:r>
      <w:r w:rsidRPr="004B0B16">
        <w:rPr>
          <w:rStyle w:val="TableHeaderChar"/>
          <w:b/>
        </w:rPr>
        <w:t>5 Participants awareness of the PS Act</w:t>
      </w:r>
      <w:bookmarkEnd w:id="463"/>
      <w:r w:rsidRPr="004B0B16">
        <w:rPr>
          <w:rStyle w:val="TableHeaderChar"/>
          <w:b/>
        </w:rPr>
        <w:t xml:space="preserve">  </w:t>
      </w:r>
    </w:p>
    <w:tbl>
      <w:tblPr>
        <w:tblStyle w:val="TableGrid"/>
        <w:tblW w:w="0" w:type="auto"/>
        <w:tblLook w:val="04A0" w:firstRow="1" w:lastRow="0" w:firstColumn="1" w:lastColumn="0" w:noHBand="0" w:noVBand="1"/>
      </w:tblPr>
      <w:tblGrid>
        <w:gridCol w:w="2984"/>
        <w:gridCol w:w="765"/>
        <w:gridCol w:w="902"/>
        <w:gridCol w:w="880"/>
        <w:gridCol w:w="919"/>
        <w:gridCol w:w="888"/>
      </w:tblGrid>
      <w:tr w:rsidR="007E1D13" w:rsidRPr="004538A2" w14:paraId="3EC83EBE" w14:textId="77777777" w:rsidTr="007E1D13">
        <w:trPr>
          <w:trHeight w:val="352"/>
        </w:trPr>
        <w:tc>
          <w:tcPr>
            <w:tcW w:w="2984" w:type="dxa"/>
            <w:tcBorders>
              <w:top w:val="single" w:sz="4" w:space="0" w:color="auto"/>
              <w:left w:val="nil"/>
              <w:bottom w:val="nil"/>
              <w:right w:val="nil"/>
            </w:tcBorders>
          </w:tcPr>
          <w:p w14:paraId="2DCAC548" w14:textId="77777777" w:rsidR="007E1D13" w:rsidRPr="004538A2" w:rsidRDefault="007E1D13" w:rsidP="007E1D13">
            <w:pPr>
              <w:rPr>
                <w:rFonts w:cs="Arial"/>
                <w:color w:val="000000" w:themeColor="text1"/>
                <w:shd w:val="clear" w:color="auto" w:fill="FFFFFF"/>
              </w:rPr>
            </w:pPr>
          </w:p>
        </w:tc>
        <w:tc>
          <w:tcPr>
            <w:tcW w:w="1667" w:type="dxa"/>
            <w:gridSpan w:val="2"/>
            <w:tcBorders>
              <w:top w:val="single" w:sz="4" w:space="0" w:color="auto"/>
              <w:left w:val="nil"/>
              <w:bottom w:val="single" w:sz="4" w:space="0" w:color="auto"/>
              <w:right w:val="nil"/>
            </w:tcBorders>
          </w:tcPr>
          <w:p w14:paraId="56FF1646" w14:textId="77777777" w:rsidR="007E1D13" w:rsidRPr="004538A2" w:rsidRDefault="007E1D13" w:rsidP="007E1D13">
            <w:pPr>
              <w:rPr>
                <w:rFonts w:cs="Arial"/>
                <w:color w:val="000000" w:themeColor="text1"/>
                <w:shd w:val="clear" w:color="auto" w:fill="FFFFFF"/>
              </w:rPr>
            </w:pPr>
            <w:r w:rsidRPr="00D572AB">
              <w:rPr>
                <w:rFonts w:cs="Arial"/>
                <w:b/>
                <w:color w:val="000000" w:themeColor="text1"/>
                <w:shd w:val="clear" w:color="auto" w:fill="FFFFFF"/>
              </w:rPr>
              <w:t xml:space="preserve">Focus group </w:t>
            </w:r>
          </w:p>
        </w:tc>
        <w:tc>
          <w:tcPr>
            <w:tcW w:w="880" w:type="dxa"/>
            <w:tcBorders>
              <w:top w:val="single" w:sz="4" w:space="0" w:color="auto"/>
              <w:left w:val="nil"/>
              <w:bottom w:val="single" w:sz="4" w:space="0" w:color="auto"/>
              <w:right w:val="nil"/>
            </w:tcBorders>
          </w:tcPr>
          <w:p w14:paraId="13066156" w14:textId="77777777" w:rsidR="007E1D13" w:rsidRPr="004538A2" w:rsidRDefault="007E1D13" w:rsidP="007E1D13">
            <w:pPr>
              <w:rPr>
                <w:rFonts w:cs="Arial"/>
                <w:color w:val="000000" w:themeColor="text1"/>
                <w:shd w:val="clear" w:color="auto" w:fill="FFFFFF"/>
              </w:rPr>
            </w:pPr>
          </w:p>
        </w:tc>
        <w:tc>
          <w:tcPr>
            <w:tcW w:w="919" w:type="dxa"/>
            <w:tcBorders>
              <w:top w:val="single" w:sz="4" w:space="0" w:color="auto"/>
              <w:left w:val="nil"/>
              <w:bottom w:val="single" w:sz="4" w:space="0" w:color="auto"/>
              <w:right w:val="nil"/>
            </w:tcBorders>
            <w:vAlign w:val="center"/>
          </w:tcPr>
          <w:p w14:paraId="76D0D4EA" w14:textId="77777777" w:rsidR="007E1D13" w:rsidRPr="004538A2" w:rsidRDefault="007E1D13" w:rsidP="007E1D13">
            <w:pPr>
              <w:rPr>
                <w:rFonts w:cs="Arial"/>
                <w:color w:val="000000" w:themeColor="text1"/>
                <w:shd w:val="clear" w:color="auto" w:fill="FFFFFF"/>
              </w:rPr>
            </w:pPr>
          </w:p>
        </w:tc>
        <w:tc>
          <w:tcPr>
            <w:tcW w:w="888" w:type="dxa"/>
            <w:tcBorders>
              <w:top w:val="single" w:sz="4" w:space="0" w:color="auto"/>
              <w:left w:val="nil"/>
              <w:bottom w:val="single" w:sz="4" w:space="0" w:color="auto"/>
              <w:right w:val="nil"/>
            </w:tcBorders>
          </w:tcPr>
          <w:p w14:paraId="44850972" w14:textId="77777777" w:rsidR="007E1D13" w:rsidRPr="004538A2" w:rsidRDefault="007E1D13" w:rsidP="007E1D13">
            <w:pPr>
              <w:rPr>
                <w:rFonts w:cs="Arial"/>
                <w:color w:val="000000" w:themeColor="text1"/>
                <w:shd w:val="clear" w:color="auto" w:fill="FFFFFF"/>
              </w:rPr>
            </w:pPr>
          </w:p>
        </w:tc>
      </w:tr>
      <w:tr w:rsidR="007E1D13" w:rsidRPr="004538A2" w14:paraId="5E8F16F9" w14:textId="77777777" w:rsidTr="007E1D13">
        <w:trPr>
          <w:trHeight w:val="511"/>
        </w:trPr>
        <w:tc>
          <w:tcPr>
            <w:tcW w:w="2984" w:type="dxa"/>
            <w:tcBorders>
              <w:top w:val="nil"/>
              <w:left w:val="nil"/>
              <w:bottom w:val="single" w:sz="4" w:space="0" w:color="auto"/>
              <w:right w:val="nil"/>
            </w:tcBorders>
          </w:tcPr>
          <w:p w14:paraId="231BE12E" w14:textId="77777777" w:rsidR="007E1D13" w:rsidRPr="00D572AB" w:rsidRDefault="007E1D13" w:rsidP="007E1D13">
            <w:pPr>
              <w:rPr>
                <w:rFonts w:cs="Arial"/>
                <w:b/>
                <w:color w:val="000000" w:themeColor="text1"/>
                <w:shd w:val="clear" w:color="auto" w:fill="FFFFFF"/>
              </w:rPr>
            </w:pPr>
            <w:r>
              <w:rPr>
                <w:rFonts w:cs="Arial"/>
                <w:b/>
                <w:color w:val="000000" w:themeColor="text1"/>
                <w:shd w:val="clear" w:color="auto" w:fill="FFFFFF"/>
              </w:rPr>
              <w:t>Question</w:t>
            </w:r>
          </w:p>
        </w:tc>
        <w:tc>
          <w:tcPr>
            <w:tcW w:w="765" w:type="dxa"/>
            <w:tcBorders>
              <w:top w:val="single" w:sz="4" w:space="0" w:color="auto"/>
              <w:left w:val="nil"/>
              <w:bottom w:val="single" w:sz="4" w:space="0" w:color="auto"/>
              <w:right w:val="nil"/>
            </w:tcBorders>
            <w:vAlign w:val="center"/>
          </w:tcPr>
          <w:p w14:paraId="7F9A7999"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1</w:t>
            </w:r>
          </w:p>
        </w:tc>
        <w:tc>
          <w:tcPr>
            <w:tcW w:w="902" w:type="dxa"/>
            <w:tcBorders>
              <w:top w:val="single" w:sz="4" w:space="0" w:color="auto"/>
              <w:left w:val="nil"/>
              <w:bottom w:val="single" w:sz="4" w:space="0" w:color="auto"/>
              <w:right w:val="nil"/>
            </w:tcBorders>
            <w:vAlign w:val="center"/>
          </w:tcPr>
          <w:p w14:paraId="6437E541"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2</w:t>
            </w:r>
          </w:p>
        </w:tc>
        <w:tc>
          <w:tcPr>
            <w:tcW w:w="880" w:type="dxa"/>
            <w:tcBorders>
              <w:top w:val="single" w:sz="4" w:space="0" w:color="auto"/>
              <w:left w:val="nil"/>
              <w:bottom w:val="single" w:sz="4" w:space="0" w:color="auto"/>
              <w:right w:val="nil"/>
            </w:tcBorders>
            <w:vAlign w:val="center"/>
          </w:tcPr>
          <w:p w14:paraId="4F62E66C"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3</w:t>
            </w:r>
          </w:p>
        </w:tc>
        <w:tc>
          <w:tcPr>
            <w:tcW w:w="919" w:type="dxa"/>
            <w:tcBorders>
              <w:top w:val="single" w:sz="4" w:space="0" w:color="auto"/>
              <w:left w:val="nil"/>
              <w:bottom w:val="single" w:sz="4" w:space="0" w:color="auto"/>
              <w:right w:val="nil"/>
            </w:tcBorders>
            <w:vAlign w:val="center"/>
          </w:tcPr>
          <w:p w14:paraId="202EA816" w14:textId="77777777" w:rsidR="007E1D13" w:rsidRPr="004538A2" w:rsidRDefault="007E1D13" w:rsidP="007E1D13">
            <w:pPr>
              <w:rPr>
                <w:rFonts w:cs="Arial"/>
                <w:color w:val="000000" w:themeColor="text1"/>
                <w:shd w:val="clear" w:color="auto" w:fill="FFFFFF"/>
              </w:rPr>
            </w:pPr>
            <w:r w:rsidRPr="004538A2">
              <w:rPr>
                <w:rFonts w:cs="Arial"/>
                <w:color w:val="000000" w:themeColor="text1"/>
                <w:shd w:val="clear" w:color="auto" w:fill="FFFFFF"/>
              </w:rPr>
              <w:t>All</w:t>
            </w:r>
          </w:p>
        </w:tc>
        <w:tc>
          <w:tcPr>
            <w:tcW w:w="888" w:type="dxa"/>
            <w:tcBorders>
              <w:top w:val="single" w:sz="4" w:space="0" w:color="auto"/>
              <w:left w:val="nil"/>
              <w:bottom w:val="single" w:sz="4" w:space="0" w:color="auto"/>
              <w:right w:val="nil"/>
            </w:tcBorders>
            <w:vAlign w:val="center"/>
          </w:tcPr>
          <w:p w14:paraId="38F30838" w14:textId="77777777" w:rsidR="007E1D13" w:rsidRDefault="007E1D13" w:rsidP="007E1D13">
            <w:pPr>
              <w:rPr>
                <w:rFonts w:cs="Arial"/>
                <w:color w:val="000000" w:themeColor="text1"/>
                <w:shd w:val="clear" w:color="auto" w:fill="FFFFFF"/>
              </w:rPr>
            </w:pPr>
            <w:r>
              <w:rPr>
                <w:rFonts w:cs="Arial"/>
                <w:color w:val="000000" w:themeColor="text1"/>
                <w:shd w:val="clear" w:color="auto" w:fill="FFFFFF"/>
              </w:rPr>
              <w:t>%</w:t>
            </w:r>
          </w:p>
        </w:tc>
      </w:tr>
      <w:tr w:rsidR="007E1D13" w:rsidRPr="00376A13" w14:paraId="618B90BE" w14:textId="77777777" w:rsidTr="007E1D13">
        <w:trPr>
          <w:trHeight w:val="85"/>
        </w:trPr>
        <w:tc>
          <w:tcPr>
            <w:tcW w:w="2984" w:type="dxa"/>
            <w:tcBorders>
              <w:top w:val="single" w:sz="4" w:space="0" w:color="auto"/>
              <w:left w:val="nil"/>
              <w:bottom w:val="nil"/>
              <w:right w:val="nil"/>
            </w:tcBorders>
          </w:tcPr>
          <w:p w14:paraId="32712500" w14:textId="77777777" w:rsidR="007E1D13" w:rsidRPr="00376A13" w:rsidRDefault="007E1D13" w:rsidP="007E1D13">
            <w:pPr>
              <w:rPr>
                <w:rFonts w:cs="Arial"/>
                <w:color w:val="000000" w:themeColor="text1"/>
                <w:sz w:val="2"/>
                <w:szCs w:val="2"/>
                <w:shd w:val="clear" w:color="auto" w:fill="FFFFFF"/>
              </w:rPr>
            </w:pPr>
          </w:p>
        </w:tc>
        <w:tc>
          <w:tcPr>
            <w:tcW w:w="765" w:type="dxa"/>
            <w:tcBorders>
              <w:top w:val="single" w:sz="4" w:space="0" w:color="auto"/>
              <w:left w:val="nil"/>
              <w:bottom w:val="nil"/>
              <w:right w:val="nil"/>
            </w:tcBorders>
          </w:tcPr>
          <w:p w14:paraId="39A542F9" w14:textId="77777777" w:rsidR="007E1D13" w:rsidRPr="00376A13" w:rsidRDefault="007E1D13" w:rsidP="007E1D13">
            <w:pPr>
              <w:rPr>
                <w:rFonts w:cs="Arial"/>
                <w:color w:val="000000" w:themeColor="text1"/>
                <w:sz w:val="2"/>
                <w:szCs w:val="2"/>
                <w:shd w:val="clear" w:color="auto" w:fill="FFFFFF"/>
              </w:rPr>
            </w:pPr>
          </w:p>
        </w:tc>
        <w:tc>
          <w:tcPr>
            <w:tcW w:w="902" w:type="dxa"/>
            <w:tcBorders>
              <w:top w:val="single" w:sz="4" w:space="0" w:color="auto"/>
              <w:left w:val="nil"/>
              <w:bottom w:val="nil"/>
              <w:right w:val="nil"/>
            </w:tcBorders>
          </w:tcPr>
          <w:p w14:paraId="1407195C" w14:textId="77777777" w:rsidR="007E1D13" w:rsidRPr="00376A13" w:rsidRDefault="007E1D13" w:rsidP="007E1D13">
            <w:pPr>
              <w:rPr>
                <w:rFonts w:cs="Arial"/>
                <w:color w:val="000000" w:themeColor="text1"/>
                <w:sz w:val="2"/>
                <w:szCs w:val="2"/>
                <w:shd w:val="clear" w:color="auto" w:fill="FFFFFF"/>
              </w:rPr>
            </w:pPr>
          </w:p>
        </w:tc>
        <w:tc>
          <w:tcPr>
            <w:tcW w:w="880" w:type="dxa"/>
            <w:tcBorders>
              <w:top w:val="single" w:sz="4" w:space="0" w:color="auto"/>
              <w:left w:val="nil"/>
              <w:bottom w:val="nil"/>
              <w:right w:val="nil"/>
            </w:tcBorders>
          </w:tcPr>
          <w:p w14:paraId="6F649C29" w14:textId="77777777" w:rsidR="007E1D13" w:rsidRPr="00376A13" w:rsidRDefault="007E1D13" w:rsidP="007E1D13">
            <w:pPr>
              <w:rPr>
                <w:rFonts w:cs="Arial"/>
                <w:color w:val="000000" w:themeColor="text1"/>
                <w:sz w:val="2"/>
                <w:szCs w:val="2"/>
                <w:shd w:val="clear" w:color="auto" w:fill="FFFFFF"/>
              </w:rPr>
            </w:pPr>
          </w:p>
        </w:tc>
        <w:tc>
          <w:tcPr>
            <w:tcW w:w="919" w:type="dxa"/>
            <w:tcBorders>
              <w:top w:val="single" w:sz="4" w:space="0" w:color="auto"/>
              <w:left w:val="nil"/>
              <w:bottom w:val="nil"/>
              <w:right w:val="nil"/>
            </w:tcBorders>
            <w:vAlign w:val="center"/>
          </w:tcPr>
          <w:p w14:paraId="01C7C483" w14:textId="77777777" w:rsidR="007E1D13" w:rsidRPr="00376A13" w:rsidRDefault="007E1D13" w:rsidP="007E1D13">
            <w:pPr>
              <w:rPr>
                <w:rFonts w:cs="Arial"/>
                <w:color w:val="000000" w:themeColor="text1"/>
                <w:sz w:val="2"/>
                <w:szCs w:val="2"/>
                <w:shd w:val="clear" w:color="auto" w:fill="FFFFFF"/>
              </w:rPr>
            </w:pPr>
          </w:p>
        </w:tc>
        <w:tc>
          <w:tcPr>
            <w:tcW w:w="888" w:type="dxa"/>
            <w:tcBorders>
              <w:top w:val="single" w:sz="4" w:space="0" w:color="auto"/>
              <w:left w:val="nil"/>
              <w:bottom w:val="nil"/>
              <w:right w:val="nil"/>
            </w:tcBorders>
          </w:tcPr>
          <w:p w14:paraId="67CA938E" w14:textId="77777777" w:rsidR="007E1D13" w:rsidRPr="00376A13" w:rsidRDefault="007E1D13" w:rsidP="007E1D13">
            <w:pPr>
              <w:rPr>
                <w:rFonts w:cs="Arial"/>
                <w:color w:val="000000" w:themeColor="text1"/>
                <w:sz w:val="2"/>
                <w:szCs w:val="2"/>
                <w:shd w:val="clear" w:color="auto" w:fill="FFFFFF"/>
              </w:rPr>
            </w:pPr>
          </w:p>
        </w:tc>
      </w:tr>
      <w:tr w:rsidR="007E1D13" w:rsidRPr="004538A2" w14:paraId="28F0D51F" w14:textId="77777777" w:rsidTr="007E1D13">
        <w:trPr>
          <w:trHeight w:val="323"/>
        </w:trPr>
        <w:tc>
          <w:tcPr>
            <w:tcW w:w="2984" w:type="dxa"/>
            <w:tcBorders>
              <w:top w:val="nil"/>
              <w:left w:val="nil"/>
              <w:bottom w:val="nil"/>
              <w:right w:val="nil"/>
            </w:tcBorders>
            <w:vAlign w:val="center"/>
          </w:tcPr>
          <w:p w14:paraId="423CB7EB"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 xml:space="preserve">Heard of </w:t>
            </w:r>
            <w:r>
              <w:rPr>
                <w:rFonts w:cs="Arial"/>
                <w:b/>
                <w:color w:val="000000" w:themeColor="text1"/>
                <w:shd w:val="clear" w:color="auto" w:fill="FFFFFF"/>
              </w:rPr>
              <w:t>legal high</w:t>
            </w:r>
            <w:r w:rsidRPr="00D572AB">
              <w:rPr>
                <w:rFonts w:cs="Arial"/>
                <w:b/>
                <w:color w:val="000000" w:themeColor="text1"/>
                <w:shd w:val="clear" w:color="auto" w:fill="FFFFFF"/>
              </w:rPr>
              <w:t>s</w:t>
            </w:r>
          </w:p>
        </w:tc>
        <w:tc>
          <w:tcPr>
            <w:tcW w:w="765" w:type="dxa"/>
            <w:tcBorders>
              <w:top w:val="nil"/>
              <w:left w:val="nil"/>
              <w:bottom w:val="nil"/>
              <w:right w:val="nil"/>
            </w:tcBorders>
            <w:vAlign w:val="center"/>
          </w:tcPr>
          <w:p w14:paraId="2E68859E"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7ADAD0AB" w14:textId="77777777" w:rsidR="007E1D13" w:rsidRPr="004538A2" w:rsidRDefault="007E1D13" w:rsidP="007E1D13">
            <w:pPr>
              <w:spacing w:before="120" w:after="120"/>
              <w:rPr>
                <w:rFonts w:cs="Arial"/>
                <w:color w:val="000000" w:themeColor="text1"/>
                <w:shd w:val="clear" w:color="auto" w:fill="FFFFFF"/>
              </w:rPr>
            </w:pPr>
          </w:p>
        </w:tc>
        <w:tc>
          <w:tcPr>
            <w:tcW w:w="880" w:type="dxa"/>
            <w:tcBorders>
              <w:top w:val="nil"/>
              <w:left w:val="nil"/>
              <w:bottom w:val="nil"/>
              <w:right w:val="nil"/>
            </w:tcBorders>
            <w:vAlign w:val="center"/>
          </w:tcPr>
          <w:p w14:paraId="37841AE5" w14:textId="77777777" w:rsidR="007E1D13" w:rsidRPr="004538A2" w:rsidRDefault="007E1D13" w:rsidP="007E1D13">
            <w:pPr>
              <w:spacing w:before="120" w:after="120"/>
              <w:rPr>
                <w:rFonts w:cs="Arial"/>
                <w:color w:val="000000" w:themeColor="text1"/>
                <w:shd w:val="clear" w:color="auto" w:fill="FFFFFF"/>
              </w:rPr>
            </w:pPr>
          </w:p>
        </w:tc>
        <w:tc>
          <w:tcPr>
            <w:tcW w:w="919" w:type="dxa"/>
            <w:tcBorders>
              <w:top w:val="nil"/>
              <w:left w:val="nil"/>
              <w:bottom w:val="nil"/>
              <w:right w:val="nil"/>
            </w:tcBorders>
            <w:vAlign w:val="center"/>
          </w:tcPr>
          <w:p w14:paraId="620896E2" w14:textId="77777777" w:rsidR="007E1D13" w:rsidRPr="004538A2" w:rsidRDefault="007E1D13" w:rsidP="007E1D13">
            <w:pPr>
              <w:spacing w:before="120" w:after="120"/>
              <w:rPr>
                <w:rFonts w:cs="Arial"/>
                <w:color w:val="000000" w:themeColor="text1"/>
                <w:shd w:val="clear" w:color="auto" w:fill="FFFFFF"/>
              </w:rPr>
            </w:pPr>
          </w:p>
        </w:tc>
        <w:tc>
          <w:tcPr>
            <w:tcW w:w="888" w:type="dxa"/>
            <w:tcBorders>
              <w:top w:val="nil"/>
              <w:left w:val="nil"/>
              <w:bottom w:val="nil"/>
              <w:right w:val="nil"/>
            </w:tcBorders>
          </w:tcPr>
          <w:p w14:paraId="7E91582E"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759502C0" w14:textId="77777777" w:rsidTr="007E1D13">
        <w:trPr>
          <w:trHeight w:val="323"/>
        </w:trPr>
        <w:tc>
          <w:tcPr>
            <w:tcW w:w="2984" w:type="dxa"/>
            <w:tcBorders>
              <w:top w:val="nil"/>
              <w:left w:val="nil"/>
              <w:bottom w:val="nil"/>
              <w:right w:val="nil"/>
            </w:tcBorders>
            <w:vAlign w:val="center"/>
          </w:tcPr>
          <w:p w14:paraId="3A2CDC35"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Yes</w:t>
            </w:r>
          </w:p>
        </w:tc>
        <w:tc>
          <w:tcPr>
            <w:tcW w:w="765" w:type="dxa"/>
            <w:tcBorders>
              <w:top w:val="nil"/>
              <w:left w:val="nil"/>
              <w:bottom w:val="nil"/>
              <w:right w:val="nil"/>
            </w:tcBorders>
            <w:vAlign w:val="center"/>
          </w:tcPr>
          <w:p w14:paraId="66089DD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902" w:type="dxa"/>
            <w:tcBorders>
              <w:top w:val="nil"/>
              <w:left w:val="nil"/>
              <w:bottom w:val="nil"/>
              <w:right w:val="nil"/>
            </w:tcBorders>
            <w:vAlign w:val="center"/>
          </w:tcPr>
          <w:p w14:paraId="739C30F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11</w:t>
            </w:r>
          </w:p>
        </w:tc>
        <w:tc>
          <w:tcPr>
            <w:tcW w:w="880" w:type="dxa"/>
            <w:tcBorders>
              <w:top w:val="nil"/>
              <w:left w:val="nil"/>
              <w:bottom w:val="nil"/>
              <w:right w:val="nil"/>
            </w:tcBorders>
            <w:vAlign w:val="center"/>
          </w:tcPr>
          <w:p w14:paraId="4A0FA19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7</w:t>
            </w:r>
          </w:p>
        </w:tc>
        <w:tc>
          <w:tcPr>
            <w:tcW w:w="919" w:type="dxa"/>
            <w:tcBorders>
              <w:top w:val="nil"/>
              <w:left w:val="nil"/>
              <w:bottom w:val="nil"/>
              <w:right w:val="nil"/>
            </w:tcBorders>
            <w:vAlign w:val="center"/>
          </w:tcPr>
          <w:p w14:paraId="54B5FAB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27</w:t>
            </w:r>
          </w:p>
        </w:tc>
        <w:tc>
          <w:tcPr>
            <w:tcW w:w="888" w:type="dxa"/>
            <w:tcBorders>
              <w:top w:val="nil"/>
              <w:left w:val="nil"/>
              <w:bottom w:val="nil"/>
              <w:right w:val="nil"/>
            </w:tcBorders>
          </w:tcPr>
          <w:p w14:paraId="6460EDF0"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100 </w:t>
            </w:r>
            <w:r w:rsidRPr="00815B84">
              <w:rPr>
                <w:rFonts w:cs="Arial"/>
                <w:color w:val="000000" w:themeColor="text1"/>
                <w:sz w:val="20"/>
                <w:shd w:val="clear" w:color="auto" w:fill="FFFFFF"/>
              </w:rPr>
              <w:t>%</w:t>
            </w:r>
          </w:p>
        </w:tc>
      </w:tr>
      <w:tr w:rsidR="007E1D13" w:rsidRPr="004538A2" w14:paraId="50480E91" w14:textId="77777777" w:rsidTr="007E1D13">
        <w:trPr>
          <w:trHeight w:val="323"/>
        </w:trPr>
        <w:tc>
          <w:tcPr>
            <w:tcW w:w="2984" w:type="dxa"/>
            <w:tcBorders>
              <w:top w:val="nil"/>
              <w:left w:val="nil"/>
              <w:bottom w:val="nil"/>
              <w:right w:val="nil"/>
            </w:tcBorders>
            <w:vAlign w:val="center"/>
          </w:tcPr>
          <w:p w14:paraId="70977589" w14:textId="77777777" w:rsidR="007E1D13" w:rsidRPr="00D572AB" w:rsidRDefault="007E1D13" w:rsidP="007E1D13">
            <w:pPr>
              <w:spacing w:before="120" w:after="120"/>
              <w:rPr>
                <w:rFonts w:cs="Arial"/>
                <w:b/>
                <w:color w:val="000000" w:themeColor="text1"/>
                <w:shd w:val="clear" w:color="auto" w:fill="FFFFFF"/>
              </w:rPr>
            </w:pPr>
            <w:r w:rsidRPr="00D572AB">
              <w:rPr>
                <w:rFonts w:cs="Arial"/>
                <w:b/>
                <w:color w:val="000000" w:themeColor="text1"/>
                <w:shd w:val="clear" w:color="auto" w:fill="FFFFFF"/>
              </w:rPr>
              <w:t>Heard of ban</w:t>
            </w:r>
          </w:p>
        </w:tc>
        <w:tc>
          <w:tcPr>
            <w:tcW w:w="765" w:type="dxa"/>
            <w:tcBorders>
              <w:top w:val="nil"/>
              <w:left w:val="nil"/>
              <w:bottom w:val="nil"/>
              <w:right w:val="nil"/>
            </w:tcBorders>
            <w:vAlign w:val="center"/>
          </w:tcPr>
          <w:p w14:paraId="7D84F749" w14:textId="77777777" w:rsidR="007E1D13" w:rsidRPr="004538A2" w:rsidRDefault="007E1D13" w:rsidP="007E1D1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710FA8B9" w14:textId="77777777" w:rsidR="007E1D13" w:rsidRPr="004538A2" w:rsidRDefault="007E1D13" w:rsidP="007E1D13">
            <w:pPr>
              <w:spacing w:before="120" w:after="120"/>
              <w:rPr>
                <w:rFonts w:cs="Arial"/>
                <w:color w:val="000000" w:themeColor="text1"/>
                <w:shd w:val="clear" w:color="auto" w:fill="FFFFFF"/>
              </w:rPr>
            </w:pPr>
          </w:p>
        </w:tc>
        <w:tc>
          <w:tcPr>
            <w:tcW w:w="880" w:type="dxa"/>
            <w:tcBorders>
              <w:top w:val="nil"/>
              <w:left w:val="nil"/>
              <w:bottom w:val="nil"/>
              <w:right w:val="nil"/>
            </w:tcBorders>
            <w:vAlign w:val="center"/>
          </w:tcPr>
          <w:p w14:paraId="00C8AF22" w14:textId="77777777" w:rsidR="007E1D13" w:rsidRPr="004538A2" w:rsidRDefault="007E1D13" w:rsidP="007E1D13">
            <w:pPr>
              <w:spacing w:before="120" w:after="120"/>
              <w:rPr>
                <w:rFonts w:cs="Arial"/>
                <w:color w:val="000000" w:themeColor="text1"/>
                <w:shd w:val="clear" w:color="auto" w:fill="FFFFFF"/>
              </w:rPr>
            </w:pPr>
          </w:p>
        </w:tc>
        <w:tc>
          <w:tcPr>
            <w:tcW w:w="919" w:type="dxa"/>
            <w:tcBorders>
              <w:top w:val="nil"/>
              <w:left w:val="nil"/>
              <w:bottom w:val="nil"/>
              <w:right w:val="nil"/>
            </w:tcBorders>
            <w:vAlign w:val="center"/>
          </w:tcPr>
          <w:p w14:paraId="2DF34A73" w14:textId="77777777" w:rsidR="007E1D13" w:rsidRPr="004538A2" w:rsidRDefault="007E1D13" w:rsidP="007E1D13">
            <w:pPr>
              <w:spacing w:before="120" w:after="120"/>
              <w:rPr>
                <w:rFonts w:cs="Arial"/>
                <w:color w:val="000000" w:themeColor="text1"/>
                <w:shd w:val="clear" w:color="auto" w:fill="FFFFFF"/>
              </w:rPr>
            </w:pPr>
          </w:p>
        </w:tc>
        <w:tc>
          <w:tcPr>
            <w:tcW w:w="888" w:type="dxa"/>
            <w:tcBorders>
              <w:top w:val="nil"/>
              <w:left w:val="nil"/>
              <w:bottom w:val="nil"/>
              <w:right w:val="nil"/>
            </w:tcBorders>
          </w:tcPr>
          <w:p w14:paraId="697BDFDD" w14:textId="77777777" w:rsidR="007E1D13" w:rsidRPr="004538A2" w:rsidRDefault="007E1D13" w:rsidP="007E1D13">
            <w:pPr>
              <w:spacing w:before="120" w:after="120"/>
              <w:rPr>
                <w:rFonts w:cs="Arial"/>
                <w:color w:val="000000" w:themeColor="text1"/>
                <w:shd w:val="clear" w:color="auto" w:fill="FFFFFF"/>
              </w:rPr>
            </w:pPr>
          </w:p>
        </w:tc>
      </w:tr>
      <w:tr w:rsidR="007E1D13" w:rsidRPr="004538A2" w14:paraId="4D727BCE" w14:textId="77777777" w:rsidTr="007E1D13">
        <w:trPr>
          <w:trHeight w:val="323"/>
        </w:trPr>
        <w:tc>
          <w:tcPr>
            <w:tcW w:w="2984" w:type="dxa"/>
            <w:tcBorders>
              <w:top w:val="nil"/>
              <w:left w:val="nil"/>
              <w:bottom w:val="nil"/>
              <w:right w:val="nil"/>
            </w:tcBorders>
            <w:vAlign w:val="center"/>
          </w:tcPr>
          <w:p w14:paraId="7763BAC5"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Yes</w:t>
            </w:r>
          </w:p>
        </w:tc>
        <w:tc>
          <w:tcPr>
            <w:tcW w:w="765" w:type="dxa"/>
            <w:tcBorders>
              <w:top w:val="nil"/>
              <w:left w:val="nil"/>
              <w:bottom w:val="nil"/>
              <w:right w:val="nil"/>
            </w:tcBorders>
            <w:vAlign w:val="center"/>
          </w:tcPr>
          <w:p w14:paraId="48011F90"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9</w:t>
            </w:r>
          </w:p>
        </w:tc>
        <w:tc>
          <w:tcPr>
            <w:tcW w:w="902" w:type="dxa"/>
            <w:tcBorders>
              <w:top w:val="nil"/>
              <w:left w:val="nil"/>
              <w:bottom w:val="nil"/>
              <w:right w:val="nil"/>
            </w:tcBorders>
            <w:vAlign w:val="center"/>
          </w:tcPr>
          <w:p w14:paraId="6E24A4DC"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880" w:type="dxa"/>
            <w:tcBorders>
              <w:top w:val="nil"/>
              <w:left w:val="nil"/>
              <w:bottom w:val="nil"/>
              <w:right w:val="nil"/>
            </w:tcBorders>
            <w:vAlign w:val="center"/>
          </w:tcPr>
          <w:p w14:paraId="0ED58C0D"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6</w:t>
            </w:r>
          </w:p>
        </w:tc>
        <w:tc>
          <w:tcPr>
            <w:tcW w:w="919" w:type="dxa"/>
            <w:tcBorders>
              <w:top w:val="nil"/>
              <w:left w:val="nil"/>
              <w:bottom w:val="nil"/>
              <w:right w:val="nil"/>
            </w:tcBorders>
            <w:vAlign w:val="center"/>
          </w:tcPr>
          <w:p w14:paraId="316A9994"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21</w:t>
            </w:r>
          </w:p>
        </w:tc>
        <w:tc>
          <w:tcPr>
            <w:tcW w:w="888" w:type="dxa"/>
            <w:tcBorders>
              <w:top w:val="nil"/>
              <w:left w:val="nil"/>
              <w:bottom w:val="nil"/>
              <w:right w:val="nil"/>
            </w:tcBorders>
          </w:tcPr>
          <w:p w14:paraId="619287D9"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78 </w:t>
            </w:r>
            <w:r w:rsidRPr="00197CC8">
              <w:rPr>
                <w:rFonts w:cs="Arial"/>
                <w:color w:val="000000" w:themeColor="text1"/>
                <w:sz w:val="18"/>
                <w:shd w:val="clear" w:color="auto" w:fill="FFFFFF"/>
              </w:rPr>
              <w:t>%</w:t>
            </w:r>
          </w:p>
        </w:tc>
      </w:tr>
      <w:tr w:rsidR="007E1D13" w:rsidRPr="004538A2" w14:paraId="5D32DC34" w14:textId="77777777" w:rsidTr="007E1D13">
        <w:trPr>
          <w:trHeight w:val="323"/>
        </w:trPr>
        <w:tc>
          <w:tcPr>
            <w:tcW w:w="2984" w:type="dxa"/>
            <w:tcBorders>
              <w:top w:val="nil"/>
              <w:left w:val="nil"/>
              <w:bottom w:val="nil"/>
              <w:right w:val="nil"/>
            </w:tcBorders>
            <w:vAlign w:val="center"/>
          </w:tcPr>
          <w:p w14:paraId="3C045DDC"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No</w:t>
            </w:r>
          </w:p>
        </w:tc>
        <w:tc>
          <w:tcPr>
            <w:tcW w:w="765" w:type="dxa"/>
            <w:tcBorders>
              <w:top w:val="nil"/>
              <w:left w:val="nil"/>
              <w:bottom w:val="nil"/>
              <w:right w:val="nil"/>
            </w:tcBorders>
            <w:vAlign w:val="center"/>
          </w:tcPr>
          <w:p w14:paraId="0E919A77"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02DF7D08"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4</w:t>
            </w:r>
          </w:p>
        </w:tc>
        <w:tc>
          <w:tcPr>
            <w:tcW w:w="880" w:type="dxa"/>
            <w:tcBorders>
              <w:top w:val="nil"/>
              <w:left w:val="nil"/>
              <w:bottom w:val="nil"/>
              <w:right w:val="nil"/>
            </w:tcBorders>
            <w:vAlign w:val="center"/>
          </w:tcPr>
          <w:p w14:paraId="52CC5F6A"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919" w:type="dxa"/>
            <w:tcBorders>
              <w:top w:val="nil"/>
              <w:left w:val="nil"/>
              <w:bottom w:val="nil"/>
              <w:right w:val="nil"/>
            </w:tcBorders>
            <w:vAlign w:val="center"/>
          </w:tcPr>
          <w:p w14:paraId="0575589B"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5</w:t>
            </w:r>
          </w:p>
        </w:tc>
        <w:tc>
          <w:tcPr>
            <w:tcW w:w="888" w:type="dxa"/>
            <w:tcBorders>
              <w:top w:val="nil"/>
              <w:left w:val="nil"/>
              <w:bottom w:val="nil"/>
              <w:right w:val="nil"/>
            </w:tcBorders>
          </w:tcPr>
          <w:p w14:paraId="01D4D66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18 </w:t>
            </w:r>
            <w:r w:rsidRPr="00197CC8">
              <w:rPr>
                <w:rFonts w:cs="Arial"/>
                <w:color w:val="000000" w:themeColor="text1"/>
                <w:sz w:val="18"/>
                <w:shd w:val="clear" w:color="auto" w:fill="FFFFFF"/>
              </w:rPr>
              <w:t>%</w:t>
            </w:r>
          </w:p>
        </w:tc>
      </w:tr>
      <w:tr w:rsidR="007E1D13" w:rsidRPr="004538A2" w14:paraId="23BAAFB3" w14:textId="77777777" w:rsidTr="007E1D13">
        <w:trPr>
          <w:trHeight w:val="323"/>
        </w:trPr>
        <w:tc>
          <w:tcPr>
            <w:tcW w:w="2984" w:type="dxa"/>
            <w:tcBorders>
              <w:top w:val="nil"/>
              <w:left w:val="nil"/>
              <w:bottom w:val="nil"/>
              <w:right w:val="nil"/>
            </w:tcBorders>
            <w:vAlign w:val="center"/>
          </w:tcPr>
          <w:p w14:paraId="0336911C" w14:textId="77777777" w:rsidR="007E1D13" w:rsidRPr="004538A2" w:rsidRDefault="007E1D13" w:rsidP="007E1D13">
            <w:pPr>
              <w:spacing w:before="120" w:after="120"/>
              <w:rPr>
                <w:rFonts w:cs="Arial"/>
                <w:color w:val="000000" w:themeColor="text1"/>
                <w:shd w:val="clear" w:color="auto" w:fill="FFFFFF"/>
              </w:rPr>
            </w:pPr>
            <w:r w:rsidRPr="004538A2">
              <w:rPr>
                <w:rFonts w:cs="Arial"/>
                <w:color w:val="000000" w:themeColor="text1"/>
                <w:shd w:val="clear" w:color="auto" w:fill="FFFFFF"/>
              </w:rPr>
              <w:t xml:space="preserve">        </w:t>
            </w:r>
            <w:r>
              <w:rPr>
                <w:rFonts w:cs="Arial"/>
                <w:color w:val="000000" w:themeColor="text1"/>
                <w:shd w:val="clear" w:color="auto" w:fill="FFFFFF"/>
              </w:rPr>
              <w:t>Not sure</w:t>
            </w:r>
          </w:p>
        </w:tc>
        <w:tc>
          <w:tcPr>
            <w:tcW w:w="765" w:type="dxa"/>
            <w:tcBorders>
              <w:top w:val="nil"/>
              <w:left w:val="nil"/>
              <w:bottom w:val="nil"/>
              <w:right w:val="nil"/>
            </w:tcBorders>
            <w:vAlign w:val="center"/>
          </w:tcPr>
          <w:p w14:paraId="5F699DF6"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02" w:type="dxa"/>
            <w:tcBorders>
              <w:top w:val="nil"/>
              <w:left w:val="nil"/>
              <w:bottom w:val="nil"/>
              <w:right w:val="nil"/>
            </w:tcBorders>
            <w:vAlign w:val="center"/>
          </w:tcPr>
          <w:p w14:paraId="71DDC87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0" w:type="dxa"/>
            <w:tcBorders>
              <w:top w:val="nil"/>
              <w:left w:val="nil"/>
              <w:bottom w:val="nil"/>
              <w:right w:val="nil"/>
            </w:tcBorders>
            <w:vAlign w:val="center"/>
          </w:tcPr>
          <w:p w14:paraId="645FCBB3"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0</w:t>
            </w:r>
          </w:p>
        </w:tc>
        <w:tc>
          <w:tcPr>
            <w:tcW w:w="919" w:type="dxa"/>
            <w:tcBorders>
              <w:top w:val="nil"/>
              <w:left w:val="nil"/>
              <w:bottom w:val="nil"/>
              <w:right w:val="nil"/>
            </w:tcBorders>
            <w:vAlign w:val="center"/>
          </w:tcPr>
          <w:p w14:paraId="4A168FD5" w14:textId="77777777" w:rsidR="007E1D13" w:rsidRPr="004538A2"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1</w:t>
            </w:r>
          </w:p>
        </w:tc>
        <w:tc>
          <w:tcPr>
            <w:tcW w:w="888" w:type="dxa"/>
            <w:tcBorders>
              <w:top w:val="nil"/>
              <w:left w:val="nil"/>
              <w:bottom w:val="nil"/>
              <w:right w:val="nil"/>
            </w:tcBorders>
          </w:tcPr>
          <w:p w14:paraId="5E98B73E" w14:textId="77777777" w:rsidR="007E1D13" w:rsidRDefault="007E1D13" w:rsidP="007E1D13">
            <w:pPr>
              <w:spacing w:before="120" w:after="120"/>
              <w:rPr>
                <w:rFonts w:cs="Arial"/>
                <w:color w:val="000000" w:themeColor="text1"/>
                <w:shd w:val="clear" w:color="auto" w:fill="FFFFFF"/>
              </w:rPr>
            </w:pPr>
            <w:r>
              <w:rPr>
                <w:rFonts w:cs="Arial"/>
                <w:color w:val="000000" w:themeColor="text1"/>
                <w:shd w:val="clear" w:color="auto" w:fill="FFFFFF"/>
              </w:rPr>
              <w:t xml:space="preserve">4 </w:t>
            </w:r>
            <w:r w:rsidRPr="00197CC8">
              <w:rPr>
                <w:rFonts w:cs="Arial"/>
                <w:color w:val="000000" w:themeColor="text1"/>
                <w:sz w:val="18"/>
                <w:shd w:val="clear" w:color="auto" w:fill="FFFFFF"/>
              </w:rPr>
              <w:t>%</w:t>
            </w:r>
          </w:p>
        </w:tc>
      </w:tr>
      <w:tr w:rsidR="007E1D13" w:rsidRPr="00376A13" w14:paraId="5E463445" w14:textId="77777777" w:rsidTr="007E1D13">
        <w:trPr>
          <w:trHeight w:val="95"/>
        </w:trPr>
        <w:tc>
          <w:tcPr>
            <w:tcW w:w="2984" w:type="dxa"/>
            <w:tcBorders>
              <w:top w:val="nil"/>
              <w:left w:val="nil"/>
              <w:bottom w:val="single" w:sz="4" w:space="0" w:color="auto"/>
              <w:right w:val="nil"/>
            </w:tcBorders>
            <w:vAlign w:val="center"/>
          </w:tcPr>
          <w:p w14:paraId="4BF32843" w14:textId="77777777" w:rsidR="007E1D13" w:rsidRPr="00376A13" w:rsidRDefault="007E1D13" w:rsidP="007E1D13">
            <w:pPr>
              <w:rPr>
                <w:rFonts w:cs="Arial"/>
                <w:color w:val="000000" w:themeColor="text1"/>
                <w:sz w:val="2"/>
                <w:szCs w:val="2"/>
                <w:shd w:val="clear" w:color="auto" w:fill="FFFFFF"/>
              </w:rPr>
            </w:pPr>
          </w:p>
        </w:tc>
        <w:tc>
          <w:tcPr>
            <w:tcW w:w="765" w:type="dxa"/>
            <w:tcBorders>
              <w:top w:val="nil"/>
              <w:left w:val="nil"/>
              <w:bottom w:val="single" w:sz="4" w:space="0" w:color="auto"/>
              <w:right w:val="nil"/>
            </w:tcBorders>
            <w:vAlign w:val="center"/>
          </w:tcPr>
          <w:p w14:paraId="4A5C820F" w14:textId="77777777" w:rsidR="007E1D13" w:rsidRPr="00376A13" w:rsidRDefault="007E1D13" w:rsidP="007E1D13">
            <w:pPr>
              <w:rPr>
                <w:rFonts w:cs="Arial"/>
                <w:color w:val="000000" w:themeColor="text1"/>
                <w:sz w:val="2"/>
                <w:szCs w:val="2"/>
                <w:shd w:val="clear" w:color="auto" w:fill="FFFFFF"/>
              </w:rPr>
            </w:pPr>
          </w:p>
        </w:tc>
        <w:tc>
          <w:tcPr>
            <w:tcW w:w="902" w:type="dxa"/>
            <w:tcBorders>
              <w:top w:val="nil"/>
              <w:left w:val="nil"/>
              <w:bottom w:val="single" w:sz="4" w:space="0" w:color="auto"/>
              <w:right w:val="nil"/>
            </w:tcBorders>
            <w:vAlign w:val="center"/>
          </w:tcPr>
          <w:p w14:paraId="59F64C9E" w14:textId="77777777" w:rsidR="007E1D13" w:rsidRPr="00376A13" w:rsidRDefault="007E1D13" w:rsidP="007E1D13">
            <w:pPr>
              <w:rPr>
                <w:rFonts w:cs="Arial"/>
                <w:color w:val="000000" w:themeColor="text1"/>
                <w:sz w:val="2"/>
                <w:szCs w:val="2"/>
                <w:shd w:val="clear" w:color="auto" w:fill="FFFFFF"/>
              </w:rPr>
            </w:pPr>
          </w:p>
        </w:tc>
        <w:tc>
          <w:tcPr>
            <w:tcW w:w="880" w:type="dxa"/>
            <w:tcBorders>
              <w:top w:val="nil"/>
              <w:left w:val="nil"/>
              <w:bottom w:val="single" w:sz="4" w:space="0" w:color="auto"/>
              <w:right w:val="nil"/>
            </w:tcBorders>
            <w:vAlign w:val="center"/>
          </w:tcPr>
          <w:p w14:paraId="58E63B10" w14:textId="77777777" w:rsidR="007E1D13" w:rsidRPr="00376A13" w:rsidRDefault="007E1D13" w:rsidP="007E1D13">
            <w:pPr>
              <w:rPr>
                <w:rFonts w:cs="Arial"/>
                <w:color w:val="000000" w:themeColor="text1"/>
                <w:sz w:val="2"/>
                <w:szCs w:val="2"/>
                <w:shd w:val="clear" w:color="auto" w:fill="FFFFFF"/>
              </w:rPr>
            </w:pPr>
          </w:p>
        </w:tc>
        <w:tc>
          <w:tcPr>
            <w:tcW w:w="919" w:type="dxa"/>
            <w:tcBorders>
              <w:top w:val="nil"/>
              <w:left w:val="nil"/>
              <w:bottom w:val="single" w:sz="4" w:space="0" w:color="auto"/>
              <w:right w:val="nil"/>
            </w:tcBorders>
            <w:vAlign w:val="center"/>
          </w:tcPr>
          <w:p w14:paraId="1374C3B6" w14:textId="77777777" w:rsidR="007E1D13" w:rsidRPr="00376A13" w:rsidRDefault="007E1D13" w:rsidP="007E1D13">
            <w:pPr>
              <w:rPr>
                <w:rFonts w:cs="Arial"/>
                <w:color w:val="000000" w:themeColor="text1"/>
                <w:sz w:val="2"/>
                <w:szCs w:val="2"/>
                <w:shd w:val="clear" w:color="auto" w:fill="FFFFFF"/>
              </w:rPr>
            </w:pPr>
          </w:p>
        </w:tc>
        <w:tc>
          <w:tcPr>
            <w:tcW w:w="888" w:type="dxa"/>
            <w:tcBorders>
              <w:top w:val="nil"/>
              <w:left w:val="nil"/>
              <w:bottom w:val="single" w:sz="4" w:space="0" w:color="auto"/>
              <w:right w:val="nil"/>
            </w:tcBorders>
          </w:tcPr>
          <w:p w14:paraId="0184CA01" w14:textId="77777777" w:rsidR="007E1D13" w:rsidRPr="00376A13" w:rsidRDefault="007E1D13" w:rsidP="007E1D13">
            <w:pPr>
              <w:rPr>
                <w:rFonts w:cs="Arial"/>
                <w:color w:val="000000" w:themeColor="text1"/>
                <w:sz w:val="2"/>
                <w:szCs w:val="2"/>
                <w:shd w:val="clear" w:color="auto" w:fill="FFFFFF"/>
              </w:rPr>
            </w:pPr>
          </w:p>
        </w:tc>
      </w:tr>
    </w:tbl>
    <w:p w14:paraId="465025D7" w14:textId="7C111DD1" w:rsidR="007E1D13" w:rsidRPr="00067524" w:rsidRDefault="007E1D13" w:rsidP="007E1D13">
      <w:pPr>
        <w:pStyle w:val="Heading3"/>
      </w:pPr>
      <w:bookmarkStart w:id="464" w:name="_Toc35892714"/>
      <w:r w:rsidRPr="00067524">
        <w:t>Data analysis</w:t>
      </w:r>
      <w:bookmarkEnd w:id="464"/>
      <w:r w:rsidRPr="00067524">
        <w:t xml:space="preserve"> </w:t>
      </w:r>
    </w:p>
    <w:p w14:paraId="0BC88831" w14:textId="77777777" w:rsidR="007E1D13" w:rsidRDefault="007E1D13" w:rsidP="007E1D13">
      <w:pPr>
        <w:spacing w:line="480" w:lineRule="auto"/>
      </w:pPr>
      <w:r>
        <w:t xml:space="preserve">A thematic analysis procedure adapted from the four-step process adopted in Study 1 was used to organise and interpret the data as described in more detail in Chapter 4 Sections 4.7 and 4.8. </w:t>
      </w:r>
    </w:p>
    <w:p w14:paraId="271D8689" w14:textId="77777777" w:rsidR="007E1D13" w:rsidRPr="005573E8" w:rsidRDefault="007E1D13" w:rsidP="007E1D13">
      <w:pPr>
        <w:spacing w:line="480" w:lineRule="auto"/>
      </w:pPr>
      <w:r>
        <w:t xml:space="preserve">During analysis 690 meaningful statements were identified within the focus group transcripts which were analysed and coded into 55 organising themes. For the sorting tasks used to arrange the organising themes into global themes, the open and closed sorting methods produced comparable results, with all ten themes from Study 1 providing a good fit with the data, but with the addition of a new global theme accounting for the ban in the open sorting task. Accordingly, the Study 1 analysis framework was used to describe the data together with one additional theme incorporating participants’ beliefs about the impacts of the PS Act. Once the analysis framework was established a second coder read samples from each of the focus group transcripts and assessed the content of the coding categories. Initial agreement was 89% and the discrepancies in coding were then discussed until a consensus was reached.       </w:t>
      </w:r>
    </w:p>
    <w:p w14:paraId="32BEFB3B" w14:textId="77777777" w:rsidR="007E1D13" w:rsidRDefault="007E1D13" w:rsidP="007E1D13">
      <w:pPr>
        <w:spacing w:line="480" w:lineRule="auto"/>
      </w:pPr>
      <w:r>
        <w:t xml:space="preserve">To aid comparison between the pre-ban and post-ban data, participants’ responses to the additional ban-focused questions were presented separately to their responses to the questions repeated from Study 1. </w:t>
      </w:r>
    </w:p>
    <w:p w14:paraId="63B8C885" w14:textId="77777777" w:rsidR="007E1D13" w:rsidRDefault="007E1D13" w:rsidP="007E1D13">
      <w:pPr>
        <w:rPr>
          <w:b/>
          <w:bCs/>
          <w:color w:val="000000"/>
          <w:sz w:val="22"/>
        </w:rPr>
      </w:pPr>
      <w:r>
        <w:br w:type="page"/>
      </w:r>
    </w:p>
    <w:p w14:paraId="42F17819" w14:textId="5EE00D5D" w:rsidR="007E1D13" w:rsidRDefault="007E1D13" w:rsidP="007E1D13">
      <w:pPr>
        <w:pStyle w:val="Heading3"/>
      </w:pPr>
      <w:bookmarkStart w:id="465" w:name="_Toc35892715"/>
      <w:r>
        <w:t>Impact of the PS Act</w:t>
      </w:r>
      <w:bookmarkEnd w:id="465"/>
    </w:p>
    <w:p w14:paraId="4499327F" w14:textId="66F4C4C5" w:rsidR="007E1D13" w:rsidRDefault="007E1D13" w:rsidP="007E1D13">
      <w:pPr>
        <w:spacing w:before="200" w:line="480" w:lineRule="auto"/>
      </w:pPr>
      <w:r w:rsidRPr="00B72AC2">
        <w:t>Participants</w:t>
      </w:r>
      <w:r>
        <w:t>’</w:t>
      </w:r>
      <w:r w:rsidRPr="00B72AC2">
        <w:t xml:space="preserve"> responses to </w:t>
      </w:r>
      <w:r>
        <w:t xml:space="preserve">the </w:t>
      </w:r>
      <w:r w:rsidRPr="00B72AC2">
        <w:t xml:space="preserve">questions about the impact of the </w:t>
      </w:r>
      <w:r>
        <w:t>PS</w:t>
      </w:r>
      <w:r w:rsidRPr="00B72AC2">
        <w:t xml:space="preserve"> Act were summarised in four positions as shown in </w:t>
      </w:r>
      <w:r>
        <w:t>T</w:t>
      </w:r>
      <w:r w:rsidRPr="00B72AC2">
        <w:t xml:space="preserve">able </w:t>
      </w:r>
      <w:r w:rsidR="002375B0">
        <w:t>7-</w:t>
      </w:r>
      <w:r>
        <w:t>6</w:t>
      </w:r>
      <w:r w:rsidRPr="00B72AC2">
        <w:t xml:space="preserve">. </w:t>
      </w:r>
    </w:p>
    <w:p w14:paraId="4432FCB1" w14:textId="00BF887C" w:rsidR="007E1D13" w:rsidRPr="004B0B16" w:rsidRDefault="007E1D13" w:rsidP="004B0B16">
      <w:pPr>
        <w:pStyle w:val="TableHeader"/>
        <w:rPr>
          <w:b/>
        </w:rPr>
      </w:pPr>
      <w:bookmarkStart w:id="466" w:name="_Toc9509080"/>
      <w:r w:rsidRPr="004B0B16">
        <w:rPr>
          <w:b/>
        </w:rPr>
        <w:t xml:space="preserve">Table </w:t>
      </w:r>
      <w:r w:rsidR="002375B0" w:rsidRPr="004B0B16">
        <w:rPr>
          <w:b/>
        </w:rPr>
        <w:t>7-</w:t>
      </w:r>
      <w:r w:rsidRPr="004B0B16">
        <w:rPr>
          <w:b/>
        </w:rPr>
        <w:t>6 Belief categories for statements assessing the impact of the PS Act</w:t>
      </w:r>
      <w:bookmarkEnd w:id="466"/>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993"/>
        <w:gridCol w:w="3969"/>
        <w:gridCol w:w="1059"/>
        <w:gridCol w:w="710"/>
      </w:tblGrid>
      <w:tr w:rsidR="007E1D13" w:rsidRPr="0020601A" w14:paraId="581ED36D" w14:textId="77777777" w:rsidTr="007E1D13">
        <w:trPr>
          <w:trHeight w:val="290"/>
        </w:trPr>
        <w:tc>
          <w:tcPr>
            <w:tcW w:w="3369" w:type="dxa"/>
            <w:gridSpan w:val="2"/>
            <w:tcBorders>
              <w:top w:val="single" w:sz="4" w:space="0" w:color="auto"/>
              <w:left w:val="nil"/>
              <w:bottom w:val="single" w:sz="4" w:space="0" w:color="auto"/>
              <w:right w:val="nil"/>
            </w:tcBorders>
            <w:shd w:val="clear" w:color="auto" w:fill="auto"/>
            <w:noWrap/>
          </w:tcPr>
          <w:p w14:paraId="7314E1DF" w14:textId="77777777" w:rsidR="007E1D13" w:rsidRPr="0020601A" w:rsidRDefault="007E1D13" w:rsidP="007E1D13">
            <w:pPr>
              <w:spacing w:before="120" w:after="120" w:line="240" w:lineRule="auto"/>
              <w:rPr>
                <w:b/>
                <w:lang w:eastAsia="en-GB"/>
              </w:rPr>
            </w:pPr>
            <w:r>
              <w:rPr>
                <w:b/>
                <w:lang w:eastAsia="en-GB"/>
              </w:rPr>
              <w:t>Global t</w:t>
            </w:r>
            <w:r w:rsidRPr="0020601A">
              <w:rPr>
                <w:b/>
                <w:lang w:eastAsia="en-GB"/>
              </w:rPr>
              <w:t>heme</w:t>
            </w:r>
          </w:p>
        </w:tc>
        <w:tc>
          <w:tcPr>
            <w:tcW w:w="3969" w:type="dxa"/>
            <w:tcBorders>
              <w:top w:val="single" w:sz="4" w:space="0" w:color="auto"/>
              <w:left w:val="nil"/>
              <w:bottom w:val="single" w:sz="4" w:space="0" w:color="auto"/>
              <w:right w:val="nil"/>
            </w:tcBorders>
            <w:shd w:val="clear" w:color="auto" w:fill="auto"/>
          </w:tcPr>
          <w:p w14:paraId="032A2479" w14:textId="77777777" w:rsidR="007E1D13" w:rsidRPr="0020601A" w:rsidRDefault="007E1D13" w:rsidP="007E1D13">
            <w:pPr>
              <w:spacing w:before="120" w:after="120" w:line="240" w:lineRule="auto"/>
              <w:rPr>
                <w:b/>
                <w:lang w:eastAsia="en-GB"/>
              </w:rPr>
            </w:pPr>
            <w:r>
              <w:rPr>
                <w:b/>
                <w:lang w:eastAsia="en-GB"/>
              </w:rPr>
              <w:t>Organising theme</w:t>
            </w:r>
            <w:r w:rsidRPr="0020601A">
              <w:rPr>
                <w:b/>
                <w:lang w:eastAsia="en-GB"/>
              </w:rPr>
              <w:t xml:space="preserve"> </w:t>
            </w:r>
          </w:p>
        </w:tc>
        <w:tc>
          <w:tcPr>
            <w:tcW w:w="1059" w:type="dxa"/>
            <w:tcBorders>
              <w:top w:val="single" w:sz="4" w:space="0" w:color="auto"/>
              <w:left w:val="nil"/>
              <w:bottom w:val="single" w:sz="4" w:space="0" w:color="auto"/>
              <w:right w:val="nil"/>
            </w:tcBorders>
            <w:shd w:val="clear" w:color="auto" w:fill="auto"/>
          </w:tcPr>
          <w:p w14:paraId="02C5DE33" w14:textId="77777777" w:rsidR="007E1D13" w:rsidRPr="0020601A" w:rsidRDefault="007E1D13" w:rsidP="007E1D13">
            <w:pPr>
              <w:spacing w:before="120" w:after="120" w:line="240" w:lineRule="auto"/>
              <w:rPr>
                <w:b/>
                <w:lang w:eastAsia="en-GB"/>
              </w:rPr>
            </w:pPr>
            <w:r>
              <w:rPr>
                <w:b/>
                <w:lang w:eastAsia="en-GB"/>
              </w:rPr>
              <w:t>FGs</w:t>
            </w:r>
          </w:p>
        </w:tc>
        <w:tc>
          <w:tcPr>
            <w:tcW w:w="710" w:type="dxa"/>
            <w:tcBorders>
              <w:top w:val="single" w:sz="4" w:space="0" w:color="auto"/>
              <w:left w:val="nil"/>
              <w:bottom w:val="single" w:sz="4" w:space="0" w:color="auto"/>
              <w:right w:val="nil"/>
            </w:tcBorders>
            <w:shd w:val="clear" w:color="auto" w:fill="auto"/>
          </w:tcPr>
          <w:p w14:paraId="7BE9EC65" w14:textId="77777777" w:rsidR="007E1D13" w:rsidRPr="0020601A" w:rsidRDefault="007E1D13" w:rsidP="007E1D13">
            <w:pPr>
              <w:spacing w:before="120" w:after="120" w:line="240" w:lineRule="auto"/>
              <w:jc w:val="right"/>
              <w:rPr>
                <w:b/>
                <w:lang w:eastAsia="en-GB"/>
              </w:rPr>
            </w:pPr>
            <w:r>
              <w:rPr>
                <w:b/>
                <w:lang w:eastAsia="en-GB"/>
              </w:rPr>
              <w:t>Freq</w:t>
            </w:r>
          </w:p>
        </w:tc>
      </w:tr>
      <w:tr w:rsidR="007E1D13" w:rsidRPr="0020601A" w14:paraId="6BC5F71A" w14:textId="77777777" w:rsidTr="007E1D13">
        <w:trPr>
          <w:trHeight w:val="70"/>
        </w:trPr>
        <w:tc>
          <w:tcPr>
            <w:tcW w:w="7338" w:type="dxa"/>
            <w:gridSpan w:val="3"/>
            <w:tcBorders>
              <w:top w:val="nil"/>
              <w:left w:val="nil"/>
              <w:bottom w:val="nil"/>
              <w:right w:val="nil"/>
            </w:tcBorders>
            <w:shd w:val="clear" w:color="auto" w:fill="auto"/>
            <w:noWrap/>
            <w:vAlign w:val="bottom"/>
          </w:tcPr>
          <w:p w14:paraId="31A1CECC" w14:textId="77777777" w:rsidR="007E1D13" w:rsidRPr="0020601A" w:rsidRDefault="007E1D13" w:rsidP="007E1D13">
            <w:pPr>
              <w:spacing w:after="0" w:line="240" w:lineRule="auto"/>
              <w:rPr>
                <w:b/>
                <w:sz w:val="2"/>
                <w:szCs w:val="2"/>
                <w:lang w:eastAsia="en-GB"/>
              </w:rPr>
            </w:pPr>
            <w:r w:rsidRPr="0020601A">
              <w:rPr>
                <w:b/>
                <w:sz w:val="2"/>
                <w:szCs w:val="2"/>
                <w:lang w:eastAsia="en-GB"/>
              </w:rPr>
              <w:t>N</w:t>
            </w:r>
          </w:p>
        </w:tc>
        <w:tc>
          <w:tcPr>
            <w:tcW w:w="1059" w:type="dxa"/>
            <w:tcBorders>
              <w:top w:val="nil"/>
              <w:left w:val="nil"/>
              <w:bottom w:val="nil"/>
              <w:right w:val="nil"/>
            </w:tcBorders>
            <w:shd w:val="clear" w:color="auto" w:fill="auto"/>
            <w:vAlign w:val="bottom"/>
          </w:tcPr>
          <w:p w14:paraId="2787258D" w14:textId="77777777" w:rsidR="007E1D13" w:rsidRPr="0020601A" w:rsidRDefault="007E1D13" w:rsidP="007E1D13">
            <w:pPr>
              <w:spacing w:after="0" w:line="240" w:lineRule="auto"/>
              <w:rPr>
                <w:b/>
                <w:sz w:val="2"/>
                <w:szCs w:val="2"/>
                <w:lang w:eastAsia="en-GB"/>
              </w:rPr>
            </w:pPr>
          </w:p>
        </w:tc>
        <w:tc>
          <w:tcPr>
            <w:tcW w:w="710" w:type="dxa"/>
            <w:tcBorders>
              <w:top w:val="nil"/>
              <w:left w:val="nil"/>
              <w:bottom w:val="nil"/>
              <w:right w:val="nil"/>
            </w:tcBorders>
            <w:shd w:val="clear" w:color="auto" w:fill="auto"/>
          </w:tcPr>
          <w:p w14:paraId="06B869F8" w14:textId="77777777" w:rsidR="007E1D13" w:rsidRPr="0020601A" w:rsidRDefault="007E1D13" w:rsidP="007E1D13">
            <w:pPr>
              <w:spacing w:after="0" w:line="240" w:lineRule="auto"/>
              <w:jc w:val="right"/>
              <w:rPr>
                <w:b/>
                <w:sz w:val="2"/>
                <w:szCs w:val="2"/>
                <w:lang w:eastAsia="en-GB"/>
              </w:rPr>
            </w:pPr>
          </w:p>
        </w:tc>
      </w:tr>
      <w:tr w:rsidR="007E1D13" w:rsidRPr="0020601A" w14:paraId="3B0D2464" w14:textId="77777777" w:rsidTr="007E1D13">
        <w:trPr>
          <w:trHeight w:val="407"/>
        </w:trPr>
        <w:tc>
          <w:tcPr>
            <w:tcW w:w="2376" w:type="dxa"/>
            <w:tcBorders>
              <w:top w:val="nil"/>
              <w:left w:val="nil"/>
              <w:bottom w:val="nil"/>
              <w:right w:val="nil"/>
            </w:tcBorders>
            <w:shd w:val="clear" w:color="auto" w:fill="auto"/>
            <w:noWrap/>
            <w:vAlign w:val="center"/>
          </w:tcPr>
          <w:p w14:paraId="24A5A080" w14:textId="77777777" w:rsidR="007E1D13" w:rsidRPr="0020601A" w:rsidRDefault="007E1D13" w:rsidP="007E1D13">
            <w:pPr>
              <w:spacing w:before="120" w:after="120" w:line="240" w:lineRule="auto"/>
              <w:rPr>
                <w:lang w:eastAsia="en-GB"/>
              </w:rPr>
            </w:pPr>
            <w:r>
              <w:rPr>
                <w:b/>
                <w:szCs w:val="24"/>
              </w:rPr>
              <w:t>Impact of the PS Act</w:t>
            </w:r>
          </w:p>
        </w:tc>
        <w:tc>
          <w:tcPr>
            <w:tcW w:w="993" w:type="dxa"/>
            <w:tcBorders>
              <w:top w:val="nil"/>
              <w:left w:val="nil"/>
              <w:bottom w:val="nil"/>
              <w:right w:val="nil"/>
            </w:tcBorders>
            <w:shd w:val="clear" w:color="auto" w:fill="auto"/>
            <w:vAlign w:val="center"/>
          </w:tcPr>
          <w:p w14:paraId="010B1250" w14:textId="77777777" w:rsidR="007E1D13" w:rsidRPr="0020601A" w:rsidRDefault="007E1D13" w:rsidP="007E1D13">
            <w:pPr>
              <w:spacing w:before="120" w:after="120" w:line="240" w:lineRule="auto"/>
              <w:jc w:val="right"/>
              <w:rPr>
                <w:lang w:eastAsia="en-GB"/>
              </w:rPr>
            </w:pPr>
            <w:r>
              <w:rPr>
                <w:b/>
                <w:lang w:eastAsia="en-GB"/>
              </w:rPr>
              <w:t>32</w:t>
            </w:r>
          </w:p>
        </w:tc>
        <w:tc>
          <w:tcPr>
            <w:tcW w:w="3969" w:type="dxa"/>
            <w:tcBorders>
              <w:top w:val="nil"/>
              <w:left w:val="nil"/>
              <w:bottom w:val="nil"/>
              <w:right w:val="nil"/>
            </w:tcBorders>
            <w:shd w:val="clear" w:color="auto" w:fill="auto"/>
            <w:noWrap/>
            <w:vAlign w:val="center"/>
          </w:tcPr>
          <w:p w14:paraId="20CA494D" w14:textId="77777777" w:rsidR="007E1D13" w:rsidRPr="0020601A" w:rsidRDefault="007E1D13" w:rsidP="007E1D13">
            <w:pPr>
              <w:spacing w:before="120" w:after="120" w:line="240" w:lineRule="auto"/>
              <w:rPr>
                <w:lang w:eastAsia="en-GB"/>
              </w:rPr>
            </w:pPr>
            <w:r w:rsidRPr="0020601A">
              <w:rPr>
                <w:lang w:eastAsia="en-GB"/>
              </w:rPr>
              <w:t>Ban has had no effect</w:t>
            </w:r>
          </w:p>
        </w:tc>
        <w:tc>
          <w:tcPr>
            <w:tcW w:w="1059" w:type="dxa"/>
            <w:tcBorders>
              <w:top w:val="nil"/>
              <w:left w:val="nil"/>
              <w:bottom w:val="nil"/>
              <w:right w:val="nil"/>
            </w:tcBorders>
            <w:shd w:val="clear" w:color="auto" w:fill="auto"/>
            <w:vAlign w:val="center"/>
          </w:tcPr>
          <w:p w14:paraId="0B6AD855" w14:textId="77777777" w:rsidR="007E1D13" w:rsidRPr="0020601A" w:rsidRDefault="007E1D13" w:rsidP="007E1D13">
            <w:pPr>
              <w:spacing w:before="120" w:after="120" w:line="240" w:lineRule="auto"/>
              <w:rPr>
                <w:lang w:eastAsia="en-GB"/>
              </w:rPr>
            </w:pPr>
            <w:r>
              <w:rPr>
                <w:lang w:eastAsia="en-GB"/>
              </w:rPr>
              <w:t>3</w:t>
            </w:r>
          </w:p>
        </w:tc>
        <w:tc>
          <w:tcPr>
            <w:tcW w:w="710" w:type="dxa"/>
            <w:tcBorders>
              <w:top w:val="nil"/>
              <w:left w:val="nil"/>
              <w:bottom w:val="nil"/>
              <w:right w:val="nil"/>
            </w:tcBorders>
            <w:shd w:val="clear" w:color="auto" w:fill="auto"/>
            <w:vAlign w:val="center"/>
          </w:tcPr>
          <w:p w14:paraId="1CF9ED31" w14:textId="77777777" w:rsidR="007E1D13" w:rsidRPr="0020601A" w:rsidRDefault="007E1D13" w:rsidP="007E1D13">
            <w:pPr>
              <w:spacing w:before="120" w:after="120" w:line="240" w:lineRule="auto"/>
              <w:rPr>
                <w:lang w:eastAsia="en-GB"/>
              </w:rPr>
            </w:pPr>
            <w:r>
              <w:rPr>
                <w:lang w:eastAsia="en-GB"/>
              </w:rPr>
              <w:t>19</w:t>
            </w:r>
          </w:p>
        </w:tc>
      </w:tr>
      <w:tr w:rsidR="007E1D13" w:rsidRPr="0020601A" w14:paraId="0CD22CAC" w14:textId="77777777" w:rsidTr="007E1D13">
        <w:trPr>
          <w:trHeight w:val="407"/>
        </w:trPr>
        <w:tc>
          <w:tcPr>
            <w:tcW w:w="3369" w:type="dxa"/>
            <w:gridSpan w:val="2"/>
            <w:tcBorders>
              <w:top w:val="nil"/>
              <w:left w:val="nil"/>
              <w:bottom w:val="nil"/>
              <w:right w:val="nil"/>
            </w:tcBorders>
            <w:shd w:val="clear" w:color="auto" w:fill="auto"/>
            <w:noWrap/>
            <w:vAlign w:val="center"/>
          </w:tcPr>
          <w:p w14:paraId="0239D946" w14:textId="77777777" w:rsidR="007E1D13" w:rsidRPr="0020601A" w:rsidRDefault="007E1D13" w:rsidP="007E1D13">
            <w:pPr>
              <w:spacing w:before="120" w:after="120" w:line="240" w:lineRule="auto"/>
              <w:rPr>
                <w:sz w:val="20"/>
                <w:szCs w:val="20"/>
                <w:lang w:eastAsia="en-GB"/>
              </w:rPr>
            </w:pPr>
          </w:p>
        </w:tc>
        <w:tc>
          <w:tcPr>
            <w:tcW w:w="3969" w:type="dxa"/>
            <w:tcBorders>
              <w:top w:val="nil"/>
              <w:left w:val="nil"/>
              <w:bottom w:val="nil"/>
              <w:right w:val="nil"/>
            </w:tcBorders>
            <w:shd w:val="clear" w:color="auto" w:fill="auto"/>
            <w:noWrap/>
            <w:vAlign w:val="center"/>
          </w:tcPr>
          <w:p w14:paraId="0051126C" w14:textId="77777777" w:rsidR="007E1D13" w:rsidRPr="0020601A" w:rsidRDefault="007E1D13" w:rsidP="007E1D13">
            <w:pPr>
              <w:spacing w:before="120" w:after="120" w:line="240" w:lineRule="auto"/>
              <w:rPr>
                <w:lang w:eastAsia="en-GB"/>
              </w:rPr>
            </w:pPr>
            <w:r>
              <w:rPr>
                <w:lang w:eastAsia="en-GB"/>
              </w:rPr>
              <w:t>Ban had reduced visibility of use</w:t>
            </w:r>
          </w:p>
        </w:tc>
        <w:tc>
          <w:tcPr>
            <w:tcW w:w="1059" w:type="dxa"/>
            <w:tcBorders>
              <w:top w:val="nil"/>
              <w:left w:val="nil"/>
              <w:bottom w:val="nil"/>
              <w:right w:val="nil"/>
            </w:tcBorders>
            <w:shd w:val="clear" w:color="auto" w:fill="auto"/>
            <w:vAlign w:val="center"/>
          </w:tcPr>
          <w:p w14:paraId="413C715C" w14:textId="77777777" w:rsidR="007E1D13" w:rsidRPr="0020601A" w:rsidRDefault="007E1D13" w:rsidP="007E1D13">
            <w:pPr>
              <w:spacing w:before="120" w:after="120" w:line="240" w:lineRule="auto"/>
              <w:rPr>
                <w:lang w:eastAsia="en-GB"/>
              </w:rPr>
            </w:pPr>
            <w:r>
              <w:rPr>
                <w:lang w:eastAsia="en-GB"/>
              </w:rPr>
              <w:t>1</w:t>
            </w:r>
          </w:p>
        </w:tc>
        <w:tc>
          <w:tcPr>
            <w:tcW w:w="710" w:type="dxa"/>
            <w:tcBorders>
              <w:top w:val="nil"/>
              <w:left w:val="nil"/>
              <w:bottom w:val="nil"/>
              <w:right w:val="nil"/>
            </w:tcBorders>
            <w:shd w:val="clear" w:color="auto" w:fill="auto"/>
            <w:vAlign w:val="center"/>
          </w:tcPr>
          <w:p w14:paraId="46D5A2C5" w14:textId="77777777" w:rsidR="007E1D13" w:rsidRPr="0020601A" w:rsidRDefault="007E1D13" w:rsidP="007E1D13">
            <w:pPr>
              <w:spacing w:before="120" w:after="120" w:line="240" w:lineRule="auto"/>
              <w:rPr>
                <w:lang w:eastAsia="en-GB"/>
              </w:rPr>
            </w:pPr>
            <w:r>
              <w:rPr>
                <w:lang w:eastAsia="en-GB"/>
              </w:rPr>
              <w:t>7</w:t>
            </w:r>
          </w:p>
        </w:tc>
      </w:tr>
      <w:tr w:rsidR="007E1D13" w:rsidRPr="0020601A" w14:paraId="65317614" w14:textId="77777777" w:rsidTr="007E1D13">
        <w:trPr>
          <w:trHeight w:val="407"/>
        </w:trPr>
        <w:tc>
          <w:tcPr>
            <w:tcW w:w="3369" w:type="dxa"/>
            <w:gridSpan w:val="2"/>
            <w:tcBorders>
              <w:top w:val="nil"/>
              <w:left w:val="nil"/>
              <w:bottom w:val="nil"/>
              <w:right w:val="nil"/>
            </w:tcBorders>
            <w:shd w:val="clear" w:color="auto" w:fill="auto"/>
            <w:noWrap/>
            <w:vAlign w:val="center"/>
          </w:tcPr>
          <w:p w14:paraId="7608726F" w14:textId="77777777" w:rsidR="007E1D13" w:rsidRPr="0020601A" w:rsidRDefault="007E1D13" w:rsidP="007E1D13">
            <w:pPr>
              <w:spacing w:before="120" w:after="120" w:line="240" w:lineRule="auto"/>
              <w:rPr>
                <w:sz w:val="20"/>
                <w:szCs w:val="20"/>
                <w:lang w:eastAsia="en-GB"/>
              </w:rPr>
            </w:pPr>
          </w:p>
        </w:tc>
        <w:tc>
          <w:tcPr>
            <w:tcW w:w="3969" w:type="dxa"/>
            <w:tcBorders>
              <w:top w:val="nil"/>
              <w:left w:val="nil"/>
              <w:bottom w:val="nil"/>
              <w:right w:val="nil"/>
            </w:tcBorders>
            <w:shd w:val="clear" w:color="auto" w:fill="auto"/>
            <w:noWrap/>
            <w:vAlign w:val="center"/>
          </w:tcPr>
          <w:p w14:paraId="3D1B161E" w14:textId="77777777" w:rsidR="007E1D13" w:rsidRPr="0020601A" w:rsidRDefault="007E1D13" w:rsidP="007E1D13">
            <w:pPr>
              <w:spacing w:before="120" w:after="120" w:line="240" w:lineRule="auto"/>
              <w:rPr>
                <w:lang w:eastAsia="en-GB"/>
              </w:rPr>
            </w:pPr>
            <w:r w:rsidRPr="0020601A">
              <w:rPr>
                <w:lang w:eastAsia="en-GB"/>
              </w:rPr>
              <w:t>Ban has made things worse</w:t>
            </w:r>
          </w:p>
        </w:tc>
        <w:tc>
          <w:tcPr>
            <w:tcW w:w="1059" w:type="dxa"/>
            <w:tcBorders>
              <w:top w:val="nil"/>
              <w:left w:val="nil"/>
              <w:bottom w:val="nil"/>
              <w:right w:val="nil"/>
            </w:tcBorders>
            <w:shd w:val="clear" w:color="auto" w:fill="auto"/>
            <w:vAlign w:val="center"/>
          </w:tcPr>
          <w:p w14:paraId="532C583C" w14:textId="77777777" w:rsidR="007E1D13" w:rsidRPr="0020601A" w:rsidRDefault="007E1D13" w:rsidP="007E1D13">
            <w:pPr>
              <w:spacing w:before="120" w:after="120" w:line="240" w:lineRule="auto"/>
              <w:rPr>
                <w:lang w:eastAsia="en-GB"/>
              </w:rPr>
            </w:pPr>
            <w:r>
              <w:rPr>
                <w:lang w:eastAsia="en-GB"/>
              </w:rPr>
              <w:t>1</w:t>
            </w:r>
          </w:p>
        </w:tc>
        <w:tc>
          <w:tcPr>
            <w:tcW w:w="710" w:type="dxa"/>
            <w:tcBorders>
              <w:top w:val="nil"/>
              <w:left w:val="nil"/>
              <w:bottom w:val="nil"/>
              <w:right w:val="nil"/>
            </w:tcBorders>
            <w:shd w:val="clear" w:color="auto" w:fill="auto"/>
            <w:vAlign w:val="center"/>
          </w:tcPr>
          <w:p w14:paraId="6741DFBE" w14:textId="77777777" w:rsidR="007E1D13" w:rsidRPr="0020601A" w:rsidRDefault="007E1D13" w:rsidP="007E1D13">
            <w:pPr>
              <w:spacing w:before="120" w:after="120" w:line="240" w:lineRule="auto"/>
              <w:rPr>
                <w:lang w:eastAsia="en-GB"/>
              </w:rPr>
            </w:pPr>
            <w:r>
              <w:rPr>
                <w:lang w:eastAsia="en-GB"/>
              </w:rPr>
              <w:t>4</w:t>
            </w:r>
          </w:p>
        </w:tc>
      </w:tr>
      <w:tr w:rsidR="007E1D13" w:rsidRPr="0020601A" w14:paraId="5C11205F" w14:textId="77777777" w:rsidTr="007E1D13">
        <w:trPr>
          <w:trHeight w:val="407"/>
        </w:trPr>
        <w:tc>
          <w:tcPr>
            <w:tcW w:w="3369" w:type="dxa"/>
            <w:gridSpan w:val="2"/>
            <w:tcBorders>
              <w:top w:val="nil"/>
              <w:left w:val="nil"/>
              <w:bottom w:val="nil"/>
              <w:right w:val="nil"/>
            </w:tcBorders>
            <w:shd w:val="clear" w:color="auto" w:fill="auto"/>
            <w:noWrap/>
            <w:vAlign w:val="center"/>
          </w:tcPr>
          <w:p w14:paraId="358BD959" w14:textId="77777777" w:rsidR="007E1D13" w:rsidRPr="0020601A" w:rsidRDefault="007E1D13" w:rsidP="007E1D13">
            <w:pPr>
              <w:spacing w:before="120" w:after="120" w:line="240" w:lineRule="auto"/>
              <w:rPr>
                <w:sz w:val="20"/>
                <w:szCs w:val="20"/>
                <w:lang w:eastAsia="en-GB"/>
              </w:rPr>
            </w:pPr>
          </w:p>
        </w:tc>
        <w:tc>
          <w:tcPr>
            <w:tcW w:w="3969" w:type="dxa"/>
            <w:tcBorders>
              <w:top w:val="nil"/>
              <w:left w:val="nil"/>
              <w:bottom w:val="nil"/>
              <w:right w:val="nil"/>
            </w:tcBorders>
            <w:shd w:val="clear" w:color="auto" w:fill="auto"/>
            <w:noWrap/>
            <w:vAlign w:val="center"/>
          </w:tcPr>
          <w:p w14:paraId="511DFD61" w14:textId="77777777" w:rsidR="007E1D13" w:rsidRPr="0020601A" w:rsidRDefault="007E1D13" w:rsidP="007E1D13">
            <w:pPr>
              <w:spacing w:before="120" w:after="120" w:line="240" w:lineRule="auto"/>
              <w:rPr>
                <w:lang w:eastAsia="en-GB"/>
              </w:rPr>
            </w:pPr>
            <w:r w:rsidRPr="0020601A">
              <w:rPr>
                <w:lang w:eastAsia="en-GB"/>
              </w:rPr>
              <w:t xml:space="preserve">Ban has </w:t>
            </w:r>
            <w:r>
              <w:rPr>
                <w:lang w:eastAsia="en-GB"/>
              </w:rPr>
              <w:t>reduced use of LHs</w:t>
            </w:r>
            <w:r w:rsidRPr="0020601A">
              <w:rPr>
                <w:lang w:eastAsia="en-GB"/>
              </w:rPr>
              <w:t xml:space="preserve"> </w:t>
            </w:r>
          </w:p>
        </w:tc>
        <w:tc>
          <w:tcPr>
            <w:tcW w:w="1059" w:type="dxa"/>
            <w:tcBorders>
              <w:top w:val="nil"/>
              <w:left w:val="nil"/>
              <w:bottom w:val="nil"/>
              <w:right w:val="nil"/>
            </w:tcBorders>
            <w:shd w:val="clear" w:color="auto" w:fill="auto"/>
            <w:vAlign w:val="center"/>
          </w:tcPr>
          <w:p w14:paraId="068E481C" w14:textId="77777777" w:rsidR="007E1D13" w:rsidRPr="0020601A" w:rsidRDefault="007E1D13" w:rsidP="007E1D13">
            <w:pPr>
              <w:spacing w:before="120" w:after="120" w:line="240" w:lineRule="auto"/>
              <w:rPr>
                <w:lang w:eastAsia="en-GB"/>
              </w:rPr>
            </w:pPr>
            <w:r>
              <w:rPr>
                <w:lang w:eastAsia="en-GB"/>
              </w:rPr>
              <w:t>2</w:t>
            </w:r>
          </w:p>
        </w:tc>
        <w:tc>
          <w:tcPr>
            <w:tcW w:w="710" w:type="dxa"/>
            <w:tcBorders>
              <w:top w:val="nil"/>
              <w:left w:val="nil"/>
              <w:bottom w:val="nil"/>
              <w:right w:val="nil"/>
            </w:tcBorders>
            <w:shd w:val="clear" w:color="auto" w:fill="auto"/>
            <w:vAlign w:val="center"/>
          </w:tcPr>
          <w:p w14:paraId="1B7113CB" w14:textId="77777777" w:rsidR="007E1D13" w:rsidRPr="0020601A" w:rsidRDefault="007E1D13" w:rsidP="007E1D13">
            <w:pPr>
              <w:spacing w:before="120" w:after="120" w:line="240" w:lineRule="auto"/>
              <w:rPr>
                <w:lang w:eastAsia="en-GB"/>
              </w:rPr>
            </w:pPr>
            <w:r>
              <w:rPr>
                <w:lang w:eastAsia="en-GB"/>
              </w:rPr>
              <w:t>2</w:t>
            </w:r>
          </w:p>
        </w:tc>
      </w:tr>
      <w:tr w:rsidR="007E1D13" w:rsidRPr="00F33624" w14:paraId="68A0EE03" w14:textId="77777777" w:rsidTr="007E1D13">
        <w:trPr>
          <w:trHeight w:val="77"/>
        </w:trPr>
        <w:tc>
          <w:tcPr>
            <w:tcW w:w="7338" w:type="dxa"/>
            <w:gridSpan w:val="3"/>
            <w:tcBorders>
              <w:top w:val="nil"/>
              <w:left w:val="nil"/>
              <w:bottom w:val="single" w:sz="4" w:space="0" w:color="auto"/>
              <w:right w:val="nil"/>
            </w:tcBorders>
            <w:shd w:val="clear" w:color="auto" w:fill="auto"/>
            <w:noWrap/>
            <w:vAlign w:val="bottom"/>
          </w:tcPr>
          <w:p w14:paraId="1813BD3F" w14:textId="77777777" w:rsidR="007E1D13" w:rsidRPr="00F33624" w:rsidRDefault="007E1D13" w:rsidP="007E1D13">
            <w:pPr>
              <w:spacing w:after="0" w:line="240" w:lineRule="auto"/>
              <w:rPr>
                <w:b/>
                <w:color w:val="FFFFFF" w:themeColor="background1"/>
                <w:sz w:val="10"/>
                <w:szCs w:val="2"/>
                <w:lang w:eastAsia="en-GB"/>
              </w:rPr>
            </w:pPr>
            <w:r w:rsidRPr="00F33624">
              <w:rPr>
                <w:b/>
                <w:color w:val="FFFFFF" w:themeColor="background1"/>
                <w:sz w:val="10"/>
                <w:szCs w:val="2"/>
                <w:lang w:eastAsia="en-GB"/>
              </w:rPr>
              <w:t>N</w:t>
            </w:r>
          </w:p>
        </w:tc>
        <w:tc>
          <w:tcPr>
            <w:tcW w:w="1059" w:type="dxa"/>
            <w:tcBorders>
              <w:top w:val="nil"/>
              <w:left w:val="nil"/>
              <w:bottom w:val="single" w:sz="4" w:space="0" w:color="auto"/>
              <w:right w:val="nil"/>
            </w:tcBorders>
            <w:shd w:val="clear" w:color="auto" w:fill="auto"/>
            <w:vAlign w:val="bottom"/>
          </w:tcPr>
          <w:p w14:paraId="484FE078" w14:textId="77777777" w:rsidR="007E1D13" w:rsidRPr="00F33624" w:rsidRDefault="007E1D13" w:rsidP="007E1D13">
            <w:pPr>
              <w:spacing w:after="0" w:line="240" w:lineRule="auto"/>
              <w:rPr>
                <w:b/>
                <w:color w:val="FFFFFF" w:themeColor="background1"/>
                <w:sz w:val="10"/>
                <w:szCs w:val="2"/>
                <w:lang w:eastAsia="en-GB"/>
              </w:rPr>
            </w:pPr>
          </w:p>
        </w:tc>
        <w:tc>
          <w:tcPr>
            <w:tcW w:w="710" w:type="dxa"/>
            <w:tcBorders>
              <w:top w:val="nil"/>
              <w:left w:val="nil"/>
              <w:bottom w:val="single" w:sz="4" w:space="0" w:color="auto"/>
              <w:right w:val="nil"/>
            </w:tcBorders>
            <w:shd w:val="clear" w:color="auto" w:fill="auto"/>
          </w:tcPr>
          <w:p w14:paraId="3B63397B" w14:textId="77777777" w:rsidR="007E1D13" w:rsidRPr="00F33624" w:rsidRDefault="007E1D13" w:rsidP="007E1D13">
            <w:pPr>
              <w:spacing w:after="0" w:line="240" w:lineRule="auto"/>
              <w:jc w:val="right"/>
              <w:rPr>
                <w:b/>
                <w:color w:val="FFFFFF" w:themeColor="background1"/>
                <w:sz w:val="10"/>
                <w:szCs w:val="2"/>
                <w:lang w:eastAsia="en-GB"/>
              </w:rPr>
            </w:pPr>
          </w:p>
        </w:tc>
      </w:tr>
    </w:tbl>
    <w:p w14:paraId="00D7CA20" w14:textId="34626B86" w:rsidR="007E1D13" w:rsidRPr="00B72AC2" w:rsidRDefault="007E1D13" w:rsidP="007E1D13">
      <w:pPr>
        <w:spacing w:before="200" w:line="480" w:lineRule="auto"/>
      </w:pPr>
      <w:r>
        <w:br/>
      </w:r>
      <w:r w:rsidRPr="00B72AC2">
        <w:t xml:space="preserve">The most common </w:t>
      </w:r>
      <w:r>
        <w:t>belief</w:t>
      </w:r>
      <w:r w:rsidRPr="00B72AC2">
        <w:t>, expressed in all three groups, was that the ban appeared to be having</w:t>
      </w:r>
      <w:r>
        <w:t xml:space="preserve"> little or</w:t>
      </w:r>
      <w:r w:rsidRPr="00B72AC2">
        <w:t xml:space="preserve"> no effect. Participants noted that NPS remained easily available, continued to be used and that many people seemed unaware of the ban, while those who were</w:t>
      </w:r>
      <w:r>
        <w:t xml:space="preserve"> aware</w:t>
      </w:r>
      <w:r w:rsidRPr="00B72AC2">
        <w:t>, were unlikely to be influenced by the change in legal status. In contrast, a smaller number of participants felt the ban had affected NPS use. While two participants attributed a reduction in use to increased awareness of the risks of using legal highs, others felt the ban had impacted the visibility of NPS use, with use of legal highs being driven underground</w:t>
      </w:r>
      <w:r>
        <w:t xml:space="preserve"> and consumed less publicly</w:t>
      </w:r>
      <w:r w:rsidRPr="00B72AC2">
        <w:t xml:space="preserve">. Other participants believed that </w:t>
      </w:r>
      <w:r>
        <w:t>the situation</w:t>
      </w:r>
      <w:r w:rsidRPr="00B72AC2">
        <w:t xml:space="preserve"> had got worse following </w:t>
      </w:r>
      <w:r w:rsidR="00630416">
        <w:t xml:space="preserve">the </w:t>
      </w:r>
      <w:r w:rsidRPr="00B72AC2">
        <w:t xml:space="preserve">implementation of the PS Act, reporting increased rates of use by young people and street users, as well as expressing concern about the reduced attention being given to NPS </w:t>
      </w:r>
      <w:r>
        <w:t xml:space="preserve">related </w:t>
      </w:r>
      <w:r w:rsidRPr="00B72AC2">
        <w:t xml:space="preserve">issues as a result of their illegal status. </w:t>
      </w:r>
    </w:p>
    <w:p w14:paraId="7171E9B7" w14:textId="07FE7900" w:rsidR="007E1D13" w:rsidRDefault="007E1D13" w:rsidP="007E1D13">
      <w:pPr>
        <w:pStyle w:val="Heading3"/>
      </w:pPr>
      <w:bookmarkStart w:id="467" w:name="_Toc35892716"/>
      <w:r>
        <w:t>Global themes and organising themes</w:t>
      </w:r>
      <w:bookmarkEnd w:id="467"/>
    </w:p>
    <w:p w14:paraId="3A20053F" w14:textId="7734CA0E" w:rsidR="007E1D13" w:rsidRDefault="00630416" w:rsidP="007E1D13">
      <w:pPr>
        <w:spacing w:before="200" w:line="480" w:lineRule="auto"/>
      </w:pPr>
      <w:r>
        <w:t>Concerning</w:t>
      </w:r>
      <w:r w:rsidR="007E1D13">
        <w:t xml:space="preserve"> participants’ responses to the questions replicated from the pre-ban study,</w:t>
      </w:r>
      <w:r w:rsidR="007E1D13" w:rsidRPr="00DB6AE3">
        <w:t xml:space="preserve"> </w:t>
      </w:r>
      <w:r w:rsidR="007E1D13">
        <w:t>658</w:t>
      </w:r>
      <w:r w:rsidR="007E1D13" w:rsidRPr="00DB6AE3">
        <w:t xml:space="preserve"> </w:t>
      </w:r>
      <w:r w:rsidR="007E1D13">
        <w:t xml:space="preserve">meaningful utterances </w:t>
      </w:r>
      <w:r w:rsidR="007E1D13" w:rsidRPr="00DB6AE3">
        <w:t>were identified and coded into 5</w:t>
      </w:r>
      <w:r w:rsidR="007E1D13">
        <w:t>1</w:t>
      </w:r>
      <w:r w:rsidR="007E1D13" w:rsidRPr="00DB6AE3">
        <w:t xml:space="preserve"> </w:t>
      </w:r>
      <w:r w:rsidR="007E1D13">
        <w:t xml:space="preserve">organising themes. Although the data was initially coded using the organising themes devised in Study 1, the coding was not restricted to the pre-existing categories and new codes were created to capture the novel statements that emerged. Of the original set of organising themes identified in Study 1, 83% </w:t>
      </w:r>
      <w:r w:rsidR="007E1D13" w:rsidRPr="00764285">
        <w:t>were also present in participants</w:t>
      </w:r>
      <w:r w:rsidR="007E1D13">
        <w:t>’</w:t>
      </w:r>
      <w:r w:rsidR="007E1D13" w:rsidRPr="00764285">
        <w:t xml:space="preserve"> discussions in the Study 2 focus groups. While 8 of the pre-existing organising themes were absent, 9 novel categories of theme emerged. Analysis of the post-ban groups produced 30 organising themes assessed as encouraging use of NPS, which accounted for 55% of coded comments (an 8% reduction compared to Study 1) and 21 belief categories discouraging use of NPS which accounted for 45% of coded comments (an 8% increase compared to Study 1)</w:t>
      </w:r>
      <w:r w:rsidR="007E1D13">
        <w:t>.</w:t>
      </w:r>
    </w:p>
    <w:p w14:paraId="79761953" w14:textId="3F3881BC" w:rsidR="007E1D13" w:rsidRDefault="007E1D13" w:rsidP="007E1D13">
      <w:pPr>
        <w:spacing w:before="200" w:line="480" w:lineRule="auto"/>
      </w:pPr>
      <w:r>
        <w:t xml:space="preserve">Each global theme is described in more detail in Sections 6.4.9.1 to 6.4.9.10 following </w:t>
      </w:r>
      <w:r w:rsidR="00630416">
        <w:t xml:space="preserve">the </w:t>
      </w:r>
      <w:r>
        <w:t xml:space="preserve">presentation of the comparative data and data relating to the organising themes that constitute each global theme.  </w:t>
      </w:r>
    </w:p>
    <w:p w14:paraId="42B68461" w14:textId="77777777" w:rsidR="007E1D13" w:rsidRPr="00E31E26" w:rsidRDefault="007E1D13" w:rsidP="00E31E26">
      <w:pPr>
        <w:pStyle w:val="Heading4"/>
      </w:pPr>
      <w:r w:rsidRPr="00E31E26">
        <w:t xml:space="preserve">Global themes and comparative indices </w:t>
      </w:r>
    </w:p>
    <w:p w14:paraId="6F01678F" w14:textId="75D5CC81" w:rsidR="007E1D13" w:rsidRDefault="007E1D13" w:rsidP="007E1D13">
      <w:pPr>
        <w:spacing w:before="200" w:line="480" w:lineRule="auto"/>
      </w:pPr>
      <w:r>
        <w:t xml:space="preserve">An overall summary of the themes expressed within participants’ discourse are reported in Table </w:t>
      </w:r>
      <w:r w:rsidR="00BB0973">
        <w:t>7-</w:t>
      </w:r>
      <w:r>
        <w:t xml:space="preserve">7. Table </w:t>
      </w:r>
      <w:r w:rsidR="00BB0973">
        <w:t>7-</w:t>
      </w:r>
      <w:r>
        <w:t xml:space="preserve">8 presents a summary of each theme expressed in relation to statements assessed as encouraging use of NPS, while Table </w:t>
      </w:r>
      <w:r w:rsidR="00BB0973">
        <w:t>7-</w:t>
      </w:r>
      <w:r>
        <w:t>9 presents the same set of data for statements assessed as discouraging use of NPS. To provide a measure of the extent to which each theme was emphasised within participants discussions, in all three tables, each theme is shown together with the number of statements associated with that theme and its corresponding coverage within the transcripts, presented as a percentage of the total number of statements coded (</w:t>
      </w:r>
      <w:r w:rsidRPr="003A3C32">
        <w:rPr>
          <w:i/>
        </w:rPr>
        <w:t>n</w:t>
      </w:r>
      <w:r>
        <w:t xml:space="preserve"> = 658). Themes are reported in rank order with the most frequently referenced theme ranked first. </w:t>
      </w:r>
    </w:p>
    <w:p w14:paraId="23EECF7D" w14:textId="77777777" w:rsidR="007E1D13" w:rsidRDefault="007E1D13" w:rsidP="007E1D13">
      <w:pPr>
        <w:spacing w:before="200" w:line="480" w:lineRule="auto"/>
      </w:pPr>
      <w:r>
        <w:t xml:space="preserve">The tables also present information for a set of difference indices created to aid comparison between the pre- and post-ban data. Three difference indices and an overall difference score was calculated for each global theme. The difference indices relate to: the difference in the number of statements referencing each theme; the difference in rank for each theme; and the difference in the number of organising themes within each global theme. </w:t>
      </w:r>
    </w:p>
    <w:p w14:paraId="1B9AAFAD" w14:textId="33FAE5C5" w:rsidR="007E1D13" w:rsidRDefault="007E1D13" w:rsidP="007E1D13">
      <w:pPr>
        <w:spacing w:before="200" w:line="480" w:lineRule="auto"/>
      </w:pPr>
      <w:r>
        <w:t xml:space="preserve">In the tables that display the data for statements encouraging use (Table </w:t>
      </w:r>
      <w:r w:rsidR="00BB0973">
        <w:t>7-</w:t>
      </w:r>
      <w:r>
        <w:t xml:space="preserve">8) and discouraging use (Table </w:t>
      </w:r>
      <w:r w:rsidR="00BB0973">
        <w:t>7-</w:t>
      </w:r>
      <w:r>
        <w:t>9) raw data for each difference indices is shown, along with a rank based on difference score calculated for each theme. The difference score represents a general measure of difference which was calculated as a sum of the rankings for each global theme for each of the difference indices. The sum of the rankings was then ranked with the global theme showing the greatest difference first and the least difference last.</w:t>
      </w:r>
    </w:p>
    <w:p w14:paraId="25BB5AFD" w14:textId="7760D6DD" w:rsidR="007E1D13" w:rsidRPr="00397405" w:rsidRDefault="007E1D13" w:rsidP="00603E9F">
      <w:pPr>
        <w:spacing w:before="200" w:line="480" w:lineRule="auto"/>
        <w:sectPr w:rsidR="007E1D13" w:rsidRPr="00397405" w:rsidSect="007E1D13">
          <w:headerReference w:type="default" r:id="rId66"/>
          <w:pgSz w:w="11900" w:h="16840"/>
          <w:pgMar w:top="1418" w:right="1418" w:bottom="1560" w:left="1418" w:header="709" w:footer="709" w:gutter="0"/>
          <w:cols w:space="708"/>
          <w:docGrid w:linePitch="360"/>
        </w:sectPr>
      </w:pPr>
      <w:r>
        <w:t xml:space="preserve">As Table </w:t>
      </w:r>
      <w:r w:rsidR="00BB0973">
        <w:t>7-</w:t>
      </w:r>
      <w:r>
        <w:t xml:space="preserve">7 displays data for the themes overall, the difference indices for each global theme combine data for each behavioural outcome (i.e. taking NPS and not taking NPS) and therefore raw difference data for each theme are not suitable as differences may appear suppressed where the theme has increased in relation to one outcome and decreased in relation not the other. For this reason, in Table </w:t>
      </w:r>
      <w:r w:rsidR="00BB0973">
        <w:t>7-7</w:t>
      </w:r>
      <w:r>
        <w:t xml:space="preserve"> each global theme has instead been assigned its rank relating to a combined measure for each difference index, with higher rankings reflecting greater differences between the pre- and post-ban discussions for each global theme. Further information on the difference indices used see Chapter 4 Section 4.8. </w:t>
      </w:r>
      <w:bookmarkStart w:id="468" w:name="_Hlk8469011"/>
    </w:p>
    <w:p w14:paraId="1F9E6258" w14:textId="2241665E" w:rsidR="007E1D13" w:rsidRPr="004B0B16" w:rsidRDefault="007E1D13" w:rsidP="004B0B16">
      <w:pPr>
        <w:pStyle w:val="TableHeader"/>
        <w:rPr>
          <w:b/>
        </w:rPr>
      </w:pPr>
      <w:bookmarkStart w:id="469" w:name="_Toc9509081"/>
      <w:bookmarkStart w:id="470" w:name="_Hlk3556378"/>
      <w:bookmarkStart w:id="471" w:name="_Hlk8468997"/>
      <w:r w:rsidRPr="004B0B16">
        <w:rPr>
          <w:b/>
        </w:rPr>
        <w:t xml:space="preserve">Table </w:t>
      </w:r>
      <w:r w:rsidR="002375B0" w:rsidRPr="004B0B16">
        <w:rPr>
          <w:b/>
        </w:rPr>
        <w:t>7-</w:t>
      </w:r>
      <w:r w:rsidRPr="004B0B16">
        <w:rPr>
          <w:b/>
        </w:rPr>
        <w:t>7 All coded statements: Themes identified in the post-ban focus groups ranked by frequency of expression</w:t>
      </w:r>
      <w:bookmarkEnd w:id="469"/>
    </w:p>
    <w:tbl>
      <w:tblPr>
        <w:tblW w:w="13716" w:type="dxa"/>
        <w:tblLayout w:type="fixed"/>
        <w:tblLook w:val="04A0" w:firstRow="1" w:lastRow="0" w:firstColumn="1" w:lastColumn="0" w:noHBand="0" w:noVBand="1"/>
      </w:tblPr>
      <w:tblGrid>
        <w:gridCol w:w="817"/>
        <w:gridCol w:w="3686"/>
        <w:gridCol w:w="425"/>
        <w:gridCol w:w="1039"/>
        <w:gridCol w:w="237"/>
        <w:gridCol w:w="1228"/>
        <w:gridCol w:w="331"/>
        <w:gridCol w:w="1134"/>
        <w:gridCol w:w="354"/>
        <w:gridCol w:w="1110"/>
        <w:gridCol w:w="378"/>
        <w:gridCol w:w="1087"/>
        <w:gridCol w:w="401"/>
        <w:gridCol w:w="1064"/>
        <w:gridCol w:w="425"/>
      </w:tblGrid>
      <w:tr w:rsidR="007E1D13" w:rsidRPr="005C395B" w14:paraId="0C47F44C" w14:textId="77777777" w:rsidTr="007E1D13">
        <w:trPr>
          <w:trHeight w:val="678"/>
        </w:trPr>
        <w:tc>
          <w:tcPr>
            <w:tcW w:w="817" w:type="dxa"/>
            <w:tcBorders>
              <w:top w:val="single" w:sz="4" w:space="0" w:color="auto"/>
            </w:tcBorders>
          </w:tcPr>
          <w:p w14:paraId="1A2F99EB" w14:textId="77777777" w:rsidR="007E1D13" w:rsidRPr="005C395B" w:rsidRDefault="007E1D13" w:rsidP="007E1D13">
            <w:pPr>
              <w:spacing w:before="120" w:after="120" w:line="240" w:lineRule="auto"/>
              <w:rPr>
                <w:b/>
                <w:color w:val="000000"/>
                <w:szCs w:val="24"/>
                <w:lang w:eastAsia="en-GB"/>
              </w:rPr>
            </w:pPr>
          </w:p>
        </w:tc>
        <w:tc>
          <w:tcPr>
            <w:tcW w:w="4111" w:type="dxa"/>
            <w:gridSpan w:val="2"/>
            <w:tcBorders>
              <w:top w:val="single" w:sz="4" w:space="0" w:color="auto"/>
            </w:tcBorders>
          </w:tcPr>
          <w:p w14:paraId="2F309EF2" w14:textId="77777777" w:rsidR="007E1D13" w:rsidRPr="005C395B" w:rsidRDefault="007E1D13" w:rsidP="007E1D13">
            <w:pPr>
              <w:spacing w:before="120" w:after="120" w:line="240" w:lineRule="auto"/>
              <w:rPr>
                <w:b/>
                <w:color w:val="000000"/>
                <w:szCs w:val="24"/>
                <w:lang w:eastAsia="en-GB"/>
              </w:rPr>
            </w:pPr>
          </w:p>
        </w:tc>
        <w:tc>
          <w:tcPr>
            <w:tcW w:w="1276" w:type="dxa"/>
            <w:gridSpan w:val="2"/>
            <w:tcBorders>
              <w:top w:val="single" w:sz="4" w:space="0" w:color="auto"/>
            </w:tcBorders>
          </w:tcPr>
          <w:p w14:paraId="774E63D5" w14:textId="77777777" w:rsidR="007E1D13" w:rsidRPr="004C3077" w:rsidRDefault="007E1D13" w:rsidP="007E1D13">
            <w:pPr>
              <w:spacing w:before="120" w:after="120" w:line="240" w:lineRule="auto"/>
              <w:jc w:val="center"/>
              <w:rPr>
                <w:b/>
                <w:color w:val="000000"/>
                <w:sz w:val="22"/>
                <w:szCs w:val="24"/>
                <w:lang w:eastAsia="en-GB"/>
              </w:rPr>
            </w:pPr>
          </w:p>
        </w:tc>
        <w:tc>
          <w:tcPr>
            <w:tcW w:w="1559" w:type="dxa"/>
            <w:gridSpan w:val="2"/>
            <w:tcBorders>
              <w:top w:val="single" w:sz="4" w:space="0" w:color="auto"/>
            </w:tcBorders>
          </w:tcPr>
          <w:p w14:paraId="1558CBE2" w14:textId="77777777" w:rsidR="007E1D13" w:rsidRPr="004C3077" w:rsidRDefault="007E1D13" w:rsidP="007E1D13">
            <w:pPr>
              <w:spacing w:before="120" w:after="120" w:line="240" w:lineRule="auto"/>
              <w:jc w:val="center"/>
              <w:rPr>
                <w:b/>
                <w:color w:val="000000"/>
                <w:sz w:val="22"/>
                <w:szCs w:val="24"/>
                <w:lang w:eastAsia="en-GB"/>
              </w:rPr>
            </w:pPr>
          </w:p>
        </w:tc>
        <w:tc>
          <w:tcPr>
            <w:tcW w:w="1488" w:type="dxa"/>
            <w:gridSpan w:val="2"/>
            <w:tcBorders>
              <w:top w:val="single" w:sz="4" w:space="0" w:color="auto"/>
              <w:bottom w:val="single" w:sz="4" w:space="0" w:color="auto"/>
            </w:tcBorders>
          </w:tcPr>
          <w:p w14:paraId="0A9246FD"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 references</w:t>
            </w:r>
          </w:p>
        </w:tc>
        <w:tc>
          <w:tcPr>
            <w:tcW w:w="1488" w:type="dxa"/>
            <w:gridSpan w:val="2"/>
            <w:tcBorders>
              <w:top w:val="single" w:sz="4" w:space="0" w:color="auto"/>
              <w:bottom w:val="single" w:sz="4" w:space="0" w:color="auto"/>
            </w:tcBorders>
            <w:shd w:val="clear" w:color="auto" w:fill="auto"/>
          </w:tcPr>
          <w:p w14:paraId="28BA1FFE"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 xml:space="preserve">Difference </w:t>
            </w:r>
            <w:r>
              <w:rPr>
                <w:b/>
                <w:color w:val="000000"/>
                <w:sz w:val="22"/>
                <w:szCs w:val="24"/>
                <w:lang w:eastAsia="en-GB"/>
              </w:rPr>
              <w:t>R</w:t>
            </w:r>
            <w:r w:rsidRPr="004C3077">
              <w:rPr>
                <w:b/>
                <w:color w:val="000000"/>
                <w:sz w:val="22"/>
                <w:szCs w:val="24"/>
                <w:lang w:eastAsia="en-GB"/>
              </w:rPr>
              <w:t>ank</w:t>
            </w:r>
          </w:p>
        </w:tc>
        <w:tc>
          <w:tcPr>
            <w:tcW w:w="1488" w:type="dxa"/>
            <w:gridSpan w:val="2"/>
            <w:tcBorders>
              <w:top w:val="single" w:sz="4" w:space="0" w:color="auto"/>
              <w:bottom w:val="single" w:sz="4" w:space="0" w:color="auto"/>
            </w:tcBorders>
          </w:tcPr>
          <w:p w14:paraId="076A2313"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w:t>
            </w:r>
            <w:r>
              <w:rPr>
                <w:b/>
                <w:color w:val="000000"/>
                <w:sz w:val="22"/>
                <w:szCs w:val="24"/>
                <w:lang w:eastAsia="en-GB"/>
              </w:rPr>
              <w:t xml:space="preserve"> </w:t>
            </w:r>
            <w:r w:rsidRPr="004C3077">
              <w:rPr>
                <w:b/>
                <w:color w:val="000000"/>
                <w:sz w:val="22"/>
                <w:szCs w:val="24"/>
                <w:lang w:eastAsia="en-GB"/>
              </w:rPr>
              <w:t xml:space="preserve"> N</w:t>
            </w:r>
            <w:r w:rsidRPr="004C3077">
              <w:rPr>
                <w:b/>
                <w:color w:val="000000"/>
                <w:sz w:val="22"/>
                <w:szCs w:val="24"/>
                <w:vertAlign w:val="superscript"/>
                <w:lang w:eastAsia="en-GB"/>
              </w:rPr>
              <w:t>o</w:t>
            </w:r>
            <w:r w:rsidRPr="004C3077">
              <w:rPr>
                <w:b/>
                <w:color w:val="000000"/>
                <w:sz w:val="22"/>
                <w:szCs w:val="24"/>
                <w:lang w:eastAsia="en-GB"/>
              </w:rPr>
              <w:t xml:space="preserve"> beliefs</w:t>
            </w:r>
          </w:p>
        </w:tc>
        <w:tc>
          <w:tcPr>
            <w:tcW w:w="1489" w:type="dxa"/>
            <w:gridSpan w:val="2"/>
            <w:tcBorders>
              <w:top w:val="single" w:sz="4" w:space="0" w:color="auto"/>
              <w:bottom w:val="single" w:sz="4" w:space="0" w:color="auto"/>
            </w:tcBorders>
          </w:tcPr>
          <w:p w14:paraId="0DD0548A"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 score</w:t>
            </w:r>
          </w:p>
        </w:tc>
      </w:tr>
      <w:tr w:rsidR="007E1D13" w:rsidRPr="004C3077" w14:paraId="208A9F08" w14:textId="77777777" w:rsidTr="007E1D13">
        <w:trPr>
          <w:trHeight w:val="96"/>
        </w:trPr>
        <w:tc>
          <w:tcPr>
            <w:tcW w:w="817" w:type="dxa"/>
            <w:tcBorders>
              <w:bottom w:val="single" w:sz="4" w:space="0" w:color="auto"/>
            </w:tcBorders>
          </w:tcPr>
          <w:p w14:paraId="3F73C9FF" w14:textId="77777777" w:rsidR="007E1D13" w:rsidRPr="004C3077" w:rsidRDefault="007E1D13" w:rsidP="007E1D13">
            <w:pPr>
              <w:spacing w:before="120" w:after="120" w:line="240" w:lineRule="auto"/>
              <w:jc w:val="center"/>
              <w:rPr>
                <w:b/>
                <w:sz w:val="22"/>
              </w:rPr>
            </w:pPr>
            <w:r w:rsidRPr="005C395B">
              <w:rPr>
                <w:b/>
                <w:color w:val="000000"/>
                <w:szCs w:val="24"/>
                <w:lang w:eastAsia="en-GB"/>
              </w:rPr>
              <w:t>Rank</w:t>
            </w:r>
          </w:p>
        </w:tc>
        <w:tc>
          <w:tcPr>
            <w:tcW w:w="4111" w:type="dxa"/>
            <w:gridSpan w:val="2"/>
            <w:tcBorders>
              <w:bottom w:val="single" w:sz="4" w:space="0" w:color="auto"/>
            </w:tcBorders>
          </w:tcPr>
          <w:p w14:paraId="581912ED" w14:textId="77777777" w:rsidR="007E1D13" w:rsidRPr="004C3077" w:rsidRDefault="007E1D13" w:rsidP="007E1D13">
            <w:pPr>
              <w:spacing w:before="120" w:after="120" w:line="240" w:lineRule="auto"/>
              <w:jc w:val="center"/>
              <w:rPr>
                <w:b/>
                <w:sz w:val="22"/>
              </w:rPr>
            </w:pPr>
            <w:r w:rsidRPr="005C395B">
              <w:rPr>
                <w:b/>
                <w:color w:val="000000"/>
                <w:szCs w:val="24"/>
                <w:lang w:eastAsia="en-GB"/>
              </w:rPr>
              <w:t>Theme</w:t>
            </w:r>
          </w:p>
        </w:tc>
        <w:tc>
          <w:tcPr>
            <w:tcW w:w="1276" w:type="dxa"/>
            <w:gridSpan w:val="2"/>
            <w:tcBorders>
              <w:bottom w:val="single" w:sz="4" w:space="0" w:color="auto"/>
            </w:tcBorders>
          </w:tcPr>
          <w:p w14:paraId="54F7FF63" w14:textId="77777777" w:rsidR="007E1D13" w:rsidRPr="004C3077" w:rsidRDefault="007E1D13" w:rsidP="007E1D13">
            <w:pPr>
              <w:spacing w:before="120" w:after="120" w:line="240" w:lineRule="auto"/>
              <w:jc w:val="center"/>
              <w:rPr>
                <w:b/>
                <w:sz w:val="22"/>
              </w:rPr>
            </w:pPr>
            <w:r w:rsidRPr="004C3077">
              <w:rPr>
                <w:b/>
                <w:color w:val="000000"/>
                <w:sz w:val="22"/>
                <w:szCs w:val="24"/>
                <w:lang w:eastAsia="en-GB"/>
              </w:rPr>
              <w:t>Number of references</w:t>
            </w:r>
          </w:p>
        </w:tc>
        <w:tc>
          <w:tcPr>
            <w:tcW w:w="1559" w:type="dxa"/>
            <w:gridSpan w:val="2"/>
            <w:tcBorders>
              <w:bottom w:val="single" w:sz="4" w:space="0" w:color="auto"/>
            </w:tcBorders>
          </w:tcPr>
          <w:p w14:paraId="490D6B61" w14:textId="77777777" w:rsidR="007E1D13" w:rsidRPr="004C3077" w:rsidRDefault="007E1D13" w:rsidP="007E1D13">
            <w:pPr>
              <w:spacing w:before="120" w:after="120" w:line="240" w:lineRule="auto"/>
              <w:jc w:val="center"/>
              <w:rPr>
                <w:b/>
                <w:sz w:val="22"/>
              </w:rPr>
            </w:pPr>
            <w:r w:rsidRPr="004C3077">
              <w:rPr>
                <w:b/>
                <w:color w:val="000000"/>
                <w:sz w:val="22"/>
                <w:szCs w:val="24"/>
                <w:lang w:eastAsia="en-GB"/>
              </w:rPr>
              <w:t>Percentage coverage</w:t>
            </w:r>
          </w:p>
        </w:tc>
        <w:tc>
          <w:tcPr>
            <w:tcW w:w="1488" w:type="dxa"/>
            <w:gridSpan w:val="2"/>
            <w:tcBorders>
              <w:top w:val="single" w:sz="4" w:space="0" w:color="auto"/>
              <w:bottom w:val="single" w:sz="4" w:space="0" w:color="auto"/>
            </w:tcBorders>
            <w:vAlign w:val="center"/>
          </w:tcPr>
          <w:p w14:paraId="22DD5017" w14:textId="77777777" w:rsidR="007E1D13" w:rsidRPr="004C3077" w:rsidRDefault="007E1D13" w:rsidP="007E1D13">
            <w:pPr>
              <w:spacing w:before="120" w:after="120" w:line="240" w:lineRule="auto"/>
              <w:jc w:val="center"/>
              <w:rPr>
                <w:b/>
                <w:sz w:val="22"/>
              </w:rPr>
            </w:pPr>
            <w:r w:rsidRPr="004C3077">
              <w:rPr>
                <w:b/>
                <w:sz w:val="22"/>
              </w:rPr>
              <w:t>Rank</w:t>
            </w:r>
          </w:p>
        </w:tc>
        <w:tc>
          <w:tcPr>
            <w:tcW w:w="1488" w:type="dxa"/>
            <w:gridSpan w:val="2"/>
            <w:tcBorders>
              <w:top w:val="single" w:sz="4" w:space="0" w:color="auto"/>
              <w:bottom w:val="single" w:sz="4" w:space="0" w:color="auto"/>
            </w:tcBorders>
            <w:shd w:val="clear" w:color="auto" w:fill="auto"/>
            <w:vAlign w:val="center"/>
          </w:tcPr>
          <w:p w14:paraId="1F5652C1" w14:textId="77777777" w:rsidR="007E1D13" w:rsidRPr="004C3077" w:rsidRDefault="007E1D13" w:rsidP="007E1D13">
            <w:pPr>
              <w:spacing w:before="120" w:after="120" w:line="240" w:lineRule="auto"/>
              <w:jc w:val="center"/>
              <w:rPr>
                <w:b/>
                <w:sz w:val="22"/>
              </w:rPr>
            </w:pPr>
            <w:r w:rsidRPr="004C3077">
              <w:rPr>
                <w:b/>
                <w:sz w:val="22"/>
              </w:rPr>
              <w:t>Rank</w:t>
            </w:r>
          </w:p>
        </w:tc>
        <w:tc>
          <w:tcPr>
            <w:tcW w:w="1488" w:type="dxa"/>
            <w:gridSpan w:val="2"/>
            <w:tcBorders>
              <w:top w:val="single" w:sz="4" w:space="0" w:color="auto"/>
              <w:bottom w:val="single" w:sz="4" w:space="0" w:color="auto"/>
            </w:tcBorders>
            <w:vAlign w:val="center"/>
          </w:tcPr>
          <w:p w14:paraId="4DB18C21" w14:textId="77777777" w:rsidR="007E1D13" w:rsidRPr="004C3077" w:rsidRDefault="007E1D13" w:rsidP="007E1D13">
            <w:pPr>
              <w:spacing w:before="120" w:after="120" w:line="240" w:lineRule="auto"/>
              <w:jc w:val="center"/>
              <w:rPr>
                <w:b/>
                <w:sz w:val="22"/>
              </w:rPr>
            </w:pPr>
            <w:r w:rsidRPr="004C3077">
              <w:rPr>
                <w:b/>
                <w:sz w:val="22"/>
              </w:rPr>
              <w:t>Rank</w:t>
            </w:r>
          </w:p>
        </w:tc>
        <w:tc>
          <w:tcPr>
            <w:tcW w:w="1489" w:type="dxa"/>
            <w:gridSpan w:val="2"/>
            <w:tcBorders>
              <w:top w:val="single" w:sz="4" w:space="0" w:color="auto"/>
              <w:bottom w:val="single" w:sz="4" w:space="0" w:color="auto"/>
            </w:tcBorders>
            <w:vAlign w:val="center"/>
          </w:tcPr>
          <w:p w14:paraId="2F59BBE9" w14:textId="77777777" w:rsidR="007E1D13" w:rsidRPr="004C3077" w:rsidRDefault="007E1D13" w:rsidP="007E1D13">
            <w:pPr>
              <w:spacing w:before="120" w:after="120" w:line="240" w:lineRule="auto"/>
              <w:jc w:val="center"/>
              <w:rPr>
                <w:b/>
                <w:sz w:val="22"/>
              </w:rPr>
            </w:pPr>
            <w:r w:rsidRPr="004C3077">
              <w:rPr>
                <w:b/>
                <w:sz w:val="22"/>
              </w:rPr>
              <w:t>Rank</w:t>
            </w:r>
          </w:p>
        </w:tc>
      </w:tr>
      <w:tr w:rsidR="007E1D13" w:rsidRPr="00B2469D" w14:paraId="5DBF0B86" w14:textId="77777777" w:rsidTr="007E1D13">
        <w:trPr>
          <w:trHeight w:val="359"/>
        </w:trPr>
        <w:tc>
          <w:tcPr>
            <w:tcW w:w="817" w:type="dxa"/>
            <w:tcBorders>
              <w:top w:val="single" w:sz="4" w:space="0" w:color="auto"/>
            </w:tcBorders>
            <w:vAlign w:val="center"/>
          </w:tcPr>
          <w:p w14:paraId="0103B107" w14:textId="77777777" w:rsidR="007E1D13" w:rsidRPr="00F65B33" w:rsidRDefault="007E1D13" w:rsidP="007E1D13">
            <w:pPr>
              <w:spacing w:before="240" w:after="120" w:line="240" w:lineRule="auto"/>
              <w:rPr>
                <w:b/>
                <w:color w:val="000000"/>
                <w:sz w:val="20"/>
                <w:szCs w:val="24"/>
                <w:lang w:eastAsia="en-GB"/>
              </w:rPr>
            </w:pPr>
            <w:r w:rsidRPr="00F65B33">
              <w:rPr>
                <w:b/>
                <w:color w:val="000000"/>
                <w:sz w:val="20"/>
                <w:szCs w:val="24"/>
                <w:lang w:eastAsia="en-GB"/>
              </w:rPr>
              <w:t>1</w:t>
            </w:r>
            <w:r>
              <w:rPr>
                <w:b/>
                <w:color w:val="000000"/>
                <w:sz w:val="20"/>
                <w:szCs w:val="24"/>
                <w:lang w:eastAsia="en-GB"/>
              </w:rPr>
              <w:t>.</w:t>
            </w:r>
          </w:p>
        </w:tc>
        <w:tc>
          <w:tcPr>
            <w:tcW w:w="3686" w:type="dxa"/>
            <w:tcBorders>
              <w:top w:val="single" w:sz="4" w:space="0" w:color="auto"/>
            </w:tcBorders>
            <w:vAlign w:val="center"/>
          </w:tcPr>
          <w:p w14:paraId="05AB1916" w14:textId="77777777" w:rsidR="007E1D13" w:rsidRPr="002952B8" w:rsidRDefault="007E1D13" w:rsidP="007E1D13">
            <w:pPr>
              <w:spacing w:before="240" w:after="120" w:line="240" w:lineRule="auto"/>
              <w:rPr>
                <w:b/>
                <w:color w:val="000000"/>
                <w:szCs w:val="24"/>
                <w:lang w:eastAsia="en-GB"/>
              </w:rPr>
            </w:pPr>
            <w:r w:rsidRPr="002952B8">
              <w:rPr>
                <w:b/>
                <w:color w:val="000000"/>
                <w:szCs w:val="24"/>
                <w:lang w:eastAsia="en-GB"/>
              </w:rPr>
              <w:t xml:space="preserve">Risk perception </w:t>
            </w:r>
          </w:p>
        </w:tc>
        <w:tc>
          <w:tcPr>
            <w:tcW w:w="1464" w:type="dxa"/>
            <w:gridSpan w:val="2"/>
            <w:tcBorders>
              <w:top w:val="single" w:sz="4" w:space="0" w:color="auto"/>
            </w:tcBorders>
            <w:vAlign w:val="center"/>
          </w:tcPr>
          <w:p w14:paraId="0FEE15AC" w14:textId="77777777" w:rsidR="007E1D13" w:rsidRDefault="007E1D13" w:rsidP="007E1D13">
            <w:pPr>
              <w:spacing w:before="240" w:after="120" w:line="240" w:lineRule="auto"/>
              <w:jc w:val="right"/>
              <w:rPr>
                <w:color w:val="000000"/>
                <w:szCs w:val="24"/>
                <w:lang w:eastAsia="en-GB"/>
              </w:rPr>
            </w:pPr>
            <w:r>
              <w:rPr>
                <w:color w:val="000000"/>
                <w:szCs w:val="24"/>
                <w:lang w:eastAsia="en-GB"/>
              </w:rPr>
              <w:t>217</w:t>
            </w:r>
          </w:p>
        </w:tc>
        <w:tc>
          <w:tcPr>
            <w:tcW w:w="1465" w:type="dxa"/>
            <w:gridSpan w:val="2"/>
            <w:tcBorders>
              <w:top w:val="single" w:sz="4" w:space="0" w:color="auto"/>
            </w:tcBorders>
            <w:vAlign w:val="center"/>
          </w:tcPr>
          <w:p w14:paraId="3BC21AB2" w14:textId="77777777" w:rsidR="007E1D13" w:rsidRDefault="007E1D13" w:rsidP="007E1D13">
            <w:pPr>
              <w:spacing w:before="240" w:after="120" w:line="240" w:lineRule="auto"/>
              <w:jc w:val="right"/>
              <w:rPr>
                <w:color w:val="000000"/>
                <w:szCs w:val="24"/>
                <w:lang w:eastAsia="en-GB"/>
              </w:rPr>
            </w:pPr>
            <w:r>
              <w:rPr>
                <w:color w:val="000000"/>
                <w:szCs w:val="24"/>
                <w:lang w:eastAsia="en-GB"/>
              </w:rPr>
              <w:t xml:space="preserve">33 </w:t>
            </w:r>
            <w:r w:rsidRPr="00C24859">
              <w:rPr>
                <w:color w:val="000000"/>
                <w:sz w:val="18"/>
                <w:szCs w:val="24"/>
                <w:lang w:eastAsia="en-GB"/>
              </w:rPr>
              <w:t>%</w:t>
            </w:r>
          </w:p>
        </w:tc>
        <w:tc>
          <w:tcPr>
            <w:tcW w:w="1465" w:type="dxa"/>
            <w:gridSpan w:val="2"/>
            <w:tcBorders>
              <w:top w:val="single" w:sz="4" w:space="0" w:color="auto"/>
            </w:tcBorders>
            <w:vAlign w:val="center"/>
          </w:tcPr>
          <w:p w14:paraId="2086E382" w14:textId="77777777" w:rsidR="007E1D13" w:rsidRPr="00B23F3D" w:rsidRDefault="007E1D13" w:rsidP="007E1D13">
            <w:pPr>
              <w:spacing w:before="240" w:after="120" w:line="240" w:lineRule="auto"/>
              <w:jc w:val="right"/>
              <w:rPr>
                <w:color w:val="000000"/>
                <w:szCs w:val="24"/>
                <w:lang w:eastAsia="en-GB"/>
              </w:rPr>
            </w:pPr>
            <w:r>
              <w:rPr>
                <w:color w:val="000000"/>
                <w:szCs w:val="24"/>
                <w:lang w:eastAsia="en-GB"/>
              </w:rPr>
              <w:t>8</w:t>
            </w:r>
          </w:p>
        </w:tc>
        <w:tc>
          <w:tcPr>
            <w:tcW w:w="1464" w:type="dxa"/>
            <w:gridSpan w:val="2"/>
            <w:tcBorders>
              <w:top w:val="single" w:sz="4" w:space="0" w:color="auto"/>
            </w:tcBorders>
            <w:shd w:val="clear" w:color="auto" w:fill="auto"/>
            <w:vAlign w:val="center"/>
          </w:tcPr>
          <w:p w14:paraId="71D2AACB" w14:textId="77777777" w:rsidR="007E1D13" w:rsidRPr="00914809" w:rsidRDefault="007E1D13" w:rsidP="007E1D13">
            <w:pPr>
              <w:spacing w:before="240" w:after="120" w:line="240" w:lineRule="auto"/>
              <w:jc w:val="right"/>
              <w:rPr>
                <w:color w:val="000000"/>
                <w:szCs w:val="24"/>
                <w:lang w:eastAsia="en-GB"/>
              </w:rPr>
            </w:pPr>
            <w:r>
              <w:rPr>
                <w:color w:val="000000"/>
                <w:szCs w:val="24"/>
                <w:lang w:eastAsia="en-GB"/>
              </w:rPr>
              <w:t>10</w:t>
            </w:r>
          </w:p>
        </w:tc>
        <w:tc>
          <w:tcPr>
            <w:tcW w:w="1465" w:type="dxa"/>
            <w:gridSpan w:val="2"/>
            <w:tcBorders>
              <w:top w:val="single" w:sz="4" w:space="0" w:color="auto"/>
            </w:tcBorders>
            <w:vAlign w:val="center"/>
          </w:tcPr>
          <w:p w14:paraId="39EF3345" w14:textId="77777777" w:rsidR="007E1D13" w:rsidRDefault="007E1D13" w:rsidP="007E1D13">
            <w:pPr>
              <w:spacing w:before="240" w:after="120" w:line="240" w:lineRule="auto"/>
              <w:jc w:val="right"/>
              <w:rPr>
                <w:color w:val="000000"/>
                <w:szCs w:val="24"/>
                <w:lang w:eastAsia="en-GB"/>
              </w:rPr>
            </w:pPr>
            <w:r>
              <w:rPr>
                <w:color w:val="000000"/>
                <w:szCs w:val="24"/>
                <w:lang w:eastAsia="en-GB"/>
              </w:rPr>
              <w:t>8</w:t>
            </w:r>
          </w:p>
        </w:tc>
        <w:tc>
          <w:tcPr>
            <w:tcW w:w="1465" w:type="dxa"/>
            <w:gridSpan w:val="2"/>
            <w:tcBorders>
              <w:top w:val="single" w:sz="4" w:space="0" w:color="auto"/>
            </w:tcBorders>
          </w:tcPr>
          <w:p w14:paraId="288EABEB" w14:textId="77777777" w:rsidR="007E1D13" w:rsidRDefault="007E1D13" w:rsidP="007E1D13">
            <w:pPr>
              <w:spacing w:before="240" w:after="120" w:line="240" w:lineRule="auto"/>
              <w:jc w:val="right"/>
              <w:rPr>
                <w:color w:val="000000"/>
                <w:szCs w:val="24"/>
                <w:lang w:eastAsia="en-GB"/>
              </w:rPr>
            </w:pPr>
            <w:r>
              <w:rPr>
                <w:color w:val="000000"/>
                <w:szCs w:val="24"/>
                <w:lang w:eastAsia="en-GB"/>
              </w:rPr>
              <w:t>9</w:t>
            </w:r>
          </w:p>
        </w:tc>
        <w:tc>
          <w:tcPr>
            <w:tcW w:w="425" w:type="dxa"/>
            <w:tcBorders>
              <w:top w:val="single" w:sz="4" w:space="0" w:color="auto"/>
            </w:tcBorders>
          </w:tcPr>
          <w:p w14:paraId="046625A6" w14:textId="77777777" w:rsidR="007E1D13" w:rsidRDefault="007E1D13" w:rsidP="007E1D13">
            <w:pPr>
              <w:spacing w:before="240" w:after="120" w:line="240" w:lineRule="auto"/>
              <w:jc w:val="right"/>
              <w:rPr>
                <w:color w:val="000000"/>
                <w:szCs w:val="24"/>
                <w:lang w:eastAsia="en-GB"/>
              </w:rPr>
            </w:pPr>
          </w:p>
        </w:tc>
      </w:tr>
      <w:tr w:rsidR="007E1D13" w:rsidRPr="00B2469D" w14:paraId="3853636C" w14:textId="77777777" w:rsidTr="007E1D13">
        <w:trPr>
          <w:trHeight w:val="359"/>
        </w:trPr>
        <w:tc>
          <w:tcPr>
            <w:tcW w:w="817" w:type="dxa"/>
            <w:vAlign w:val="center"/>
          </w:tcPr>
          <w:p w14:paraId="0529F2B1" w14:textId="77777777" w:rsidR="007E1D13" w:rsidRPr="00F65B33" w:rsidRDefault="007E1D13" w:rsidP="007E1D13">
            <w:pPr>
              <w:spacing w:before="120" w:after="120" w:line="240" w:lineRule="auto"/>
              <w:rPr>
                <w:b/>
                <w:sz w:val="20"/>
                <w:szCs w:val="24"/>
                <w:lang w:eastAsia="en-GB"/>
              </w:rPr>
            </w:pPr>
            <w:r>
              <w:rPr>
                <w:b/>
                <w:color w:val="000000"/>
                <w:sz w:val="20"/>
                <w:szCs w:val="24"/>
                <w:lang w:eastAsia="en-GB"/>
              </w:rPr>
              <w:t>2.</w:t>
            </w:r>
          </w:p>
        </w:tc>
        <w:tc>
          <w:tcPr>
            <w:tcW w:w="3686" w:type="dxa"/>
            <w:vAlign w:val="center"/>
          </w:tcPr>
          <w:p w14:paraId="35503011" w14:textId="77777777" w:rsidR="007E1D13" w:rsidRPr="002952B8" w:rsidRDefault="007E1D13" w:rsidP="007E1D13">
            <w:pPr>
              <w:spacing w:before="120" w:after="120" w:line="240" w:lineRule="auto"/>
              <w:rPr>
                <w:b/>
                <w:color w:val="000000"/>
                <w:szCs w:val="24"/>
                <w:lang w:eastAsia="en-GB"/>
              </w:rPr>
            </w:pPr>
            <w:r w:rsidRPr="002952B8">
              <w:rPr>
                <w:b/>
                <w:color w:val="000000"/>
                <w:szCs w:val="24"/>
                <w:lang w:eastAsia="en-GB"/>
              </w:rPr>
              <w:t>Coping</w:t>
            </w:r>
          </w:p>
        </w:tc>
        <w:tc>
          <w:tcPr>
            <w:tcW w:w="1464" w:type="dxa"/>
            <w:gridSpan w:val="2"/>
            <w:vAlign w:val="center"/>
          </w:tcPr>
          <w:p w14:paraId="6050C5C1" w14:textId="77777777" w:rsidR="007E1D13" w:rsidRDefault="007E1D13" w:rsidP="007E1D13">
            <w:pPr>
              <w:spacing w:before="120" w:after="120" w:line="240" w:lineRule="auto"/>
              <w:jc w:val="right"/>
              <w:rPr>
                <w:color w:val="000000"/>
                <w:szCs w:val="24"/>
                <w:lang w:eastAsia="en-GB"/>
              </w:rPr>
            </w:pPr>
            <w:r>
              <w:rPr>
                <w:color w:val="000000"/>
                <w:szCs w:val="24"/>
                <w:lang w:eastAsia="en-GB"/>
              </w:rPr>
              <w:t>78</w:t>
            </w:r>
          </w:p>
        </w:tc>
        <w:tc>
          <w:tcPr>
            <w:tcW w:w="1465" w:type="dxa"/>
            <w:gridSpan w:val="2"/>
            <w:vAlign w:val="center"/>
          </w:tcPr>
          <w:p w14:paraId="15BF6531"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12 </w:t>
            </w:r>
            <w:r w:rsidRPr="00C24859">
              <w:rPr>
                <w:color w:val="000000"/>
                <w:sz w:val="18"/>
                <w:szCs w:val="24"/>
                <w:lang w:eastAsia="en-GB"/>
              </w:rPr>
              <w:t>%</w:t>
            </w:r>
          </w:p>
        </w:tc>
        <w:tc>
          <w:tcPr>
            <w:tcW w:w="1465" w:type="dxa"/>
            <w:gridSpan w:val="2"/>
            <w:vAlign w:val="center"/>
          </w:tcPr>
          <w:p w14:paraId="6A99C7BD" w14:textId="77777777" w:rsidR="007E1D13" w:rsidRPr="00B23F3D" w:rsidRDefault="007E1D13" w:rsidP="007E1D13">
            <w:pPr>
              <w:spacing w:before="120" w:after="120" w:line="240" w:lineRule="auto"/>
              <w:jc w:val="right"/>
              <w:rPr>
                <w:szCs w:val="24"/>
                <w:lang w:eastAsia="en-GB"/>
              </w:rPr>
            </w:pPr>
            <w:r>
              <w:rPr>
                <w:szCs w:val="24"/>
                <w:lang w:eastAsia="en-GB"/>
              </w:rPr>
              <w:t>2</w:t>
            </w:r>
          </w:p>
        </w:tc>
        <w:tc>
          <w:tcPr>
            <w:tcW w:w="1464" w:type="dxa"/>
            <w:gridSpan w:val="2"/>
            <w:shd w:val="clear" w:color="auto" w:fill="auto"/>
            <w:vAlign w:val="center"/>
          </w:tcPr>
          <w:p w14:paraId="28908DAE" w14:textId="77777777" w:rsidR="007E1D13" w:rsidRDefault="007E1D13" w:rsidP="007E1D13">
            <w:pPr>
              <w:spacing w:before="120" w:after="120" w:line="240" w:lineRule="auto"/>
              <w:jc w:val="right"/>
              <w:rPr>
                <w:color w:val="000000"/>
                <w:szCs w:val="24"/>
                <w:lang w:eastAsia="en-GB"/>
              </w:rPr>
            </w:pPr>
            <w:r>
              <w:rPr>
                <w:color w:val="000000"/>
                <w:szCs w:val="24"/>
                <w:lang w:eastAsia="en-GB"/>
              </w:rPr>
              <w:t>1</w:t>
            </w:r>
          </w:p>
        </w:tc>
        <w:tc>
          <w:tcPr>
            <w:tcW w:w="1465" w:type="dxa"/>
            <w:gridSpan w:val="2"/>
            <w:vAlign w:val="center"/>
          </w:tcPr>
          <w:p w14:paraId="4C9814E4" w14:textId="77777777" w:rsidR="007E1D13" w:rsidRPr="00451D45" w:rsidRDefault="007E1D13" w:rsidP="007E1D13">
            <w:pPr>
              <w:spacing w:before="120" w:after="120" w:line="240" w:lineRule="auto"/>
              <w:jc w:val="right"/>
              <w:rPr>
                <w:szCs w:val="24"/>
                <w:lang w:eastAsia="en-GB"/>
              </w:rPr>
            </w:pPr>
            <w:r>
              <w:rPr>
                <w:szCs w:val="24"/>
                <w:lang w:eastAsia="en-GB"/>
              </w:rPr>
              <w:t>8</w:t>
            </w:r>
          </w:p>
        </w:tc>
        <w:tc>
          <w:tcPr>
            <w:tcW w:w="1465" w:type="dxa"/>
            <w:gridSpan w:val="2"/>
          </w:tcPr>
          <w:p w14:paraId="01665004" w14:textId="77777777" w:rsidR="007E1D13" w:rsidRPr="00451D45" w:rsidRDefault="007E1D13" w:rsidP="007E1D13">
            <w:pPr>
              <w:spacing w:before="120" w:after="120" w:line="240" w:lineRule="auto"/>
              <w:jc w:val="right"/>
              <w:rPr>
                <w:szCs w:val="24"/>
                <w:lang w:eastAsia="en-GB"/>
              </w:rPr>
            </w:pPr>
            <w:r>
              <w:rPr>
                <w:szCs w:val="24"/>
                <w:lang w:eastAsia="en-GB"/>
              </w:rPr>
              <w:t>3</w:t>
            </w:r>
          </w:p>
        </w:tc>
        <w:tc>
          <w:tcPr>
            <w:tcW w:w="425" w:type="dxa"/>
          </w:tcPr>
          <w:p w14:paraId="4D184D1E" w14:textId="77777777" w:rsidR="007E1D13" w:rsidRPr="00451D45" w:rsidRDefault="007E1D13" w:rsidP="007E1D13">
            <w:pPr>
              <w:spacing w:before="120" w:after="120" w:line="240" w:lineRule="auto"/>
              <w:jc w:val="right"/>
              <w:rPr>
                <w:szCs w:val="24"/>
                <w:lang w:eastAsia="en-GB"/>
              </w:rPr>
            </w:pPr>
          </w:p>
        </w:tc>
      </w:tr>
      <w:tr w:rsidR="007E1D13" w:rsidRPr="00B2469D" w14:paraId="5870D463" w14:textId="77777777" w:rsidTr="007E1D13">
        <w:trPr>
          <w:trHeight w:val="359"/>
        </w:trPr>
        <w:tc>
          <w:tcPr>
            <w:tcW w:w="817" w:type="dxa"/>
            <w:vAlign w:val="center"/>
          </w:tcPr>
          <w:p w14:paraId="7219FE46" w14:textId="77777777" w:rsidR="007E1D13" w:rsidRPr="00F65B33" w:rsidRDefault="007E1D13" w:rsidP="007E1D13">
            <w:pPr>
              <w:spacing w:before="120" w:after="120" w:line="240" w:lineRule="auto"/>
              <w:rPr>
                <w:b/>
                <w:sz w:val="20"/>
                <w:szCs w:val="24"/>
                <w:lang w:eastAsia="en-GB"/>
              </w:rPr>
            </w:pPr>
            <w:r>
              <w:rPr>
                <w:b/>
                <w:color w:val="000000"/>
                <w:sz w:val="20"/>
                <w:szCs w:val="24"/>
                <w:lang w:eastAsia="en-GB"/>
              </w:rPr>
              <w:t>3.</w:t>
            </w:r>
          </w:p>
        </w:tc>
        <w:tc>
          <w:tcPr>
            <w:tcW w:w="3686" w:type="dxa"/>
            <w:vAlign w:val="center"/>
          </w:tcPr>
          <w:p w14:paraId="6A3CADAD" w14:textId="77777777" w:rsidR="007E1D13" w:rsidRPr="002952B8" w:rsidRDefault="007E1D13" w:rsidP="007E1D13">
            <w:pPr>
              <w:spacing w:before="120" w:after="120" w:line="240" w:lineRule="auto"/>
              <w:rPr>
                <w:b/>
                <w:color w:val="000000"/>
                <w:szCs w:val="24"/>
                <w:lang w:eastAsia="en-GB"/>
              </w:rPr>
            </w:pPr>
            <w:r w:rsidRPr="002952B8">
              <w:rPr>
                <w:b/>
                <w:szCs w:val="24"/>
                <w:lang w:eastAsia="en-GB"/>
              </w:rPr>
              <w:t>Social influences</w:t>
            </w:r>
          </w:p>
        </w:tc>
        <w:tc>
          <w:tcPr>
            <w:tcW w:w="1464" w:type="dxa"/>
            <w:gridSpan w:val="2"/>
            <w:vAlign w:val="center"/>
          </w:tcPr>
          <w:p w14:paraId="34DFB591" w14:textId="77777777" w:rsidR="007E1D13" w:rsidRDefault="007E1D13" w:rsidP="007E1D13">
            <w:pPr>
              <w:spacing w:before="120" w:after="120" w:line="240" w:lineRule="auto"/>
              <w:jc w:val="right"/>
              <w:rPr>
                <w:szCs w:val="24"/>
                <w:lang w:eastAsia="en-GB"/>
              </w:rPr>
            </w:pPr>
            <w:r>
              <w:rPr>
                <w:szCs w:val="24"/>
                <w:lang w:eastAsia="en-GB"/>
              </w:rPr>
              <w:t>73</w:t>
            </w:r>
          </w:p>
        </w:tc>
        <w:tc>
          <w:tcPr>
            <w:tcW w:w="1465" w:type="dxa"/>
            <w:gridSpan w:val="2"/>
            <w:vAlign w:val="center"/>
          </w:tcPr>
          <w:p w14:paraId="05454EDA" w14:textId="77777777" w:rsidR="007E1D13" w:rsidRDefault="007E1D13" w:rsidP="007E1D13">
            <w:pPr>
              <w:spacing w:before="120" w:after="120" w:line="240" w:lineRule="auto"/>
              <w:jc w:val="right"/>
              <w:rPr>
                <w:szCs w:val="24"/>
                <w:lang w:eastAsia="en-GB"/>
              </w:rPr>
            </w:pPr>
            <w:r>
              <w:rPr>
                <w:color w:val="000000"/>
                <w:szCs w:val="24"/>
                <w:lang w:eastAsia="en-GB"/>
              </w:rPr>
              <w:t xml:space="preserve">11 </w:t>
            </w:r>
            <w:r w:rsidRPr="00C24859">
              <w:rPr>
                <w:color w:val="000000"/>
                <w:sz w:val="18"/>
                <w:szCs w:val="24"/>
                <w:lang w:eastAsia="en-GB"/>
              </w:rPr>
              <w:t>%</w:t>
            </w:r>
          </w:p>
        </w:tc>
        <w:tc>
          <w:tcPr>
            <w:tcW w:w="1465" w:type="dxa"/>
            <w:gridSpan w:val="2"/>
            <w:vAlign w:val="center"/>
          </w:tcPr>
          <w:p w14:paraId="4EEEA622" w14:textId="77777777" w:rsidR="007E1D13" w:rsidRPr="00B23F3D" w:rsidRDefault="007E1D13" w:rsidP="007E1D13">
            <w:pPr>
              <w:spacing w:before="120" w:after="120" w:line="240" w:lineRule="auto"/>
              <w:jc w:val="right"/>
              <w:rPr>
                <w:color w:val="000000"/>
                <w:szCs w:val="24"/>
                <w:lang w:eastAsia="en-GB"/>
              </w:rPr>
            </w:pPr>
            <w:r>
              <w:rPr>
                <w:color w:val="000000"/>
                <w:szCs w:val="24"/>
                <w:lang w:eastAsia="en-GB"/>
              </w:rPr>
              <w:t>6</w:t>
            </w:r>
          </w:p>
        </w:tc>
        <w:tc>
          <w:tcPr>
            <w:tcW w:w="1464" w:type="dxa"/>
            <w:gridSpan w:val="2"/>
            <w:shd w:val="clear" w:color="auto" w:fill="auto"/>
            <w:vAlign w:val="center"/>
          </w:tcPr>
          <w:p w14:paraId="3468553F" w14:textId="77777777" w:rsidR="007E1D13" w:rsidRDefault="007E1D13" w:rsidP="007E1D13">
            <w:pPr>
              <w:spacing w:before="120" w:after="120" w:line="240" w:lineRule="auto"/>
              <w:jc w:val="right"/>
              <w:rPr>
                <w:color w:val="000000"/>
                <w:szCs w:val="24"/>
                <w:lang w:eastAsia="en-GB"/>
              </w:rPr>
            </w:pPr>
            <w:r>
              <w:rPr>
                <w:color w:val="000000"/>
                <w:szCs w:val="24"/>
                <w:lang w:eastAsia="en-GB"/>
              </w:rPr>
              <w:t>4</w:t>
            </w:r>
          </w:p>
        </w:tc>
        <w:tc>
          <w:tcPr>
            <w:tcW w:w="1465" w:type="dxa"/>
            <w:gridSpan w:val="2"/>
            <w:vAlign w:val="center"/>
          </w:tcPr>
          <w:p w14:paraId="219B2522" w14:textId="77777777" w:rsidR="007E1D13" w:rsidRPr="00451D45" w:rsidRDefault="007E1D13" w:rsidP="007E1D13">
            <w:pPr>
              <w:spacing w:before="120" w:after="120" w:line="240" w:lineRule="auto"/>
              <w:jc w:val="right"/>
              <w:rPr>
                <w:szCs w:val="24"/>
                <w:lang w:eastAsia="en-GB"/>
              </w:rPr>
            </w:pPr>
            <w:r>
              <w:rPr>
                <w:szCs w:val="24"/>
                <w:lang w:eastAsia="en-GB"/>
              </w:rPr>
              <w:t>4</w:t>
            </w:r>
          </w:p>
        </w:tc>
        <w:tc>
          <w:tcPr>
            <w:tcW w:w="1465" w:type="dxa"/>
            <w:gridSpan w:val="2"/>
          </w:tcPr>
          <w:p w14:paraId="57EC5B9F" w14:textId="77777777" w:rsidR="007E1D13" w:rsidRPr="00451D45" w:rsidRDefault="007E1D13" w:rsidP="007E1D13">
            <w:pPr>
              <w:spacing w:before="120" w:after="120" w:line="240" w:lineRule="auto"/>
              <w:jc w:val="right"/>
              <w:rPr>
                <w:szCs w:val="24"/>
                <w:lang w:eastAsia="en-GB"/>
              </w:rPr>
            </w:pPr>
            <w:r>
              <w:rPr>
                <w:szCs w:val="24"/>
                <w:lang w:eastAsia="en-GB"/>
              </w:rPr>
              <w:t>5</w:t>
            </w:r>
          </w:p>
        </w:tc>
        <w:tc>
          <w:tcPr>
            <w:tcW w:w="425" w:type="dxa"/>
          </w:tcPr>
          <w:p w14:paraId="2183CD89" w14:textId="77777777" w:rsidR="007E1D13" w:rsidRPr="00451D45" w:rsidRDefault="007E1D13" w:rsidP="007E1D13">
            <w:pPr>
              <w:spacing w:before="120" w:after="120" w:line="240" w:lineRule="auto"/>
              <w:jc w:val="right"/>
              <w:rPr>
                <w:szCs w:val="24"/>
                <w:lang w:eastAsia="en-GB"/>
              </w:rPr>
            </w:pPr>
          </w:p>
        </w:tc>
      </w:tr>
      <w:tr w:rsidR="007E1D13" w:rsidRPr="00B2469D" w14:paraId="6EA0272E" w14:textId="77777777" w:rsidTr="007E1D13">
        <w:trPr>
          <w:trHeight w:val="359"/>
        </w:trPr>
        <w:tc>
          <w:tcPr>
            <w:tcW w:w="817" w:type="dxa"/>
            <w:vAlign w:val="center"/>
          </w:tcPr>
          <w:p w14:paraId="7B90CF13" w14:textId="77777777" w:rsidR="007E1D13" w:rsidRPr="00F65B33" w:rsidRDefault="007E1D13" w:rsidP="007E1D13">
            <w:pPr>
              <w:spacing w:before="120" w:after="120" w:line="240" w:lineRule="auto"/>
              <w:rPr>
                <w:b/>
                <w:sz w:val="20"/>
                <w:szCs w:val="24"/>
                <w:lang w:eastAsia="en-GB"/>
              </w:rPr>
            </w:pPr>
            <w:r>
              <w:rPr>
                <w:b/>
                <w:color w:val="000000"/>
                <w:sz w:val="20"/>
                <w:szCs w:val="24"/>
                <w:lang w:eastAsia="en-GB"/>
              </w:rPr>
              <w:t>4.</w:t>
            </w:r>
          </w:p>
        </w:tc>
        <w:tc>
          <w:tcPr>
            <w:tcW w:w="3686" w:type="dxa"/>
            <w:vAlign w:val="center"/>
          </w:tcPr>
          <w:p w14:paraId="7D65086E" w14:textId="77777777" w:rsidR="007E1D13" w:rsidRPr="002952B8" w:rsidRDefault="007E1D13" w:rsidP="007E1D13">
            <w:pPr>
              <w:spacing w:before="120" w:after="120" w:line="240" w:lineRule="auto"/>
              <w:rPr>
                <w:b/>
                <w:szCs w:val="24"/>
                <w:lang w:eastAsia="en-GB"/>
              </w:rPr>
            </w:pPr>
            <w:r w:rsidRPr="002952B8">
              <w:rPr>
                <w:b/>
                <w:szCs w:val="24"/>
                <w:lang w:eastAsia="en-GB"/>
              </w:rPr>
              <w:t xml:space="preserve">Legal status </w:t>
            </w:r>
          </w:p>
        </w:tc>
        <w:tc>
          <w:tcPr>
            <w:tcW w:w="1464" w:type="dxa"/>
            <w:gridSpan w:val="2"/>
            <w:vAlign w:val="center"/>
          </w:tcPr>
          <w:p w14:paraId="28015FF8" w14:textId="77777777" w:rsidR="007E1D13" w:rsidRDefault="007E1D13" w:rsidP="007E1D13">
            <w:pPr>
              <w:spacing w:before="120" w:after="120" w:line="240" w:lineRule="auto"/>
              <w:jc w:val="right"/>
              <w:rPr>
                <w:color w:val="000000"/>
                <w:szCs w:val="24"/>
                <w:lang w:eastAsia="en-GB"/>
              </w:rPr>
            </w:pPr>
            <w:r>
              <w:rPr>
                <w:color w:val="000000"/>
                <w:szCs w:val="24"/>
                <w:lang w:eastAsia="en-GB"/>
              </w:rPr>
              <w:t>53</w:t>
            </w:r>
          </w:p>
        </w:tc>
        <w:tc>
          <w:tcPr>
            <w:tcW w:w="1465" w:type="dxa"/>
            <w:gridSpan w:val="2"/>
            <w:vAlign w:val="center"/>
          </w:tcPr>
          <w:p w14:paraId="57CB783F"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8 </w:t>
            </w:r>
            <w:r w:rsidRPr="00C24859">
              <w:rPr>
                <w:color w:val="000000"/>
                <w:sz w:val="18"/>
                <w:szCs w:val="24"/>
                <w:lang w:eastAsia="en-GB"/>
              </w:rPr>
              <w:t>%</w:t>
            </w:r>
          </w:p>
        </w:tc>
        <w:tc>
          <w:tcPr>
            <w:tcW w:w="1465" w:type="dxa"/>
            <w:gridSpan w:val="2"/>
            <w:vAlign w:val="center"/>
          </w:tcPr>
          <w:p w14:paraId="33D0E9D8" w14:textId="77777777" w:rsidR="007E1D13" w:rsidRPr="00B23F3D" w:rsidRDefault="007E1D13" w:rsidP="007E1D13">
            <w:pPr>
              <w:spacing w:before="120" w:after="120" w:line="240" w:lineRule="auto"/>
              <w:jc w:val="right"/>
              <w:rPr>
                <w:szCs w:val="24"/>
                <w:lang w:eastAsia="en-GB"/>
              </w:rPr>
            </w:pPr>
            <w:r>
              <w:rPr>
                <w:szCs w:val="24"/>
                <w:lang w:eastAsia="en-GB"/>
              </w:rPr>
              <w:t>5</w:t>
            </w:r>
          </w:p>
        </w:tc>
        <w:tc>
          <w:tcPr>
            <w:tcW w:w="1464" w:type="dxa"/>
            <w:gridSpan w:val="2"/>
            <w:shd w:val="clear" w:color="auto" w:fill="auto"/>
            <w:vAlign w:val="center"/>
          </w:tcPr>
          <w:p w14:paraId="70A7DEF4" w14:textId="77777777" w:rsidR="007E1D13" w:rsidRDefault="007E1D13" w:rsidP="007E1D13">
            <w:pPr>
              <w:spacing w:before="120" w:after="120" w:line="240" w:lineRule="auto"/>
              <w:jc w:val="right"/>
              <w:rPr>
                <w:color w:val="000000"/>
                <w:szCs w:val="24"/>
                <w:lang w:eastAsia="en-GB"/>
              </w:rPr>
            </w:pPr>
            <w:r>
              <w:rPr>
                <w:color w:val="000000"/>
                <w:szCs w:val="24"/>
                <w:lang w:eastAsia="en-GB"/>
              </w:rPr>
              <w:t>7</w:t>
            </w:r>
          </w:p>
        </w:tc>
        <w:tc>
          <w:tcPr>
            <w:tcW w:w="1465" w:type="dxa"/>
            <w:gridSpan w:val="2"/>
            <w:vAlign w:val="center"/>
          </w:tcPr>
          <w:p w14:paraId="73212E86" w14:textId="77777777" w:rsidR="007E1D13" w:rsidRPr="00451D45" w:rsidRDefault="007E1D13" w:rsidP="007E1D13">
            <w:pPr>
              <w:spacing w:before="120" w:after="120" w:line="240" w:lineRule="auto"/>
              <w:jc w:val="right"/>
              <w:rPr>
                <w:szCs w:val="24"/>
                <w:lang w:eastAsia="en-GB"/>
              </w:rPr>
            </w:pPr>
            <w:r>
              <w:rPr>
                <w:szCs w:val="24"/>
                <w:lang w:eastAsia="en-GB"/>
              </w:rPr>
              <w:t>2</w:t>
            </w:r>
          </w:p>
        </w:tc>
        <w:tc>
          <w:tcPr>
            <w:tcW w:w="1465" w:type="dxa"/>
            <w:gridSpan w:val="2"/>
          </w:tcPr>
          <w:p w14:paraId="5B02BC7F" w14:textId="77777777" w:rsidR="007E1D13" w:rsidRPr="00451D45" w:rsidRDefault="007E1D13" w:rsidP="007E1D13">
            <w:pPr>
              <w:spacing w:before="120" w:after="120" w:line="240" w:lineRule="auto"/>
              <w:jc w:val="right"/>
              <w:rPr>
                <w:szCs w:val="24"/>
                <w:lang w:eastAsia="en-GB"/>
              </w:rPr>
            </w:pPr>
            <w:r>
              <w:rPr>
                <w:szCs w:val="24"/>
                <w:lang w:eastAsia="en-GB"/>
              </w:rPr>
              <w:t>5</w:t>
            </w:r>
          </w:p>
        </w:tc>
        <w:tc>
          <w:tcPr>
            <w:tcW w:w="425" w:type="dxa"/>
          </w:tcPr>
          <w:p w14:paraId="13062AAF" w14:textId="77777777" w:rsidR="007E1D13" w:rsidRPr="00451D45" w:rsidRDefault="007E1D13" w:rsidP="007E1D13">
            <w:pPr>
              <w:spacing w:before="120" w:after="120" w:line="240" w:lineRule="auto"/>
              <w:jc w:val="right"/>
              <w:rPr>
                <w:szCs w:val="24"/>
                <w:lang w:eastAsia="en-GB"/>
              </w:rPr>
            </w:pPr>
          </w:p>
        </w:tc>
      </w:tr>
      <w:tr w:rsidR="007E1D13" w:rsidRPr="00B2469D" w14:paraId="08083232" w14:textId="77777777" w:rsidTr="007E1D13">
        <w:trPr>
          <w:trHeight w:val="359"/>
        </w:trPr>
        <w:tc>
          <w:tcPr>
            <w:tcW w:w="817" w:type="dxa"/>
            <w:vAlign w:val="center"/>
          </w:tcPr>
          <w:p w14:paraId="110C04FA" w14:textId="77777777" w:rsidR="007E1D13" w:rsidRPr="00F65B33" w:rsidRDefault="007E1D13" w:rsidP="007E1D13">
            <w:pPr>
              <w:spacing w:before="120" w:after="120" w:line="240" w:lineRule="auto"/>
              <w:rPr>
                <w:b/>
                <w:sz w:val="20"/>
                <w:szCs w:val="24"/>
                <w:lang w:eastAsia="en-GB"/>
              </w:rPr>
            </w:pPr>
            <w:r>
              <w:rPr>
                <w:b/>
                <w:color w:val="000000"/>
                <w:sz w:val="20"/>
                <w:szCs w:val="24"/>
                <w:lang w:eastAsia="en-GB"/>
              </w:rPr>
              <w:t>5.</w:t>
            </w:r>
          </w:p>
        </w:tc>
        <w:tc>
          <w:tcPr>
            <w:tcW w:w="3686" w:type="dxa"/>
            <w:vAlign w:val="center"/>
          </w:tcPr>
          <w:p w14:paraId="1527A8A4" w14:textId="77777777" w:rsidR="007E1D13" w:rsidRPr="002952B8" w:rsidRDefault="007E1D13" w:rsidP="007E1D13">
            <w:pPr>
              <w:spacing w:before="120" w:after="120" w:line="240" w:lineRule="auto"/>
              <w:rPr>
                <w:b/>
                <w:color w:val="000000"/>
                <w:szCs w:val="24"/>
                <w:lang w:eastAsia="en-GB"/>
              </w:rPr>
            </w:pPr>
            <w:r w:rsidRPr="002952B8">
              <w:rPr>
                <w:b/>
                <w:color w:val="000000"/>
                <w:szCs w:val="24"/>
                <w:lang w:eastAsia="en-GB"/>
              </w:rPr>
              <w:t>Accessibility</w:t>
            </w:r>
          </w:p>
        </w:tc>
        <w:tc>
          <w:tcPr>
            <w:tcW w:w="1464" w:type="dxa"/>
            <w:gridSpan w:val="2"/>
            <w:vAlign w:val="center"/>
          </w:tcPr>
          <w:p w14:paraId="2D7D4970" w14:textId="77777777" w:rsidR="007E1D13" w:rsidRDefault="007E1D13" w:rsidP="007E1D13">
            <w:pPr>
              <w:spacing w:before="120" w:after="120" w:line="240" w:lineRule="auto"/>
              <w:jc w:val="right"/>
              <w:rPr>
                <w:color w:val="000000"/>
                <w:szCs w:val="24"/>
                <w:lang w:eastAsia="en-GB"/>
              </w:rPr>
            </w:pPr>
            <w:r>
              <w:rPr>
                <w:color w:val="000000"/>
                <w:szCs w:val="24"/>
                <w:lang w:eastAsia="en-GB"/>
              </w:rPr>
              <w:t>52</w:t>
            </w:r>
          </w:p>
        </w:tc>
        <w:tc>
          <w:tcPr>
            <w:tcW w:w="1465" w:type="dxa"/>
            <w:gridSpan w:val="2"/>
            <w:vAlign w:val="center"/>
          </w:tcPr>
          <w:p w14:paraId="3A770775"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8 </w:t>
            </w:r>
            <w:r w:rsidRPr="00C24859">
              <w:rPr>
                <w:color w:val="000000"/>
                <w:sz w:val="18"/>
                <w:szCs w:val="24"/>
                <w:lang w:eastAsia="en-GB"/>
              </w:rPr>
              <w:t>%</w:t>
            </w:r>
          </w:p>
        </w:tc>
        <w:tc>
          <w:tcPr>
            <w:tcW w:w="1465" w:type="dxa"/>
            <w:gridSpan w:val="2"/>
            <w:vAlign w:val="center"/>
          </w:tcPr>
          <w:p w14:paraId="0365EF12" w14:textId="77777777" w:rsidR="007E1D13" w:rsidRPr="00B23F3D" w:rsidRDefault="007E1D13" w:rsidP="007E1D13">
            <w:pPr>
              <w:spacing w:before="120" w:after="120" w:line="240" w:lineRule="auto"/>
              <w:jc w:val="right"/>
              <w:rPr>
                <w:color w:val="000000"/>
                <w:szCs w:val="24"/>
                <w:lang w:eastAsia="en-GB"/>
              </w:rPr>
            </w:pPr>
            <w:r>
              <w:rPr>
                <w:color w:val="000000"/>
                <w:szCs w:val="24"/>
                <w:lang w:eastAsia="en-GB"/>
              </w:rPr>
              <w:t>1</w:t>
            </w:r>
          </w:p>
        </w:tc>
        <w:tc>
          <w:tcPr>
            <w:tcW w:w="1464" w:type="dxa"/>
            <w:gridSpan w:val="2"/>
            <w:shd w:val="clear" w:color="auto" w:fill="auto"/>
            <w:vAlign w:val="center"/>
          </w:tcPr>
          <w:p w14:paraId="789137AA" w14:textId="77777777" w:rsidR="007E1D13" w:rsidRPr="00914809" w:rsidRDefault="007E1D13" w:rsidP="007E1D13">
            <w:pPr>
              <w:spacing w:before="120" w:after="120" w:line="240" w:lineRule="auto"/>
              <w:jc w:val="right"/>
              <w:rPr>
                <w:color w:val="000000"/>
                <w:szCs w:val="24"/>
                <w:lang w:eastAsia="en-GB"/>
              </w:rPr>
            </w:pPr>
            <w:r>
              <w:rPr>
                <w:color w:val="000000"/>
                <w:szCs w:val="24"/>
                <w:lang w:eastAsia="en-GB"/>
              </w:rPr>
              <w:t>4</w:t>
            </w:r>
          </w:p>
        </w:tc>
        <w:tc>
          <w:tcPr>
            <w:tcW w:w="1465" w:type="dxa"/>
            <w:gridSpan w:val="2"/>
            <w:vAlign w:val="center"/>
          </w:tcPr>
          <w:p w14:paraId="76116273" w14:textId="77777777" w:rsidR="007E1D13" w:rsidRPr="00451D45" w:rsidRDefault="007E1D13" w:rsidP="007E1D13">
            <w:pPr>
              <w:spacing w:before="120" w:after="120" w:line="240" w:lineRule="auto"/>
              <w:jc w:val="right"/>
              <w:rPr>
                <w:szCs w:val="24"/>
                <w:lang w:eastAsia="en-GB"/>
              </w:rPr>
            </w:pPr>
            <w:r>
              <w:rPr>
                <w:szCs w:val="24"/>
                <w:lang w:eastAsia="en-GB"/>
              </w:rPr>
              <w:t>6</w:t>
            </w:r>
          </w:p>
        </w:tc>
        <w:tc>
          <w:tcPr>
            <w:tcW w:w="1465" w:type="dxa"/>
            <w:gridSpan w:val="2"/>
          </w:tcPr>
          <w:p w14:paraId="13FAD2FC" w14:textId="77777777" w:rsidR="007E1D13" w:rsidRPr="00451D45" w:rsidRDefault="007E1D13" w:rsidP="007E1D13">
            <w:pPr>
              <w:spacing w:before="120" w:after="120" w:line="240" w:lineRule="auto"/>
              <w:jc w:val="right"/>
              <w:rPr>
                <w:szCs w:val="24"/>
                <w:lang w:eastAsia="en-GB"/>
              </w:rPr>
            </w:pPr>
            <w:r>
              <w:rPr>
                <w:szCs w:val="24"/>
                <w:lang w:eastAsia="en-GB"/>
              </w:rPr>
              <w:t>2</w:t>
            </w:r>
          </w:p>
        </w:tc>
        <w:tc>
          <w:tcPr>
            <w:tcW w:w="425" w:type="dxa"/>
          </w:tcPr>
          <w:p w14:paraId="187CD51B" w14:textId="77777777" w:rsidR="007E1D13" w:rsidRPr="00451D45" w:rsidRDefault="007E1D13" w:rsidP="007E1D13">
            <w:pPr>
              <w:spacing w:before="120" w:after="120" w:line="240" w:lineRule="auto"/>
              <w:jc w:val="right"/>
              <w:rPr>
                <w:szCs w:val="24"/>
                <w:lang w:eastAsia="en-GB"/>
              </w:rPr>
            </w:pPr>
          </w:p>
        </w:tc>
      </w:tr>
      <w:tr w:rsidR="007E1D13" w:rsidRPr="00B2469D" w14:paraId="62B2720F" w14:textId="77777777" w:rsidTr="007E1D13">
        <w:trPr>
          <w:trHeight w:val="359"/>
        </w:trPr>
        <w:tc>
          <w:tcPr>
            <w:tcW w:w="817" w:type="dxa"/>
            <w:vAlign w:val="center"/>
          </w:tcPr>
          <w:p w14:paraId="3D7A6348" w14:textId="77777777" w:rsidR="007E1D13" w:rsidRPr="00F65B33" w:rsidRDefault="007E1D13" w:rsidP="007E1D13">
            <w:pPr>
              <w:spacing w:before="120" w:after="120" w:line="240" w:lineRule="auto"/>
              <w:rPr>
                <w:b/>
                <w:color w:val="000000"/>
                <w:sz w:val="20"/>
                <w:szCs w:val="24"/>
                <w:lang w:eastAsia="en-GB"/>
              </w:rPr>
            </w:pPr>
            <w:r>
              <w:rPr>
                <w:b/>
                <w:color w:val="000000"/>
                <w:sz w:val="20"/>
                <w:szCs w:val="24"/>
                <w:lang w:eastAsia="en-GB"/>
              </w:rPr>
              <w:t>6.</w:t>
            </w:r>
          </w:p>
        </w:tc>
        <w:tc>
          <w:tcPr>
            <w:tcW w:w="3686" w:type="dxa"/>
            <w:vAlign w:val="center"/>
          </w:tcPr>
          <w:p w14:paraId="1B3FA710" w14:textId="77777777" w:rsidR="007E1D13" w:rsidRPr="002952B8" w:rsidRDefault="007E1D13" w:rsidP="007E1D13">
            <w:pPr>
              <w:spacing w:before="120" w:after="120" w:line="240" w:lineRule="auto"/>
              <w:rPr>
                <w:b/>
                <w:szCs w:val="24"/>
                <w:lang w:eastAsia="en-GB"/>
              </w:rPr>
            </w:pPr>
            <w:r w:rsidRPr="002952B8">
              <w:rPr>
                <w:b/>
                <w:szCs w:val="24"/>
                <w:lang w:eastAsia="en-GB"/>
              </w:rPr>
              <w:t xml:space="preserve">Substitution </w:t>
            </w:r>
          </w:p>
        </w:tc>
        <w:tc>
          <w:tcPr>
            <w:tcW w:w="1464" w:type="dxa"/>
            <w:gridSpan w:val="2"/>
            <w:vAlign w:val="center"/>
          </w:tcPr>
          <w:p w14:paraId="73F8C57C" w14:textId="77777777" w:rsidR="007E1D13" w:rsidRDefault="007E1D13" w:rsidP="007E1D13">
            <w:pPr>
              <w:spacing w:before="120" w:after="120" w:line="240" w:lineRule="auto"/>
              <w:jc w:val="right"/>
              <w:rPr>
                <w:color w:val="000000"/>
                <w:szCs w:val="24"/>
                <w:lang w:eastAsia="en-GB"/>
              </w:rPr>
            </w:pPr>
            <w:r>
              <w:rPr>
                <w:color w:val="000000"/>
                <w:szCs w:val="24"/>
                <w:lang w:eastAsia="en-GB"/>
              </w:rPr>
              <w:t>51</w:t>
            </w:r>
          </w:p>
        </w:tc>
        <w:tc>
          <w:tcPr>
            <w:tcW w:w="1465" w:type="dxa"/>
            <w:gridSpan w:val="2"/>
            <w:vAlign w:val="center"/>
          </w:tcPr>
          <w:p w14:paraId="29BD1A7D"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8 </w:t>
            </w:r>
            <w:r w:rsidRPr="00C24859">
              <w:rPr>
                <w:color w:val="000000"/>
                <w:sz w:val="18"/>
                <w:szCs w:val="24"/>
                <w:lang w:eastAsia="en-GB"/>
              </w:rPr>
              <w:t>%</w:t>
            </w:r>
          </w:p>
        </w:tc>
        <w:tc>
          <w:tcPr>
            <w:tcW w:w="1465" w:type="dxa"/>
            <w:gridSpan w:val="2"/>
            <w:vAlign w:val="center"/>
          </w:tcPr>
          <w:p w14:paraId="56ADEB60" w14:textId="77777777" w:rsidR="007E1D13" w:rsidRPr="00B23F3D" w:rsidRDefault="007E1D13" w:rsidP="007E1D13">
            <w:pPr>
              <w:spacing w:before="120" w:after="120" w:line="240" w:lineRule="auto"/>
              <w:jc w:val="right"/>
              <w:rPr>
                <w:szCs w:val="24"/>
                <w:lang w:eastAsia="en-GB"/>
              </w:rPr>
            </w:pPr>
            <w:r>
              <w:rPr>
                <w:szCs w:val="24"/>
                <w:lang w:eastAsia="en-GB"/>
              </w:rPr>
              <w:t>10</w:t>
            </w:r>
          </w:p>
        </w:tc>
        <w:tc>
          <w:tcPr>
            <w:tcW w:w="1464" w:type="dxa"/>
            <w:gridSpan w:val="2"/>
            <w:shd w:val="clear" w:color="auto" w:fill="auto"/>
            <w:vAlign w:val="center"/>
          </w:tcPr>
          <w:p w14:paraId="692BA407" w14:textId="77777777" w:rsidR="007E1D13" w:rsidRPr="00C9767C" w:rsidRDefault="007E1D13" w:rsidP="007E1D13">
            <w:pPr>
              <w:spacing w:before="120" w:after="120" w:line="240" w:lineRule="auto"/>
              <w:jc w:val="right"/>
              <w:rPr>
                <w:color w:val="000000"/>
                <w:szCs w:val="24"/>
                <w:lang w:eastAsia="en-GB"/>
              </w:rPr>
            </w:pPr>
            <w:r>
              <w:rPr>
                <w:color w:val="000000"/>
                <w:szCs w:val="24"/>
                <w:lang w:eastAsia="en-GB"/>
              </w:rPr>
              <w:t>6</w:t>
            </w:r>
          </w:p>
        </w:tc>
        <w:tc>
          <w:tcPr>
            <w:tcW w:w="1465" w:type="dxa"/>
            <w:gridSpan w:val="2"/>
            <w:vAlign w:val="center"/>
          </w:tcPr>
          <w:p w14:paraId="4A409ECC"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1465" w:type="dxa"/>
            <w:gridSpan w:val="2"/>
          </w:tcPr>
          <w:p w14:paraId="2C18D46C" w14:textId="77777777" w:rsidR="007E1D13" w:rsidRPr="00451D45" w:rsidRDefault="007E1D13" w:rsidP="007E1D13">
            <w:pPr>
              <w:spacing w:before="120" w:after="120" w:line="240" w:lineRule="auto"/>
              <w:jc w:val="right"/>
              <w:rPr>
                <w:szCs w:val="24"/>
                <w:lang w:eastAsia="en-GB"/>
              </w:rPr>
            </w:pPr>
            <w:r>
              <w:rPr>
                <w:szCs w:val="24"/>
                <w:lang w:eastAsia="en-GB"/>
              </w:rPr>
              <w:t>7</w:t>
            </w:r>
          </w:p>
        </w:tc>
        <w:tc>
          <w:tcPr>
            <w:tcW w:w="425" w:type="dxa"/>
          </w:tcPr>
          <w:p w14:paraId="4F9A04AE" w14:textId="77777777" w:rsidR="007E1D13" w:rsidRPr="00451D45" w:rsidRDefault="007E1D13" w:rsidP="007E1D13">
            <w:pPr>
              <w:spacing w:before="120" w:after="120" w:line="240" w:lineRule="auto"/>
              <w:jc w:val="right"/>
              <w:rPr>
                <w:szCs w:val="24"/>
                <w:lang w:eastAsia="en-GB"/>
              </w:rPr>
            </w:pPr>
          </w:p>
        </w:tc>
      </w:tr>
      <w:tr w:rsidR="007E1D13" w:rsidRPr="00B2469D" w14:paraId="52411CDE" w14:textId="77777777" w:rsidTr="007E1D13">
        <w:trPr>
          <w:trHeight w:val="359"/>
        </w:trPr>
        <w:tc>
          <w:tcPr>
            <w:tcW w:w="817" w:type="dxa"/>
            <w:vAlign w:val="center"/>
          </w:tcPr>
          <w:p w14:paraId="72CE8409" w14:textId="77777777" w:rsidR="007E1D13" w:rsidRPr="00F65B33" w:rsidRDefault="007E1D13" w:rsidP="007E1D13">
            <w:pPr>
              <w:spacing w:before="120" w:after="120" w:line="240" w:lineRule="auto"/>
              <w:rPr>
                <w:b/>
                <w:sz w:val="20"/>
                <w:szCs w:val="24"/>
                <w:lang w:eastAsia="en-GB"/>
              </w:rPr>
            </w:pPr>
            <w:r w:rsidRPr="00F65B33">
              <w:rPr>
                <w:b/>
                <w:sz w:val="20"/>
                <w:szCs w:val="24"/>
                <w:lang w:eastAsia="en-GB"/>
              </w:rPr>
              <w:t>7</w:t>
            </w:r>
            <w:r>
              <w:rPr>
                <w:b/>
                <w:sz w:val="20"/>
                <w:szCs w:val="24"/>
                <w:lang w:eastAsia="en-GB"/>
              </w:rPr>
              <w:t>.</w:t>
            </w:r>
          </w:p>
        </w:tc>
        <w:tc>
          <w:tcPr>
            <w:tcW w:w="3686" w:type="dxa"/>
            <w:vAlign w:val="center"/>
          </w:tcPr>
          <w:p w14:paraId="77AC3E42" w14:textId="77777777" w:rsidR="007E1D13" w:rsidRPr="002952B8" w:rsidRDefault="007E1D13" w:rsidP="007E1D13">
            <w:pPr>
              <w:spacing w:before="120" w:after="120" w:line="240" w:lineRule="auto"/>
              <w:rPr>
                <w:b/>
                <w:szCs w:val="24"/>
                <w:lang w:eastAsia="en-GB"/>
              </w:rPr>
            </w:pPr>
            <w:r w:rsidRPr="002952B8">
              <w:rPr>
                <w:b/>
                <w:szCs w:val="24"/>
                <w:lang w:eastAsia="en-GB"/>
              </w:rPr>
              <w:t xml:space="preserve">Authority </w:t>
            </w:r>
          </w:p>
        </w:tc>
        <w:tc>
          <w:tcPr>
            <w:tcW w:w="1464" w:type="dxa"/>
            <w:gridSpan w:val="2"/>
            <w:vAlign w:val="center"/>
          </w:tcPr>
          <w:p w14:paraId="25DD66E2" w14:textId="77777777" w:rsidR="007E1D13" w:rsidRDefault="007E1D13" w:rsidP="007E1D13">
            <w:pPr>
              <w:spacing w:before="120" w:after="120" w:line="240" w:lineRule="auto"/>
              <w:jc w:val="right"/>
              <w:rPr>
                <w:szCs w:val="24"/>
                <w:lang w:eastAsia="en-GB"/>
              </w:rPr>
            </w:pPr>
            <w:r>
              <w:rPr>
                <w:szCs w:val="24"/>
                <w:lang w:eastAsia="en-GB"/>
              </w:rPr>
              <w:t>45</w:t>
            </w:r>
          </w:p>
        </w:tc>
        <w:tc>
          <w:tcPr>
            <w:tcW w:w="1465" w:type="dxa"/>
            <w:gridSpan w:val="2"/>
            <w:vAlign w:val="center"/>
          </w:tcPr>
          <w:p w14:paraId="39C0BE26" w14:textId="77777777" w:rsidR="007E1D13" w:rsidRDefault="007E1D13" w:rsidP="007E1D13">
            <w:pPr>
              <w:spacing w:before="120" w:after="120" w:line="240" w:lineRule="auto"/>
              <w:jc w:val="right"/>
              <w:rPr>
                <w:szCs w:val="24"/>
                <w:lang w:eastAsia="en-GB"/>
              </w:rPr>
            </w:pPr>
            <w:r>
              <w:rPr>
                <w:color w:val="000000"/>
                <w:szCs w:val="24"/>
                <w:lang w:eastAsia="en-GB"/>
              </w:rPr>
              <w:t xml:space="preserve">7 </w:t>
            </w:r>
            <w:r w:rsidRPr="00C24859">
              <w:rPr>
                <w:color w:val="000000"/>
                <w:sz w:val="18"/>
                <w:szCs w:val="24"/>
                <w:lang w:eastAsia="en-GB"/>
              </w:rPr>
              <w:t>%</w:t>
            </w:r>
          </w:p>
        </w:tc>
        <w:tc>
          <w:tcPr>
            <w:tcW w:w="1465" w:type="dxa"/>
            <w:gridSpan w:val="2"/>
            <w:vAlign w:val="center"/>
          </w:tcPr>
          <w:p w14:paraId="324B8DAC" w14:textId="77777777" w:rsidR="007E1D13" w:rsidRPr="00B23F3D" w:rsidRDefault="007E1D13" w:rsidP="007E1D13">
            <w:pPr>
              <w:spacing w:before="120" w:after="120" w:line="240" w:lineRule="auto"/>
              <w:jc w:val="right"/>
              <w:rPr>
                <w:szCs w:val="24"/>
                <w:lang w:eastAsia="en-GB"/>
              </w:rPr>
            </w:pPr>
            <w:r>
              <w:rPr>
                <w:szCs w:val="24"/>
                <w:lang w:eastAsia="en-GB"/>
              </w:rPr>
              <w:t>7</w:t>
            </w:r>
          </w:p>
        </w:tc>
        <w:tc>
          <w:tcPr>
            <w:tcW w:w="1464" w:type="dxa"/>
            <w:gridSpan w:val="2"/>
            <w:shd w:val="clear" w:color="auto" w:fill="auto"/>
            <w:vAlign w:val="center"/>
          </w:tcPr>
          <w:p w14:paraId="1786DF78" w14:textId="77777777" w:rsidR="007E1D13" w:rsidRPr="00914809" w:rsidRDefault="007E1D13" w:rsidP="007E1D13">
            <w:pPr>
              <w:spacing w:before="120" w:after="120" w:line="240" w:lineRule="auto"/>
              <w:jc w:val="right"/>
              <w:rPr>
                <w:szCs w:val="24"/>
                <w:lang w:eastAsia="en-GB"/>
              </w:rPr>
            </w:pPr>
            <w:r>
              <w:rPr>
                <w:szCs w:val="24"/>
                <w:lang w:eastAsia="en-GB"/>
              </w:rPr>
              <w:t>7</w:t>
            </w:r>
          </w:p>
        </w:tc>
        <w:tc>
          <w:tcPr>
            <w:tcW w:w="1465" w:type="dxa"/>
            <w:gridSpan w:val="2"/>
            <w:vAlign w:val="center"/>
          </w:tcPr>
          <w:p w14:paraId="2C37CC39" w14:textId="77777777" w:rsidR="007E1D13" w:rsidRPr="00451D45" w:rsidRDefault="007E1D13" w:rsidP="007E1D13">
            <w:pPr>
              <w:spacing w:before="120" w:after="120" w:line="240" w:lineRule="auto"/>
              <w:jc w:val="right"/>
              <w:rPr>
                <w:szCs w:val="24"/>
                <w:lang w:eastAsia="en-GB"/>
              </w:rPr>
            </w:pPr>
            <w:r>
              <w:rPr>
                <w:szCs w:val="24"/>
                <w:lang w:eastAsia="en-GB"/>
              </w:rPr>
              <w:t>4</w:t>
            </w:r>
          </w:p>
        </w:tc>
        <w:tc>
          <w:tcPr>
            <w:tcW w:w="1465" w:type="dxa"/>
            <w:gridSpan w:val="2"/>
          </w:tcPr>
          <w:p w14:paraId="73A26113" w14:textId="77777777" w:rsidR="007E1D13" w:rsidRPr="00451D45" w:rsidRDefault="007E1D13" w:rsidP="007E1D13">
            <w:pPr>
              <w:spacing w:before="120" w:after="120" w:line="240" w:lineRule="auto"/>
              <w:jc w:val="right"/>
              <w:rPr>
                <w:szCs w:val="24"/>
                <w:lang w:eastAsia="en-GB"/>
              </w:rPr>
            </w:pPr>
            <w:r>
              <w:rPr>
                <w:szCs w:val="24"/>
                <w:lang w:eastAsia="en-GB"/>
              </w:rPr>
              <w:t>8</w:t>
            </w:r>
          </w:p>
        </w:tc>
        <w:tc>
          <w:tcPr>
            <w:tcW w:w="425" w:type="dxa"/>
          </w:tcPr>
          <w:p w14:paraId="377302D9" w14:textId="77777777" w:rsidR="007E1D13" w:rsidRPr="00451D45" w:rsidRDefault="007E1D13" w:rsidP="007E1D13">
            <w:pPr>
              <w:spacing w:before="120" w:after="120" w:line="240" w:lineRule="auto"/>
              <w:jc w:val="right"/>
              <w:rPr>
                <w:szCs w:val="24"/>
                <w:lang w:eastAsia="en-GB"/>
              </w:rPr>
            </w:pPr>
          </w:p>
        </w:tc>
      </w:tr>
      <w:tr w:rsidR="007E1D13" w:rsidRPr="00B2469D" w14:paraId="60271FDF" w14:textId="77777777" w:rsidTr="007E1D13">
        <w:trPr>
          <w:trHeight w:val="359"/>
        </w:trPr>
        <w:tc>
          <w:tcPr>
            <w:tcW w:w="817" w:type="dxa"/>
            <w:vAlign w:val="center"/>
          </w:tcPr>
          <w:p w14:paraId="26FD48EA" w14:textId="77777777" w:rsidR="007E1D13" w:rsidRPr="00F65B33" w:rsidRDefault="007E1D13" w:rsidP="007E1D13">
            <w:pPr>
              <w:spacing w:before="120" w:after="120" w:line="240" w:lineRule="auto"/>
              <w:rPr>
                <w:b/>
                <w:sz w:val="20"/>
                <w:szCs w:val="24"/>
                <w:lang w:eastAsia="en-GB"/>
              </w:rPr>
            </w:pPr>
            <w:r w:rsidRPr="00F65B33">
              <w:rPr>
                <w:b/>
                <w:color w:val="000000"/>
                <w:sz w:val="20"/>
                <w:szCs w:val="24"/>
                <w:lang w:eastAsia="en-GB"/>
              </w:rPr>
              <w:t>8</w:t>
            </w:r>
            <w:r>
              <w:rPr>
                <w:b/>
                <w:color w:val="000000"/>
                <w:sz w:val="20"/>
                <w:szCs w:val="24"/>
                <w:lang w:eastAsia="en-GB"/>
              </w:rPr>
              <w:t>.</w:t>
            </w:r>
          </w:p>
        </w:tc>
        <w:tc>
          <w:tcPr>
            <w:tcW w:w="3686" w:type="dxa"/>
            <w:vAlign w:val="center"/>
          </w:tcPr>
          <w:p w14:paraId="5DE311CC" w14:textId="77777777" w:rsidR="007E1D13" w:rsidRPr="002952B8" w:rsidRDefault="007E1D13" w:rsidP="007E1D13">
            <w:pPr>
              <w:spacing w:before="120" w:after="120" w:line="240" w:lineRule="auto"/>
              <w:rPr>
                <w:b/>
                <w:color w:val="000000"/>
                <w:szCs w:val="24"/>
                <w:lang w:eastAsia="en-GB"/>
              </w:rPr>
            </w:pPr>
            <w:r w:rsidRPr="002952B8">
              <w:rPr>
                <w:b/>
                <w:szCs w:val="24"/>
                <w:lang w:eastAsia="en-GB"/>
              </w:rPr>
              <w:t xml:space="preserve">Identity </w:t>
            </w:r>
          </w:p>
        </w:tc>
        <w:tc>
          <w:tcPr>
            <w:tcW w:w="1464" w:type="dxa"/>
            <w:gridSpan w:val="2"/>
            <w:vAlign w:val="center"/>
          </w:tcPr>
          <w:p w14:paraId="6B2EA250" w14:textId="77777777" w:rsidR="007E1D13" w:rsidRDefault="007E1D13" w:rsidP="007E1D13">
            <w:pPr>
              <w:spacing w:before="120" w:after="120" w:line="240" w:lineRule="auto"/>
              <w:jc w:val="right"/>
              <w:rPr>
                <w:szCs w:val="24"/>
                <w:lang w:eastAsia="en-GB"/>
              </w:rPr>
            </w:pPr>
            <w:r>
              <w:rPr>
                <w:szCs w:val="24"/>
                <w:lang w:eastAsia="en-GB"/>
              </w:rPr>
              <w:t>40</w:t>
            </w:r>
          </w:p>
        </w:tc>
        <w:tc>
          <w:tcPr>
            <w:tcW w:w="1465" w:type="dxa"/>
            <w:gridSpan w:val="2"/>
            <w:vAlign w:val="center"/>
          </w:tcPr>
          <w:p w14:paraId="7715C3C8" w14:textId="77777777" w:rsidR="007E1D13" w:rsidRDefault="007E1D13" w:rsidP="007E1D13">
            <w:pPr>
              <w:spacing w:before="120" w:after="120" w:line="240" w:lineRule="auto"/>
              <w:jc w:val="right"/>
              <w:rPr>
                <w:szCs w:val="24"/>
                <w:lang w:eastAsia="en-GB"/>
              </w:rPr>
            </w:pPr>
            <w:r>
              <w:rPr>
                <w:szCs w:val="24"/>
                <w:lang w:eastAsia="en-GB"/>
              </w:rPr>
              <w:t xml:space="preserve">6 </w:t>
            </w:r>
            <w:r w:rsidRPr="00C24859">
              <w:rPr>
                <w:sz w:val="18"/>
                <w:szCs w:val="24"/>
                <w:lang w:eastAsia="en-GB"/>
              </w:rPr>
              <w:t>%</w:t>
            </w:r>
          </w:p>
        </w:tc>
        <w:tc>
          <w:tcPr>
            <w:tcW w:w="1465" w:type="dxa"/>
            <w:gridSpan w:val="2"/>
            <w:vAlign w:val="center"/>
          </w:tcPr>
          <w:p w14:paraId="1904BF14" w14:textId="77777777" w:rsidR="007E1D13" w:rsidRPr="00B23F3D" w:rsidRDefault="007E1D13" w:rsidP="007E1D13">
            <w:pPr>
              <w:spacing w:before="120" w:after="120" w:line="240" w:lineRule="auto"/>
              <w:jc w:val="right"/>
              <w:rPr>
                <w:color w:val="000000"/>
                <w:szCs w:val="24"/>
                <w:lang w:eastAsia="en-GB"/>
              </w:rPr>
            </w:pPr>
            <w:r>
              <w:rPr>
                <w:color w:val="000000"/>
                <w:szCs w:val="24"/>
                <w:lang w:eastAsia="en-GB"/>
              </w:rPr>
              <w:t>3</w:t>
            </w:r>
          </w:p>
        </w:tc>
        <w:tc>
          <w:tcPr>
            <w:tcW w:w="1464" w:type="dxa"/>
            <w:gridSpan w:val="2"/>
            <w:shd w:val="clear" w:color="auto" w:fill="auto"/>
            <w:vAlign w:val="center"/>
          </w:tcPr>
          <w:p w14:paraId="662319A3" w14:textId="77777777" w:rsidR="007E1D13" w:rsidRDefault="007E1D13" w:rsidP="007E1D13">
            <w:pPr>
              <w:spacing w:before="120" w:after="120" w:line="240" w:lineRule="auto"/>
              <w:jc w:val="right"/>
              <w:rPr>
                <w:color w:val="000000"/>
                <w:szCs w:val="24"/>
                <w:lang w:eastAsia="en-GB"/>
              </w:rPr>
            </w:pPr>
            <w:r>
              <w:rPr>
                <w:color w:val="000000"/>
                <w:szCs w:val="24"/>
                <w:lang w:eastAsia="en-GB"/>
              </w:rPr>
              <w:t>4</w:t>
            </w:r>
          </w:p>
        </w:tc>
        <w:tc>
          <w:tcPr>
            <w:tcW w:w="1465" w:type="dxa"/>
            <w:gridSpan w:val="2"/>
            <w:vAlign w:val="center"/>
          </w:tcPr>
          <w:p w14:paraId="6B9B64F8" w14:textId="77777777" w:rsidR="007E1D13" w:rsidRPr="00451D45" w:rsidRDefault="007E1D13" w:rsidP="007E1D13">
            <w:pPr>
              <w:spacing w:before="120" w:after="120" w:line="240" w:lineRule="auto"/>
              <w:jc w:val="right"/>
              <w:rPr>
                <w:szCs w:val="24"/>
                <w:lang w:eastAsia="en-GB"/>
              </w:rPr>
            </w:pPr>
            <w:r>
              <w:rPr>
                <w:szCs w:val="24"/>
                <w:lang w:eastAsia="en-GB"/>
              </w:rPr>
              <w:t>3</w:t>
            </w:r>
          </w:p>
        </w:tc>
        <w:tc>
          <w:tcPr>
            <w:tcW w:w="1465" w:type="dxa"/>
            <w:gridSpan w:val="2"/>
          </w:tcPr>
          <w:p w14:paraId="437D675E"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425" w:type="dxa"/>
          </w:tcPr>
          <w:p w14:paraId="3CF362EE" w14:textId="77777777" w:rsidR="007E1D13" w:rsidRPr="00451D45" w:rsidRDefault="007E1D13" w:rsidP="007E1D13">
            <w:pPr>
              <w:spacing w:before="120" w:after="120" w:line="240" w:lineRule="auto"/>
              <w:jc w:val="right"/>
              <w:rPr>
                <w:szCs w:val="24"/>
                <w:lang w:eastAsia="en-GB"/>
              </w:rPr>
            </w:pPr>
          </w:p>
        </w:tc>
      </w:tr>
      <w:tr w:rsidR="007E1D13" w:rsidRPr="00B2469D" w14:paraId="2E601C8D" w14:textId="77777777" w:rsidTr="007E1D13">
        <w:trPr>
          <w:trHeight w:val="359"/>
        </w:trPr>
        <w:tc>
          <w:tcPr>
            <w:tcW w:w="817" w:type="dxa"/>
            <w:vAlign w:val="center"/>
          </w:tcPr>
          <w:p w14:paraId="57FE9EED" w14:textId="77777777" w:rsidR="007E1D13" w:rsidRPr="00F65B33" w:rsidRDefault="007E1D13" w:rsidP="007E1D13">
            <w:pPr>
              <w:spacing w:before="120" w:after="120" w:line="240" w:lineRule="auto"/>
              <w:rPr>
                <w:b/>
                <w:sz w:val="20"/>
                <w:szCs w:val="24"/>
                <w:lang w:eastAsia="en-GB"/>
              </w:rPr>
            </w:pPr>
            <w:r>
              <w:rPr>
                <w:b/>
                <w:sz w:val="20"/>
                <w:szCs w:val="24"/>
                <w:lang w:eastAsia="en-GB"/>
              </w:rPr>
              <w:t>9.</w:t>
            </w:r>
          </w:p>
        </w:tc>
        <w:tc>
          <w:tcPr>
            <w:tcW w:w="3686" w:type="dxa"/>
            <w:vAlign w:val="center"/>
          </w:tcPr>
          <w:p w14:paraId="5E23E009" w14:textId="77777777" w:rsidR="007E1D13" w:rsidRPr="002952B8" w:rsidRDefault="007E1D13" w:rsidP="007E1D13">
            <w:pPr>
              <w:spacing w:before="120" w:after="120" w:line="240" w:lineRule="auto"/>
              <w:rPr>
                <w:b/>
                <w:szCs w:val="24"/>
                <w:lang w:eastAsia="en-GB"/>
              </w:rPr>
            </w:pPr>
            <w:r w:rsidRPr="002952B8">
              <w:rPr>
                <w:b/>
                <w:color w:val="000000"/>
                <w:szCs w:val="24"/>
                <w:lang w:eastAsia="en-GB"/>
              </w:rPr>
              <w:t>Pleasure</w:t>
            </w:r>
          </w:p>
        </w:tc>
        <w:tc>
          <w:tcPr>
            <w:tcW w:w="1464" w:type="dxa"/>
            <w:gridSpan w:val="2"/>
            <w:vAlign w:val="center"/>
          </w:tcPr>
          <w:p w14:paraId="21568F5D" w14:textId="77777777" w:rsidR="007E1D13" w:rsidRDefault="007E1D13" w:rsidP="007E1D13">
            <w:pPr>
              <w:spacing w:before="120" w:after="120" w:line="240" w:lineRule="auto"/>
              <w:jc w:val="right"/>
              <w:rPr>
                <w:szCs w:val="24"/>
                <w:lang w:eastAsia="en-GB"/>
              </w:rPr>
            </w:pPr>
            <w:r>
              <w:rPr>
                <w:color w:val="000000"/>
                <w:szCs w:val="24"/>
                <w:lang w:eastAsia="en-GB"/>
              </w:rPr>
              <w:t>28</w:t>
            </w:r>
          </w:p>
        </w:tc>
        <w:tc>
          <w:tcPr>
            <w:tcW w:w="1465" w:type="dxa"/>
            <w:gridSpan w:val="2"/>
            <w:vAlign w:val="center"/>
          </w:tcPr>
          <w:p w14:paraId="10C6B150" w14:textId="77777777" w:rsidR="007E1D13" w:rsidRDefault="007E1D13" w:rsidP="007E1D13">
            <w:pPr>
              <w:spacing w:before="120" w:after="120" w:line="240" w:lineRule="auto"/>
              <w:jc w:val="right"/>
              <w:rPr>
                <w:szCs w:val="24"/>
                <w:lang w:eastAsia="en-GB"/>
              </w:rPr>
            </w:pPr>
            <w:r>
              <w:rPr>
                <w:color w:val="000000"/>
                <w:szCs w:val="24"/>
                <w:lang w:eastAsia="en-GB"/>
              </w:rPr>
              <w:t xml:space="preserve">4 </w:t>
            </w:r>
            <w:r w:rsidRPr="00C24859">
              <w:rPr>
                <w:color w:val="000000"/>
                <w:sz w:val="18"/>
                <w:szCs w:val="24"/>
                <w:lang w:eastAsia="en-GB"/>
              </w:rPr>
              <w:t>%</w:t>
            </w:r>
          </w:p>
        </w:tc>
        <w:tc>
          <w:tcPr>
            <w:tcW w:w="1465" w:type="dxa"/>
            <w:gridSpan w:val="2"/>
            <w:vAlign w:val="center"/>
          </w:tcPr>
          <w:p w14:paraId="318D0B54" w14:textId="77777777" w:rsidR="007E1D13" w:rsidRPr="00B23F3D" w:rsidRDefault="007E1D13" w:rsidP="007E1D13">
            <w:pPr>
              <w:spacing w:before="120" w:after="120" w:line="240" w:lineRule="auto"/>
              <w:jc w:val="right"/>
              <w:rPr>
                <w:szCs w:val="24"/>
                <w:lang w:eastAsia="en-GB"/>
              </w:rPr>
            </w:pPr>
            <w:r>
              <w:rPr>
                <w:szCs w:val="24"/>
                <w:lang w:eastAsia="en-GB"/>
              </w:rPr>
              <w:t>3</w:t>
            </w:r>
          </w:p>
        </w:tc>
        <w:tc>
          <w:tcPr>
            <w:tcW w:w="1464" w:type="dxa"/>
            <w:gridSpan w:val="2"/>
            <w:shd w:val="clear" w:color="auto" w:fill="auto"/>
            <w:vAlign w:val="center"/>
          </w:tcPr>
          <w:p w14:paraId="0AF85103" w14:textId="77777777" w:rsidR="007E1D13" w:rsidRPr="00C9767C" w:rsidRDefault="007E1D13" w:rsidP="007E1D13">
            <w:pPr>
              <w:spacing w:before="120" w:after="120" w:line="240" w:lineRule="auto"/>
              <w:jc w:val="right"/>
              <w:rPr>
                <w:szCs w:val="24"/>
                <w:lang w:eastAsia="en-GB"/>
              </w:rPr>
            </w:pPr>
            <w:r>
              <w:rPr>
                <w:szCs w:val="24"/>
                <w:lang w:eastAsia="en-GB"/>
              </w:rPr>
              <w:t>1</w:t>
            </w:r>
          </w:p>
        </w:tc>
        <w:tc>
          <w:tcPr>
            <w:tcW w:w="1465" w:type="dxa"/>
            <w:gridSpan w:val="2"/>
            <w:vAlign w:val="center"/>
          </w:tcPr>
          <w:p w14:paraId="73489C1B" w14:textId="77777777" w:rsidR="007E1D13" w:rsidRPr="00451D45" w:rsidRDefault="007E1D13" w:rsidP="007E1D13">
            <w:pPr>
              <w:spacing w:before="120" w:after="120" w:line="240" w:lineRule="auto"/>
              <w:jc w:val="right"/>
              <w:rPr>
                <w:szCs w:val="24"/>
                <w:lang w:eastAsia="en-GB"/>
              </w:rPr>
            </w:pPr>
            <w:r>
              <w:rPr>
                <w:szCs w:val="24"/>
                <w:lang w:eastAsia="en-GB"/>
              </w:rPr>
              <w:t>8</w:t>
            </w:r>
          </w:p>
        </w:tc>
        <w:tc>
          <w:tcPr>
            <w:tcW w:w="1465" w:type="dxa"/>
            <w:gridSpan w:val="2"/>
          </w:tcPr>
          <w:p w14:paraId="4399A49B" w14:textId="77777777" w:rsidR="007E1D13" w:rsidRPr="00451D45" w:rsidRDefault="007E1D13" w:rsidP="007E1D13">
            <w:pPr>
              <w:spacing w:before="120" w:after="120" w:line="240" w:lineRule="auto"/>
              <w:jc w:val="right"/>
              <w:rPr>
                <w:szCs w:val="24"/>
                <w:lang w:eastAsia="en-GB"/>
              </w:rPr>
            </w:pPr>
            <w:r>
              <w:rPr>
                <w:szCs w:val="24"/>
                <w:lang w:eastAsia="en-GB"/>
              </w:rPr>
              <w:t>4</w:t>
            </w:r>
          </w:p>
        </w:tc>
        <w:tc>
          <w:tcPr>
            <w:tcW w:w="425" w:type="dxa"/>
          </w:tcPr>
          <w:p w14:paraId="784C9E41" w14:textId="77777777" w:rsidR="007E1D13" w:rsidRPr="00451D45" w:rsidRDefault="007E1D13" w:rsidP="007E1D13">
            <w:pPr>
              <w:spacing w:before="120" w:after="120" w:line="240" w:lineRule="auto"/>
              <w:jc w:val="right"/>
              <w:rPr>
                <w:szCs w:val="24"/>
                <w:lang w:eastAsia="en-GB"/>
              </w:rPr>
            </w:pPr>
          </w:p>
        </w:tc>
      </w:tr>
      <w:tr w:rsidR="007E1D13" w:rsidRPr="00B2469D" w14:paraId="4304DE52" w14:textId="77777777" w:rsidTr="007E1D13">
        <w:trPr>
          <w:trHeight w:val="359"/>
        </w:trPr>
        <w:tc>
          <w:tcPr>
            <w:tcW w:w="817" w:type="dxa"/>
            <w:tcBorders>
              <w:bottom w:val="single" w:sz="4" w:space="0" w:color="auto"/>
            </w:tcBorders>
            <w:vAlign w:val="center"/>
          </w:tcPr>
          <w:p w14:paraId="3834074B" w14:textId="77777777" w:rsidR="007E1D13" w:rsidRPr="00F65B33" w:rsidRDefault="007E1D13" w:rsidP="007E1D13">
            <w:pPr>
              <w:spacing w:before="120" w:after="240" w:line="240" w:lineRule="auto"/>
              <w:rPr>
                <w:b/>
                <w:color w:val="000000"/>
                <w:sz w:val="20"/>
                <w:szCs w:val="24"/>
                <w:lang w:eastAsia="en-GB"/>
              </w:rPr>
            </w:pPr>
            <w:r w:rsidRPr="00F65B33">
              <w:rPr>
                <w:b/>
                <w:color w:val="000000"/>
                <w:sz w:val="20"/>
                <w:szCs w:val="24"/>
                <w:lang w:eastAsia="en-GB"/>
              </w:rPr>
              <w:t>1</w:t>
            </w:r>
            <w:r>
              <w:rPr>
                <w:b/>
                <w:color w:val="000000"/>
                <w:sz w:val="20"/>
                <w:szCs w:val="24"/>
                <w:lang w:eastAsia="en-GB"/>
              </w:rPr>
              <w:t>0.</w:t>
            </w:r>
          </w:p>
        </w:tc>
        <w:tc>
          <w:tcPr>
            <w:tcW w:w="3686" w:type="dxa"/>
            <w:tcBorders>
              <w:bottom w:val="single" w:sz="4" w:space="0" w:color="auto"/>
            </w:tcBorders>
            <w:vAlign w:val="center"/>
          </w:tcPr>
          <w:p w14:paraId="3F089952" w14:textId="77777777" w:rsidR="007E1D13" w:rsidRPr="002952B8" w:rsidRDefault="007E1D13" w:rsidP="007E1D13">
            <w:pPr>
              <w:spacing w:before="120" w:after="240" w:line="240" w:lineRule="auto"/>
              <w:rPr>
                <w:b/>
                <w:color w:val="000000"/>
                <w:szCs w:val="24"/>
                <w:lang w:eastAsia="en-GB"/>
              </w:rPr>
            </w:pPr>
            <w:r w:rsidRPr="002952B8">
              <w:rPr>
                <w:b/>
                <w:szCs w:val="24"/>
                <w:lang w:eastAsia="en-GB"/>
              </w:rPr>
              <w:t>Curiosity</w:t>
            </w:r>
          </w:p>
        </w:tc>
        <w:tc>
          <w:tcPr>
            <w:tcW w:w="1464" w:type="dxa"/>
            <w:gridSpan w:val="2"/>
            <w:tcBorders>
              <w:bottom w:val="single" w:sz="4" w:space="0" w:color="auto"/>
            </w:tcBorders>
            <w:vAlign w:val="center"/>
          </w:tcPr>
          <w:p w14:paraId="47EEA6CC" w14:textId="77777777" w:rsidR="007E1D13" w:rsidRDefault="007E1D13" w:rsidP="007E1D13">
            <w:pPr>
              <w:spacing w:before="120" w:after="240" w:line="240" w:lineRule="auto"/>
              <w:jc w:val="right"/>
              <w:rPr>
                <w:szCs w:val="24"/>
                <w:lang w:eastAsia="en-GB"/>
              </w:rPr>
            </w:pPr>
            <w:r>
              <w:rPr>
                <w:szCs w:val="24"/>
                <w:lang w:eastAsia="en-GB"/>
              </w:rPr>
              <w:t>21</w:t>
            </w:r>
          </w:p>
        </w:tc>
        <w:tc>
          <w:tcPr>
            <w:tcW w:w="1465" w:type="dxa"/>
            <w:gridSpan w:val="2"/>
            <w:tcBorders>
              <w:bottom w:val="single" w:sz="4" w:space="0" w:color="auto"/>
            </w:tcBorders>
            <w:vAlign w:val="center"/>
          </w:tcPr>
          <w:p w14:paraId="2981A8F1" w14:textId="77777777" w:rsidR="007E1D13" w:rsidRDefault="007E1D13" w:rsidP="007E1D13">
            <w:pPr>
              <w:spacing w:before="120" w:after="240" w:line="240" w:lineRule="auto"/>
              <w:jc w:val="right"/>
              <w:rPr>
                <w:szCs w:val="24"/>
                <w:lang w:eastAsia="en-GB"/>
              </w:rPr>
            </w:pPr>
            <w:r>
              <w:rPr>
                <w:szCs w:val="24"/>
                <w:lang w:eastAsia="en-GB"/>
              </w:rPr>
              <w:t xml:space="preserve">3 </w:t>
            </w:r>
            <w:r w:rsidRPr="00C24859">
              <w:rPr>
                <w:sz w:val="18"/>
                <w:szCs w:val="24"/>
                <w:lang w:eastAsia="en-GB"/>
              </w:rPr>
              <w:t>%</w:t>
            </w:r>
          </w:p>
        </w:tc>
        <w:tc>
          <w:tcPr>
            <w:tcW w:w="1465" w:type="dxa"/>
            <w:gridSpan w:val="2"/>
            <w:tcBorders>
              <w:bottom w:val="single" w:sz="4" w:space="0" w:color="auto"/>
            </w:tcBorders>
            <w:vAlign w:val="center"/>
          </w:tcPr>
          <w:p w14:paraId="6E3AEE4E" w14:textId="77777777" w:rsidR="007E1D13" w:rsidRPr="00B23F3D" w:rsidRDefault="007E1D13" w:rsidP="007E1D13">
            <w:pPr>
              <w:spacing w:before="120" w:after="240" w:line="240" w:lineRule="auto"/>
              <w:jc w:val="right"/>
              <w:rPr>
                <w:color w:val="000000"/>
                <w:szCs w:val="24"/>
                <w:lang w:eastAsia="en-GB"/>
              </w:rPr>
            </w:pPr>
            <w:r>
              <w:rPr>
                <w:color w:val="000000"/>
                <w:szCs w:val="24"/>
                <w:lang w:eastAsia="en-GB"/>
              </w:rPr>
              <w:t>9</w:t>
            </w:r>
          </w:p>
        </w:tc>
        <w:tc>
          <w:tcPr>
            <w:tcW w:w="1464" w:type="dxa"/>
            <w:gridSpan w:val="2"/>
            <w:tcBorders>
              <w:bottom w:val="single" w:sz="4" w:space="0" w:color="auto"/>
            </w:tcBorders>
            <w:shd w:val="clear" w:color="auto" w:fill="auto"/>
            <w:vAlign w:val="center"/>
          </w:tcPr>
          <w:p w14:paraId="65D50E7C" w14:textId="77777777" w:rsidR="007E1D13" w:rsidRDefault="007E1D13" w:rsidP="007E1D13">
            <w:pPr>
              <w:spacing w:before="120" w:after="240" w:line="240" w:lineRule="auto"/>
              <w:jc w:val="right"/>
              <w:rPr>
                <w:color w:val="000000"/>
                <w:szCs w:val="24"/>
                <w:lang w:eastAsia="en-GB"/>
              </w:rPr>
            </w:pPr>
            <w:r>
              <w:rPr>
                <w:color w:val="000000"/>
                <w:szCs w:val="24"/>
                <w:lang w:eastAsia="en-GB"/>
              </w:rPr>
              <w:t>9</w:t>
            </w:r>
          </w:p>
        </w:tc>
        <w:tc>
          <w:tcPr>
            <w:tcW w:w="1465" w:type="dxa"/>
            <w:gridSpan w:val="2"/>
            <w:tcBorders>
              <w:bottom w:val="single" w:sz="4" w:space="0" w:color="auto"/>
            </w:tcBorders>
            <w:vAlign w:val="center"/>
          </w:tcPr>
          <w:p w14:paraId="39999778" w14:textId="77777777" w:rsidR="007E1D13" w:rsidRPr="00451D45" w:rsidRDefault="007E1D13" w:rsidP="007E1D13">
            <w:pPr>
              <w:spacing w:before="120" w:after="240" w:line="240" w:lineRule="auto"/>
              <w:jc w:val="right"/>
              <w:rPr>
                <w:szCs w:val="24"/>
                <w:lang w:eastAsia="en-GB"/>
              </w:rPr>
            </w:pPr>
            <w:r>
              <w:rPr>
                <w:szCs w:val="24"/>
                <w:lang w:eastAsia="en-GB"/>
              </w:rPr>
              <w:t>8</w:t>
            </w:r>
          </w:p>
        </w:tc>
        <w:tc>
          <w:tcPr>
            <w:tcW w:w="1465" w:type="dxa"/>
            <w:gridSpan w:val="2"/>
            <w:tcBorders>
              <w:bottom w:val="single" w:sz="4" w:space="0" w:color="auto"/>
            </w:tcBorders>
          </w:tcPr>
          <w:p w14:paraId="5454AA10" w14:textId="77777777" w:rsidR="007E1D13" w:rsidRPr="00451D45" w:rsidRDefault="007E1D13" w:rsidP="007E1D13">
            <w:pPr>
              <w:spacing w:before="120" w:after="240" w:line="240" w:lineRule="auto"/>
              <w:jc w:val="right"/>
              <w:rPr>
                <w:szCs w:val="24"/>
                <w:lang w:eastAsia="en-GB"/>
              </w:rPr>
            </w:pPr>
            <w:r>
              <w:rPr>
                <w:szCs w:val="24"/>
                <w:lang w:eastAsia="en-GB"/>
              </w:rPr>
              <w:t>9</w:t>
            </w:r>
          </w:p>
        </w:tc>
        <w:tc>
          <w:tcPr>
            <w:tcW w:w="425" w:type="dxa"/>
            <w:tcBorders>
              <w:bottom w:val="single" w:sz="4" w:space="0" w:color="auto"/>
            </w:tcBorders>
          </w:tcPr>
          <w:p w14:paraId="4F0D0EFD" w14:textId="77777777" w:rsidR="007E1D13" w:rsidRPr="00451D45" w:rsidRDefault="007E1D13" w:rsidP="007E1D13">
            <w:pPr>
              <w:spacing w:before="120" w:after="240" w:line="240" w:lineRule="auto"/>
              <w:jc w:val="right"/>
              <w:rPr>
                <w:szCs w:val="24"/>
                <w:lang w:eastAsia="en-GB"/>
              </w:rPr>
            </w:pPr>
          </w:p>
        </w:tc>
      </w:tr>
      <w:tr w:rsidR="007E1D13" w:rsidRPr="00587039" w14:paraId="5F7B3788" w14:textId="77777777" w:rsidTr="007E1D13">
        <w:trPr>
          <w:trHeight w:val="511"/>
        </w:trPr>
        <w:tc>
          <w:tcPr>
            <w:tcW w:w="817" w:type="dxa"/>
            <w:tcBorders>
              <w:top w:val="single" w:sz="4" w:space="0" w:color="auto"/>
              <w:bottom w:val="single" w:sz="4" w:space="0" w:color="auto"/>
            </w:tcBorders>
            <w:vAlign w:val="center"/>
          </w:tcPr>
          <w:p w14:paraId="2CD1C489" w14:textId="77777777" w:rsidR="007E1D13" w:rsidRPr="00587039" w:rsidRDefault="007E1D13" w:rsidP="007E1D13">
            <w:pPr>
              <w:spacing w:after="0" w:line="240" w:lineRule="auto"/>
              <w:rPr>
                <w:b/>
                <w:szCs w:val="24"/>
                <w:lang w:eastAsia="en-GB"/>
              </w:rPr>
            </w:pPr>
          </w:p>
        </w:tc>
        <w:tc>
          <w:tcPr>
            <w:tcW w:w="3686" w:type="dxa"/>
            <w:tcBorders>
              <w:top w:val="single" w:sz="4" w:space="0" w:color="auto"/>
              <w:bottom w:val="single" w:sz="4" w:space="0" w:color="auto"/>
            </w:tcBorders>
            <w:vAlign w:val="center"/>
          </w:tcPr>
          <w:p w14:paraId="066D7FF5" w14:textId="77777777" w:rsidR="007E1D13" w:rsidRPr="00587039" w:rsidRDefault="007E1D13" w:rsidP="007E1D13">
            <w:pPr>
              <w:spacing w:after="0" w:line="240" w:lineRule="auto"/>
              <w:rPr>
                <w:b/>
                <w:szCs w:val="24"/>
                <w:lang w:eastAsia="en-GB"/>
              </w:rPr>
            </w:pPr>
            <w:r w:rsidRPr="00B23F3D">
              <w:rPr>
                <w:b/>
                <w:szCs w:val="24"/>
                <w:lang w:eastAsia="en-GB"/>
              </w:rPr>
              <w:t xml:space="preserve">Total </w:t>
            </w:r>
          </w:p>
        </w:tc>
        <w:tc>
          <w:tcPr>
            <w:tcW w:w="1464" w:type="dxa"/>
            <w:gridSpan w:val="2"/>
            <w:tcBorders>
              <w:top w:val="single" w:sz="4" w:space="0" w:color="auto"/>
              <w:bottom w:val="single" w:sz="4" w:space="0" w:color="auto"/>
            </w:tcBorders>
            <w:vAlign w:val="center"/>
          </w:tcPr>
          <w:p w14:paraId="31D298B8" w14:textId="77777777" w:rsidR="007E1D13" w:rsidRPr="00587039" w:rsidRDefault="007E1D13" w:rsidP="007E1D13">
            <w:pPr>
              <w:spacing w:after="0" w:line="240" w:lineRule="auto"/>
              <w:jc w:val="right"/>
              <w:rPr>
                <w:b/>
                <w:szCs w:val="24"/>
                <w:lang w:eastAsia="en-GB"/>
              </w:rPr>
            </w:pPr>
            <w:r>
              <w:rPr>
                <w:b/>
                <w:szCs w:val="24"/>
                <w:lang w:eastAsia="en-GB"/>
              </w:rPr>
              <w:t>658</w:t>
            </w:r>
          </w:p>
        </w:tc>
        <w:tc>
          <w:tcPr>
            <w:tcW w:w="1465" w:type="dxa"/>
            <w:gridSpan w:val="2"/>
            <w:tcBorders>
              <w:top w:val="single" w:sz="4" w:space="0" w:color="auto"/>
              <w:bottom w:val="single" w:sz="4" w:space="0" w:color="auto"/>
            </w:tcBorders>
            <w:vAlign w:val="center"/>
          </w:tcPr>
          <w:p w14:paraId="7739A5F4" w14:textId="77777777" w:rsidR="007E1D13" w:rsidRPr="00587039" w:rsidRDefault="007E1D13" w:rsidP="007E1D13">
            <w:pPr>
              <w:spacing w:after="0" w:line="240" w:lineRule="auto"/>
              <w:jc w:val="right"/>
              <w:rPr>
                <w:b/>
                <w:szCs w:val="24"/>
                <w:lang w:eastAsia="en-GB"/>
              </w:rPr>
            </w:pPr>
            <w:r>
              <w:rPr>
                <w:b/>
                <w:szCs w:val="24"/>
                <w:lang w:eastAsia="en-GB"/>
              </w:rPr>
              <w:t xml:space="preserve">100 </w:t>
            </w:r>
            <w:r w:rsidRPr="00C24859">
              <w:rPr>
                <w:b/>
                <w:sz w:val="18"/>
                <w:szCs w:val="24"/>
                <w:lang w:eastAsia="en-GB"/>
              </w:rPr>
              <w:t>%</w:t>
            </w:r>
          </w:p>
        </w:tc>
        <w:tc>
          <w:tcPr>
            <w:tcW w:w="1465" w:type="dxa"/>
            <w:gridSpan w:val="2"/>
            <w:tcBorders>
              <w:top w:val="single" w:sz="4" w:space="0" w:color="auto"/>
              <w:bottom w:val="single" w:sz="4" w:space="0" w:color="auto"/>
            </w:tcBorders>
            <w:vAlign w:val="center"/>
          </w:tcPr>
          <w:p w14:paraId="79A07D0B" w14:textId="77777777" w:rsidR="007E1D13" w:rsidRPr="00587039" w:rsidRDefault="007E1D13" w:rsidP="007E1D13">
            <w:pPr>
              <w:spacing w:after="0" w:line="240" w:lineRule="auto"/>
              <w:jc w:val="right"/>
              <w:rPr>
                <w:b/>
                <w:szCs w:val="24"/>
                <w:lang w:eastAsia="en-GB"/>
              </w:rPr>
            </w:pPr>
          </w:p>
        </w:tc>
        <w:tc>
          <w:tcPr>
            <w:tcW w:w="1464" w:type="dxa"/>
            <w:gridSpan w:val="2"/>
            <w:tcBorders>
              <w:top w:val="single" w:sz="4" w:space="0" w:color="auto"/>
              <w:bottom w:val="single" w:sz="4" w:space="0" w:color="auto"/>
            </w:tcBorders>
            <w:shd w:val="clear" w:color="auto" w:fill="auto"/>
            <w:vAlign w:val="center"/>
          </w:tcPr>
          <w:p w14:paraId="1CEA157F" w14:textId="77777777" w:rsidR="007E1D13" w:rsidRPr="00587039" w:rsidRDefault="007E1D13" w:rsidP="007E1D13">
            <w:pPr>
              <w:spacing w:after="0" w:line="240" w:lineRule="auto"/>
              <w:jc w:val="right"/>
              <w:rPr>
                <w:b/>
                <w:szCs w:val="24"/>
                <w:lang w:eastAsia="en-GB"/>
              </w:rPr>
            </w:pPr>
          </w:p>
        </w:tc>
        <w:tc>
          <w:tcPr>
            <w:tcW w:w="1465" w:type="dxa"/>
            <w:gridSpan w:val="2"/>
            <w:tcBorders>
              <w:top w:val="single" w:sz="4" w:space="0" w:color="auto"/>
              <w:bottom w:val="single" w:sz="4" w:space="0" w:color="auto"/>
            </w:tcBorders>
          </w:tcPr>
          <w:p w14:paraId="5B475E69" w14:textId="77777777" w:rsidR="007E1D13" w:rsidRPr="00587039" w:rsidRDefault="007E1D13" w:rsidP="007E1D13">
            <w:pPr>
              <w:spacing w:after="0" w:line="240" w:lineRule="auto"/>
              <w:jc w:val="right"/>
              <w:rPr>
                <w:b/>
                <w:szCs w:val="24"/>
                <w:lang w:eastAsia="en-GB"/>
              </w:rPr>
            </w:pPr>
          </w:p>
        </w:tc>
        <w:tc>
          <w:tcPr>
            <w:tcW w:w="1465" w:type="dxa"/>
            <w:gridSpan w:val="2"/>
            <w:tcBorders>
              <w:top w:val="single" w:sz="4" w:space="0" w:color="auto"/>
              <w:bottom w:val="single" w:sz="4" w:space="0" w:color="auto"/>
            </w:tcBorders>
          </w:tcPr>
          <w:p w14:paraId="5BFDC19A" w14:textId="77777777" w:rsidR="007E1D13" w:rsidRPr="00587039" w:rsidRDefault="007E1D13" w:rsidP="007E1D13">
            <w:pPr>
              <w:spacing w:after="0" w:line="240" w:lineRule="auto"/>
              <w:jc w:val="right"/>
              <w:rPr>
                <w:b/>
                <w:szCs w:val="24"/>
                <w:lang w:eastAsia="en-GB"/>
              </w:rPr>
            </w:pPr>
          </w:p>
        </w:tc>
        <w:tc>
          <w:tcPr>
            <w:tcW w:w="425" w:type="dxa"/>
            <w:tcBorders>
              <w:top w:val="single" w:sz="4" w:space="0" w:color="auto"/>
              <w:bottom w:val="single" w:sz="4" w:space="0" w:color="auto"/>
            </w:tcBorders>
          </w:tcPr>
          <w:p w14:paraId="30F91A85" w14:textId="77777777" w:rsidR="007E1D13" w:rsidRPr="00587039" w:rsidRDefault="007E1D13" w:rsidP="007E1D13">
            <w:pPr>
              <w:spacing w:after="0" w:line="240" w:lineRule="auto"/>
              <w:jc w:val="right"/>
              <w:rPr>
                <w:b/>
                <w:szCs w:val="24"/>
                <w:lang w:eastAsia="en-GB"/>
              </w:rPr>
            </w:pPr>
          </w:p>
        </w:tc>
      </w:tr>
    </w:tbl>
    <w:p w14:paraId="150E46BC" w14:textId="77777777" w:rsidR="007E1D13" w:rsidRDefault="007E1D13" w:rsidP="007E1D13">
      <w:pPr>
        <w:spacing w:before="120" w:after="0" w:line="259" w:lineRule="auto"/>
        <w:rPr>
          <w:b/>
        </w:rPr>
      </w:pPr>
      <w:r>
        <w:t>Percentage coverage = the number of references expressed as a proportion of the total number statements coded (n=658)</w:t>
      </w:r>
    </w:p>
    <w:p w14:paraId="5FBC441B" w14:textId="77777777" w:rsidR="007E1D13" w:rsidRDefault="007E1D13" w:rsidP="007E1D13"/>
    <w:p w14:paraId="548DA749" w14:textId="77777777" w:rsidR="007E1D13" w:rsidRDefault="007E1D13" w:rsidP="007E1D13">
      <w:pPr>
        <w:sectPr w:rsidR="007E1D13" w:rsidSect="007E1D13">
          <w:headerReference w:type="default" r:id="rId67"/>
          <w:pgSz w:w="16840" w:h="11900" w:orient="landscape"/>
          <w:pgMar w:top="1418" w:right="1418" w:bottom="1418" w:left="1560" w:header="709" w:footer="709" w:gutter="0"/>
          <w:cols w:space="708"/>
          <w:docGrid w:linePitch="360"/>
        </w:sectPr>
      </w:pPr>
    </w:p>
    <w:p w14:paraId="59576F70" w14:textId="390C7692" w:rsidR="007E1D13" w:rsidRPr="004B0B16" w:rsidRDefault="007E1D13" w:rsidP="004B0B16">
      <w:pPr>
        <w:pStyle w:val="TableHeader"/>
        <w:rPr>
          <w:b/>
        </w:rPr>
      </w:pPr>
      <w:bookmarkStart w:id="472" w:name="_Toc9509082"/>
      <w:r w:rsidRPr="004B0B16">
        <w:rPr>
          <w:b/>
        </w:rPr>
        <w:t xml:space="preserve">Table </w:t>
      </w:r>
      <w:r w:rsidR="002375B0" w:rsidRPr="004B0B16">
        <w:rPr>
          <w:b/>
        </w:rPr>
        <w:t>7-</w:t>
      </w:r>
      <w:r w:rsidRPr="004B0B16">
        <w:rPr>
          <w:b/>
        </w:rPr>
        <w:t xml:space="preserve">8 </w:t>
      </w:r>
      <w:r w:rsidRPr="004B0B16">
        <w:rPr>
          <w:b/>
          <w:color w:val="000000"/>
          <w:lang w:eastAsia="en-GB"/>
        </w:rPr>
        <w:t>Statements encouraging use of NPS</w:t>
      </w:r>
      <w:r w:rsidRPr="004B0B16">
        <w:rPr>
          <w:b/>
        </w:rPr>
        <w:t>: Themes identified in the post-ban focus groups ranked by frequency of expression.</w:t>
      </w:r>
      <w:bookmarkEnd w:id="472"/>
    </w:p>
    <w:tbl>
      <w:tblPr>
        <w:tblW w:w="14175" w:type="dxa"/>
        <w:tblLayout w:type="fixed"/>
        <w:tblLook w:val="04A0" w:firstRow="1" w:lastRow="0" w:firstColumn="1" w:lastColumn="0" w:noHBand="0" w:noVBand="1"/>
      </w:tblPr>
      <w:tblGrid>
        <w:gridCol w:w="817"/>
        <w:gridCol w:w="2126"/>
        <w:gridCol w:w="1985"/>
        <w:gridCol w:w="283"/>
        <w:gridCol w:w="993"/>
        <w:gridCol w:w="175"/>
        <w:gridCol w:w="1384"/>
        <w:gridCol w:w="81"/>
        <w:gridCol w:w="1407"/>
        <w:gridCol w:w="58"/>
        <w:gridCol w:w="1430"/>
        <w:gridCol w:w="34"/>
        <w:gridCol w:w="1454"/>
        <w:gridCol w:w="11"/>
        <w:gridCol w:w="1465"/>
        <w:gridCol w:w="13"/>
        <w:gridCol w:w="412"/>
        <w:gridCol w:w="47"/>
      </w:tblGrid>
      <w:tr w:rsidR="00BB0973" w:rsidRPr="00BB0973" w14:paraId="36A1290B" w14:textId="77777777" w:rsidTr="00BB0973">
        <w:trPr>
          <w:trHeight w:val="678"/>
        </w:trPr>
        <w:tc>
          <w:tcPr>
            <w:tcW w:w="817" w:type="dxa"/>
            <w:tcBorders>
              <w:top w:val="single" w:sz="4" w:space="0" w:color="auto"/>
            </w:tcBorders>
          </w:tcPr>
          <w:p w14:paraId="0A5B0650" w14:textId="77777777" w:rsidR="00BB0973" w:rsidRPr="005C395B" w:rsidRDefault="00BB0973" w:rsidP="007E1D13">
            <w:pPr>
              <w:spacing w:before="120" w:after="120" w:line="240" w:lineRule="auto"/>
              <w:rPr>
                <w:b/>
                <w:color w:val="000000"/>
                <w:szCs w:val="24"/>
                <w:lang w:eastAsia="en-GB"/>
              </w:rPr>
            </w:pPr>
          </w:p>
        </w:tc>
        <w:tc>
          <w:tcPr>
            <w:tcW w:w="4111" w:type="dxa"/>
            <w:gridSpan w:val="2"/>
            <w:tcBorders>
              <w:top w:val="single" w:sz="4" w:space="0" w:color="auto"/>
            </w:tcBorders>
          </w:tcPr>
          <w:p w14:paraId="610DF0BE" w14:textId="1EA74F21" w:rsidR="00BB0973" w:rsidRPr="005C395B" w:rsidRDefault="00BB0973" w:rsidP="007E1D13">
            <w:pPr>
              <w:spacing w:before="120" w:after="120" w:line="240" w:lineRule="auto"/>
              <w:rPr>
                <w:b/>
                <w:color w:val="000000"/>
                <w:szCs w:val="24"/>
                <w:lang w:eastAsia="en-GB"/>
              </w:rPr>
            </w:pPr>
          </w:p>
        </w:tc>
        <w:tc>
          <w:tcPr>
            <w:tcW w:w="1276" w:type="dxa"/>
            <w:gridSpan w:val="2"/>
            <w:tcBorders>
              <w:top w:val="single" w:sz="4" w:space="0" w:color="auto"/>
            </w:tcBorders>
          </w:tcPr>
          <w:p w14:paraId="6ED9A660" w14:textId="77777777" w:rsidR="00BB0973" w:rsidRPr="00BB0973" w:rsidRDefault="00BB0973" w:rsidP="00BB0973">
            <w:pPr>
              <w:spacing w:before="120" w:after="120" w:line="240" w:lineRule="auto"/>
              <w:rPr>
                <w:b/>
                <w:color w:val="000000"/>
                <w:szCs w:val="24"/>
                <w:lang w:eastAsia="en-GB"/>
              </w:rPr>
            </w:pPr>
          </w:p>
        </w:tc>
        <w:tc>
          <w:tcPr>
            <w:tcW w:w="1559" w:type="dxa"/>
            <w:gridSpan w:val="2"/>
            <w:tcBorders>
              <w:top w:val="single" w:sz="4" w:space="0" w:color="auto"/>
            </w:tcBorders>
          </w:tcPr>
          <w:p w14:paraId="2ED0ACA8" w14:textId="77777777" w:rsidR="00BB0973" w:rsidRPr="00BB0973" w:rsidRDefault="00BB0973" w:rsidP="00BB0973">
            <w:pPr>
              <w:spacing w:before="120" w:after="120" w:line="240" w:lineRule="auto"/>
              <w:rPr>
                <w:b/>
                <w:color w:val="000000"/>
                <w:szCs w:val="24"/>
                <w:lang w:eastAsia="en-GB"/>
              </w:rPr>
            </w:pPr>
          </w:p>
        </w:tc>
        <w:tc>
          <w:tcPr>
            <w:tcW w:w="1488" w:type="dxa"/>
            <w:gridSpan w:val="2"/>
            <w:tcBorders>
              <w:top w:val="single" w:sz="4" w:space="0" w:color="auto"/>
              <w:bottom w:val="single" w:sz="4" w:space="0" w:color="auto"/>
            </w:tcBorders>
          </w:tcPr>
          <w:p w14:paraId="167C8592"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Difference references</w:t>
            </w:r>
          </w:p>
        </w:tc>
        <w:tc>
          <w:tcPr>
            <w:tcW w:w="1488" w:type="dxa"/>
            <w:gridSpan w:val="2"/>
            <w:tcBorders>
              <w:top w:val="single" w:sz="4" w:space="0" w:color="auto"/>
              <w:bottom w:val="single" w:sz="4" w:space="0" w:color="auto"/>
            </w:tcBorders>
            <w:shd w:val="clear" w:color="auto" w:fill="auto"/>
          </w:tcPr>
          <w:p w14:paraId="421CF207"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Difference  rank</w:t>
            </w:r>
          </w:p>
        </w:tc>
        <w:tc>
          <w:tcPr>
            <w:tcW w:w="1488" w:type="dxa"/>
            <w:gridSpan w:val="2"/>
            <w:tcBorders>
              <w:top w:val="single" w:sz="4" w:space="0" w:color="auto"/>
              <w:bottom w:val="single" w:sz="4" w:space="0" w:color="auto"/>
            </w:tcBorders>
          </w:tcPr>
          <w:p w14:paraId="6B7DD506"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Difference  No beliefs</w:t>
            </w:r>
          </w:p>
        </w:tc>
        <w:tc>
          <w:tcPr>
            <w:tcW w:w="1948" w:type="dxa"/>
            <w:gridSpan w:val="5"/>
            <w:tcBorders>
              <w:top w:val="single" w:sz="4" w:space="0" w:color="auto"/>
              <w:bottom w:val="single" w:sz="4" w:space="0" w:color="auto"/>
            </w:tcBorders>
          </w:tcPr>
          <w:p w14:paraId="55624941"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Difference score</w:t>
            </w:r>
          </w:p>
        </w:tc>
      </w:tr>
      <w:tr w:rsidR="00BB0973" w:rsidRPr="00BB0973" w14:paraId="6FE8492F" w14:textId="77777777" w:rsidTr="00BB0973">
        <w:trPr>
          <w:gridAfter w:val="2"/>
          <w:wAfter w:w="459" w:type="dxa"/>
          <w:trHeight w:val="96"/>
        </w:trPr>
        <w:tc>
          <w:tcPr>
            <w:tcW w:w="817" w:type="dxa"/>
            <w:tcBorders>
              <w:bottom w:val="single" w:sz="4" w:space="0" w:color="auto"/>
            </w:tcBorders>
          </w:tcPr>
          <w:p w14:paraId="5FB04A16" w14:textId="77777777" w:rsidR="00BB0973" w:rsidRPr="00BB0973" w:rsidRDefault="00BB0973" w:rsidP="00BB0973">
            <w:pPr>
              <w:spacing w:before="120" w:after="120" w:line="240" w:lineRule="auto"/>
              <w:rPr>
                <w:b/>
                <w:color w:val="000000"/>
                <w:szCs w:val="24"/>
                <w:lang w:eastAsia="en-GB"/>
              </w:rPr>
            </w:pPr>
            <w:r w:rsidRPr="005C395B">
              <w:rPr>
                <w:b/>
                <w:color w:val="000000"/>
                <w:szCs w:val="24"/>
                <w:lang w:eastAsia="en-GB"/>
              </w:rPr>
              <w:t>Rank</w:t>
            </w:r>
          </w:p>
        </w:tc>
        <w:tc>
          <w:tcPr>
            <w:tcW w:w="4111" w:type="dxa"/>
            <w:gridSpan w:val="2"/>
            <w:tcBorders>
              <w:bottom w:val="single" w:sz="4" w:space="0" w:color="auto"/>
            </w:tcBorders>
          </w:tcPr>
          <w:p w14:paraId="09170596" w14:textId="18A1372D" w:rsidR="00BB0973" w:rsidRPr="00BB0973" w:rsidRDefault="00BB0973" w:rsidP="00BB0973">
            <w:pPr>
              <w:spacing w:before="120" w:after="120" w:line="240" w:lineRule="auto"/>
              <w:rPr>
                <w:b/>
                <w:color w:val="000000"/>
                <w:szCs w:val="24"/>
                <w:lang w:eastAsia="en-GB"/>
              </w:rPr>
            </w:pPr>
            <w:r w:rsidRPr="005C395B">
              <w:rPr>
                <w:b/>
                <w:color w:val="000000"/>
                <w:szCs w:val="24"/>
                <w:lang w:eastAsia="en-GB"/>
              </w:rPr>
              <w:t>Theme</w:t>
            </w:r>
            <w:r>
              <w:rPr>
                <w:b/>
                <w:color w:val="000000"/>
                <w:szCs w:val="24"/>
                <w:lang w:eastAsia="en-GB"/>
              </w:rPr>
              <w:t xml:space="preserve"> / description</w:t>
            </w:r>
          </w:p>
        </w:tc>
        <w:tc>
          <w:tcPr>
            <w:tcW w:w="1276" w:type="dxa"/>
            <w:gridSpan w:val="2"/>
            <w:tcBorders>
              <w:bottom w:val="single" w:sz="4" w:space="0" w:color="auto"/>
            </w:tcBorders>
          </w:tcPr>
          <w:p w14:paraId="533E0BEE"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Number of references</w:t>
            </w:r>
          </w:p>
        </w:tc>
        <w:tc>
          <w:tcPr>
            <w:tcW w:w="1559" w:type="dxa"/>
            <w:gridSpan w:val="2"/>
            <w:tcBorders>
              <w:bottom w:val="single" w:sz="4" w:space="0" w:color="auto"/>
            </w:tcBorders>
          </w:tcPr>
          <w:p w14:paraId="0E5C8B65"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Percentage coverage</w:t>
            </w:r>
          </w:p>
        </w:tc>
        <w:tc>
          <w:tcPr>
            <w:tcW w:w="1488" w:type="dxa"/>
            <w:gridSpan w:val="2"/>
            <w:tcBorders>
              <w:top w:val="single" w:sz="4" w:space="0" w:color="auto"/>
              <w:bottom w:val="single" w:sz="4" w:space="0" w:color="auto"/>
            </w:tcBorders>
            <w:vAlign w:val="center"/>
          </w:tcPr>
          <w:p w14:paraId="0F5C64AE" w14:textId="77777777" w:rsidR="00BB0973" w:rsidRPr="00BB0973" w:rsidRDefault="00BB0973" w:rsidP="00BB0973">
            <w:pPr>
              <w:spacing w:before="120" w:after="120" w:line="240" w:lineRule="auto"/>
              <w:rPr>
                <w:b/>
                <w:color w:val="000000"/>
                <w:szCs w:val="24"/>
                <w:lang w:eastAsia="en-GB"/>
              </w:rPr>
            </w:pPr>
          </w:p>
        </w:tc>
        <w:tc>
          <w:tcPr>
            <w:tcW w:w="1488" w:type="dxa"/>
            <w:gridSpan w:val="2"/>
            <w:tcBorders>
              <w:top w:val="single" w:sz="4" w:space="0" w:color="auto"/>
              <w:bottom w:val="single" w:sz="4" w:space="0" w:color="auto"/>
            </w:tcBorders>
            <w:shd w:val="clear" w:color="auto" w:fill="auto"/>
            <w:vAlign w:val="center"/>
          </w:tcPr>
          <w:p w14:paraId="668F2985" w14:textId="77777777" w:rsidR="00BB0973" w:rsidRPr="00BB0973" w:rsidRDefault="00BB0973" w:rsidP="00BB0973">
            <w:pPr>
              <w:spacing w:before="120" w:after="120" w:line="240" w:lineRule="auto"/>
              <w:rPr>
                <w:b/>
                <w:color w:val="000000"/>
                <w:szCs w:val="24"/>
                <w:lang w:eastAsia="en-GB"/>
              </w:rPr>
            </w:pPr>
          </w:p>
        </w:tc>
        <w:tc>
          <w:tcPr>
            <w:tcW w:w="1488" w:type="dxa"/>
            <w:gridSpan w:val="2"/>
            <w:tcBorders>
              <w:top w:val="single" w:sz="4" w:space="0" w:color="auto"/>
              <w:bottom w:val="single" w:sz="4" w:space="0" w:color="auto"/>
            </w:tcBorders>
            <w:vAlign w:val="center"/>
          </w:tcPr>
          <w:p w14:paraId="1D38CA01" w14:textId="77777777" w:rsidR="00BB0973" w:rsidRPr="00BB0973" w:rsidRDefault="00BB0973" w:rsidP="00BB0973">
            <w:pPr>
              <w:spacing w:before="120" w:after="120" w:line="240" w:lineRule="auto"/>
              <w:rPr>
                <w:b/>
                <w:color w:val="000000"/>
                <w:szCs w:val="24"/>
                <w:lang w:eastAsia="en-GB"/>
              </w:rPr>
            </w:pPr>
          </w:p>
        </w:tc>
        <w:tc>
          <w:tcPr>
            <w:tcW w:w="1489" w:type="dxa"/>
            <w:gridSpan w:val="3"/>
            <w:tcBorders>
              <w:top w:val="single" w:sz="4" w:space="0" w:color="auto"/>
              <w:bottom w:val="single" w:sz="4" w:space="0" w:color="auto"/>
            </w:tcBorders>
            <w:vAlign w:val="center"/>
          </w:tcPr>
          <w:p w14:paraId="26AA576A"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Rank</w:t>
            </w:r>
          </w:p>
        </w:tc>
      </w:tr>
      <w:tr w:rsidR="00BB0973" w:rsidRPr="00BB0973" w14:paraId="3C0B878A" w14:textId="77777777" w:rsidTr="00BB0973">
        <w:trPr>
          <w:gridAfter w:val="1"/>
          <w:wAfter w:w="47" w:type="dxa"/>
          <w:trHeight w:val="359"/>
        </w:trPr>
        <w:tc>
          <w:tcPr>
            <w:tcW w:w="817" w:type="dxa"/>
            <w:tcBorders>
              <w:top w:val="single" w:sz="4" w:space="0" w:color="auto"/>
            </w:tcBorders>
            <w:vAlign w:val="center"/>
          </w:tcPr>
          <w:p w14:paraId="3D4C7B72"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1.</w:t>
            </w:r>
          </w:p>
        </w:tc>
        <w:tc>
          <w:tcPr>
            <w:tcW w:w="2126" w:type="dxa"/>
            <w:tcBorders>
              <w:top w:val="single" w:sz="4" w:space="0" w:color="auto"/>
            </w:tcBorders>
            <w:vAlign w:val="center"/>
          </w:tcPr>
          <w:p w14:paraId="3A28A97E" w14:textId="3C08EB9B" w:rsidR="00BB0973" w:rsidRPr="002952B8" w:rsidRDefault="00BB0973" w:rsidP="00BB0973">
            <w:pPr>
              <w:spacing w:before="120" w:after="120" w:line="240" w:lineRule="auto"/>
              <w:rPr>
                <w:b/>
                <w:color w:val="000000"/>
                <w:szCs w:val="24"/>
                <w:lang w:eastAsia="en-GB"/>
              </w:rPr>
            </w:pPr>
            <w:r w:rsidRPr="002952B8">
              <w:rPr>
                <w:b/>
                <w:color w:val="000000"/>
                <w:szCs w:val="24"/>
                <w:lang w:eastAsia="en-GB"/>
              </w:rPr>
              <w:t xml:space="preserve">Coping </w:t>
            </w:r>
          </w:p>
        </w:tc>
        <w:tc>
          <w:tcPr>
            <w:tcW w:w="2268" w:type="dxa"/>
            <w:gridSpan w:val="2"/>
            <w:tcBorders>
              <w:top w:val="single" w:sz="4" w:space="0" w:color="auto"/>
            </w:tcBorders>
            <w:vAlign w:val="center"/>
          </w:tcPr>
          <w:p w14:paraId="44FB21E3" w14:textId="77777777" w:rsidR="00BB0973" w:rsidRPr="00FA6445" w:rsidRDefault="00BB0973" w:rsidP="00BB0973">
            <w:pPr>
              <w:spacing w:before="120" w:after="120" w:line="240" w:lineRule="auto"/>
              <w:rPr>
                <w:color w:val="000000"/>
                <w:szCs w:val="24"/>
                <w:lang w:eastAsia="en-GB"/>
              </w:rPr>
            </w:pPr>
          </w:p>
        </w:tc>
        <w:tc>
          <w:tcPr>
            <w:tcW w:w="1168" w:type="dxa"/>
            <w:gridSpan w:val="2"/>
            <w:tcBorders>
              <w:top w:val="single" w:sz="4" w:space="0" w:color="auto"/>
            </w:tcBorders>
            <w:vAlign w:val="center"/>
          </w:tcPr>
          <w:p w14:paraId="714FD681"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78</w:t>
            </w:r>
          </w:p>
        </w:tc>
        <w:tc>
          <w:tcPr>
            <w:tcW w:w="1465" w:type="dxa"/>
            <w:gridSpan w:val="2"/>
            <w:tcBorders>
              <w:top w:val="single" w:sz="4" w:space="0" w:color="auto"/>
            </w:tcBorders>
            <w:vAlign w:val="center"/>
          </w:tcPr>
          <w:p w14:paraId="1EE51949"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12 %</w:t>
            </w:r>
          </w:p>
        </w:tc>
        <w:tc>
          <w:tcPr>
            <w:tcW w:w="1465" w:type="dxa"/>
            <w:gridSpan w:val="2"/>
            <w:tcBorders>
              <w:top w:val="single" w:sz="4" w:space="0" w:color="auto"/>
            </w:tcBorders>
            <w:vAlign w:val="center"/>
          </w:tcPr>
          <w:p w14:paraId="5607DA4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+ 56</w:t>
            </w:r>
          </w:p>
        </w:tc>
        <w:tc>
          <w:tcPr>
            <w:tcW w:w="1464" w:type="dxa"/>
            <w:gridSpan w:val="2"/>
            <w:tcBorders>
              <w:top w:val="single" w:sz="4" w:space="0" w:color="auto"/>
            </w:tcBorders>
            <w:shd w:val="clear" w:color="auto" w:fill="auto"/>
            <w:vAlign w:val="center"/>
          </w:tcPr>
          <w:p w14:paraId="064D26E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+ 8</w:t>
            </w:r>
          </w:p>
        </w:tc>
        <w:tc>
          <w:tcPr>
            <w:tcW w:w="1465" w:type="dxa"/>
            <w:gridSpan w:val="2"/>
            <w:tcBorders>
              <w:top w:val="single" w:sz="4" w:space="0" w:color="auto"/>
            </w:tcBorders>
            <w:vAlign w:val="center"/>
          </w:tcPr>
          <w:p w14:paraId="58D9B78B"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tcBorders>
              <w:top w:val="single" w:sz="4" w:space="0" w:color="auto"/>
            </w:tcBorders>
          </w:tcPr>
          <w:p w14:paraId="33632A9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w:t>
            </w:r>
          </w:p>
        </w:tc>
        <w:tc>
          <w:tcPr>
            <w:tcW w:w="425" w:type="dxa"/>
            <w:gridSpan w:val="2"/>
            <w:tcBorders>
              <w:top w:val="single" w:sz="4" w:space="0" w:color="auto"/>
            </w:tcBorders>
          </w:tcPr>
          <w:p w14:paraId="7E6677B6" w14:textId="77777777" w:rsidR="00BB0973" w:rsidRPr="00FA6445" w:rsidRDefault="00BB0973" w:rsidP="00BB0973">
            <w:pPr>
              <w:spacing w:before="120" w:after="120" w:line="240" w:lineRule="auto"/>
              <w:rPr>
                <w:color w:val="000000"/>
                <w:szCs w:val="24"/>
                <w:lang w:eastAsia="en-GB"/>
              </w:rPr>
            </w:pPr>
          </w:p>
        </w:tc>
      </w:tr>
      <w:tr w:rsidR="00BB0973" w:rsidRPr="00BB0973" w14:paraId="0795F659" w14:textId="77777777" w:rsidTr="00BB0973">
        <w:trPr>
          <w:gridAfter w:val="1"/>
          <w:wAfter w:w="47" w:type="dxa"/>
          <w:trHeight w:val="359"/>
        </w:trPr>
        <w:tc>
          <w:tcPr>
            <w:tcW w:w="817" w:type="dxa"/>
            <w:vAlign w:val="center"/>
          </w:tcPr>
          <w:p w14:paraId="215B8DE1"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2.</w:t>
            </w:r>
          </w:p>
        </w:tc>
        <w:tc>
          <w:tcPr>
            <w:tcW w:w="2126" w:type="dxa"/>
            <w:vAlign w:val="center"/>
          </w:tcPr>
          <w:p w14:paraId="505EB4EC" w14:textId="5E9156E4"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 xml:space="preserve">Social influences </w:t>
            </w:r>
          </w:p>
        </w:tc>
        <w:tc>
          <w:tcPr>
            <w:tcW w:w="2268" w:type="dxa"/>
            <w:gridSpan w:val="2"/>
            <w:vAlign w:val="center"/>
          </w:tcPr>
          <w:p w14:paraId="5C4FA6D0"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Peer approval</w:t>
            </w:r>
          </w:p>
        </w:tc>
        <w:tc>
          <w:tcPr>
            <w:tcW w:w="1168" w:type="dxa"/>
            <w:gridSpan w:val="2"/>
            <w:vAlign w:val="center"/>
          </w:tcPr>
          <w:p w14:paraId="76BF54A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66</w:t>
            </w:r>
          </w:p>
        </w:tc>
        <w:tc>
          <w:tcPr>
            <w:tcW w:w="1465" w:type="dxa"/>
            <w:gridSpan w:val="2"/>
            <w:vAlign w:val="center"/>
          </w:tcPr>
          <w:p w14:paraId="252045E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10 %</w:t>
            </w:r>
          </w:p>
        </w:tc>
        <w:tc>
          <w:tcPr>
            <w:tcW w:w="1465" w:type="dxa"/>
            <w:gridSpan w:val="2"/>
            <w:vAlign w:val="center"/>
          </w:tcPr>
          <w:p w14:paraId="62261BF6"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+ 33</w:t>
            </w:r>
          </w:p>
        </w:tc>
        <w:tc>
          <w:tcPr>
            <w:tcW w:w="1464" w:type="dxa"/>
            <w:gridSpan w:val="2"/>
            <w:shd w:val="clear" w:color="auto" w:fill="auto"/>
            <w:vAlign w:val="center"/>
          </w:tcPr>
          <w:p w14:paraId="6B0B87ED"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w:t>
            </w:r>
          </w:p>
        </w:tc>
        <w:tc>
          <w:tcPr>
            <w:tcW w:w="1465" w:type="dxa"/>
            <w:gridSpan w:val="2"/>
            <w:vAlign w:val="center"/>
          </w:tcPr>
          <w:p w14:paraId="346A8DF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tcPr>
          <w:p w14:paraId="76D4910B"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4</w:t>
            </w:r>
          </w:p>
        </w:tc>
        <w:tc>
          <w:tcPr>
            <w:tcW w:w="425" w:type="dxa"/>
            <w:gridSpan w:val="2"/>
          </w:tcPr>
          <w:p w14:paraId="53CD572B" w14:textId="77777777" w:rsidR="00BB0973" w:rsidRPr="00FA6445" w:rsidRDefault="00BB0973" w:rsidP="00BB0973">
            <w:pPr>
              <w:spacing w:before="120" w:after="120" w:line="240" w:lineRule="auto"/>
              <w:rPr>
                <w:color w:val="000000"/>
                <w:szCs w:val="24"/>
                <w:lang w:eastAsia="en-GB"/>
              </w:rPr>
            </w:pPr>
          </w:p>
        </w:tc>
      </w:tr>
      <w:tr w:rsidR="00BB0973" w:rsidRPr="00BB0973" w14:paraId="0360DBAC" w14:textId="77777777" w:rsidTr="00BB0973">
        <w:trPr>
          <w:gridAfter w:val="1"/>
          <w:wAfter w:w="47" w:type="dxa"/>
          <w:trHeight w:val="359"/>
        </w:trPr>
        <w:tc>
          <w:tcPr>
            <w:tcW w:w="817" w:type="dxa"/>
            <w:vAlign w:val="center"/>
          </w:tcPr>
          <w:p w14:paraId="1F187320"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3.</w:t>
            </w:r>
          </w:p>
        </w:tc>
        <w:tc>
          <w:tcPr>
            <w:tcW w:w="2126" w:type="dxa"/>
            <w:vAlign w:val="center"/>
          </w:tcPr>
          <w:p w14:paraId="08054E59" w14:textId="2E2817E1"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 xml:space="preserve">Risk perception </w:t>
            </w:r>
          </w:p>
        </w:tc>
        <w:tc>
          <w:tcPr>
            <w:tcW w:w="2268" w:type="dxa"/>
            <w:gridSpan w:val="2"/>
            <w:vAlign w:val="center"/>
          </w:tcPr>
          <w:p w14:paraId="4E9B56E4"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Safety</w:t>
            </w:r>
          </w:p>
        </w:tc>
        <w:tc>
          <w:tcPr>
            <w:tcW w:w="1168" w:type="dxa"/>
            <w:gridSpan w:val="2"/>
            <w:vAlign w:val="center"/>
          </w:tcPr>
          <w:p w14:paraId="3861494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57</w:t>
            </w:r>
          </w:p>
        </w:tc>
        <w:tc>
          <w:tcPr>
            <w:tcW w:w="1465" w:type="dxa"/>
            <w:gridSpan w:val="2"/>
            <w:vAlign w:val="center"/>
          </w:tcPr>
          <w:p w14:paraId="0744606B"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9 %</w:t>
            </w:r>
          </w:p>
        </w:tc>
        <w:tc>
          <w:tcPr>
            <w:tcW w:w="1465" w:type="dxa"/>
            <w:gridSpan w:val="2"/>
            <w:vAlign w:val="center"/>
          </w:tcPr>
          <w:p w14:paraId="65338A8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+ 3</w:t>
            </w:r>
          </w:p>
        </w:tc>
        <w:tc>
          <w:tcPr>
            <w:tcW w:w="1464" w:type="dxa"/>
            <w:gridSpan w:val="2"/>
            <w:shd w:val="clear" w:color="auto" w:fill="auto"/>
            <w:vAlign w:val="center"/>
          </w:tcPr>
          <w:p w14:paraId="0555B2CA"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gridSpan w:val="2"/>
            <w:vAlign w:val="center"/>
          </w:tcPr>
          <w:p w14:paraId="43B891C6"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tcPr>
          <w:p w14:paraId="1ABD411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10</w:t>
            </w:r>
          </w:p>
        </w:tc>
        <w:tc>
          <w:tcPr>
            <w:tcW w:w="425" w:type="dxa"/>
            <w:gridSpan w:val="2"/>
          </w:tcPr>
          <w:p w14:paraId="69768889" w14:textId="77777777" w:rsidR="00BB0973" w:rsidRPr="00FA6445" w:rsidRDefault="00BB0973" w:rsidP="00BB0973">
            <w:pPr>
              <w:spacing w:before="120" w:after="120" w:line="240" w:lineRule="auto"/>
              <w:rPr>
                <w:color w:val="000000"/>
                <w:szCs w:val="24"/>
                <w:lang w:eastAsia="en-GB"/>
              </w:rPr>
            </w:pPr>
          </w:p>
        </w:tc>
      </w:tr>
      <w:tr w:rsidR="00BB0973" w:rsidRPr="00BB0973" w14:paraId="61E2985C" w14:textId="77777777" w:rsidTr="00BB0973">
        <w:trPr>
          <w:gridAfter w:val="1"/>
          <w:wAfter w:w="47" w:type="dxa"/>
          <w:trHeight w:val="359"/>
        </w:trPr>
        <w:tc>
          <w:tcPr>
            <w:tcW w:w="817" w:type="dxa"/>
            <w:vAlign w:val="center"/>
          </w:tcPr>
          <w:p w14:paraId="35D7F82D"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4.</w:t>
            </w:r>
          </w:p>
        </w:tc>
        <w:tc>
          <w:tcPr>
            <w:tcW w:w="2126" w:type="dxa"/>
            <w:vAlign w:val="center"/>
          </w:tcPr>
          <w:p w14:paraId="3958B402" w14:textId="60D8602A"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 xml:space="preserve">Legal status </w:t>
            </w:r>
          </w:p>
        </w:tc>
        <w:tc>
          <w:tcPr>
            <w:tcW w:w="2268" w:type="dxa"/>
            <w:gridSpan w:val="2"/>
            <w:vAlign w:val="center"/>
          </w:tcPr>
          <w:p w14:paraId="1AFE8C84"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Legal</w:t>
            </w:r>
          </w:p>
        </w:tc>
        <w:tc>
          <w:tcPr>
            <w:tcW w:w="1168" w:type="dxa"/>
            <w:gridSpan w:val="2"/>
            <w:vAlign w:val="center"/>
          </w:tcPr>
          <w:p w14:paraId="32616AF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38</w:t>
            </w:r>
          </w:p>
        </w:tc>
        <w:tc>
          <w:tcPr>
            <w:tcW w:w="1465" w:type="dxa"/>
            <w:gridSpan w:val="2"/>
            <w:vAlign w:val="center"/>
          </w:tcPr>
          <w:p w14:paraId="5E5226E1"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6 %</w:t>
            </w:r>
          </w:p>
        </w:tc>
        <w:tc>
          <w:tcPr>
            <w:tcW w:w="1465" w:type="dxa"/>
            <w:gridSpan w:val="2"/>
            <w:vAlign w:val="center"/>
          </w:tcPr>
          <w:p w14:paraId="10AA5DB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- 22</w:t>
            </w:r>
          </w:p>
        </w:tc>
        <w:tc>
          <w:tcPr>
            <w:tcW w:w="1464" w:type="dxa"/>
            <w:gridSpan w:val="2"/>
            <w:shd w:val="clear" w:color="auto" w:fill="auto"/>
            <w:vAlign w:val="center"/>
          </w:tcPr>
          <w:p w14:paraId="72D9A5AB"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- 2</w:t>
            </w:r>
          </w:p>
        </w:tc>
        <w:tc>
          <w:tcPr>
            <w:tcW w:w="1465" w:type="dxa"/>
            <w:gridSpan w:val="2"/>
            <w:vAlign w:val="center"/>
          </w:tcPr>
          <w:p w14:paraId="22B584D0"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w:t>
            </w:r>
          </w:p>
        </w:tc>
        <w:tc>
          <w:tcPr>
            <w:tcW w:w="1465" w:type="dxa"/>
          </w:tcPr>
          <w:p w14:paraId="28B4E46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7</w:t>
            </w:r>
          </w:p>
        </w:tc>
        <w:tc>
          <w:tcPr>
            <w:tcW w:w="425" w:type="dxa"/>
            <w:gridSpan w:val="2"/>
          </w:tcPr>
          <w:p w14:paraId="3EABDA4D" w14:textId="77777777" w:rsidR="00BB0973" w:rsidRPr="00FA6445" w:rsidRDefault="00BB0973" w:rsidP="00BB0973">
            <w:pPr>
              <w:spacing w:before="120" w:after="120" w:line="240" w:lineRule="auto"/>
              <w:rPr>
                <w:color w:val="000000"/>
                <w:szCs w:val="24"/>
                <w:lang w:eastAsia="en-GB"/>
              </w:rPr>
            </w:pPr>
          </w:p>
        </w:tc>
      </w:tr>
      <w:tr w:rsidR="00BB0973" w:rsidRPr="00BB0973" w14:paraId="3E3D515A" w14:textId="77777777" w:rsidTr="00BB0973">
        <w:trPr>
          <w:gridAfter w:val="1"/>
          <w:wAfter w:w="47" w:type="dxa"/>
          <w:trHeight w:val="359"/>
        </w:trPr>
        <w:tc>
          <w:tcPr>
            <w:tcW w:w="817" w:type="dxa"/>
            <w:vAlign w:val="center"/>
          </w:tcPr>
          <w:p w14:paraId="4CFBD9D6"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5.</w:t>
            </w:r>
          </w:p>
        </w:tc>
        <w:tc>
          <w:tcPr>
            <w:tcW w:w="2126" w:type="dxa"/>
            <w:vAlign w:val="center"/>
          </w:tcPr>
          <w:p w14:paraId="74E0CD77" w14:textId="342080E8" w:rsidR="00BB0973" w:rsidRPr="00BB0973" w:rsidRDefault="00BB0973" w:rsidP="007E1D13">
            <w:pPr>
              <w:spacing w:before="120" w:after="120" w:line="240" w:lineRule="auto"/>
              <w:rPr>
                <w:b/>
                <w:color w:val="000000"/>
                <w:szCs w:val="24"/>
                <w:lang w:eastAsia="en-GB"/>
              </w:rPr>
            </w:pPr>
            <w:r w:rsidRPr="002952B8">
              <w:rPr>
                <w:b/>
                <w:color w:val="000000"/>
                <w:szCs w:val="24"/>
                <w:lang w:eastAsia="en-GB"/>
              </w:rPr>
              <w:t>Accessibility</w:t>
            </w:r>
            <w:r w:rsidRPr="00BB0973">
              <w:rPr>
                <w:b/>
                <w:color w:val="000000"/>
                <w:szCs w:val="24"/>
                <w:lang w:eastAsia="en-GB"/>
              </w:rPr>
              <w:t xml:space="preserve"> </w:t>
            </w:r>
          </w:p>
        </w:tc>
        <w:tc>
          <w:tcPr>
            <w:tcW w:w="2268" w:type="dxa"/>
            <w:gridSpan w:val="2"/>
            <w:vAlign w:val="center"/>
          </w:tcPr>
          <w:p w14:paraId="6F374F8E"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 xml:space="preserve">Easy  </w:t>
            </w:r>
          </w:p>
        </w:tc>
        <w:tc>
          <w:tcPr>
            <w:tcW w:w="1168" w:type="dxa"/>
            <w:gridSpan w:val="2"/>
            <w:vAlign w:val="center"/>
          </w:tcPr>
          <w:p w14:paraId="37F3E83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32</w:t>
            </w:r>
          </w:p>
        </w:tc>
        <w:tc>
          <w:tcPr>
            <w:tcW w:w="1465" w:type="dxa"/>
            <w:gridSpan w:val="2"/>
            <w:vAlign w:val="center"/>
          </w:tcPr>
          <w:p w14:paraId="2320093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5 %</w:t>
            </w:r>
          </w:p>
        </w:tc>
        <w:tc>
          <w:tcPr>
            <w:tcW w:w="1465" w:type="dxa"/>
            <w:gridSpan w:val="2"/>
            <w:vAlign w:val="center"/>
          </w:tcPr>
          <w:p w14:paraId="1F0DE277"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- 43</w:t>
            </w:r>
          </w:p>
        </w:tc>
        <w:tc>
          <w:tcPr>
            <w:tcW w:w="1464" w:type="dxa"/>
            <w:gridSpan w:val="2"/>
            <w:shd w:val="clear" w:color="auto" w:fill="auto"/>
            <w:vAlign w:val="center"/>
          </w:tcPr>
          <w:p w14:paraId="72B5A926"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w:t>
            </w:r>
          </w:p>
        </w:tc>
        <w:tc>
          <w:tcPr>
            <w:tcW w:w="1465" w:type="dxa"/>
            <w:gridSpan w:val="2"/>
            <w:vAlign w:val="center"/>
          </w:tcPr>
          <w:p w14:paraId="3E27004E"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w:t>
            </w:r>
          </w:p>
        </w:tc>
        <w:tc>
          <w:tcPr>
            <w:tcW w:w="1465" w:type="dxa"/>
          </w:tcPr>
          <w:p w14:paraId="7943809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w:t>
            </w:r>
          </w:p>
        </w:tc>
        <w:tc>
          <w:tcPr>
            <w:tcW w:w="425" w:type="dxa"/>
            <w:gridSpan w:val="2"/>
          </w:tcPr>
          <w:p w14:paraId="2DA8C293" w14:textId="77777777" w:rsidR="00BB0973" w:rsidRPr="00FA6445" w:rsidRDefault="00BB0973" w:rsidP="00BB0973">
            <w:pPr>
              <w:spacing w:before="120" w:after="120" w:line="240" w:lineRule="auto"/>
              <w:rPr>
                <w:color w:val="000000"/>
                <w:szCs w:val="24"/>
                <w:lang w:eastAsia="en-GB"/>
              </w:rPr>
            </w:pPr>
          </w:p>
        </w:tc>
      </w:tr>
      <w:tr w:rsidR="00BB0973" w:rsidRPr="00BB0973" w14:paraId="03350E03" w14:textId="77777777" w:rsidTr="00BB0973">
        <w:trPr>
          <w:gridAfter w:val="1"/>
          <w:wAfter w:w="47" w:type="dxa"/>
          <w:trHeight w:val="359"/>
        </w:trPr>
        <w:tc>
          <w:tcPr>
            <w:tcW w:w="817" w:type="dxa"/>
            <w:vAlign w:val="center"/>
          </w:tcPr>
          <w:p w14:paraId="5166BC44"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6.</w:t>
            </w:r>
          </w:p>
        </w:tc>
        <w:tc>
          <w:tcPr>
            <w:tcW w:w="2126" w:type="dxa"/>
            <w:vAlign w:val="center"/>
          </w:tcPr>
          <w:p w14:paraId="6D515CFC" w14:textId="7721709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 xml:space="preserve">Substitution </w:t>
            </w:r>
          </w:p>
        </w:tc>
        <w:tc>
          <w:tcPr>
            <w:tcW w:w="2268" w:type="dxa"/>
            <w:gridSpan w:val="2"/>
            <w:vAlign w:val="center"/>
          </w:tcPr>
          <w:p w14:paraId="6569190B"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Use of NPS</w:t>
            </w:r>
          </w:p>
        </w:tc>
        <w:tc>
          <w:tcPr>
            <w:tcW w:w="1168" w:type="dxa"/>
            <w:gridSpan w:val="2"/>
            <w:vAlign w:val="center"/>
          </w:tcPr>
          <w:p w14:paraId="0BF2B19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22</w:t>
            </w:r>
          </w:p>
        </w:tc>
        <w:tc>
          <w:tcPr>
            <w:tcW w:w="1465" w:type="dxa"/>
            <w:gridSpan w:val="2"/>
            <w:vAlign w:val="center"/>
          </w:tcPr>
          <w:p w14:paraId="789475C0"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3 %</w:t>
            </w:r>
          </w:p>
        </w:tc>
        <w:tc>
          <w:tcPr>
            <w:tcW w:w="1465" w:type="dxa"/>
            <w:gridSpan w:val="2"/>
            <w:vAlign w:val="center"/>
          </w:tcPr>
          <w:p w14:paraId="72763CE9"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+ 3</w:t>
            </w:r>
          </w:p>
        </w:tc>
        <w:tc>
          <w:tcPr>
            <w:tcW w:w="1464" w:type="dxa"/>
            <w:gridSpan w:val="2"/>
            <w:shd w:val="clear" w:color="auto" w:fill="auto"/>
            <w:vAlign w:val="center"/>
          </w:tcPr>
          <w:p w14:paraId="3D0BA1B8"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w:t>
            </w:r>
          </w:p>
        </w:tc>
        <w:tc>
          <w:tcPr>
            <w:tcW w:w="1465" w:type="dxa"/>
            <w:gridSpan w:val="2"/>
            <w:vAlign w:val="center"/>
          </w:tcPr>
          <w:p w14:paraId="0247D90E"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w:t>
            </w:r>
          </w:p>
        </w:tc>
        <w:tc>
          <w:tcPr>
            <w:tcW w:w="1465" w:type="dxa"/>
          </w:tcPr>
          <w:p w14:paraId="195E8CF6"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6</w:t>
            </w:r>
          </w:p>
        </w:tc>
        <w:tc>
          <w:tcPr>
            <w:tcW w:w="425" w:type="dxa"/>
            <w:gridSpan w:val="2"/>
          </w:tcPr>
          <w:p w14:paraId="5B52668D" w14:textId="77777777" w:rsidR="00BB0973" w:rsidRPr="00FA6445" w:rsidRDefault="00BB0973" w:rsidP="00BB0973">
            <w:pPr>
              <w:spacing w:before="120" w:after="120" w:line="240" w:lineRule="auto"/>
              <w:rPr>
                <w:color w:val="000000"/>
                <w:szCs w:val="24"/>
                <w:lang w:eastAsia="en-GB"/>
              </w:rPr>
            </w:pPr>
          </w:p>
        </w:tc>
      </w:tr>
      <w:tr w:rsidR="00BB0973" w:rsidRPr="00BB0973" w14:paraId="159652C5" w14:textId="77777777" w:rsidTr="00BB0973">
        <w:trPr>
          <w:gridAfter w:val="1"/>
          <w:wAfter w:w="47" w:type="dxa"/>
          <w:trHeight w:val="359"/>
        </w:trPr>
        <w:tc>
          <w:tcPr>
            <w:tcW w:w="817" w:type="dxa"/>
            <w:vAlign w:val="center"/>
          </w:tcPr>
          <w:p w14:paraId="256733F3"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7.</w:t>
            </w:r>
          </w:p>
        </w:tc>
        <w:tc>
          <w:tcPr>
            <w:tcW w:w="2126" w:type="dxa"/>
            <w:vAlign w:val="center"/>
          </w:tcPr>
          <w:p w14:paraId="0340C73A" w14:textId="05E96B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Curiosity</w:t>
            </w:r>
          </w:p>
        </w:tc>
        <w:tc>
          <w:tcPr>
            <w:tcW w:w="2268" w:type="dxa"/>
            <w:gridSpan w:val="2"/>
            <w:vAlign w:val="center"/>
          </w:tcPr>
          <w:p w14:paraId="6727AD4C" w14:textId="77777777" w:rsidR="00BB0973" w:rsidRPr="00FA6445" w:rsidRDefault="00BB0973" w:rsidP="007E1D13">
            <w:pPr>
              <w:spacing w:before="120" w:after="120" w:line="240" w:lineRule="auto"/>
              <w:rPr>
                <w:color w:val="000000"/>
                <w:szCs w:val="24"/>
                <w:lang w:eastAsia="en-GB"/>
              </w:rPr>
            </w:pPr>
          </w:p>
        </w:tc>
        <w:tc>
          <w:tcPr>
            <w:tcW w:w="1168" w:type="dxa"/>
            <w:gridSpan w:val="2"/>
            <w:vAlign w:val="center"/>
          </w:tcPr>
          <w:p w14:paraId="78302369"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21</w:t>
            </w:r>
          </w:p>
        </w:tc>
        <w:tc>
          <w:tcPr>
            <w:tcW w:w="1465" w:type="dxa"/>
            <w:gridSpan w:val="2"/>
            <w:vAlign w:val="center"/>
          </w:tcPr>
          <w:p w14:paraId="69CB6C1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3 %</w:t>
            </w:r>
          </w:p>
        </w:tc>
        <w:tc>
          <w:tcPr>
            <w:tcW w:w="1465" w:type="dxa"/>
            <w:gridSpan w:val="2"/>
            <w:vAlign w:val="center"/>
          </w:tcPr>
          <w:p w14:paraId="3BFE1BB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- 11</w:t>
            </w:r>
          </w:p>
        </w:tc>
        <w:tc>
          <w:tcPr>
            <w:tcW w:w="1464" w:type="dxa"/>
            <w:gridSpan w:val="2"/>
            <w:shd w:val="clear" w:color="auto" w:fill="auto"/>
            <w:vAlign w:val="center"/>
          </w:tcPr>
          <w:p w14:paraId="1E79731A"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+ 1</w:t>
            </w:r>
          </w:p>
        </w:tc>
        <w:tc>
          <w:tcPr>
            <w:tcW w:w="1465" w:type="dxa"/>
            <w:gridSpan w:val="2"/>
            <w:vAlign w:val="center"/>
          </w:tcPr>
          <w:p w14:paraId="3441747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tcPr>
          <w:p w14:paraId="4E1D4EF8"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9</w:t>
            </w:r>
          </w:p>
        </w:tc>
        <w:tc>
          <w:tcPr>
            <w:tcW w:w="425" w:type="dxa"/>
            <w:gridSpan w:val="2"/>
          </w:tcPr>
          <w:p w14:paraId="556B6F36" w14:textId="77777777" w:rsidR="00BB0973" w:rsidRPr="00FA6445" w:rsidRDefault="00BB0973" w:rsidP="00BB0973">
            <w:pPr>
              <w:spacing w:before="120" w:after="120" w:line="240" w:lineRule="auto"/>
              <w:rPr>
                <w:color w:val="000000"/>
                <w:szCs w:val="24"/>
                <w:lang w:eastAsia="en-GB"/>
              </w:rPr>
            </w:pPr>
          </w:p>
        </w:tc>
      </w:tr>
      <w:tr w:rsidR="00BB0973" w:rsidRPr="00BB0973" w14:paraId="167BCDBD" w14:textId="77777777" w:rsidTr="00BB0973">
        <w:trPr>
          <w:gridAfter w:val="1"/>
          <w:wAfter w:w="47" w:type="dxa"/>
          <w:trHeight w:val="359"/>
        </w:trPr>
        <w:tc>
          <w:tcPr>
            <w:tcW w:w="817" w:type="dxa"/>
            <w:vAlign w:val="center"/>
          </w:tcPr>
          <w:p w14:paraId="42F2157A"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7.</w:t>
            </w:r>
          </w:p>
        </w:tc>
        <w:tc>
          <w:tcPr>
            <w:tcW w:w="2126" w:type="dxa"/>
            <w:vAlign w:val="center"/>
          </w:tcPr>
          <w:p w14:paraId="5C2EAEDA" w14:textId="495D4BD1" w:rsidR="00BB0973" w:rsidRPr="009D14B1" w:rsidRDefault="00BB0973" w:rsidP="007E1D13">
            <w:pPr>
              <w:spacing w:before="120" w:after="120" w:line="240" w:lineRule="auto"/>
              <w:rPr>
                <w:b/>
                <w:color w:val="000000"/>
                <w:szCs w:val="24"/>
                <w:lang w:eastAsia="en-GB"/>
              </w:rPr>
            </w:pPr>
            <w:r w:rsidRPr="00BB0973">
              <w:rPr>
                <w:b/>
                <w:color w:val="000000"/>
                <w:szCs w:val="24"/>
                <w:lang w:eastAsia="en-GB"/>
              </w:rPr>
              <w:t xml:space="preserve">Authority </w:t>
            </w:r>
          </w:p>
        </w:tc>
        <w:tc>
          <w:tcPr>
            <w:tcW w:w="2268" w:type="dxa"/>
            <w:gridSpan w:val="2"/>
            <w:vAlign w:val="center"/>
          </w:tcPr>
          <w:p w14:paraId="05F6D09E"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Approval</w:t>
            </w:r>
          </w:p>
        </w:tc>
        <w:tc>
          <w:tcPr>
            <w:tcW w:w="1168" w:type="dxa"/>
            <w:gridSpan w:val="2"/>
            <w:vAlign w:val="center"/>
          </w:tcPr>
          <w:p w14:paraId="68ADF4B2"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21</w:t>
            </w:r>
          </w:p>
        </w:tc>
        <w:tc>
          <w:tcPr>
            <w:tcW w:w="1465" w:type="dxa"/>
            <w:gridSpan w:val="2"/>
            <w:vAlign w:val="center"/>
          </w:tcPr>
          <w:p w14:paraId="74912C7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3 %</w:t>
            </w:r>
          </w:p>
        </w:tc>
        <w:tc>
          <w:tcPr>
            <w:tcW w:w="1465" w:type="dxa"/>
            <w:gridSpan w:val="2"/>
            <w:vAlign w:val="center"/>
          </w:tcPr>
          <w:p w14:paraId="0063252D"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- 27</w:t>
            </w:r>
          </w:p>
        </w:tc>
        <w:tc>
          <w:tcPr>
            <w:tcW w:w="1464" w:type="dxa"/>
            <w:gridSpan w:val="2"/>
            <w:shd w:val="clear" w:color="auto" w:fill="auto"/>
            <w:vAlign w:val="center"/>
          </w:tcPr>
          <w:p w14:paraId="7695EA50"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w:t>
            </w:r>
          </w:p>
        </w:tc>
        <w:tc>
          <w:tcPr>
            <w:tcW w:w="1465" w:type="dxa"/>
            <w:gridSpan w:val="2"/>
            <w:vAlign w:val="center"/>
          </w:tcPr>
          <w:p w14:paraId="704AFD64"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w:t>
            </w:r>
          </w:p>
        </w:tc>
        <w:tc>
          <w:tcPr>
            <w:tcW w:w="1465" w:type="dxa"/>
          </w:tcPr>
          <w:p w14:paraId="07E7D700"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w:t>
            </w:r>
          </w:p>
        </w:tc>
        <w:tc>
          <w:tcPr>
            <w:tcW w:w="425" w:type="dxa"/>
            <w:gridSpan w:val="2"/>
          </w:tcPr>
          <w:p w14:paraId="642FBD3E" w14:textId="77777777" w:rsidR="00BB0973" w:rsidRPr="00FA6445" w:rsidRDefault="00BB0973" w:rsidP="00BB0973">
            <w:pPr>
              <w:spacing w:before="120" w:after="120" w:line="240" w:lineRule="auto"/>
              <w:rPr>
                <w:color w:val="000000"/>
                <w:szCs w:val="24"/>
                <w:lang w:eastAsia="en-GB"/>
              </w:rPr>
            </w:pPr>
          </w:p>
        </w:tc>
      </w:tr>
      <w:tr w:rsidR="00BB0973" w:rsidRPr="00BB0973" w14:paraId="12721C2E" w14:textId="77777777" w:rsidTr="00BB0973">
        <w:trPr>
          <w:gridAfter w:val="1"/>
          <w:wAfter w:w="47" w:type="dxa"/>
          <w:trHeight w:val="359"/>
        </w:trPr>
        <w:tc>
          <w:tcPr>
            <w:tcW w:w="817" w:type="dxa"/>
            <w:vAlign w:val="center"/>
          </w:tcPr>
          <w:p w14:paraId="269099D0" w14:textId="77777777" w:rsidR="00BB0973" w:rsidRPr="00BB0973" w:rsidRDefault="00BB0973" w:rsidP="007E1D13">
            <w:pPr>
              <w:spacing w:before="120" w:after="120" w:line="240" w:lineRule="auto"/>
              <w:rPr>
                <w:b/>
                <w:color w:val="000000"/>
                <w:szCs w:val="24"/>
                <w:lang w:eastAsia="en-GB"/>
              </w:rPr>
            </w:pPr>
            <w:r w:rsidRPr="00BB0973">
              <w:rPr>
                <w:b/>
                <w:color w:val="000000"/>
                <w:szCs w:val="24"/>
                <w:lang w:eastAsia="en-GB"/>
              </w:rPr>
              <w:t>9.</w:t>
            </w:r>
          </w:p>
        </w:tc>
        <w:tc>
          <w:tcPr>
            <w:tcW w:w="2126" w:type="dxa"/>
            <w:vAlign w:val="center"/>
          </w:tcPr>
          <w:p w14:paraId="1469855A" w14:textId="76E66201" w:rsidR="00BB0973" w:rsidRPr="00BB0973" w:rsidRDefault="00BB0973" w:rsidP="007E1D13">
            <w:pPr>
              <w:spacing w:before="120" w:after="120" w:line="240" w:lineRule="auto"/>
              <w:rPr>
                <w:b/>
                <w:color w:val="000000"/>
                <w:szCs w:val="24"/>
                <w:lang w:eastAsia="en-GB"/>
              </w:rPr>
            </w:pPr>
            <w:r w:rsidRPr="009D14B1">
              <w:rPr>
                <w:b/>
                <w:color w:val="000000"/>
                <w:szCs w:val="24"/>
                <w:lang w:eastAsia="en-GB"/>
              </w:rPr>
              <w:t xml:space="preserve">Pleasure </w:t>
            </w:r>
          </w:p>
        </w:tc>
        <w:tc>
          <w:tcPr>
            <w:tcW w:w="2268" w:type="dxa"/>
            <w:gridSpan w:val="2"/>
            <w:vAlign w:val="center"/>
          </w:tcPr>
          <w:p w14:paraId="2F2D776F" w14:textId="77777777" w:rsidR="00BB0973" w:rsidRPr="00FA6445" w:rsidRDefault="00BB0973" w:rsidP="007E1D13">
            <w:pPr>
              <w:spacing w:before="120" w:after="120" w:line="240" w:lineRule="auto"/>
              <w:rPr>
                <w:color w:val="000000"/>
                <w:szCs w:val="24"/>
                <w:lang w:eastAsia="en-GB"/>
              </w:rPr>
            </w:pPr>
            <w:r w:rsidRPr="00FA6445">
              <w:rPr>
                <w:color w:val="000000"/>
                <w:szCs w:val="24"/>
                <w:lang w:eastAsia="en-GB"/>
              </w:rPr>
              <w:t>Pleasant effects</w:t>
            </w:r>
          </w:p>
        </w:tc>
        <w:tc>
          <w:tcPr>
            <w:tcW w:w="1168" w:type="dxa"/>
            <w:gridSpan w:val="2"/>
            <w:vAlign w:val="center"/>
          </w:tcPr>
          <w:p w14:paraId="7E4B9777"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20</w:t>
            </w:r>
          </w:p>
        </w:tc>
        <w:tc>
          <w:tcPr>
            <w:tcW w:w="1465" w:type="dxa"/>
            <w:gridSpan w:val="2"/>
            <w:vAlign w:val="center"/>
          </w:tcPr>
          <w:p w14:paraId="34FEAEA3"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3 %</w:t>
            </w:r>
          </w:p>
        </w:tc>
        <w:tc>
          <w:tcPr>
            <w:tcW w:w="1465" w:type="dxa"/>
            <w:gridSpan w:val="2"/>
            <w:vAlign w:val="center"/>
          </w:tcPr>
          <w:p w14:paraId="297E672D"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- 23</w:t>
            </w:r>
          </w:p>
        </w:tc>
        <w:tc>
          <w:tcPr>
            <w:tcW w:w="1464" w:type="dxa"/>
            <w:gridSpan w:val="2"/>
            <w:shd w:val="clear" w:color="auto" w:fill="auto"/>
            <w:vAlign w:val="center"/>
          </w:tcPr>
          <w:p w14:paraId="7148F98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- 4</w:t>
            </w:r>
          </w:p>
        </w:tc>
        <w:tc>
          <w:tcPr>
            <w:tcW w:w="1465" w:type="dxa"/>
            <w:gridSpan w:val="2"/>
            <w:vAlign w:val="center"/>
          </w:tcPr>
          <w:p w14:paraId="17994ACC"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0</w:t>
            </w:r>
          </w:p>
        </w:tc>
        <w:tc>
          <w:tcPr>
            <w:tcW w:w="1465" w:type="dxa"/>
          </w:tcPr>
          <w:p w14:paraId="6ED721BD"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8</w:t>
            </w:r>
          </w:p>
        </w:tc>
        <w:tc>
          <w:tcPr>
            <w:tcW w:w="425" w:type="dxa"/>
            <w:gridSpan w:val="2"/>
          </w:tcPr>
          <w:p w14:paraId="4E364140" w14:textId="77777777" w:rsidR="00BB0973" w:rsidRPr="00FA6445" w:rsidRDefault="00BB0973" w:rsidP="00BB0973">
            <w:pPr>
              <w:spacing w:before="120" w:after="120" w:line="240" w:lineRule="auto"/>
              <w:rPr>
                <w:color w:val="000000"/>
                <w:szCs w:val="24"/>
                <w:lang w:eastAsia="en-GB"/>
              </w:rPr>
            </w:pPr>
          </w:p>
        </w:tc>
      </w:tr>
      <w:tr w:rsidR="00BB0973" w:rsidRPr="00BB0973" w14:paraId="28D5D953" w14:textId="77777777" w:rsidTr="00BB0973">
        <w:trPr>
          <w:gridAfter w:val="1"/>
          <w:wAfter w:w="47" w:type="dxa"/>
          <w:trHeight w:val="359"/>
        </w:trPr>
        <w:tc>
          <w:tcPr>
            <w:tcW w:w="817" w:type="dxa"/>
            <w:tcBorders>
              <w:bottom w:val="single" w:sz="4" w:space="0" w:color="auto"/>
            </w:tcBorders>
            <w:vAlign w:val="center"/>
          </w:tcPr>
          <w:p w14:paraId="3EAFC1B7"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10</w:t>
            </w:r>
          </w:p>
        </w:tc>
        <w:tc>
          <w:tcPr>
            <w:tcW w:w="2126" w:type="dxa"/>
            <w:tcBorders>
              <w:bottom w:val="single" w:sz="4" w:space="0" w:color="auto"/>
            </w:tcBorders>
            <w:vAlign w:val="center"/>
          </w:tcPr>
          <w:p w14:paraId="77A75B60" w14:textId="6F3DC9B4" w:rsidR="00BB0973" w:rsidRPr="009D14B1" w:rsidRDefault="00BB0973" w:rsidP="00BB0973">
            <w:pPr>
              <w:spacing w:before="120" w:after="120" w:line="240" w:lineRule="auto"/>
              <w:rPr>
                <w:b/>
                <w:color w:val="000000"/>
                <w:szCs w:val="24"/>
                <w:lang w:eastAsia="en-GB"/>
              </w:rPr>
            </w:pPr>
            <w:r w:rsidRPr="00BB0973">
              <w:rPr>
                <w:b/>
                <w:color w:val="000000"/>
                <w:szCs w:val="24"/>
                <w:lang w:eastAsia="en-GB"/>
              </w:rPr>
              <w:t xml:space="preserve">Identity </w:t>
            </w:r>
          </w:p>
        </w:tc>
        <w:tc>
          <w:tcPr>
            <w:tcW w:w="2268" w:type="dxa"/>
            <w:gridSpan w:val="2"/>
            <w:tcBorders>
              <w:bottom w:val="single" w:sz="4" w:space="0" w:color="auto"/>
            </w:tcBorders>
            <w:vAlign w:val="center"/>
          </w:tcPr>
          <w:p w14:paraId="6A69602B"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Positive user</w:t>
            </w:r>
          </w:p>
        </w:tc>
        <w:tc>
          <w:tcPr>
            <w:tcW w:w="1168" w:type="dxa"/>
            <w:gridSpan w:val="2"/>
            <w:tcBorders>
              <w:bottom w:val="single" w:sz="4" w:space="0" w:color="auto"/>
            </w:tcBorders>
            <w:vAlign w:val="center"/>
          </w:tcPr>
          <w:p w14:paraId="679B39D8"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9</w:t>
            </w:r>
          </w:p>
        </w:tc>
        <w:tc>
          <w:tcPr>
            <w:tcW w:w="1465" w:type="dxa"/>
            <w:gridSpan w:val="2"/>
            <w:tcBorders>
              <w:bottom w:val="single" w:sz="4" w:space="0" w:color="auto"/>
            </w:tcBorders>
            <w:vAlign w:val="center"/>
          </w:tcPr>
          <w:p w14:paraId="490706B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1 %</w:t>
            </w:r>
          </w:p>
        </w:tc>
        <w:tc>
          <w:tcPr>
            <w:tcW w:w="1465" w:type="dxa"/>
            <w:gridSpan w:val="2"/>
            <w:tcBorders>
              <w:bottom w:val="single" w:sz="4" w:space="0" w:color="auto"/>
            </w:tcBorders>
            <w:vAlign w:val="center"/>
          </w:tcPr>
          <w:p w14:paraId="2D993588"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- 27</w:t>
            </w:r>
          </w:p>
        </w:tc>
        <w:tc>
          <w:tcPr>
            <w:tcW w:w="1464" w:type="dxa"/>
            <w:gridSpan w:val="2"/>
            <w:tcBorders>
              <w:bottom w:val="single" w:sz="4" w:space="0" w:color="auto"/>
            </w:tcBorders>
            <w:shd w:val="clear" w:color="auto" w:fill="auto"/>
            <w:vAlign w:val="center"/>
          </w:tcPr>
          <w:p w14:paraId="69A76BD5"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- 3</w:t>
            </w:r>
          </w:p>
        </w:tc>
        <w:tc>
          <w:tcPr>
            <w:tcW w:w="1465" w:type="dxa"/>
            <w:gridSpan w:val="2"/>
            <w:tcBorders>
              <w:bottom w:val="single" w:sz="4" w:space="0" w:color="auto"/>
            </w:tcBorders>
            <w:vAlign w:val="center"/>
          </w:tcPr>
          <w:p w14:paraId="56E0CAE1"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1</w:t>
            </w:r>
          </w:p>
        </w:tc>
        <w:tc>
          <w:tcPr>
            <w:tcW w:w="1465" w:type="dxa"/>
            <w:tcBorders>
              <w:bottom w:val="single" w:sz="4" w:space="0" w:color="auto"/>
            </w:tcBorders>
          </w:tcPr>
          <w:p w14:paraId="08D4074A" w14:textId="77777777" w:rsidR="00BB0973" w:rsidRPr="00FA6445" w:rsidRDefault="00BB0973" w:rsidP="00BB0973">
            <w:pPr>
              <w:spacing w:before="120" w:after="120" w:line="240" w:lineRule="auto"/>
              <w:rPr>
                <w:color w:val="000000"/>
                <w:szCs w:val="24"/>
                <w:lang w:eastAsia="en-GB"/>
              </w:rPr>
            </w:pPr>
            <w:r w:rsidRPr="00FA6445">
              <w:rPr>
                <w:color w:val="000000"/>
                <w:szCs w:val="24"/>
                <w:lang w:eastAsia="en-GB"/>
              </w:rPr>
              <w:t>5</w:t>
            </w:r>
          </w:p>
        </w:tc>
        <w:tc>
          <w:tcPr>
            <w:tcW w:w="425" w:type="dxa"/>
            <w:gridSpan w:val="2"/>
            <w:tcBorders>
              <w:bottom w:val="single" w:sz="4" w:space="0" w:color="auto"/>
            </w:tcBorders>
          </w:tcPr>
          <w:p w14:paraId="4928446D" w14:textId="77777777" w:rsidR="00BB0973" w:rsidRPr="00FA6445" w:rsidRDefault="00BB0973" w:rsidP="00BB0973">
            <w:pPr>
              <w:spacing w:before="120" w:after="120" w:line="240" w:lineRule="auto"/>
              <w:rPr>
                <w:color w:val="000000"/>
                <w:szCs w:val="24"/>
                <w:lang w:eastAsia="en-GB"/>
              </w:rPr>
            </w:pPr>
          </w:p>
        </w:tc>
      </w:tr>
      <w:tr w:rsidR="00BB0973" w:rsidRPr="00BB0973" w14:paraId="7FF35DD5" w14:textId="77777777" w:rsidTr="00BB0973">
        <w:trPr>
          <w:gridAfter w:val="1"/>
          <w:wAfter w:w="47" w:type="dxa"/>
          <w:trHeight w:val="511"/>
        </w:trPr>
        <w:tc>
          <w:tcPr>
            <w:tcW w:w="817" w:type="dxa"/>
            <w:tcBorders>
              <w:top w:val="single" w:sz="4" w:space="0" w:color="auto"/>
              <w:bottom w:val="single" w:sz="4" w:space="0" w:color="auto"/>
            </w:tcBorders>
            <w:vAlign w:val="center"/>
          </w:tcPr>
          <w:p w14:paraId="2EFF02D2" w14:textId="77777777" w:rsidR="00BB0973" w:rsidRPr="00BB0973" w:rsidRDefault="00BB0973" w:rsidP="00BB0973">
            <w:pPr>
              <w:spacing w:before="120" w:after="120" w:line="240" w:lineRule="auto"/>
              <w:rPr>
                <w:b/>
                <w:color w:val="000000"/>
                <w:szCs w:val="24"/>
                <w:lang w:eastAsia="en-GB"/>
              </w:rPr>
            </w:pPr>
          </w:p>
        </w:tc>
        <w:tc>
          <w:tcPr>
            <w:tcW w:w="4394" w:type="dxa"/>
            <w:gridSpan w:val="3"/>
            <w:tcBorders>
              <w:top w:val="single" w:sz="4" w:space="0" w:color="auto"/>
              <w:bottom w:val="single" w:sz="4" w:space="0" w:color="auto"/>
            </w:tcBorders>
            <w:vAlign w:val="center"/>
          </w:tcPr>
          <w:p w14:paraId="081BF893" w14:textId="4FEF0859"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 xml:space="preserve">Total </w:t>
            </w:r>
          </w:p>
        </w:tc>
        <w:tc>
          <w:tcPr>
            <w:tcW w:w="1168" w:type="dxa"/>
            <w:gridSpan w:val="2"/>
            <w:tcBorders>
              <w:top w:val="single" w:sz="4" w:space="0" w:color="auto"/>
              <w:bottom w:val="single" w:sz="4" w:space="0" w:color="auto"/>
            </w:tcBorders>
            <w:vAlign w:val="center"/>
          </w:tcPr>
          <w:p w14:paraId="341BE16A"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364</w:t>
            </w:r>
          </w:p>
        </w:tc>
        <w:tc>
          <w:tcPr>
            <w:tcW w:w="1465" w:type="dxa"/>
            <w:gridSpan w:val="2"/>
            <w:tcBorders>
              <w:top w:val="single" w:sz="4" w:space="0" w:color="auto"/>
              <w:bottom w:val="single" w:sz="4" w:space="0" w:color="auto"/>
            </w:tcBorders>
            <w:vAlign w:val="center"/>
          </w:tcPr>
          <w:p w14:paraId="2CA37A53" w14:textId="77777777" w:rsidR="00BB0973" w:rsidRPr="00BB0973" w:rsidRDefault="00BB0973" w:rsidP="00BB0973">
            <w:pPr>
              <w:spacing w:before="120" w:after="120" w:line="240" w:lineRule="auto"/>
              <w:rPr>
                <w:b/>
                <w:color w:val="000000"/>
                <w:szCs w:val="24"/>
                <w:lang w:eastAsia="en-GB"/>
              </w:rPr>
            </w:pPr>
            <w:r w:rsidRPr="00BB0973">
              <w:rPr>
                <w:b/>
                <w:color w:val="000000"/>
                <w:szCs w:val="24"/>
                <w:lang w:eastAsia="en-GB"/>
              </w:rPr>
              <w:t>55 %</w:t>
            </w:r>
          </w:p>
        </w:tc>
        <w:tc>
          <w:tcPr>
            <w:tcW w:w="1465" w:type="dxa"/>
            <w:gridSpan w:val="2"/>
            <w:tcBorders>
              <w:top w:val="single" w:sz="4" w:space="0" w:color="auto"/>
              <w:bottom w:val="single" w:sz="4" w:space="0" w:color="auto"/>
            </w:tcBorders>
            <w:vAlign w:val="center"/>
          </w:tcPr>
          <w:p w14:paraId="16987B53" w14:textId="77777777" w:rsidR="00BB0973" w:rsidRPr="00BB0973" w:rsidRDefault="00BB0973" w:rsidP="00BB0973">
            <w:pPr>
              <w:spacing w:before="120" w:after="120" w:line="240" w:lineRule="auto"/>
              <w:rPr>
                <w:b/>
                <w:color w:val="000000"/>
                <w:szCs w:val="24"/>
                <w:lang w:eastAsia="en-GB"/>
              </w:rPr>
            </w:pPr>
          </w:p>
        </w:tc>
        <w:tc>
          <w:tcPr>
            <w:tcW w:w="1464" w:type="dxa"/>
            <w:gridSpan w:val="2"/>
            <w:tcBorders>
              <w:top w:val="single" w:sz="4" w:space="0" w:color="auto"/>
              <w:bottom w:val="single" w:sz="4" w:space="0" w:color="auto"/>
            </w:tcBorders>
            <w:shd w:val="clear" w:color="auto" w:fill="auto"/>
            <w:vAlign w:val="center"/>
          </w:tcPr>
          <w:p w14:paraId="72BFE954" w14:textId="77777777" w:rsidR="00BB0973" w:rsidRPr="00BB0973" w:rsidRDefault="00BB0973" w:rsidP="00BB0973">
            <w:pPr>
              <w:spacing w:before="120" w:after="120" w:line="240" w:lineRule="auto"/>
              <w:rPr>
                <w:b/>
                <w:color w:val="000000"/>
                <w:szCs w:val="24"/>
                <w:lang w:eastAsia="en-GB"/>
              </w:rPr>
            </w:pPr>
          </w:p>
        </w:tc>
        <w:tc>
          <w:tcPr>
            <w:tcW w:w="1465" w:type="dxa"/>
            <w:gridSpan w:val="2"/>
            <w:tcBorders>
              <w:top w:val="single" w:sz="4" w:space="0" w:color="auto"/>
              <w:bottom w:val="single" w:sz="4" w:space="0" w:color="auto"/>
            </w:tcBorders>
          </w:tcPr>
          <w:p w14:paraId="476734F9" w14:textId="77777777" w:rsidR="00BB0973" w:rsidRPr="00BB0973" w:rsidRDefault="00BB0973" w:rsidP="00BB0973">
            <w:pPr>
              <w:spacing w:before="120" w:after="120" w:line="240" w:lineRule="auto"/>
              <w:rPr>
                <w:b/>
                <w:color w:val="000000"/>
                <w:szCs w:val="24"/>
                <w:lang w:eastAsia="en-GB"/>
              </w:rPr>
            </w:pPr>
          </w:p>
        </w:tc>
        <w:tc>
          <w:tcPr>
            <w:tcW w:w="1465" w:type="dxa"/>
            <w:tcBorders>
              <w:top w:val="single" w:sz="4" w:space="0" w:color="auto"/>
              <w:bottom w:val="single" w:sz="4" w:space="0" w:color="auto"/>
            </w:tcBorders>
          </w:tcPr>
          <w:p w14:paraId="5D681F3A" w14:textId="77777777" w:rsidR="00BB0973" w:rsidRPr="00BB0973" w:rsidRDefault="00BB0973" w:rsidP="00BB0973">
            <w:pPr>
              <w:spacing w:before="120" w:after="120" w:line="240" w:lineRule="auto"/>
              <w:rPr>
                <w:b/>
                <w:color w:val="000000"/>
                <w:szCs w:val="24"/>
                <w:lang w:eastAsia="en-GB"/>
              </w:rPr>
            </w:pPr>
          </w:p>
        </w:tc>
        <w:tc>
          <w:tcPr>
            <w:tcW w:w="425" w:type="dxa"/>
            <w:gridSpan w:val="2"/>
            <w:tcBorders>
              <w:top w:val="single" w:sz="4" w:space="0" w:color="auto"/>
              <w:bottom w:val="single" w:sz="4" w:space="0" w:color="auto"/>
            </w:tcBorders>
          </w:tcPr>
          <w:p w14:paraId="7E82EE0D" w14:textId="77777777" w:rsidR="00BB0973" w:rsidRPr="00BB0973" w:rsidRDefault="00BB0973" w:rsidP="00BB0973">
            <w:pPr>
              <w:spacing w:before="120" w:after="120" w:line="240" w:lineRule="auto"/>
              <w:rPr>
                <w:b/>
                <w:color w:val="000000"/>
                <w:szCs w:val="24"/>
                <w:lang w:eastAsia="en-GB"/>
              </w:rPr>
            </w:pPr>
          </w:p>
        </w:tc>
      </w:tr>
    </w:tbl>
    <w:p w14:paraId="3663B0FC" w14:textId="77777777" w:rsidR="007E1D13" w:rsidRDefault="007E1D13" w:rsidP="007E1D13">
      <w:pPr>
        <w:spacing w:before="120" w:after="0" w:line="259" w:lineRule="auto"/>
        <w:rPr>
          <w:b/>
        </w:rPr>
      </w:pPr>
      <w:r>
        <w:t>Percentage coverage = the number of references expressed as a proportion of the total number statements coded (n=658)</w:t>
      </w:r>
    </w:p>
    <w:p w14:paraId="29899016" w14:textId="77777777" w:rsidR="007E1D13" w:rsidRDefault="007E1D13" w:rsidP="007E1D13">
      <w:pPr>
        <w:spacing w:after="160" w:line="259" w:lineRule="auto"/>
        <w:rPr>
          <w:b/>
        </w:rPr>
      </w:pPr>
    </w:p>
    <w:p w14:paraId="1D695BFC" w14:textId="77777777" w:rsidR="007E1D13" w:rsidRDefault="007E1D13" w:rsidP="007E1D13">
      <w:pPr>
        <w:spacing w:after="160" w:line="259" w:lineRule="auto"/>
        <w:rPr>
          <w:b/>
        </w:rPr>
        <w:sectPr w:rsidR="007E1D13" w:rsidSect="007E1D13">
          <w:pgSz w:w="16840" w:h="11900" w:orient="landscape"/>
          <w:pgMar w:top="1418" w:right="1418" w:bottom="1418" w:left="1560" w:header="709" w:footer="709" w:gutter="0"/>
          <w:cols w:space="708"/>
          <w:docGrid w:linePitch="360"/>
        </w:sectPr>
      </w:pPr>
    </w:p>
    <w:p w14:paraId="6DFA8AAA" w14:textId="7F2989B0" w:rsidR="007E1D13" w:rsidRPr="004B0B16" w:rsidRDefault="007E1D13" w:rsidP="004B0B16">
      <w:pPr>
        <w:pStyle w:val="TableHeader"/>
        <w:rPr>
          <w:b/>
        </w:rPr>
      </w:pPr>
      <w:bookmarkStart w:id="473" w:name="_Toc9509083"/>
      <w:r w:rsidRPr="004B0B16">
        <w:rPr>
          <w:b/>
        </w:rPr>
        <w:t>Table</w:t>
      </w:r>
      <w:r w:rsidR="002375B0" w:rsidRPr="004B0B16">
        <w:rPr>
          <w:b/>
        </w:rPr>
        <w:t>7-</w:t>
      </w:r>
      <w:r w:rsidRPr="004B0B16">
        <w:rPr>
          <w:b/>
        </w:rPr>
        <w:t xml:space="preserve">9 </w:t>
      </w:r>
      <w:r w:rsidRPr="004B0B16">
        <w:rPr>
          <w:b/>
          <w:color w:val="000000"/>
          <w:lang w:eastAsia="en-GB"/>
        </w:rPr>
        <w:t>Statements discouraging use of NPS</w:t>
      </w:r>
      <w:r w:rsidRPr="004B0B16">
        <w:rPr>
          <w:b/>
        </w:rPr>
        <w:t>: Themes identified in the post-ban focus groups ranked by frequency of expression.</w:t>
      </w:r>
      <w:bookmarkEnd w:id="473"/>
    </w:p>
    <w:tbl>
      <w:tblPr>
        <w:tblW w:w="13716" w:type="dxa"/>
        <w:tblLayout w:type="fixed"/>
        <w:tblLook w:val="04A0" w:firstRow="1" w:lastRow="0" w:firstColumn="1" w:lastColumn="0" w:noHBand="0" w:noVBand="1"/>
      </w:tblPr>
      <w:tblGrid>
        <w:gridCol w:w="817"/>
        <w:gridCol w:w="1985"/>
        <w:gridCol w:w="2126"/>
        <w:gridCol w:w="425"/>
        <w:gridCol w:w="614"/>
        <w:gridCol w:w="237"/>
        <w:gridCol w:w="1228"/>
        <w:gridCol w:w="331"/>
        <w:gridCol w:w="1134"/>
        <w:gridCol w:w="354"/>
        <w:gridCol w:w="1110"/>
        <w:gridCol w:w="378"/>
        <w:gridCol w:w="1087"/>
        <w:gridCol w:w="401"/>
        <w:gridCol w:w="1064"/>
        <w:gridCol w:w="425"/>
      </w:tblGrid>
      <w:tr w:rsidR="007E1D13" w:rsidRPr="005C395B" w14:paraId="7DCF60E4" w14:textId="77777777" w:rsidTr="007E1D13">
        <w:trPr>
          <w:trHeight w:val="678"/>
        </w:trPr>
        <w:tc>
          <w:tcPr>
            <w:tcW w:w="817" w:type="dxa"/>
            <w:tcBorders>
              <w:top w:val="single" w:sz="4" w:space="0" w:color="auto"/>
            </w:tcBorders>
          </w:tcPr>
          <w:p w14:paraId="3FA69DD5" w14:textId="77777777" w:rsidR="007E1D13" w:rsidRPr="005C395B" w:rsidRDefault="007E1D13" w:rsidP="007E1D13">
            <w:pPr>
              <w:spacing w:before="120" w:after="120" w:line="240" w:lineRule="auto"/>
              <w:rPr>
                <w:b/>
                <w:color w:val="000000"/>
                <w:szCs w:val="24"/>
                <w:lang w:eastAsia="en-GB"/>
              </w:rPr>
            </w:pPr>
          </w:p>
        </w:tc>
        <w:tc>
          <w:tcPr>
            <w:tcW w:w="4111" w:type="dxa"/>
            <w:gridSpan w:val="2"/>
            <w:tcBorders>
              <w:top w:val="single" w:sz="4" w:space="0" w:color="auto"/>
            </w:tcBorders>
          </w:tcPr>
          <w:p w14:paraId="7601DACE" w14:textId="77777777" w:rsidR="007E1D13" w:rsidRPr="005C395B" w:rsidRDefault="007E1D13" w:rsidP="007E1D13">
            <w:pPr>
              <w:spacing w:before="120" w:after="120" w:line="240" w:lineRule="auto"/>
              <w:rPr>
                <w:b/>
                <w:color w:val="000000"/>
                <w:szCs w:val="24"/>
                <w:lang w:eastAsia="en-GB"/>
              </w:rPr>
            </w:pPr>
          </w:p>
        </w:tc>
        <w:tc>
          <w:tcPr>
            <w:tcW w:w="1276" w:type="dxa"/>
            <w:gridSpan w:val="3"/>
            <w:tcBorders>
              <w:top w:val="single" w:sz="4" w:space="0" w:color="auto"/>
            </w:tcBorders>
          </w:tcPr>
          <w:p w14:paraId="4033F64A" w14:textId="77777777" w:rsidR="007E1D13" w:rsidRPr="004C3077" w:rsidRDefault="007E1D13" w:rsidP="007E1D13">
            <w:pPr>
              <w:spacing w:before="120" w:after="120" w:line="240" w:lineRule="auto"/>
              <w:jc w:val="center"/>
              <w:rPr>
                <w:b/>
                <w:color w:val="000000"/>
                <w:sz w:val="22"/>
                <w:szCs w:val="24"/>
                <w:lang w:eastAsia="en-GB"/>
              </w:rPr>
            </w:pPr>
          </w:p>
        </w:tc>
        <w:tc>
          <w:tcPr>
            <w:tcW w:w="1559" w:type="dxa"/>
            <w:gridSpan w:val="2"/>
            <w:tcBorders>
              <w:top w:val="single" w:sz="4" w:space="0" w:color="auto"/>
            </w:tcBorders>
          </w:tcPr>
          <w:p w14:paraId="247C4CA0" w14:textId="77777777" w:rsidR="007E1D13" w:rsidRPr="004C3077" w:rsidRDefault="007E1D13" w:rsidP="007E1D13">
            <w:pPr>
              <w:spacing w:before="120" w:after="120" w:line="240" w:lineRule="auto"/>
              <w:jc w:val="center"/>
              <w:rPr>
                <w:b/>
                <w:color w:val="000000"/>
                <w:sz w:val="22"/>
                <w:szCs w:val="24"/>
                <w:lang w:eastAsia="en-GB"/>
              </w:rPr>
            </w:pPr>
          </w:p>
        </w:tc>
        <w:tc>
          <w:tcPr>
            <w:tcW w:w="1488" w:type="dxa"/>
            <w:gridSpan w:val="2"/>
            <w:tcBorders>
              <w:top w:val="single" w:sz="4" w:space="0" w:color="auto"/>
              <w:bottom w:val="single" w:sz="4" w:space="0" w:color="auto"/>
            </w:tcBorders>
          </w:tcPr>
          <w:p w14:paraId="4F946480"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 references</w:t>
            </w:r>
          </w:p>
        </w:tc>
        <w:tc>
          <w:tcPr>
            <w:tcW w:w="1488" w:type="dxa"/>
            <w:gridSpan w:val="2"/>
            <w:tcBorders>
              <w:top w:val="single" w:sz="4" w:space="0" w:color="auto"/>
              <w:bottom w:val="single" w:sz="4" w:space="0" w:color="auto"/>
            </w:tcBorders>
            <w:shd w:val="clear" w:color="auto" w:fill="auto"/>
          </w:tcPr>
          <w:p w14:paraId="0AE05C31"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w:t>
            </w:r>
            <w:r>
              <w:rPr>
                <w:b/>
                <w:color w:val="000000"/>
                <w:sz w:val="22"/>
                <w:szCs w:val="24"/>
                <w:lang w:eastAsia="en-GB"/>
              </w:rPr>
              <w:t xml:space="preserve"> r</w:t>
            </w:r>
            <w:r w:rsidRPr="004C3077">
              <w:rPr>
                <w:b/>
                <w:color w:val="000000"/>
                <w:sz w:val="22"/>
                <w:szCs w:val="24"/>
                <w:lang w:eastAsia="en-GB"/>
              </w:rPr>
              <w:t>ank</w:t>
            </w:r>
          </w:p>
        </w:tc>
        <w:tc>
          <w:tcPr>
            <w:tcW w:w="1488" w:type="dxa"/>
            <w:gridSpan w:val="2"/>
            <w:tcBorders>
              <w:top w:val="single" w:sz="4" w:space="0" w:color="auto"/>
              <w:bottom w:val="single" w:sz="4" w:space="0" w:color="auto"/>
            </w:tcBorders>
          </w:tcPr>
          <w:p w14:paraId="5C3D8789"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w:t>
            </w:r>
            <w:r>
              <w:rPr>
                <w:b/>
                <w:color w:val="000000"/>
                <w:sz w:val="22"/>
                <w:szCs w:val="24"/>
                <w:lang w:eastAsia="en-GB"/>
              </w:rPr>
              <w:t xml:space="preserve"> </w:t>
            </w:r>
            <w:r w:rsidRPr="004C3077">
              <w:rPr>
                <w:b/>
                <w:color w:val="000000"/>
                <w:sz w:val="22"/>
                <w:szCs w:val="24"/>
                <w:lang w:eastAsia="en-GB"/>
              </w:rPr>
              <w:t xml:space="preserve"> N</w:t>
            </w:r>
            <w:r w:rsidRPr="004C3077">
              <w:rPr>
                <w:b/>
                <w:color w:val="000000"/>
                <w:sz w:val="22"/>
                <w:szCs w:val="24"/>
                <w:vertAlign w:val="superscript"/>
                <w:lang w:eastAsia="en-GB"/>
              </w:rPr>
              <w:t>o</w:t>
            </w:r>
            <w:r w:rsidRPr="004C3077">
              <w:rPr>
                <w:b/>
                <w:color w:val="000000"/>
                <w:sz w:val="22"/>
                <w:szCs w:val="24"/>
                <w:lang w:eastAsia="en-GB"/>
              </w:rPr>
              <w:t xml:space="preserve"> beliefs</w:t>
            </w:r>
          </w:p>
        </w:tc>
        <w:tc>
          <w:tcPr>
            <w:tcW w:w="1489" w:type="dxa"/>
            <w:gridSpan w:val="2"/>
            <w:tcBorders>
              <w:top w:val="single" w:sz="4" w:space="0" w:color="auto"/>
              <w:bottom w:val="single" w:sz="4" w:space="0" w:color="auto"/>
            </w:tcBorders>
          </w:tcPr>
          <w:p w14:paraId="3F857467" w14:textId="77777777" w:rsidR="007E1D13" w:rsidRPr="004C3077" w:rsidRDefault="007E1D13" w:rsidP="007E1D13">
            <w:pPr>
              <w:spacing w:before="120" w:after="120" w:line="240" w:lineRule="auto"/>
              <w:jc w:val="center"/>
              <w:rPr>
                <w:b/>
                <w:color w:val="000000"/>
                <w:sz w:val="22"/>
                <w:szCs w:val="24"/>
                <w:lang w:eastAsia="en-GB"/>
              </w:rPr>
            </w:pPr>
            <w:r w:rsidRPr="004C3077">
              <w:rPr>
                <w:b/>
                <w:color w:val="000000"/>
                <w:sz w:val="22"/>
                <w:szCs w:val="24"/>
                <w:lang w:eastAsia="en-GB"/>
              </w:rPr>
              <w:t>Difference score</w:t>
            </w:r>
          </w:p>
        </w:tc>
      </w:tr>
      <w:tr w:rsidR="007E1D13" w:rsidRPr="004C3077" w14:paraId="4F9960CA" w14:textId="77777777" w:rsidTr="007E1D13">
        <w:trPr>
          <w:trHeight w:val="96"/>
        </w:trPr>
        <w:tc>
          <w:tcPr>
            <w:tcW w:w="817" w:type="dxa"/>
            <w:tcBorders>
              <w:bottom w:val="single" w:sz="4" w:space="0" w:color="auto"/>
            </w:tcBorders>
          </w:tcPr>
          <w:p w14:paraId="17C503FD" w14:textId="77777777" w:rsidR="007E1D13" w:rsidRPr="004C3077" w:rsidRDefault="007E1D13" w:rsidP="007E1D13">
            <w:pPr>
              <w:spacing w:before="120" w:after="120" w:line="240" w:lineRule="auto"/>
              <w:jc w:val="center"/>
              <w:rPr>
                <w:b/>
                <w:sz w:val="22"/>
              </w:rPr>
            </w:pPr>
            <w:r w:rsidRPr="005C395B">
              <w:rPr>
                <w:b/>
                <w:color w:val="000000"/>
                <w:szCs w:val="24"/>
                <w:lang w:eastAsia="en-GB"/>
              </w:rPr>
              <w:t>Rank</w:t>
            </w:r>
          </w:p>
        </w:tc>
        <w:tc>
          <w:tcPr>
            <w:tcW w:w="4111" w:type="dxa"/>
            <w:gridSpan w:val="2"/>
            <w:tcBorders>
              <w:bottom w:val="single" w:sz="4" w:space="0" w:color="auto"/>
            </w:tcBorders>
          </w:tcPr>
          <w:p w14:paraId="7C36CFCE" w14:textId="77777777" w:rsidR="007E1D13" w:rsidRPr="004C3077" w:rsidRDefault="007E1D13" w:rsidP="007E1D13">
            <w:pPr>
              <w:spacing w:before="120" w:after="120" w:line="240" w:lineRule="auto"/>
              <w:jc w:val="center"/>
              <w:rPr>
                <w:b/>
                <w:sz w:val="22"/>
              </w:rPr>
            </w:pPr>
            <w:r w:rsidRPr="005C395B">
              <w:rPr>
                <w:b/>
                <w:color w:val="000000"/>
                <w:szCs w:val="24"/>
                <w:lang w:eastAsia="en-GB"/>
              </w:rPr>
              <w:t>Theme</w:t>
            </w:r>
            <w:r>
              <w:rPr>
                <w:b/>
                <w:color w:val="000000"/>
                <w:szCs w:val="24"/>
                <w:lang w:eastAsia="en-GB"/>
              </w:rPr>
              <w:t xml:space="preserve"> / description</w:t>
            </w:r>
          </w:p>
        </w:tc>
        <w:tc>
          <w:tcPr>
            <w:tcW w:w="1276" w:type="dxa"/>
            <w:gridSpan w:val="3"/>
            <w:tcBorders>
              <w:bottom w:val="single" w:sz="4" w:space="0" w:color="auto"/>
            </w:tcBorders>
          </w:tcPr>
          <w:p w14:paraId="5DCF1C4D" w14:textId="77777777" w:rsidR="007E1D13" w:rsidRPr="004C3077" w:rsidRDefault="007E1D13" w:rsidP="007E1D13">
            <w:pPr>
              <w:spacing w:before="120" w:after="120" w:line="240" w:lineRule="auto"/>
              <w:jc w:val="center"/>
              <w:rPr>
                <w:b/>
                <w:sz w:val="22"/>
              </w:rPr>
            </w:pPr>
            <w:r w:rsidRPr="004C3077">
              <w:rPr>
                <w:b/>
                <w:color w:val="000000"/>
                <w:sz w:val="22"/>
                <w:szCs w:val="24"/>
                <w:lang w:eastAsia="en-GB"/>
              </w:rPr>
              <w:t>Number of references</w:t>
            </w:r>
          </w:p>
        </w:tc>
        <w:tc>
          <w:tcPr>
            <w:tcW w:w="1559" w:type="dxa"/>
            <w:gridSpan w:val="2"/>
            <w:tcBorders>
              <w:bottom w:val="single" w:sz="4" w:space="0" w:color="auto"/>
            </w:tcBorders>
          </w:tcPr>
          <w:p w14:paraId="6D7DA996" w14:textId="77777777" w:rsidR="007E1D13" w:rsidRPr="004C3077" w:rsidRDefault="007E1D13" w:rsidP="007E1D13">
            <w:pPr>
              <w:spacing w:before="120" w:after="120" w:line="240" w:lineRule="auto"/>
              <w:jc w:val="center"/>
              <w:rPr>
                <w:b/>
                <w:sz w:val="22"/>
              </w:rPr>
            </w:pPr>
            <w:r w:rsidRPr="004C3077">
              <w:rPr>
                <w:b/>
                <w:color w:val="000000"/>
                <w:sz w:val="22"/>
                <w:szCs w:val="24"/>
                <w:lang w:eastAsia="en-GB"/>
              </w:rPr>
              <w:t>Percentage coverage</w:t>
            </w:r>
          </w:p>
        </w:tc>
        <w:tc>
          <w:tcPr>
            <w:tcW w:w="1488" w:type="dxa"/>
            <w:gridSpan w:val="2"/>
            <w:tcBorders>
              <w:top w:val="single" w:sz="4" w:space="0" w:color="auto"/>
              <w:bottom w:val="single" w:sz="4" w:space="0" w:color="auto"/>
            </w:tcBorders>
            <w:vAlign w:val="center"/>
          </w:tcPr>
          <w:p w14:paraId="08DFC3C0" w14:textId="77777777" w:rsidR="007E1D13" w:rsidRPr="004C3077" w:rsidRDefault="007E1D13" w:rsidP="007E1D13">
            <w:pPr>
              <w:spacing w:before="120" w:after="120" w:line="240" w:lineRule="auto"/>
              <w:jc w:val="center"/>
              <w:rPr>
                <w:b/>
                <w:sz w:val="22"/>
              </w:rPr>
            </w:pPr>
          </w:p>
        </w:tc>
        <w:tc>
          <w:tcPr>
            <w:tcW w:w="1488" w:type="dxa"/>
            <w:gridSpan w:val="2"/>
            <w:tcBorders>
              <w:top w:val="single" w:sz="4" w:space="0" w:color="auto"/>
              <w:bottom w:val="single" w:sz="4" w:space="0" w:color="auto"/>
            </w:tcBorders>
            <w:shd w:val="clear" w:color="auto" w:fill="auto"/>
            <w:vAlign w:val="center"/>
          </w:tcPr>
          <w:p w14:paraId="0B6551BA" w14:textId="77777777" w:rsidR="007E1D13" w:rsidRPr="004C3077" w:rsidRDefault="007E1D13" w:rsidP="007E1D13">
            <w:pPr>
              <w:spacing w:before="120" w:after="120" w:line="240" w:lineRule="auto"/>
              <w:jc w:val="center"/>
              <w:rPr>
                <w:b/>
                <w:sz w:val="22"/>
              </w:rPr>
            </w:pPr>
          </w:p>
        </w:tc>
        <w:tc>
          <w:tcPr>
            <w:tcW w:w="1488" w:type="dxa"/>
            <w:gridSpan w:val="2"/>
            <w:tcBorders>
              <w:top w:val="single" w:sz="4" w:space="0" w:color="auto"/>
              <w:bottom w:val="single" w:sz="4" w:space="0" w:color="auto"/>
            </w:tcBorders>
            <w:vAlign w:val="center"/>
          </w:tcPr>
          <w:p w14:paraId="48FD1028" w14:textId="77777777" w:rsidR="007E1D13" w:rsidRPr="004C3077" w:rsidRDefault="007E1D13" w:rsidP="007E1D13">
            <w:pPr>
              <w:spacing w:before="120" w:after="120" w:line="240" w:lineRule="auto"/>
              <w:jc w:val="center"/>
              <w:rPr>
                <w:b/>
                <w:sz w:val="22"/>
              </w:rPr>
            </w:pPr>
          </w:p>
        </w:tc>
        <w:tc>
          <w:tcPr>
            <w:tcW w:w="1489" w:type="dxa"/>
            <w:gridSpan w:val="2"/>
            <w:tcBorders>
              <w:top w:val="single" w:sz="4" w:space="0" w:color="auto"/>
              <w:bottom w:val="single" w:sz="4" w:space="0" w:color="auto"/>
            </w:tcBorders>
            <w:vAlign w:val="center"/>
          </w:tcPr>
          <w:p w14:paraId="2F61A23A" w14:textId="77777777" w:rsidR="007E1D13" w:rsidRPr="004C3077" w:rsidRDefault="007E1D13" w:rsidP="007E1D13">
            <w:pPr>
              <w:spacing w:before="120" w:after="120" w:line="240" w:lineRule="auto"/>
              <w:jc w:val="center"/>
              <w:rPr>
                <w:b/>
                <w:sz w:val="22"/>
              </w:rPr>
            </w:pPr>
            <w:r w:rsidRPr="004C3077">
              <w:rPr>
                <w:b/>
                <w:sz w:val="22"/>
              </w:rPr>
              <w:t>Rank</w:t>
            </w:r>
          </w:p>
        </w:tc>
      </w:tr>
      <w:tr w:rsidR="007E1D13" w:rsidRPr="00B2469D" w14:paraId="593FCB72" w14:textId="77777777" w:rsidTr="007E1D13">
        <w:trPr>
          <w:trHeight w:val="359"/>
        </w:trPr>
        <w:tc>
          <w:tcPr>
            <w:tcW w:w="817" w:type="dxa"/>
            <w:tcBorders>
              <w:top w:val="single" w:sz="4" w:space="0" w:color="auto"/>
            </w:tcBorders>
            <w:vAlign w:val="center"/>
          </w:tcPr>
          <w:p w14:paraId="4A22F76E" w14:textId="77777777" w:rsidR="007E1D13" w:rsidRPr="00F65B33" w:rsidRDefault="007E1D13" w:rsidP="007E1D13">
            <w:pPr>
              <w:spacing w:before="240" w:after="120" w:line="240" w:lineRule="auto"/>
              <w:rPr>
                <w:b/>
                <w:color w:val="000000"/>
                <w:sz w:val="20"/>
                <w:szCs w:val="24"/>
                <w:lang w:eastAsia="en-GB"/>
              </w:rPr>
            </w:pPr>
            <w:r w:rsidRPr="00F65B33">
              <w:rPr>
                <w:b/>
                <w:color w:val="000000"/>
                <w:szCs w:val="24"/>
                <w:lang w:eastAsia="en-GB"/>
              </w:rPr>
              <w:t>1</w:t>
            </w:r>
            <w:r>
              <w:rPr>
                <w:b/>
                <w:color w:val="000000"/>
                <w:szCs w:val="24"/>
                <w:lang w:eastAsia="en-GB"/>
              </w:rPr>
              <w:t>.</w:t>
            </w:r>
          </w:p>
        </w:tc>
        <w:tc>
          <w:tcPr>
            <w:tcW w:w="1985" w:type="dxa"/>
            <w:tcBorders>
              <w:top w:val="single" w:sz="4" w:space="0" w:color="auto"/>
            </w:tcBorders>
            <w:vAlign w:val="center"/>
          </w:tcPr>
          <w:p w14:paraId="3A7B0CD4" w14:textId="77777777" w:rsidR="007E1D13" w:rsidRPr="009D14B1" w:rsidRDefault="007E1D13" w:rsidP="007E1D13">
            <w:pPr>
              <w:spacing w:before="240" w:after="120" w:line="240" w:lineRule="auto"/>
              <w:rPr>
                <w:b/>
                <w:color w:val="000000"/>
                <w:szCs w:val="24"/>
                <w:lang w:eastAsia="en-GB"/>
              </w:rPr>
            </w:pPr>
            <w:r w:rsidRPr="009D14B1">
              <w:rPr>
                <w:b/>
                <w:szCs w:val="24"/>
                <w:lang w:eastAsia="en-GB"/>
              </w:rPr>
              <w:t xml:space="preserve">Risk perception  </w:t>
            </w:r>
          </w:p>
        </w:tc>
        <w:tc>
          <w:tcPr>
            <w:tcW w:w="2551" w:type="dxa"/>
            <w:gridSpan w:val="2"/>
            <w:tcBorders>
              <w:top w:val="single" w:sz="4" w:space="0" w:color="auto"/>
            </w:tcBorders>
            <w:vAlign w:val="center"/>
          </w:tcPr>
          <w:p w14:paraId="1DA80100" w14:textId="77777777" w:rsidR="007E1D13" w:rsidRPr="00914809" w:rsidRDefault="007E1D13" w:rsidP="007E1D13">
            <w:pPr>
              <w:spacing w:before="240" w:after="120" w:line="240" w:lineRule="auto"/>
              <w:rPr>
                <w:color w:val="000000"/>
                <w:szCs w:val="24"/>
                <w:lang w:eastAsia="en-GB"/>
              </w:rPr>
            </w:pPr>
            <w:r>
              <w:rPr>
                <w:szCs w:val="24"/>
                <w:lang w:eastAsia="en-GB"/>
              </w:rPr>
              <w:t>Harm</w:t>
            </w:r>
          </w:p>
        </w:tc>
        <w:tc>
          <w:tcPr>
            <w:tcW w:w="614" w:type="dxa"/>
            <w:tcBorders>
              <w:top w:val="single" w:sz="4" w:space="0" w:color="auto"/>
            </w:tcBorders>
            <w:vAlign w:val="center"/>
          </w:tcPr>
          <w:p w14:paraId="513B2AA0" w14:textId="77777777" w:rsidR="007E1D13" w:rsidRDefault="007E1D13" w:rsidP="007E1D13">
            <w:pPr>
              <w:spacing w:before="240" w:after="120" w:line="240" w:lineRule="auto"/>
              <w:jc w:val="right"/>
              <w:rPr>
                <w:color w:val="000000"/>
                <w:szCs w:val="24"/>
                <w:lang w:eastAsia="en-GB"/>
              </w:rPr>
            </w:pPr>
            <w:r>
              <w:rPr>
                <w:color w:val="000000"/>
                <w:lang w:eastAsia="en-GB"/>
              </w:rPr>
              <w:t>160</w:t>
            </w:r>
          </w:p>
        </w:tc>
        <w:tc>
          <w:tcPr>
            <w:tcW w:w="1465" w:type="dxa"/>
            <w:gridSpan w:val="2"/>
            <w:tcBorders>
              <w:top w:val="single" w:sz="4" w:space="0" w:color="auto"/>
            </w:tcBorders>
            <w:vAlign w:val="center"/>
          </w:tcPr>
          <w:p w14:paraId="65DF1CDB" w14:textId="77777777" w:rsidR="007E1D13" w:rsidRDefault="007E1D13" w:rsidP="007E1D13">
            <w:pPr>
              <w:spacing w:before="240" w:after="120" w:line="240" w:lineRule="auto"/>
              <w:jc w:val="right"/>
              <w:rPr>
                <w:color w:val="000000"/>
                <w:szCs w:val="24"/>
                <w:lang w:eastAsia="en-GB"/>
              </w:rPr>
            </w:pPr>
            <w:r>
              <w:rPr>
                <w:color w:val="000000"/>
                <w:szCs w:val="24"/>
                <w:lang w:eastAsia="en-GB"/>
              </w:rPr>
              <w:t xml:space="preserve">24 </w:t>
            </w:r>
            <w:r w:rsidRPr="00D908F8">
              <w:rPr>
                <w:color w:val="000000"/>
                <w:sz w:val="18"/>
                <w:szCs w:val="24"/>
                <w:lang w:eastAsia="en-GB"/>
              </w:rPr>
              <w:t>%</w:t>
            </w:r>
          </w:p>
        </w:tc>
        <w:tc>
          <w:tcPr>
            <w:tcW w:w="1465" w:type="dxa"/>
            <w:gridSpan w:val="2"/>
            <w:tcBorders>
              <w:top w:val="single" w:sz="4" w:space="0" w:color="auto"/>
            </w:tcBorders>
            <w:vAlign w:val="center"/>
          </w:tcPr>
          <w:p w14:paraId="3B62EA81" w14:textId="77777777" w:rsidR="007E1D13" w:rsidRPr="00B23F3D" w:rsidRDefault="007E1D13" w:rsidP="007E1D13">
            <w:pPr>
              <w:spacing w:before="240" w:after="120" w:line="240" w:lineRule="auto"/>
              <w:jc w:val="right"/>
              <w:rPr>
                <w:color w:val="000000"/>
                <w:szCs w:val="24"/>
                <w:lang w:eastAsia="en-GB"/>
              </w:rPr>
            </w:pPr>
            <w:r>
              <w:rPr>
                <w:color w:val="000000"/>
                <w:szCs w:val="24"/>
                <w:lang w:eastAsia="en-GB"/>
              </w:rPr>
              <w:t>+ 22</w:t>
            </w:r>
          </w:p>
        </w:tc>
        <w:tc>
          <w:tcPr>
            <w:tcW w:w="1464" w:type="dxa"/>
            <w:gridSpan w:val="2"/>
            <w:tcBorders>
              <w:top w:val="single" w:sz="4" w:space="0" w:color="auto"/>
            </w:tcBorders>
            <w:shd w:val="clear" w:color="auto" w:fill="auto"/>
            <w:vAlign w:val="center"/>
          </w:tcPr>
          <w:p w14:paraId="5CCB34BF" w14:textId="77777777" w:rsidR="007E1D13" w:rsidRPr="00914809" w:rsidRDefault="007E1D13" w:rsidP="007E1D13">
            <w:pPr>
              <w:spacing w:before="240" w:after="120" w:line="240" w:lineRule="auto"/>
              <w:jc w:val="right"/>
              <w:rPr>
                <w:color w:val="000000"/>
                <w:szCs w:val="24"/>
                <w:lang w:eastAsia="en-GB"/>
              </w:rPr>
            </w:pPr>
            <w:r>
              <w:rPr>
                <w:color w:val="000000"/>
                <w:szCs w:val="24"/>
                <w:lang w:eastAsia="en-GB"/>
              </w:rPr>
              <w:t>0</w:t>
            </w:r>
          </w:p>
        </w:tc>
        <w:tc>
          <w:tcPr>
            <w:tcW w:w="1465" w:type="dxa"/>
            <w:gridSpan w:val="2"/>
            <w:tcBorders>
              <w:top w:val="single" w:sz="4" w:space="0" w:color="auto"/>
            </w:tcBorders>
            <w:vAlign w:val="center"/>
          </w:tcPr>
          <w:p w14:paraId="7AB37413" w14:textId="77777777" w:rsidR="007E1D13" w:rsidRDefault="007E1D13" w:rsidP="007E1D13">
            <w:pPr>
              <w:spacing w:before="240" w:after="120" w:line="240" w:lineRule="auto"/>
              <w:jc w:val="right"/>
              <w:rPr>
                <w:color w:val="000000"/>
                <w:szCs w:val="24"/>
                <w:lang w:eastAsia="en-GB"/>
              </w:rPr>
            </w:pPr>
            <w:r>
              <w:rPr>
                <w:color w:val="000000"/>
                <w:szCs w:val="24"/>
                <w:lang w:eastAsia="en-GB"/>
              </w:rPr>
              <w:t>0</w:t>
            </w:r>
          </w:p>
        </w:tc>
        <w:tc>
          <w:tcPr>
            <w:tcW w:w="1465" w:type="dxa"/>
            <w:gridSpan w:val="2"/>
            <w:tcBorders>
              <w:top w:val="single" w:sz="4" w:space="0" w:color="auto"/>
            </w:tcBorders>
          </w:tcPr>
          <w:p w14:paraId="5179044C" w14:textId="77777777" w:rsidR="007E1D13" w:rsidRDefault="007E1D13" w:rsidP="007E1D13">
            <w:pPr>
              <w:spacing w:before="240" w:after="120" w:line="240" w:lineRule="auto"/>
              <w:jc w:val="right"/>
              <w:rPr>
                <w:color w:val="000000"/>
                <w:szCs w:val="24"/>
                <w:lang w:eastAsia="en-GB"/>
              </w:rPr>
            </w:pPr>
            <w:r>
              <w:rPr>
                <w:color w:val="000000"/>
                <w:szCs w:val="24"/>
                <w:lang w:eastAsia="en-GB"/>
              </w:rPr>
              <w:t>7</w:t>
            </w:r>
          </w:p>
        </w:tc>
        <w:tc>
          <w:tcPr>
            <w:tcW w:w="425" w:type="dxa"/>
            <w:tcBorders>
              <w:top w:val="single" w:sz="4" w:space="0" w:color="auto"/>
            </w:tcBorders>
          </w:tcPr>
          <w:p w14:paraId="2AA6BA24" w14:textId="77777777" w:rsidR="007E1D13" w:rsidRDefault="007E1D13" w:rsidP="007E1D13">
            <w:pPr>
              <w:spacing w:before="240" w:after="120" w:line="240" w:lineRule="auto"/>
              <w:jc w:val="right"/>
              <w:rPr>
                <w:color w:val="000000"/>
                <w:szCs w:val="24"/>
                <w:lang w:eastAsia="en-GB"/>
              </w:rPr>
            </w:pPr>
          </w:p>
        </w:tc>
      </w:tr>
      <w:tr w:rsidR="007E1D13" w:rsidRPr="00B2469D" w14:paraId="12AAA65C" w14:textId="77777777" w:rsidTr="007E1D13">
        <w:trPr>
          <w:trHeight w:val="359"/>
        </w:trPr>
        <w:tc>
          <w:tcPr>
            <w:tcW w:w="817" w:type="dxa"/>
            <w:vAlign w:val="center"/>
          </w:tcPr>
          <w:p w14:paraId="7F6CC27B" w14:textId="77777777" w:rsidR="007E1D13" w:rsidRPr="00F65B33" w:rsidRDefault="007E1D13" w:rsidP="007E1D13">
            <w:pPr>
              <w:spacing w:before="120" w:after="120" w:line="240" w:lineRule="auto"/>
              <w:rPr>
                <w:b/>
                <w:sz w:val="20"/>
                <w:szCs w:val="24"/>
                <w:lang w:eastAsia="en-GB"/>
              </w:rPr>
            </w:pPr>
            <w:r>
              <w:rPr>
                <w:b/>
                <w:color w:val="000000"/>
                <w:szCs w:val="24"/>
                <w:lang w:eastAsia="en-GB"/>
              </w:rPr>
              <w:t>2.</w:t>
            </w:r>
          </w:p>
        </w:tc>
        <w:tc>
          <w:tcPr>
            <w:tcW w:w="1985" w:type="dxa"/>
            <w:vAlign w:val="center"/>
          </w:tcPr>
          <w:p w14:paraId="0A6DE25F" w14:textId="77777777" w:rsidR="007E1D13" w:rsidRPr="009D14B1" w:rsidRDefault="007E1D13" w:rsidP="007E1D13">
            <w:pPr>
              <w:spacing w:before="120" w:after="120" w:line="240" w:lineRule="auto"/>
              <w:rPr>
                <w:b/>
                <w:color w:val="000000"/>
                <w:szCs w:val="24"/>
                <w:lang w:eastAsia="en-GB"/>
              </w:rPr>
            </w:pPr>
            <w:r w:rsidRPr="009D14B1">
              <w:rPr>
                <w:b/>
                <w:szCs w:val="24"/>
                <w:lang w:eastAsia="en-GB"/>
              </w:rPr>
              <w:t xml:space="preserve">Identity  </w:t>
            </w:r>
          </w:p>
        </w:tc>
        <w:tc>
          <w:tcPr>
            <w:tcW w:w="2551" w:type="dxa"/>
            <w:gridSpan w:val="2"/>
            <w:vAlign w:val="center"/>
          </w:tcPr>
          <w:p w14:paraId="34920964" w14:textId="77777777" w:rsidR="007E1D13" w:rsidRDefault="007E1D13" w:rsidP="007E1D13">
            <w:pPr>
              <w:spacing w:before="120" w:after="120" w:line="240" w:lineRule="auto"/>
              <w:rPr>
                <w:color w:val="000000"/>
                <w:szCs w:val="24"/>
                <w:lang w:eastAsia="en-GB"/>
              </w:rPr>
            </w:pPr>
            <w:r>
              <w:rPr>
                <w:szCs w:val="24"/>
                <w:lang w:eastAsia="en-GB"/>
              </w:rPr>
              <w:t>Negative user</w:t>
            </w:r>
          </w:p>
        </w:tc>
        <w:tc>
          <w:tcPr>
            <w:tcW w:w="614" w:type="dxa"/>
            <w:vAlign w:val="center"/>
          </w:tcPr>
          <w:p w14:paraId="617F019D" w14:textId="77777777" w:rsidR="007E1D13" w:rsidRDefault="007E1D13" w:rsidP="007E1D13">
            <w:pPr>
              <w:spacing w:before="120" w:after="120" w:line="240" w:lineRule="auto"/>
              <w:jc w:val="right"/>
              <w:rPr>
                <w:szCs w:val="24"/>
                <w:lang w:eastAsia="en-GB"/>
              </w:rPr>
            </w:pPr>
            <w:r>
              <w:rPr>
                <w:color w:val="000000"/>
                <w:lang w:eastAsia="en-GB"/>
              </w:rPr>
              <w:t>31</w:t>
            </w:r>
          </w:p>
        </w:tc>
        <w:tc>
          <w:tcPr>
            <w:tcW w:w="1465" w:type="dxa"/>
            <w:gridSpan w:val="2"/>
            <w:vAlign w:val="center"/>
          </w:tcPr>
          <w:p w14:paraId="606DDE64" w14:textId="77777777" w:rsidR="007E1D13" w:rsidRDefault="007E1D13" w:rsidP="007E1D13">
            <w:pPr>
              <w:spacing w:before="120" w:after="120" w:line="240" w:lineRule="auto"/>
              <w:jc w:val="right"/>
              <w:rPr>
                <w:szCs w:val="24"/>
                <w:lang w:eastAsia="en-GB"/>
              </w:rPr>
            </w:pPr>
            <w:r>
              <w:rPr>
                <w:color w:val="000000"/>
                <w:szCs w:val="24"/>
                <w:lang w:eastAsia="en-GB"/>
              </w:rPr>
              <w:t xml:space="preserve">5 </w:t>
            </w:r>
            <w:r w:rsidRPr="00D908F8">
              <w:rPr>
                <w:color w:val="000000"/>
                <w:sz w:val="18"/>
                <w:szCs w:val="24"/>
                <w:lang w:eastAsia="en-GB"/>
              </w:rPr>
              <w:t>%</w:t>
            </w:r>
          </w:p>
        </w:tc>
        <w:tc>
          <w:tcPr>
            <w:tcW w:w="1465" w:type="dxa"/>
            <w:gridSpan w:val="2"/>
            <w:vAlign w:val="center"/>
          </w:tcPr>
          <w:p w14:paraId="71F993EB" w14:textId="77777777" w:rsidR="007E1D13" w:rsidRPr="00B23F3D" w:rsidRDefault="007E1D13" w:rsidP="007E1D13">
            <w:pPr>
              <w:spacing w:before="120" w:after="120" w:line="240" w:lineRule="auto"/>
              <w:jc w:val="right"/>
              <w:rPr>
                <w:color w:val="000000"/>
                <w:szCs w:val="24"/>
                <w:lang w:eastAsia="en-GB"/>
              </w:rPr>
            </w:pPr>
            <w:r>
              <w:rPr>
                <w:color w:val="000000"/>
                <w:szCs w:val="24"/>
                <w:lang w:eastAsia="en-GB"/>
              </w:rPr>
              <w:t>+ 14</w:t>
            </w:r>
          </w:p>
        </w:tc>
        <w:tc>
          <w:tcPr>
            <w:tcW w:w="1464" w:type="dxa"/>
            <w:gridSpan w:val="2"/>
            <w:shd w:val="clear" w:color="auto" w:fill="auto"/>
            <w:vAlign w:val="center"/>
          </w:tcPr>
          <w:p w14:paraId="0EAC864D" w14:textId="77777777" w:rsidR="007E1D13" w:rsidRDefault="007E1D13" w:rsidP="007E1D13">
            <w:pPr>
              <w:spacing w:before="120" w:after="120" w:line="240" w:lineRule="auto"/>
              <w:jc w:val="right"/>
              <w:rPr>
                <w:color w:val="000000"/>
                <w:szCs w:val="24"/>
                <w:lang w:eastAsia="en-GB"/>
              </w:rPr>
            </w:pPr>
            <w:r>
              <w:rPr>
                <w:color w:val="000000"/>
                <w:szCs w:val="24"/>
                <w:lang w:eastAsia="en-GB"/>
              </w:rPr>
              <w:t>+ 3</w:t>
            </w:r>
          </w:p>
        </w:tc>
        <w:tc>
          <w:tcPr>
            <w:tcW w:w="1465" w:type="dxa"/>
            <w:gridSpan w:val="2"/>
            <w:vAlign w:val="center"/>
          </w:tcPr>
          <w:p w14:paraId="0BA8E90E" w14:textId="77777777" w:rsidR="007E1D13" w:rsidRPr="00451D45" w:rsidRDefault="007E1D13" w:rsidP="007E1D13">
            <w:pPr>
              <w:spacing w:before="120" w:after="120" w:line="240" w:lineRule="auto"/>
              <w:jc w:val="right"/>
              <w:rPr>
                <w:szCs w:val="24"/>
                <w:lang w:eastAsia="en-GB"/>
              </w:rPr>
            </w:pPr>
            <w:r>
              <w:rPr>
                <w:szCs w:val="24"/>
                <w:lang w:eastAsia="en-GB"/>
              </w:rPr>
              <w:t>2</w:t>
            </w:r>
          </w:p>
        </w:tc>
        <w:tc>
          <w:tcPr>
            <w:tcW w:w="1465" w:type="dxa"/>
            <w:gridSpan w:val="2"/>
          </w:tcPr>
          <w:p w14:paraId="6A017096"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425" w:type="dxa"/>
          </w:tcPr>
          <w:p w14:paraId="544914AA" w14:textId="77777777" w:rsidR="007E1D13" w:rsidRPr="00451D45" w:rsidRDefault="007E1D13" w:rsidP="007E1D13">
            <w:pPr>
              <w:spacing w:before="120" w:after="120" w:line="240" w:lineRule="auto"/>
              <w:jc w:val="right"/>
              <w:rPr>
                <w:szCs w:val="24"/>
                <w:lang w:eastAsia="en-GB"/>
              </w:rPr>
            </w:pPr>
          </w:p>
        </w:tc>
      </w:tr>
      <w:tr w:rsidR="007E1D13" w:rsidRPr="00B2469D" w14:paraId="0A18AB3F" w14:textId="77777777" w:rsidTr="007E1D13">
        <w:trPr>
          <w:trHeight w:val="359"/>
        </w:trPr>
        <w:tc>
          <w:tcPr>
            <w:tcW w:w="817" w:type="dxa"/>
            <w:vAlign w:val="center"/>
          </w:tcPr>
          <w:p w14:paraId="37BCE0C7" w14:textId="77777777" w:rsidR="007E1D13" w:rsidRPr="00F65B33" w:rsidRDefault="007E1D13" w:rsidP="007E1D13">
            <w:pPr>
              <w:spacing w:before="120" w:after="120" w:line="240" w:lineRule="auto"/>
              <w:rPr>
                <w:b/>
                <w:sz w:val="20"/>
                <w:szCs w:val="24"/>
                <w:lang w:eastAsia="en-GB"/>
              </w:rPr>
            </w:pPr>
            <w:r>
              <w:rPr>
                <w:b/>
                <w:color w:val="000000"/>
                <w:szCs w:val="24"/>
                <w:lang w:eastAsia="en-GB"/>
              </w:rPr>
              <w:t>3.</w:t>
            </w:r>
          </w:p>
        </w:tc>
        <w:tc>
          <w:tcPr>
            <w:tcW w:w="1985" w:type="dxa"/>
            <w:vAlign w:val="center"/>
          </w:tcPr>
          <w:p w14:paraId="64080576" w14:textId="77777777" w:rsidR="007E1D13" w:rsidRPr="009D14B1" w:rsidRDefault="007E1D13" w:rsidP="007E1D13">
            <w:pPr>
              <w:spacing w:before="120" w:after="120" w:line="240" w:lineRule="auto"/>
              <w:rPr>
                <w:b/>
                <w:color w:val="000000"/>
                <w:szCs w:val="24"/>
                <w:lang w:eastAsia="en-GB"/>
              </w:rPr>
            </w:pPr>
            <w:r w:rsidRPr="009D14B1">
              <w:rPr>
                <w:b/>
                <w:color w:val="000000"/>
                <w:lang w:eastAsia="en-GB"/>
              </w:rPr>
              <w:t xml:space="preserve">Substitution  </w:t>
            </w:r>
          </w:p>
        </w:tc>
        <w:tc>
          <w:tcPr>
            <w:tcW w:w="2551" w:type="dxa"/>
            <w:gridSpan w:val="2"/>
            <w:vAlign w:val="center"/>
          </w:tcPr>
          <w:p w14:paraId="22C67189" w14:textId="77777777" w:rsidR="007E1D13" w:rsidRDefault="007E1D13" w:rsidP="007E1D13">
            <w:pPr>
              <w:spacing w:before="120" w:after="120" w:line="240" w:lineRule="auto"/>
              <w:rPr>
                <w:color w:val="000000"/>
                <w:szCs w:val="24"/>
                <w:lang w:eastAsia="en-GB"/>
              </w:rPr>
            </w:pPr>
            <w:r>
              <w:rPr>
                <w:color w:val="000000"/>
                <w:lang w:eastAsia="en-GB"/>
              </w:rPr>
              <w:t>Use of traditional drugs</w:t>
            </w:r>
          </w:p>
        </w:tc>
        <w:tc>
          <w:tcPr>
            <w:tcW w:w="614" w:type="dxa"/>
            <w:vAlign w:val="center"/>
          </w:tcPr>
          <w:p w14:paraId="31FE5D4D" w14:textId="77777777" w:rsidR="007E1D13" w:rsidRDefault="007E1D13" w:rsidP="007E1D13">
            <w:pPr>
              <w:spacing w:before="120" w:after="120" w:line="240" w:lineRule="auto"/>
              <w:jc w:val="right"/>
              <w:rPr>
                <w:color w:val="000000"/>
                <w:szCs w:val="24"/>
                <w:lang w:eastAsia="en-GB"/>
              </w:rPr>
            </w:pPr>
            <w:r>
              <w:rPr>
                <w:color w:val="000000"/>
                <w:lang w:eastAsia="en-GB"/>
              </w:rPr>
              <w:t>29</w:t>
            </w:r>
          </w:p>
        </w:tc>
        <w:tc>
          <w:tcPr>
            <w:tcW w:w="1465" w:type="dxa"/>
            <w:gridSpan w:val="2"/>
            <w:vAlign w:val="center"/>
          </w:tcPr>
          <w:p w14:paraId="064E2639"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4 </w:t>
            </w:r>
            <w:r w:rsidRPr="00D908F8">
              <w:rPr>
                <w:color w:val="000000"/>
                <w:sz w:val="18"/>
                <w:szCs w:val="24"/>
                <w:lang w:eastAsia="en-GB"/>
              </w:rPr>
              <w:t>%</w:t>
            </w:r>
          </w:p>
        </w:tc>
        <w:tc>
          <w:tcPr>
            <w:tcW w:w="1465" w:type="dxa"/>
            <w:gridSpan w:val="2"/>
            <w:vAlign w:val="center"/>
          </w:tcPr>
          <w:p w14:paraId="7F1D049D" w14:textId="77777777" w:rsidR="007E1D13" w:rsidRPr="00B23F3D" w:rsidRDefault="007E1D13" w:rsidP="007E1D13">
            <w:pPr>
              <w:spacing w:before="120" w:after="120" w:line="240" w:lineRule="auto"/>
              <w:jc w:val="right"/>
              <w:rPr>
                <w:szCs w:val="24"/>
                <w:lang w:eastAsia="en-GB"/>
              </w:rPr>
            </w:pPr>
            <w:r>
              <w:rPr>
                <w:szCs w:val="24"/>
                <w:lang w:eastAsia="en-GB"/>
              </w:rPr>
              <w:t>- 3</w:t>
            </w:r>
          </w:p>
        </w:tc>
        <w:tc>
          <w:tcPr>
            <w:tcW w:w="1464" w:type="dxa"/>
            <w:gridSpan w:val="2"/>
            <w:shd w:val="clear" w:color="auto" w:fill="auto"/>
            <w:vAlign w:val="center"/>
          </w:tcPr>
          <w:p w14:paraId="1746E5D0" w14:textId="77777777" w:rsidR="007E1D13" w:rsidRDefault="007E1D13" w:rsidP="007E1D13">
            <w:pPr>
              <w:spacing w:before="120" w:after="120" w:line="240" w:lineRule="auto"/>
              <w:jc w:val="right"/>
              <w:rPr>
                <w:color w:val="000000"/>
                <w:szCs w:val="24"/>
                <w:lang w:eastAsia="en-GB"/>
              </w:rPr>
            </w:pPr>
            <w:r>
              <w:rPr>
                <w:color w:val="000000"/>
                <w:szCs w:val="24"/>
                <w:lang w:eastAsia="en-GB"/>
              </w:rPr>
              <w:t>- 1</w:t>
            </w:r>
          </w:p>
        </w:tc>
        <w:tc>
          <w:tcPr>
            <w:tcW w:w="1465" w:type="dxa"/>
            <w:gridSpan w:val="2"/>
            <w:vAlign w:val="center"/>
          </w:tcPr>
          <w:p w14:paraId="15EB09E6" w14:textId="77777777" w:rsidR="007E1D13" w:rsidRPr="00451D45" w:rsidRDefault="007E1D13" w:rsidP="007E1D13">
            <w:pPr>
              <w:spacing w:before="120" w:after="120" w:line="240" w:lineRule="auto"/>
              <w:jc w:val="right"/>
              <w:rPr>
                <w:szCs w:val="24"/>
                <w:lang w:eastAsia="en-GB"/>
              </w:rPr>
            </w:pPr>
            <w:r>
              <w:rPr>
                <w:szCs w:val="24"/>
                <w:lang w:eastAsia="en-GB"/>
              </w:rPr>
              <w:t>3</w:t>
            </w:r>
          </w:p>
        </w:tc>
        <w:tc>
          <w:tcPr>
            <w:tcW w:w="1465" w:type="dxa"/>
            <w:gridSpan w:val="2"/>
          </w:tcPr>
          <w:p w14:paraId="74E76BE8" w14:textId="77777777" w:rsidR="007E1D13" w:rsidRPr="00451D45" w:rsidRDefault="007E1D13" w:rsidP="007E1D13">
            <w:pPr>
              <w:spacing w:before="120" w:after="120" w:line="240" w:lineRule="auto"/>
              <w:jc w:val="right"/>
              <w:rPr>
                <w:szCs w:val="24"/>
                <w:lang w:eastAsia="en-GB"/>
              </w:rPr>
            </w:pPr>
            <w:r>
              <w:rPr>
                <w:szCs w:val="24"/>
                <w:lang w:eastAsia="en-GB"/>
              </w:rPr>
              <w:t>6</w:t>
            </w:r>
          </w:p>
        </w:tc>
        <w:tc>
          <w:tcPr>
            <w:tcW w:w="425" w:type="dxa"/>
          </w:tcPr>
          <w:p w14:paraId="6D239BB0" w14:textId="77777777" w:rsidR="007E1D13" w:rsidRPr="00451D45" w:rsidRDefault="007E1D13" w:rsidP="007E1D13">
            <w:pPr>
              <w:spacing w:before="120" w:after="120" w:line="240" w:lineRule="auto"/>
              <w:jc w:val="right"/>
              <w:rPr>
                <w:szCs w:val="24"/>
                <w:lang w:eastAsia="en-GB"/>
              </w:rPr>
            </w:pPr>
          </w:p>
        </w:tc>
      </w:tr>
      <w:tr w:rsidR="007E1D13" w:rsidRPr="00B2469D" w14:paraId="12634679" w14:textId="77777777" w:rsidTr="007E1D13">
        <w:trPr>
          <w:trHeight w:val="359"/>
        </w:trPr>
        <w:tc>
          <w:tcPr>
            <w:tcW w:w="817" w:type="dxa"/>
            <w:vAlign w:val="center"/>
          </w:tcPr>
          <w:p w14:paraId="6F6E508C" w14:textId="77777777" w:rsidR="007E1D13" w:rsidRPr="00F65B33" w:rsidRDefault="007E1D13" w:rsidP="007E1D13">
            <w:pPr>
              <w:spacing w:before="120" w:after="120" w:line="240" w:lineRule="auto"/>
              <w:rPr>
                <w:b/>
                <w:sz w:val="20"/>
                <w:szCs w:val="24"/>
                <w:lang w:eastAsia="en-GB"/>
              </w:rPr>
            </w:pPr>
            <w:r>
              <w:rPr>
                <w:b/>
                <w:color w:val="000000"/>
                <w:szCs w:val="24"/>
                <w:lang w:eastAsia="en-GB"/>
              </w:rPr>
              <w:t>4.</w:t>
            </w:r>
          </w:p>
        </w:tc>
        <w:tc>
          <w:tcPr>
            <w:tcW w:w="1985" w:type="dxa"/>
            <w:vAlign w:val="center"/>
          </w:tcPr>
          <w:p w14:paraId="761501B1" w14:textId="77777777" w:rsidR="007E1D13" w:rsidRPr="009D14B1" w:rsidRDefault="007E1D13" w:rsidP="007E1D13">
            <w:pPr>
              <w:spacing w:before="120" w:after="120" w:line="240" w:lineRule="auto"/>
              <w:rPr>
                <w:b/>
                <w:szCs w:val="24"/>
                <w:lang w:eastAsia="en-GB"/>
              </w:rPr>
            </w:pPr>
            <w:r w:rsidRPr="009D14B1">
              <w:rPr>
                <w:b/>
                <w:szCs w:val="24"/>
                <w:lang w:eastAsia="en-GB"/>
              </w:rPr>
              <w:t xml:space="preserve">Authority  </w:t>
            </w:r>
          </w:p>
        </w:tc>
        <w:tc>
          <w:tcPr>
            <w:tcW w:w="2551" w:type="dxa"/>
            <w:gridSpan w:val="2"/>
            <w:vAlign w:val="center"/>
          </w:tcPr>
          <w:p w14:paraId="1EEEE6CD" w14:textId="77777777" w:rsidR="007E1D13" w:rsidRDefault="007E1D13" w:rsidP="007E1D13">
            <w:pPr>
              <w:spacing w:before="120" w:after="120" w:line="240" w:lineRule="auto"/>
              <w:rPr>
                <w:szCs w:val="24"/>
                <w:lang w:eastAsia="en-GB"/>
              </w:rPr>
            </w:pPr>
            <w:r>
              <w:rPr>
                <w:szCs w:val="24"/>
                <w:lang w:eastAsia="en-GB"/>
              </w:rPr>
              <w:t>Disapproval</w:t>
            </w:r>
          </w:p>
        </w:tc>
        <w:tc>
          <w:tcPr>
            <w:tcW w:w="614" w:type="dxa"/>
            <w:vAlign w:val="center"/>
          </w:tcPr>
          <w:p w14:paraId="4E1917EB" w14:textId="77777777" w:rsidR="007E1D13" w:rsidRDefault="007E1D13" w:rsidP="007E1D13">
            <w:pPr>
              <w:spacing w:before="120" w:after="120" w:line="240" w:lineRule="auto"/>
              <w:jc w:val="right"/>
              <w:rPr>
                <w:color w:val="000000"/>
                <w:szCs w:val="24"/>
                <w:lang w:eastAsia="en-GB"/>
              </w:rPr>
            </w:pPr>
            <w:r>
              <w:rPr>
                <w:szCs w:val="24"/>
                <w:lang w:eastAsia="en-GB"/>
              </w:rPr>
              <w:t>24</w:t>
            </w:r>
          </w:p>
        </w:tc>
        <w:tc>
          <w:tcPr>
            <w:tcW w:w="1465" w:type="dxa"/>
            <w:gridSpan w:val="2"/>
            <w:vAlign w:val="center"/>
          </w:tcPr>
          <w:p w14:paraId="33B77D38"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4 </w:t>
            </w:r>
            <w:r w:rsidRPr="00D908F8">
              <w:rPr>
                <w:color w:val="000000"/>
                <w:sz w:val="18"/>
                <w:szCs w:val="24"/>
                <w:lang w:eastAsia="en-GB"/>
              </w:rPr>
              <w:t>%</w:t>
            </w:r>
          </w:p>
        </w:tc>
        <w:tc>
          <w:tcPr>
            <w:tcW w:w="1465" w:type="dxa"/>
            <w:gridSpan w:val="2"/>
            <w:vAlign w:val="center"/>
          </w:tcPr>
          <w:p w14:paraId="214BA7EF" w14:textId="77777777" w:rsidR="007E1D13" w:rsidRPr="00B23F3D" w:rsidRDefault="007E1D13" w:rsidP="007E1D13">
            <w:pPr>
              <w:spacing w:before="120" w:after="120" w:line="240" w:lineRule="auto"/>
              <w:jc w:val="right"/>
              <w:rPr>
                <w:szCs w:val="24"/>
                <w:lang w:eastAsia="en-GB"/>
              </w:rPr>
            </w:pPr>
            <w:r>
              <w:rPr>
                <w:szCs w:val="24"/>
                <w:lang w:eastAsia="en-GB"/>
              </w:rPr>
              <w:t>+ 4</w:t>
            </w:r>
          </w:p>
        </w:tc>
        <w:tc>
          <w:tcPr>
            <w:tcW w:w="1464" w:type="dxa"/>
            <w:gridSpan w:val="2"/>
            <w:shd w:val="clear" w:color="auto" w:fill="auto"/>
            <w:vAlign w:val="center"/>
          </w:tcPr>
          <w:p w14:paraId="6E764673"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0 </w:t>
            </w:r>
          </w:p>
        </w:tc>
        <w:tc>
          <w:tcPr>
            <w:tcW w:w="1465" w:type="dxa"/>
            <w:gridSpan w:val="2"/>
            <w:vAlign w:val="center"/>
          </w:tcPr>
          <w:p w14:paraId="4A79A6AF"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1465" w:type="dxa"/>
            <w:gridSpan w:val="2"/>
          </w:tcPr>
          <w:p w14:paraId="37FC599F" w14:textId="77777777" w:rsidR="007E1D13" w:rsidRPr="00451D45" w:rsidRDefault="007E1D13" w:rsidP="007E1D13">
            <w:pPr>
              <w:spacing w:before="120" w:after="120" w:line="240" w:lineRule="auto"/>
              <w:jc w:val="right"/>
              <w:rPr>
                <w:szCs w:val="24"/>
                <w:lang w:eastAsia="en-GB"/>
              </w:rPr>
            </w:pPr>
            <w:r>
              <w:rPr>
                <w:szCs w:val="24"/>
                <w:lang w:eastAsia="en-GB"/>
              </w:rPr>
              <w:t>8</w:t>
            </w:r>
          </w:p>
        </w:tc>
        <w:tc>
          <w:tcPr>
            <w:tcW w:w="425" w:type="dxa"/>
          </w:tcPr>
          <w:p w14:paraId="6706FEA1" w14:textId="77777777" w:rsidR="007E1D13" w:rsidRPr="00451D45" w:rsidRDefault="007E1D13" w:rsidP="007E1D13">
            <w:pPr>
              <w:spacing w:before="120" w:after="120" w:line="240" w:lineRule="auto"/>
              <w:jc w:val="right"/>
              <w:rPr>
                <w:szCs w:val="24"/>
                <w:lang w:eastAsia="en-GB"/>
              </w:rPr>
            </w:pPr>
          </w:p>
        </w:tc>
      </w:tr>
      <w:tr w:rsidR="007E1D13" w:rsidRPr="00B2469D" w14:paraId="525B7F23" w14:textId="77777777" w:rsidTr="007E1D13">
        <w:trPr>
          <w:trHeight w:val="359"/>
        </w:trPr>
        <w:tc>
          <w:tcPr>
            <w:tcW w:w="817" w:type="dxa"/>
            <w:vAlign w:val="center"/>
          </w:tcPr>
          <w:p w14:paraId="05935D96" w14:textId="77777777" w:rsidR="007E1D13" w:rsidRPr="00F65B33" w:rsidRDefault="007E1D13" w:rsidP="007E1D13">
            <w:pPr>
              <w:spacing w:before="120" w:after="120" w:line="240" w:lineRule="auto"/>
              <w:rPr>
                <w:b/>
                <w:sz w:val="20"/>
                <w:szCs w:val="24"/>
                <w:lang w:eastAsia="en-GB"/>
              </w:rPr>
            </w:pPr>
            <w:r>
              <w:rPr>
                <w:b/>
                <w:color w:val="000000"/>
                <w:szCs w:val="24"/>
                <w:lang w:eastAsia="en-GB"/>
              </w:rPr>
              <w:t>5.</w:t>
            </w:r>
          </w:p>
        </w:tc>
        <w:tc>
          <w:tcPr>
            <w:tcW w:w="1985" w:type="dxa"/>
            <w:vAlign w:val="center"/>
          </w:tcPr>
          <w:p w14:paraId="0179FDDE" w14:textId="77777777" w:rsidR="007E1D13" w:rsidRPr="009D14B1" w:rsidRDefault="007E1D13" w:rsidP="007E1D13">
            <w:pPr>
              <w:spacing w:before="120" w:after="120" w:line="240" w:lineRule="auto"/>
              <w:rPr>
                <w:b/>
                <w:color w:val="000000"/>
                <w:szCs w:val="24"/>
                <w:lang w:eastAsia="en-GB"/>
              </w:rPr>
            </w:pPr>
            <w:r w:rsidRPr="009D14B1">
              <w:rPr>
                <w:b/>
                <w:color w:val="000000"/>
                <w:szCs w:val="24"/>
                <w:lang w:eastAsia="en-GB"/>
              </w:rPr>
              <w:t xml:space="preserve">Accessibility  </w:t>
            </w:r>
          </w:p>
        </w:tc>
        <w:tc>
          <w:tcPr>
            <w:tcW w:w="2551" w:type="dxa"/>
            <w:gridSpan w:val="2"/>
            <w:vAlign w:val="center"/>
          </w:tcPr>
          <w:p w14:paraId="400CCDDE" w14:textId="77777777" w:rsidR="007E1D13" w:rsidRPr="00914809" w:rsidRDefault="007E1D13" w:rsidP="007E1D13">
            <w:pPr>
              <w:spacing w:before="120" w:after="120" w:line="240" w:lineRule="auto"/>
              <w:rPr>
                <w:color w:val="000000"/>
                <w:szCs w:val="24"/>
                <w:lang w:eastAsia="en-GB"/>
              </w:rPr>
            </w:pPr>
            <w:r>
              <w:rPr>
                <w:color w:val="000000"/>
                <w:szCs w:val="24"/>
                <w:lang w:eastAsia="en-GB"/>
              </w:rPr>
              <w:t>Difficult</w:t>
            </w:r>
          </w:p>
        </w:tc>
        <w:tc>
          <w:tcPr>
            <w:tcW w:w="614" w:type="dxa"/>
            <w:vAlign w:val="center"/>
          </w:tcPr>
          <w:p w14:paraId="46429B89" w14:textId="77777777" w:rsidR="007E1D13" w:rsidRDefault="007E1D13" w:rsidP="007E1D13">
            <w:pPr>
              <w:spacing w:before="120" w:after="120" w:line="240" w:lineRule="auto"/>
              <w:jc w:val="right"/>
              <w:rPr>
                <w:color w:val="000000"/>
                <w:szCs w:val="24"/>
                <w:lang w:eastAsia="en-GB"/>
              </w:rPr>
            </w:pPr>
            <w:r>
              <w:rPr>
                <w:color w:val="000000"/>
                <w:lang w:eastAsia="en-GB"/>
              </w:rPr>
              <w:t>20</w:t>
            </w:r>
          </w:p>
        </w:tc>
        <w:tc>
          <w:tcPr>
            <w:tcW w:w="1465" w:type="dxa"/>
            <w:gridSpan w:val="2"/>
            <w:vAlign w:val="center"/>
          </w:tcPr>
          <w:p w14:paraId="0455AC91" w14:textId="77777777" w:rsidR="007E1D13" w:rsidRDefault="007E1D13" w:rsidP="007E1D13">
            <w:pPr>
              <w:spacing w:before="120" w:after="120" w:line="240" w:lineRule="auto"/>
              <w:jc w:val="right"/>
              <w:rPr>
                <w:color w:val="000000"/>
                <w:szCs w:val="24"/>
                <w:lang w:eastAsia="en-GB"/>
              </w:rPr>
            </w:pPr>
            <w:r>
              <w:rPr>
                <w:color w:val="000000"/>
                <w:szCs w:val="24"/>
                <w:lang w:eastAsia="en-GB"/>
              </w:rPr>
              <w:t xml:space="preserve">3 </w:t>
            </w:r>
            <w:r w:rsidRPr="00D908F8">
              <w:rPr>
                <w:color w:val="000000"/>
                <w:sz w:val="18"/>
                <w:szCs w:val="24"/>
                <w:lang w:eastAsia="en-GB"/>
              </w:rPr>
              <w:t>%</w:t>
            </w:r>
          </w:p>
        </w:tc>
        <w:tc>
          <w:tcPr>
            <w:tcW w:w="1465" w:type="dxa"/>
            <w:gridSpan w:val="2"/>
            <w:vAlign w:val="center"/>
          </w:tcPr>
          <w:p w14:paraId="65C9E953" w14:textId="77777777" w:rsidR="007E1D13" w:rsidRPr="00B23F3D" w:rsidRDefault="007E1D13" w:rsidP="007E1D13">
            <w:pPr>
              <w:spacing w:before="120" w:after="120" w:line="240" w:lineRule="auto"/>
              <w:jc w:val="right"/>
              <w:rPr>
                <w:color w:val="000000"/>
                <w:szCs w:val="24"/>
                <w:lang w:eastAsia="en-GB"/>
              </w:rPr>
            </w:pPr>
            <w:r>
              <w:rPr>
                <w:color w:val="000000"/>
                <w:szCs w:val="24"/>
                <w:lang w:eastAsia="en-GB"/>
              </w:rPr>
              <w:t>+ 20</w:t>
            </w:r>
          </w:p>
        </w:tc>
        <w:tc>
          <w:tcPr>
            <w:tcW w:w="1464" w:type="dxa"/>
            <w:gridSpan w:val="2"/>
            <w:shd w:val="clear" w:color="auto" w:fill="auto"/>
            <w:vAlign w:val="center"/>
          </w:tcPr>
          <w:p w14:paraId="0E090D44" w14:textId="77777777" w:rsidR="007E1D13" w:rsidRPr="00914809" w:rsidRDefault="007E1D13" w:rsidP="007E1D13">
            <w:pPr>
              <w:spacing w:before="120" w:after="120" w:line="240" w:lineRule="auto"/>
              <w:jc w:val="right"/>
              <w:rPr>
                <w:color w:val="000000"/>
                <w:szCs w:val="24"/>
                <w:lang w:eastAsia="en-GB"/>
              </w:rPr>
            </w:pPr>
            <w:r>
              <w:rPr>
                <w:color w:val="000000"/>
                <w:szCs w:val="24"/>
                <w:lang w:eastAsia="en-GB"/>
              </w:rPr>
              <w:t>+ 2</w:t>
            </w:r>
          </w:p>
        </w:tc>
        <w:tc>
          <w:tcPr>
            <w:tcW w:w="1465" w:type="dxa"/>
            <w:gridSpan w:val="2"/>
            <w:vAlign w:val="center"/>
          </w:tcPr>
          <w:p w14:paraId="0C4EA3B3"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1465" w:type="dxa"/>
            <w:gridSpan w:val="2"/>
          </w:tcPr>
          <w:p w14:paraId="3FEAD422" w14:textId="77777777" w:rsidR="007E1D13" w:rsidRPr="00451D45" w:rsidRDefault="007E1D13" w:rsidP="007E1D13">
            <w:pPr>
              <w:spacing w:before="120" w:after="120" w:line="240" w:lineRule="auto"/>
              <w:jc w:val="right"/>
              <w:rPr>
                <w:szCs w:val="24"/>
                <w:lang w:eastAsia="en-GB"/>
              </w:rPr>
            </w:pPr>
            <w:r>
              <w:rPr>
                <w:szCs w:val="24"/>
                <w:lang w:eastAsia="en-GB"/>
              </w:rPr>
              <w:t>2</w:t>
            </w:r>
          </w:p>
        </w:tc>
        <w:tc>
          <w:tcPr>
            <w:tcW w:w="425" w:type="dxa"/>
          </w:tcPr>
          <w:p w14:paraId="2ED8E87B" w14:textId="77777777" w:rsidR="007E1D13" w:rsidRPr="00451D45" w:rsidRDefault="007E1D13" w:rsidP="007E1D13">
            <w:pPr>
              <w:spacing w:before="120" w:after="120" w:line="240" w:lineRule="auto"/>
              <w:jc w:val="right"/>
              <w:rPr>
                <w:szCs w:val="24"/>
                <w:lang w:eastAsia="en-GB"/>
              </w:rPr>
            </w:pPr>
          </w:p>
        </w:tc>
      </w:tr>
      <w:tr w:rsidR="007E1D13" w:rsidRPr="00B2469D" w14:paraId="3BB5BEAF" w14:textId="77777777" w:rsidTr="007E1D13">
        <w:trPr>
          <w:trHeight w:val="359"/>
        </w:trPr>
        <w:tc>
          <w:tcPr>
            <w:tcW w:w="817" w:type="dxa"/>
            <w:vAlign w:val="center"/>
          </w:tcPr>
          <w:p w14:paraId="1B29545C" w14:textId="77777777" w:rsidR="007E1D13" w:rsidRPr="00F65B33" w:rsidRDefault="007E1D13" w:rsidP="007E1D13">
            <w:pPr>
              <w:spacing w:before="120" w:after="120" w:line="240" w:lineRule="auto"/>
              <w:rPr>
                <w:b/>
                <w:color w:val="000000"/>
                <w:sz w:val="20"/>
                <w:szCs w:val="24"/>
                <w:lang w:eastAsia="en-GB"/>
              </w:rPr>
            </w:pPr>
            <w:r>
              <w:rPr>
                <w:b/>
                <w:szCs w:val="24"/>
                <w:lang w:eastAsia="en-GB"/>
              </w:rPr>
              <w:t>6.</w:t>
            </w:r>
          </w:p>
        </w:tc>
        <w:tc>
          <w:tcPr>
            <w:tcW w:w="1985" w:type="dxa"/>
            <w:vAlign w:val="center"/>
          </w:tcPr>
          <w:p w14:paraId="1B95FD74" w14:textId="77777777" w:rsidR="007E1D13" w:rsidRPr="009D14B1" w:rsidRDefault="007E1D13" w:rsidP="007E1D13">
            <w:pPr>
              <w:spacing w:before="120" w:after="120" w:line="240" w:lineRule="auto"/>
              <w:rPr>
                <w:b/>
                <w:szCs w:val="24"/>
                <w:lang w:eastAsia="en-GB"/>
              </w:rPr>
            </w:pPr>
            <w:r w:rsidRPr="009D14B1">
              <w:rPr>
                <w:b/>
                <w:szCs w:val="24"/>
                <w:lang w:eastAsia="en-GB"/>
              </w:rPr>
              <w:t xml:space="preserve">Legal status  </w:t>
            </w:r>
          </w:p>
        </w:tc>
        <w:tc>
          <w:tcPr>
            <w:tcW w:w="2551" w:type="dxa"/>
            <w:gridSpan w:val="2"/>
            <w:vAlign w:val="center"/>
          </w:tcPr>
          <w:p w14:paraId="64290F2C" w14:textId="77777777" w:rsidR="007E1D13" w:rsidRDefault="007E1D13" w:rsidP="007E1D13">
            <w:pPr>
              <w:spacing w:before="120" w:after="120" w:line="240" w:lineRule="auto"/>
              <w:rPr>
                <w:szCs w:val="24"/>
                <w:lang w:eastAsia="en-GB"/>
              </w:rPr>
            </w:pPr>
            <w:r>
              <w:rPr>
                <w:szCs w:val="24"/>
                <w:lang w:eastAsia="en-GB"/>
              </w:rPr>
              <w:t>Illegal</w:t>
            </w:r>
          </w:p>
        </w:tc>
        <w:tc>
          <w:tcPr>
            <w:tcW w:w="614" w:type="dxa"/>
            <w:vAlign w:val="center"/>
          </w:tcPr>
          <w:p w14:paraId="1638087E" w14:textId="77777777" w:rsidR="007E1D13" w:rsidRDefault="007E1D13" w:rsidP="007E1D13">
            <w:pPr>
              <w:spacing w:before="120" w:after="120" w:line="240" w:lineRule="auto"/>
              <w:jc w:val="right"/>
              <w:rPr>
                <w:color w:val="000000"/>
                <w:szCs w:val="24"/>
                <w:lang w:eastAsia="en-GB"/>
              </w:rPr>
            </w:pPr>
            <w:r>
              <w:rPr>
                <w:szCs w:val="24"/>
                <w:lang w:eastAsia="en-GB"/>
              </w:rPr>
              <w:t>15</w:t>
            </w:r>
          </w:p>
        </w:tc>
        <w:tc>
          <w:tcPr>
            <w:tcW w:w="1465" w:type="dxa"/>
            <w:gridSpan w:val="2"/>
            <w:vAlign w:val="center"/>
          </w:tcPr>
          <w:p w14:paraId="7EAA86C3" w14:textId="77777777" w:rsidR="007E1D13" w:rsidRDefault="007E1D13" w:rsidP="007E1D13">
            <w:pPr>
              <w:spacing w:before="120" w:after="120" w:line="240" w:lineRule="auto"/>
              <w:jc w:val="right"/>
              <w:rPr>
                <w:color w:val="000000"/>
                <w:szCs w:val="24"/>
                <w:lang w:eastAsia="en-GB"/>
              </w:rPr>
            </w:pPr>
            <w:r>
              <w:rPr>
                <w:szCs w:val="24"/>
                <w:lang w:eastAsia="en-GB"/>
              </w:rPr>
              <w:t xml:space="preserve">2 </w:t>
            </w:r>
            <w:r w:rsidRPr="00D908F8">
              <w:rPr>
                <w:color w:val="000000"/>
                <w:sz w:val="18"/>
                <w:szCs w:val="24"/>
                <w:lang w:eastAsia="en-GB"/>
              </w:rPr>
              <w:t>%</w:t>
            </w:r>
          </w:p>
        </w:tc>
        <w:tc>
          <w:tcPr>
            <w:tcW w:w="1465" w:type="dxa"/>
            <w:gridSpan w:val="2"/>
            <w:vAlign w:val="center"/>
          </w:tcPr>
          <w:p w14:paraId="6F00E17F" w14:textId="77777777" w:rsidR="007E1D13" w:rsidRPr="00B23F3D" w:rsidRDefault="007E1D13" w:rsidP="007E1D13">
            <w:pPr>
              <w:spacing w:before="120" w:after="120" w:line="240" w:lineRule="auto"/>
              <w:jc w:val="right"/>
              <w:rPr>
                <w:szCs w:val="24"/>
                <w:lang w:eastAsia="en-GB"/>
              </w:rPr>
            </w:pPr>
            <w:r>
              <w:rPr>
                <w:szCs w:val="24"/>
                <w:lang w:eastAsia="en-GB"/>
              </w:rPr>
              <w:t>+ 17</w:t>
            </w:r>
          </w:p>
        </w:tc>
        <w:tc>
          <w:tcPr>
            <w:tcW w:w="1464" w:type="dxa"/>
            <w:gridSpan w:val="2"/>
            <w:shd w:val="clear" w:color="auto" w:fill="auto"/>
            <w:vAlign w:val="center"/>
          </w:tcPr>
          <w:p w14:paraId="0FD7AC51" w14:textId="77777777" w:rsidR="007E1D13" w:rsidRPr="00C9767C" w:rsidRDefault="007E1D13" w:rsidP="007E1D13">
            <w:pPr>
              <w:spacing w:before="120" w:after="120" w:line="240" w:lineRule="auto"/>
              <w:jc w:val="right"/>
              <w:rPr>
                <w:color w:val="000000"/>
                <w:szCs w:val="24"/>
                <w:lang w:eastAsia="en-GB"/>
              </w:rPr>
            </w:pPr>
            <w:r>
              <w:rPr>
                <w:color w:val="000000"/>
                <w:szCs w:val="24"/>
                <w:lang w:eastAsia="en-GB"/>
              </w:rPr>
              <w:t>+ 2</w:t>
            </w:r>
          </w:p>
        </w:tc>
        <w:tc>
          <w:tcPr>
            <w:tcW w:w="1465" w:type="dxa"/>
            <w:gridSpan w:val="2"/>
            <w:vAlign w:val="center"/>
          </w:tcPr>
          <w:p w14:paraId="5FFA578C" w14:textId="77777777" w:rsidR="007E1D13" w:rsidRPr="00451D45" w:rsidRDefault="007E1D13" w:rsidP="007E1D13">
            <w:pPr>
              <w:spacing w:before="120" w:after="120" w:line="240" w:lineRule="auto"/>
              <w:jc w:val="right"/>
              <w:rPr>
                <w:szCs w:val="24"/>
                <w:lang w:eastAsia="en-GB"/>
              </w:rPr>
            </w:pPr>
            <w:r>
              <w:rPr>
                <w:szCs w:val="24"/>
                <w:lang w:eastAsia="en-GB"/>
              </w:rPr>
              <w:t>1</w:t>
            </w:r>
          </w:p>
        </w:tc>
        <w:tc>
          <w:tcPr>
            <w:tcW w:w="1465" w:type="dxa"/>
            <w:gridSpan w:val="2"/>
          </w:tcPr>
          <w:p w14:paraId="21FD7193" w14:textId="77777777" w:rsidR="007E1D13" w:rsidRPr="00451D45" w:rsidRDefault="007E1D13" w:rsidP="007E1D13">
            <w:pPr>
              <w:spacing w:before="120" w:after="120" w:line="240" w:lineRule="auto"/>
              <w:jc w:val="right"/>
              <w:rPr>
                <w:szCs w:val="24"/>
                <w:lang w:eastAsia="en-GB"/>
              </w:rPr>
            </w:pPr>
            <w:r>
              <w:rPr>
                <w:szCs w:val="24"/>
                <w:lang w:eastAsia="en-GB"/>
              </w:rPr>
              <w:t>4</w:t>
            </w:r>
          </w:p>
        </w:tc>
        <w:tc>
          <w:tcPr>
            <w:tcW w:w="425" w:type="dxa"/>
          </w:tcPr>
          <w:p w14:paraId="12FAD478" w14:textId="77777777" w:rsidR="007E1D13" w:rsidRPr="00451D45" w:rsidRDefault="007E1D13" w:rsidP="007E1D13">
            <w:pPr>
              <w:spacing w:before="120" w:after="120" w:line="240" w:lineRule="auto"/>
              <w:jc w:val="right"/>
              <w:rPr>
                <w:szCs w:val="24"/>
                <w:lang w:eastAsia="en-GB"/>
              </w:rPr>
            </w:pPr>
          </w:p>
        </w:tc>
      </w:tr>
      <w:tr w:rsidR="007E1D13" w:rsidRPr="00B2469D" w14:paraId="2A84C713" w14:textId="77777777" w:rsidTr="007E1D13">
        <w:trPr>
          <w:trHeight w:val="359"/>
        </w:trPr>
        <w:tc>
          <w:tcPr>
            <w:tcW w:w="817" w:type="dxa"/>
            <w:vAlign w:val="center"/>
          </w:tcPr>
          <w:p w14:paraId="4661172A" w14:textId="77777777" w:rsidR="007E1D13" w:rsidRPr="00F65B33" w:rsidRDefault="007E1D13" w:rsidP="007E1D13">
            <w:pPr>
              <w:spacing w:before="120" w:after="120" w:line="240" w:lineRule="auto"/>
              <w:rPr>
                <w:b/>
                <w:sz w:val="20"/>
                <w:szCs w:val="24"/>
                <w:lang w:eastAsia="en-GB"/>
              </w:rPr>
            </w:pPr>
            <w:r>
              <w:rPr>
                <w:b/>
                <w:color w:val="000000"/>
                <w:szCs w:val="24"/>
                <w:lang w:eastAsia="en-GB"/>
              </w:rPr>
              <w:t>7.</w:t>
            </w:r>
          </w:p>
        </w:tc>
        <w:tc>
          <w:tcPr>
            <w:tcW w:w="1985" w:type="dxa"/>
            <w:vAlign w:val="center"/>
          </w:tcPr>
          <w:p w14:paraId="15C28D10" w14:textId="77777777" w:rsidR="007E1D13" w:rsidRPr="009D14B1" w:rsidRDefault="007E1D13" w:rsidP="007E1D13">
            <w:pPr>
              <w:spacing w:before="120" w:after="120" w:line="240" w:lineRule="auto"/>
              <w:rPr>
                <w:b/>
                <w:szCs w:val="24"/>
                <w:lang w:eastAsia="en-GB"/>
              </w:rPr>
            </w:pPr>
            <w:r w:rsidRPr="009D14B1">
              <w:rPr>
                <w:b/>
                <w:color w:val="000000"/>
                <w:szCs w:val="24"/>
                <w:lang w:eastAsia="en-GB"/>
              </w:rPr>
              <w:t xml:space="preserve">Pleasure </w:t>
            </w:r>
          </w:p>
        </w:tc>
        <w:tc>
          <w:tcPr>
            <w:tcW w:w="2551" w:type="dxa"/>
            <w:gridSpan w:val="2"/>
            <w:vAlign w:val="center"/>
          </w:tcPr>
          <w:p w14:paraId="63AA5A61" w14:textId="77777777" w:rsidR="007E1D13" w:rsidRPr="00914809" w:rsidRDefault="007E1D13" w:rsidP="007E1D13">
            <w:pPr>
              <w:spacing w:before="120" w:after="120" w:line="240" w:lineRule="auto"/>
              <w:rPr>
                <w:szCs w:val="24"/>
                <w:lang w:eastAsia="en-GB"/>
              </w:rPr>
            </w:pPr>
            <w:r>
              <w:rPr>
                <w:color w:val="000000"/>
                <w:szCs w:val="24"/>
                <w:lang w:eastAsia="en-GB"/>
              </w:rPr>
              <w:t>Unpleasant effects</w:t>
            </w:r>
          </w:p>
        </w:tc>
        <w:tc>
          <w:tcPr>
            <w:tcW w:w="614" w:type="dxa"/>
            <w:vAlign w:val="center"/>
          </w:tcPr>
          <w:p w14:paraId="195A2497" w14:textId="77777777" w:rsidR="007E1D13" w:rsidRDefault="007E1D13" w:rsidP="007E1D13">
            <w:pPr>
              <w:spacing w:before="120" w:after="120" w:line="240" w:lineRule="auto"/>
              <w:jc w:val="right"/>
              <w:rPr>
                <w:szCs w:val="24"/>
                <w:lang w:eastAsia="en-GB"/>
              </w:rPr>
            </w:pPr>
            <w:r>
              <w:rPr>
                <w:color w:val="000000"/>
                <w:lang w:eastAsia="en-GB"/>
              </w:rPr>
              <w:t>8</w:t>
            </w:r>
          </w:p>
        </w:tc>
        <w:tc>
          <w:tcPr>
            <w:tcW w:w="1465" w:type="dxa"/>
            <w:gridSpan w:val="2"/>
            <w:vAlign w:val="center"/>
          </w:tcPr>
          <w:p w14:paraId="323A772B" w14:textId="77777777" w:rsidR="007E1D13" w:rsidRDefault="007E1D13" w:rsidP="007E1D13">
            <w:pPr>
              <w:spacing w:before="120" w:after="120" w:line="240" w:lineRule="auto"/>
              <w:jc w:val="right"/>
              <w:rPr>
                <w:szCs w:val="24"/>
                <w:lang w:eastAsia="en-GB"/>
              </w:rPr>
            </w:pPr>
            <w:r>
              <w:rPr>
                <w:color w:val="000000"/>
                <w:szCs w:val="24"/>
                <w:lang w:eastAsia="en-GB"/>
              </w:rPr>
              <w:t xml:space="preserve">1 </w:t>
            </w:r>
            <w:r w:rsidRPr="00D908F8">
              <w:rPr>
                <w:color w:val="000000"/>
                <w:sz w:val="18"/>
                <w:szCs w:val="24"/>
                <w:lang w:eastAsia="en-GB"/>
              </w:rPr>
              <w:t>%</w:t>
            </w:r>
          </w:p>
        </w:tc>
        <w:tc>
          <w:tcPr>
            <w:tcW w:w="1465" w:type="dxa"/>
            <w:gridSpan w:val="2"/>
            <w:vAlign w:val="center"/>
          </w:tcPr>
          <w:p w14:paraId="07FA7CF3" w14:textId="77777777" w:rsidR="007E1D13" w:rsidRPr="00B23F3D" w:rsidRDefault="007E1D13" w:rsidP="007E1D13">
            <w:pPr>
              <w:spacing w:before="120" w:after="120" w:line="240" w:lineRule="auto"/>
              <w:jc w:val="right"/>
              <w:rPr>
                <w:szCs w:val="24"/>
                <w:lang w:eastAsia="en-GB"/>
              </w:rPr>
            </w:pPr>
            <w:r>
              <w:rPr>
                <w:szCs w:val="24"/>
                <w:lang w:eastAsia="en-GB"/>
              </w:rPr>
              <w:t>- 18</w:t>
            </w:r>
          </w:p>
        </w:tc>
        <w:tc>
          <w:tcPr>
            <w:tcW w:w="1464" w:type="dxa"/>
            <w:gridSpan w:val="2"/>
            <w:shd w:val="clear" w:color="auto" w:fill="auto"/>
            <w:vAlign w:val="center"/>
          </w:tcPr>
          <w:p w14:paraId="2F981EF7" w14:textId="77777777" w:rsidR="007E1D13" w:rsidRPr="00914809" w:rsidRDefault="007E1D13" w:rsidP="007E1D13">
            <w:pPr>
              <w:spacing w:before="120" w:after="120" w:line="240" w:lineRule="auto"/>
              <w:jc w:val="right"/>
              <w:rPr>
                <w:szCs w:val="24"/>
                <w:lang w:eastAsia="en-GB"/>
              </w:rPr>
            </w:pPr>
            <w:r>
              <w:rPr>
                <w:szCs w:val="24"/>
                <w:lang w:eastAsia="en-GB"/>
              </w:rPr>
              <w:t>- 4</w:t>
            </w:r>
          </w:p>
        </w:tc>
        <w:tc>
          <w:tcPr>
            <w:tcW w:w="1465" w:type="dxa"/>
            <w:gridSpan w:val="2"/>
            <w:vAlign w:val="center"/>
          </w:tcPr>
          <w:p w14:paraId="79E8B568" w14:textId="77777777" w:rsidR="007E1D13" w:rsidRPr="00451D45" w:rsidRDefault="007E1D13" w:rsidP="007E1D13">
            <w:pPr>
              <w:spacing w:before="120" w:after="120" w:line="240" w:lineRule="auto"/>
              <w:jc w:val="right"/>
              <w:rPr>
                <w:szCs w:val="24"/>
                <w:lang w:eastAsia="en-GB"/>
              </w:rPr>
            </w:pPr>
            <w:r>
              <w:rPr>
                <w:szCs w:val="24"/>
                <w:lang w:eastAsia="en-GB"/>
              </w:rPr>
              <w:t>0</w:t>
            </w:r>
          </w:p>
        </w:tc>
        <w:tc>
          <w:tcPr>
            <w:tcW w:w="1465" w:type="dxa"/>
            <w:gridSpan w:val="2"/>
          </w:tcPr>
          <w:p w14:paraId="6F844227" w14:textId="77777777" w:rsidR="007E1D13" w:rsidRPr="00451D45" w:rsidRDefault="007E1D13" w:rsidP="007E1D13">
            <w:pPr>
              <w:spacing w:before="120" w:after="120" w:line="240" w:lineRule="auto"/>
              <w:jc w:val="right"/>
              <w:rPr>
                <w:szCs w:val="24"/>
                <w:lang w:eastAsia="en-GB"/>
              </w:rPr>
            </w:pPr>
            <w:r>
              <w:rPr>
                <w:szCs w:val="24"/>
                <w:lang w:eastAsia="en-GB"/>
              </w:rPr>
              <w:t>3</w:t>
            </w:r>
          </w:p>
        </w:tc>
        <w:tc>
          <w:tcPr>
            <w:tcW w:w="425" w:type="dxa"/>
          </w:tcPr>
          <w:p w14:paraId="3FEAB73F" w14:textId="77777777" w:rsidR="007E1D13" w:rsidRPr="00451D45" w:rsidRDefault="007E1D13" w:rsidP="007E1D13">
            <w:pPr>
              <w:spacing w:before="120" w:after="120" w:line="240" w:lineRule="auto"/>
              <w:jc w:val="right"/>
              <w:rPr>
                <w:szCs w:val="24"/>
                <w:lang w:eastAsia="en-GB"/>
              </w:rPr>
            </w:pPr>
          </w:p>
        </w:tc>
      </w:tr>
      <w:tr w:rsidR="007E1D13" w:rsidRPr="00B2469D" w14:paraId="5885A450" w14:textId="77777777" w:rsidTr="007E1D13">
        <w:trPr>
          <w:trHeight w:val="359"/>
        </w:trPr>
        <w:tc>
          <w:tcPr>
            <w:tcW w:w="817" w:type="dxa"/>
            <w:vAlign w:val="center"/>
          </w:tcPr>
          <w:p w14:paraId="42D5FFEA" w14:textId="77777777" w:rsidR="007E1D13" w:rsidRPr="00F65B33" w:rsidRDefault="007E1D13" w:rsidP="007E1D13">
            <w:pPr>
              <w:spacing w:before="120" w:after="240" w:line="240" w:lineRule="auto"/>
              <w:rPr>
                <w:b/>
                <w:sz w:val="20"/>
                <w:szCs w:val="24"/>
                <w:lang w:eastAsia="en-GB"/>
              </w:rPr>
            </w:pPr>
            <w:r>
              <w:rPr>
                <w:b/>
                <w:color w:val="000000"/>
                <w:szCs w:val="24"/>
                <w:lang w:eastAsia="en-GB"/>
              </w:rPr>
              <w:t>8.</w:t>
            </w:r>
          </w:p>
        </w:tc>
        <w:tc>
          <w:tcPr>
            <w:tcW w:w="1985" w:type="dxa"/>
            <w:vAlign w:val="center"/>
          </w:tcPr>
          <w:p w14:paraId="26C78FF2" w14:textId="77777777" w:rsidR="007E1D13" w:rsidRPr="009D14B1" w:rsidRDefault="007E1D13" w:rsidP="007E1D13">
            <w:pPr>
              <w:spacing w:before="120" w:after="240" w:line="240" w:lineRule="auto"/>
              <w:rPr>
                <w:b/>
                <w:color w:val="000000"/>
                <w:szCs w:val="24"/>
                <w:lang w:eastAsia="en-GB"/>
              </w:rPr>
            </w:pPr>
            <w:r w:rsidRPr="009D14B1">
              <w:rPr>
                <w:b/>
                <w:szCs w:val="24"/>
                <w:lang w:eastAsia="en-GB"/>
              </w:rPr>
              <w:t xml:space="preserve">Social influences </w:t>
            </w:r>
          </w:p>
        </w:tc>
        <w:tc>
          <w:tcPr>
            <w:tcW w:w="2551" w:type="dxa"/>
            <w:gridSpan w:val="2"/>
            <w:vAlign w:val="center"/>
          </w:tcPr>
          <w:p w14:paraId="50EA0BE2" w14:textId="77777777" w:rsidR="007E1D13" w:rsidRDefault="007E1D13" w:rsidP="007E1D13">
            <w:pPr>
              <w:spacing w:before="120" w:after="240" w:line="240" w:lineRule="auto"/>
              <w:rPr>
                <w:color w:val="000000"/>
                <w:szCs w:val="24"/>
                <w:lang w:eastAsia="en-GB"/>
              </w:rPr>
            </w:pPr>
            <w:r>
              <w:rPr>
                <w:szCs w:val="24"/>
                <w:lang w:eastAsia="en-GB"/>
              </w:rPr>
              <w:t>Unacceptable</w:t>
            </w:r>
          </w:p>
        </w:tc>
        <w:tc>
          <w:tcPr>
            <w:tcW w:w="614" w:type="dxa"/>
            <w:vAlign w:val="center"/>
          </w:tcPr>
          <w:p w14:paraId="3DD6B631" w14:textId="77777777" w:rsidR="007E1D13" w:rsidRDefault="007E1D13" w:rsidP="007E1D13">
            <w:pPr>
              <w:spacing w:before="120" w:after="240" w:line="240" w:lineRule="auto"/>
              <w:jc w:val="right"/>
              <w:rPr>
                <w:szCs w:val="24"/>
                <w:lang w:eastAsia="en-GB"/>
              </w:rPr>
            </w:pPr>
            <w:r>
              <w:rPr>
                <w:color w:val="000000"/>
                <w:lang w:eastAsia="en-GB"/>
              </w:rPr>
              <w:t>7</w:t>
            </w:r>
          </w:p>
        </w:tc>
        <w:tc>
          <w:tcPr>
            <w:tcW w:w="1465" w:type="dxa"/>
            <w:gridSpan w:val="2"/>
            <w:vAlign w:val="center"/>
          </w:tcPr>
          <w:p w14:paraId="71184E83" w14:textId="77777777" w:rsidR="007E1D13" w:rsidRDefault="007E1D13" w:rsidP="007E1D13">
            <w:pPr>
              <w:spacing w:before="120" w:after="240" w:line="240" w:lineRule="auto"/>
              <w:jc w:val="right"/>
              <w:rPr>
                <w:szCs w:val="24"/>
                <w:lang w:eastAsia="en-GB"/>
              </w:rPr>
            </w:pPr>
            <w:r>
              <w:rPr>
                <w:color w:val="000000"/>
                <w:szCs w:val="24"/>
                <w:lang w:eastAsia="en-GB"/>
              </w:rPr>
              <w:t xml:space="preserve">1 </w:t>
            </w:r>
            <w:r w:rsidRPr="00D908F8">
              <w:rPr>
                <w:color w:val="000000"/>
                <w:sz w:val="18"/>
                <w:szCs w:val="24"/>
                <w:lang w:eastAsia="en-GB"/>
              </w:rPr>
              <w:t>%</w:t>
            </w:r>
          </w:p>
        </w:tc>
        <w:tc>
          <w:tcPr>
            <w:tcW w:w="1465" w:type="dxa"/>
            <w:gridSpan w:val="2"/>
            <w:vAlign w:val="center"/>
          </w:tcPr>
          <w:p w14:paraId="4C88FA30" w14:textId="77777777" w:rsidR="007E1D13" w:rsidRPr="00B23F3D" w:rsidRDefault="007E1D13" w:rsidP="007E1D13">
            <w:pPr>
              <w:spacing w:before="120" w:after="240" w:line="240" w:lineRule="auto"/>
              <w:jc w:val="right"/>
              <w:rPr>
                <w:color w:val="000000"/>
                <w:szCs w:val="24"/>
                <w:lang w:eastAsia="en-GB"/>
              </w:rPr>
            </w:pPr>
            <w:r>
              <w:rPr>
                <w:color w:val="000000"/>
                <w:szCs w:val="24"/>
                <w:lang w:eastAsia="en-GB"/>
              </w:rPr>
              <w:t>0</w:t>
            </w:r>
          </w:p>
        </w:tc>
        <w:tc>
          <w:tcPr>
            <w:tcW w:w="1464" w:type="dxa"/>
            <w:gridSpan w:val="2"/>
            <w:shd w:val="clear" w:color="auto" w:fill="auto"/>
            <w:vAlign w:val="center"/>
          </w:tcPr>
          <w:p w14:paraId="3DF2F45B" w14:textId="77777777" w:rsidR="007E1D13" w:rsidRDefault="007E1D13" w:rsidP="007E1D13">
            <w:pPr>
              <w:spacing w:before="120" w:after="240" w:line="240" w:lineRule="auto"/>
              <w:jc w:val="right"/>
              <w:rPr>
                <w:color w:val="000000"/>
                <w:szCs w:val="24"/>
                <w:lang w:eastAsia="en-GB"/>
              </w:rPr>
            </w:pPr>
            <w:r>
              <w:rPr>
                <w:color w:val="000000"/>
                <w:szCs w:val="24"/>
                <w:lang w:eastAsia="en-GB"/>
              </w:rPr>
              <w:t>- 2</w:t>
            </w:r>
          </w:p>
        </w:tc>
        <w:tc>
          <w:tcPr>
            <w:tcW w:w="1465" w:type="dxa"/>
            <w:gridSpan w:val="2"/>
            <w:vAlign w:val="center"/>
          </w:tcPr>
          <w:p w14:paraId="2C9516A2" w14:textId="77777777" w:rsidR="007E1D13" w:rsidRPr="00451D45" w:rsidRDefault="007E1D13" w:rsidP="007E1D13">
            <w:pPr>
              <w:spacing w:before="120" w:after="240" w:line="240" w:lineRule="auto"/>
              <w:jc w:val="right"/>
              <w:rPr>
                <w:szCs w:val="24"/>
                <w:lang w:eastAsia="en-GB"/>
              </w:rPr>
            </w:pPr>
            <w:r>
              <w:rPr>
                <w:szCs w:val="24"/>
                <w:lang w:eastAsia="en-GB"/>
              </w:rPr>
              <w:t>2</w:t>
            </w:r>
          </w:p>
        </w:tc>
        <w:tc>
          <w:tcPr>
            <w:tcW w:w="1465" w:type="dxa"/>
            <w:gridSpan w:val="2"/>
          </w:tcPr>
          <w:p w14:paraId="6E921AF1" w14:textId="77777777" w:rsidR="007E1D13" w:rsidRPr="00451D45" w:rsidRDefault="007E1D13" w:rsidP="007E1D13">
            <w:pPr>
              <w:spacing w:before="120" w:after="240" w:line="240" w:lineRule="auto"/>
              <w:jc w:val="right"/>
              <w:rPr>
                <w:szCs w:val="24"/>
                <w:lang w:eastAsia="en-GB"/>
              </w:rPr>
            </w:pPr>
            <w:r>
              <w:rPr>
                <w:szCs w:val="24"/>
                <w:lang w:eastAsia="en-GB"/>
              </w:rPr>
              <w:t>4</w:t>
            </w:r>
          </w:p>
        </w:tc>
        <w:tc>
          <w:tcPr>
            <w:tcW w:w="425" w:type="dxa"/>
          </w:tcPr>
          <w:p w14:paraId="76208470" w14:textId="77777777" w:rsidR="007E1D13" w:rsidRPr="00451D45" w:rsidRDefault="007E1D13" w:rsidP="007E1D13">
            <w:pPr>
              <w:spacing w:before="120" w:after="240" w:line="240" w:lineRule="auto"/>
              <w:jc w:val="right"/>
              <w:rPr>
                <w:szCs w:val="24"/>
                <w:lang w:eastAsia="en-GB"/>
              </w:rPr>
            </w:pPr>
          </w:p>
        </w:tc>
      </w:tr>
      <w:tr w:rsidR="007E1D13" w:rsidRPr="00587039" w14:paraId="2B3BF2D1" w14:textId="77777777" w:rsidTr="007E1D13">
        <w:trPr>
          <w:trHeight w:val="511"/>
        </w:trPr>
        <w:tc>
          <w:tcPr>
            <w:tcW w:w="817" w:type="dxa"/>
            <w:tcBorders>
              <w:top w:val="single" w:sz="4" w:space="0" w:color="auto"/>
              <w:bottom w:val="single" w:sz="4" w:space="0" w:color="auto"/>
            </w:tcBorders>
            <w:vAlign w:val="center"/>
          </w:tcPr>
          <w:p w14:paraId="19FD72FF" w14:textId="77777777" w:rsidR="007E1D13" w:rsidRPr="00587039" w:rsidRDefault="007E1D13" w:rsidP="007E1D13">
            <w:pPr>
              <w:spacing w:after="0" w:line="240" w:lineRule="auto"/>
              <w:rPr>
                <w:b/>
                <w:szCs w:val="24"/>
                <w:lang w:eastAsia="en-GB"/>
              </w:rPr>
            </w:pPr>
          </w:p>
        </w:tc>
        <w:tc>
          <w:tcPr>
            <w:tcW w:w="4536" w:type="dxa"/>
            <w:gridSpan w:val="3"/>
            <w:tcBorders>
              <w:top w:val="single" w:sz="4" w:space="0" w:color="auto"/>
              <w:bottom w:val="single" w:sz="4" w:space="0" w:color="auto"/>
            </w:tcBorders>
            <w:vAlign w:val="center"/>
          </w:tcPr>
          <w:p w14:paraId="2B3163A0" w14:textId="77777777" w:rsidR="007E1D13" w:rsidRPr="00587039" w:rsidRDefault="007E1D13" w:rsidP="007E1D13">
            <w:pPr>
              <w:spacing w:after="0" w:line="240" w:lineRule="auto"/>
              <w:rPr>
                <w:b/>
                <w:szCs w:val="24"/>
                <w:lang w:eastAsia="en-GB"/>
              </w:rPr>
            </w:pPr>
            <w:r w:rsidRPr="00B23F3D">
              <w:rPr>
                <w:b/>
                <w:szCs w:val="24"/>
                <w:lang w:eastAsia="en-GB"/>
              </w:rPr>
              <w:t xml:space="preserve">Total </w:t>
            </w:r>
          </w:p>
        </w:tc>
        <w:tc>
          <w:tcPr>
            <w:tcW w:w="614" w:type="dxa"/>
            <w:tcBorders>
              <w:top w:val="single" w:sz="4" w:space="0" w:color="auto"/>
              <w:bottom w:val="single" w:sz="4" w:space="0" w:color="auto"/>
            </w:tcBorders>
            <w:vAlign w:val="center"/>
          </w:tcPr>
          <w:p w14:paraId="20C7B370" w14:textId="77777777" w:rsidR="007E1D13" w:rsidRPr="00587039" w:rsidRDefault="007E1D13" w:rsidP="007E1D13">
            <w:pPr>
              <w:spacing w:after="0" w:line="240" w:lineRule="auto"/>
              <w:jc w:val="right"/>
              <w:rPr>
                <w:b/>
                <w:szCs w:val="24"/>
                <w:lang w:eastAsia="en-GB"/>
              </w:rPr>
            </w:pPr>
            <w:r>
              <w:rPr>
                <w:b/>
                <w:szCs w:val="24"/>
                <w:lang w:eastAsia="en-GB"/>
              </w:rPr>
              <w:t>294</w:t>
            </w:r>
          </w:p>
        </w:tc>
        <w:tc>
          <w:tcPr>
            <w:tcW w:w="1465" w:type="dxa"/>
            <w:gridSpan w:val="2"/>
            <w:tcBorders>
              <w:top w:val="single" w:sz="4" w:space="0" w:color="auto"/>
              <w:bottom w:val="single" w:sz="4" w:space="0" w:color="auto"/>
            </w:tcBorders>
            <w:vAlign w:val="center"/>
          </w:tcPr>
          <w:p w14:paraId="283BA003" w14:textId="77777777" w:rsidR="007E1D13" w:rsidRPr="00587039" w:rsidRDefault="007E1D13" w:rsidP="007E1D13">
            <w:pPr>
              <w:spacing w:after="0" w:line="240" w:lineRule="auto"/>
              <w:jc w:val="right"/>
              <w:rPr>
                <w:b/>
                <w:szCs w:val="24"/>
                <w:lang w:eastAsia="en-GB"/>
              </w:rPr>
            </w:pPr>
            <w:r>
              <w:rPr>
                <w:b/>
                <w:szCs w:val="24"/>
                <w:lang w:eastAsia="en-GB"/>
              </w:rPr>
              <w:t xml:space="preserve">45 </w:t>
            </w:r>
            <w:r w:rsidRPr="00C24859">
              <w:rPr>
                <w:b/>
                <w:sz w:val="18"/>
                <w:szCs w:val="24"/>
                <w:lang w:eastAsia="en-GB"/>
              </w:rPr>
              <w:t>%</w:t>
            </w:r>
          </w:p>
        </w:tc>
        <w:tc>
          <w:tcPr>
            <w:tcW w:w="1465" w:type="dxa"/>
            <w:gridSpan w:val="2"/>
            <w:tcBorders>
              <w:top w:val="single" w:sz="4" w:space="0" w:color="auto"/>
              <w:bottom w:val="single" w:sz="4" w:space="0" w:color="auto"/>
            </w:tcBorders>
            <w:vAlign w:val="center"/>
          </w:tcPr>
          <w:p w14:paraId="12766224" w14:textId="77777777" w:rsidR="007E1D13" w:rsidRPr="00587039" w:rsidRDefault="007E1D13" w:rsidP="007E1D13">
            <w:pPr>
              <w:spacing w:after="0" w:line="240" w:lineRule="auto"/>
              <w:jc w:val="right"/>
              <w:rPr>
                <w:b/>
                <w:szCs w:val="24"/>
                <w:lang w:eastAsia="en-GB"/>
              </w:rPr>
            </w:pPr>
          </w:p>
        </w:tc>
        <w:tc>
          <w:tcPr>
            <w:tcW w:w="1464" w:type="dxa"/>
            <w:gridSpan w:val="2"/>
            <w:tcBorders>
              <w:top w:val="single" w:sz="4" w:space="0" w:color="auto"/>
              <w:bottom w:val="single" w:sz="4" w:space="0" w:color="auto"/>
            </w:tcBorders>
            <w:shd w:val="clear" w:color="auto" w:fill="auto"/>
            <w:vAlign w:val="center"/>
          </w:tcPr>
          <w:p w14:paraId="629FCAC1" w14:textId="77777777" w:rsidR="007E1D13" w:rsidRPr="00587039" w:rsidRDefault="007E1D13" w:rsidP="007E1D13">
            <w:pPr>
              <w:spacing w:after="0" w:line="240" w:lineRule="auto"/>
              <w:jc w:val="right"/>
              <w:rPr>
                <w:b/>
                <w:szCs w:val="24"/>
                <w:lang w:eastAsia="en-GB"/>
              </w:rPr>
            </w:pPr>
          </w:p>
        </w:tc>
        <w:tc>
          <w:tcPr>
            <w:tcW w:w="1465" w:type="dxa"/>
            <w:gridSpan w:val="2"/>
            <w:tcBorders>
              <w:top w:val="single" w:sz="4" w:space="0" w:color="auto"/>
              <w:bottom w:val="single" w:sz="4" w:space="0" w:color="auto"/>
            </w:tcBorders>
          </w:tcPr>
          <w:p w14:paraId="2732397D" w14:textId="77777777" w:rsidR="007E1D13" w:rsidRPr="00587039" w:rsidRDefault="007E1D13" w:rsidP="007E1D13">
            <w:pPr>
              <w:spacing w:after="0" w:line="240" w:lineRule="auto"/>
              <w:jc w:val="right"/>
              <w:rPr>
                <w:b/>
                <w:szCs w:val="24"/>
                <w:lang w:eastAsia="en-GB"/>
              </w:rPr>
            </w:pPr>
          </w:p>
        </w:tc>
        <w:tc>
          <w:tcPr>
            <w:tcW w:w="1465" w:type="dxa"/>
            <w:gridSpan w:val="2"/>
            <w:tcBorders>
              <w:top w:val="single" w:sz="4" w:space="0" w:color="auto"/>
              <w:bottom w:val="single" w:sz="4" w:space="0" w:color="auto"/>
            </w:tcBorders>
          </w:tcPr>
          <w:p w14:paraId="4CD42F0D" w14:textId="77777777" w:rsidR="007E1D13" w:rsidRPr="00587039" w:rsidRDefault="007E1D13" w:rsidP="007E1D13">
            <w:pPr>
              <w:spacing w:after="0" w:line="240" w:lineRule="auto"/>
              <w:jc w:val="right"/>
              <w:rPr>
                <w:b/>
                <w:szCs w:val="24"/>
                <w:lang w:eastAsia="en-GB"/>
              </w:rPr>
            </w:pPr>
          </w:p>
        </w:tc>
        <w:tc>
          <w:tcPr>
            <w:tcW w:w="425" w:type="dxa"/>
            <w:tcBorders>
              <w:top w:val="single" w:sz="4" w:space="0" w:color="auto"/>
              <w:bottom w:val="single" w:sz="4" w:space="0" w:color="auto"/>
            </w:tcBorders>
          </w:tcPr>
          <w:p w14:paraId="031DD9DF" w14:textId="77777777" w:rsidR="007E1D13" w:rsidRPr="00587039" w:rsidRDefault="007E1D13" w:rsidP="007E1D13">
            <w:pPr>
              <w:spacing w:after="0" w:line="240" w:lineRule="auto"/>
              <w:jc w:val="right"/>
              <w:rPr>
                <w:b/>
                <w:szCs w:val="24"/>
                <w:lang w:eastAsia="en-GB"/>
              </w:rPr>
            </w:pPr>
          </w:p>
        </w:tc>
      </w:tr>
    </w:tbl>
    <w:bookmarkEnd w:id="470"/>
    <w:p w14:paraId="35DEF540" w14:textId="77777777" w:rsidR="007E1D13" w:rsidRDefault="007E1D13" w:rsidP="007E1D13">
      <w:pPr>
        <w:spacing w:before="120" w:after="0" w:line="259" w:lineRule="auto"/>
        <w:rPr>
          <w:b/>
        </w:rPr>
      </w:pPr>
      <w:r>
        <w:t>Percentage coverage = the number of references expressed as a proportion of the total number statements coded (n=658)</w:t>
      </w:r>
    </w:p>
    <w:p w14:paraId="45736101" w14:textId="77777777" w:rsidR="007E1D13" w:rsidRPr="002E2B4E" w:rsidRDefault="007E1D13" w:rsidP="007E1D13">
      <w:r>
        <w:t xml:space="preserve"> </w:t>
      </w:r>
    </w:p>
    <w:bookmarkEnd w:id="471"/>
    <w:p w14:paraId="7426CCDC" w14:textId="77777777" w:rsidR="007E1D13" w:rsidRDefault="007E1D13" w:rsidP="007E1D13">
      <w:pPr>
        <w:spacing w:line="480" w:lineRule="auto"/>
      </w:pPr>
    </w:p>
    <w:p w14:paraId="0F8DFFE6" w14:textId="77777777" w:rsidR="007E1D13" w:rsidRPr="00397405" w:rsidRDefault="007E1D13" w:rsidP="007E1D13">
      <w:pPr>
        <w:spacing w:line="480" w:lineRule="auto"/>
        <w:sectPr w:rsidR="007E1D13" w:rsidRPr="00397405" w:rsidSect="007E1D13">
          <w:pgSz w:w="16840" w:h="11900" w:orient="landscape"/>
          <w:pgMar w:top="1418" w:right="1418" w:bottom="1418" w:left="1560" w:header="709" w:footer="709" w:gutter="0"/>
          <w:cols w:space="708"/>
          <w:docGrid w:linePitch="360"/>
        </w:sectPr>
      </w:pPr>
    </w:p>
    <w:p w14:paraId="559EC44A" w14:textId="77777777" w:rsidR="007E1D13" w:rsidRDefault="007E1D13" w:rsidP="00E31E26">
      <w:pPr>
        <w:pStyle w:val="Heading4"/>
      </w:pPr>
      <w:r>
        <w:t xml:space="preserve">Comparison of the frequency of expression for global themes </w:t>
      </w:r>
    </w:p>
    <w:p w14:paraId="46DD2B64" w14:textId="26136E72" w:rsidR="007E1D13" w:rsidRDefault="007E1D13" w:rsidP="007E1D13">
      <w:pPr>
        <w:spacing w:before="200" w:line="480" w:lineRule="auto"/>
      </w:pPr>
      <w:r>
        <w:t xml:space="preserve">The number of statements referencing each global theme in both the pre-ban and post-ban groups are illustrated by a bar chart for statements encouraging use of NPS in Figure </w:t>
      </w:r>
      <w:r w:rsidR="00BB0973">
        <w:t>7-</w:t>
      </w:r>
      <w:r>
        <w:t xml:space="preserve">2, and for statements discouraging use of NPS in Figure </w:t>
      </w:r>
      <w:r w:rsidR="00BB0973">
        <w:t>7-</w:t>
      </w:r>
      <w:r>
        <w:t xml:space="preserve">3.  For the purposes of comparison, the frequency data from Study 2 has been adjusted to account for the smaller number of statements coded in Study 2 compared to Study 1 (Study 1 </w:t>
      </w:r>
      <w:r w:rsidRPr="003A3C32">
        <w:rPr>
          <w:i/>
        </w:rPr>
        <w:t>n</w:t>
      </w:r>
      <w:r>
        <w:t xml:space="preserve"> = 750, Study 2 </w:t>
      </w:r>
      <w:r w:rsidRPr="003A3C32">
        <w:rPr>
          <w:i/>
        </w:rPr>
        <w:t>n</w:t>
      </w:r>
      <w:r>
        <w:t xml:space="preserve"> = 658).</w:t>
      </w:r>
      <w:r w:rsidR="00F42121">
        <w:t xml:space="preserve"> This was done by multiplying each </w:t>
      </w:r>
      <w:r w:rsidR="00F5719F">
        <w:t>S</w:t>
      </w:r>
      <w:r w:rsidR="00F42121">
        <w:t xml:space="preserve">tudy 2 </w:t>
      </w:r>
      <w:r w:rsidR="00AC09F3">
        <w:t xml:space="preserve">by </w:t>
      </w:r>
      <w:r w:rsidR="00630416">
        <w:t xml:space="preserve">a </w:t>
      </w:r>
      <w:r w:rsidR="00AC09F3">
        <w:t>factor of Study 1 overall total (750) divided by the Study 2 overall total (658).</w:t>
      </w:r>
    </w:p>
    <w:p w14:paraId="2DD6735F" w14:textId="33F37409" w:rsidR="007E1D13" w:rsidRPr="003C2616" w:rsidRDefault="007E1D13" w:rsidP="00BB0973">
      <w:pPr>
        <w:pStyle w:val="FigureHeading"/>
      </w:pPr>
      <w:bookmarkStart w:id="474" w:name="_Toc9509138"/>
      <w:r>
        <w:t xml:space="preserve">Figure </w:t>
      </w:r>
      <w:r w:rsidR="00BB0973">
        <w:t>7-</w:t>
      </w:r>
      <w:r>
        <w:t>2</w:t>
      </w:r>
      <w:r w:rsidRPr="003C2616">
        <w:t>.</w:t>
      </w:r>
      <w:r>
        <w:t xml:space="preserve"> Encouraging use of NPS:</w:t>
      </w:r>
      <w:r w:rsidRPr="003C2616">
        <w:t xml:space="preserve"> </w:t>
      </w:r>
      <w:r>
        <w:t>Number of statements</w:t>
      </w:r>
      <w:r w:rsidRPr="003C2616">
        <w:t xml:space="preserve"> </w:t>
      </w:r>
      <w:r>
        <w:t>referencing each</w:t>
      </w:r>
      <w:r w:rsidRPr="003C2616">
        <w:t xml:space="preserve"> theme</w:t>
      </w:r>
      <w:bookmarkEnd w:id="474"/>
      <w:r w:rsidRPr="003C2616">
        <w:t xml:space="preserve"> </w:t>
      </w:r>
    </w:p>
    <w:p w14:paraId="1714C766" w14:textId="77777777" w:rsidR="007E1D13" w:rsidRPr="005B2395" w:rsidRDefault="007E1D13" w:rsidP="007E1D13">
      <w:pPr>
        <w:tabs>
          <w:tab w:val="left" w:pos="5103"/>
        </w:tabs>
        <w:spacing w:line="480" w:lineRule="auto"/>
      </w:pPr>
      <w:r>
        <w:rPr>
          <w:noProof/>
          <w:lang w:val="en-US" w:eastAsia="en-US"/>
        </w:rPr>
        <w:drawing>
          <wp:inline distT="0" distB="0" distL="0" distR="0" wp14:anchorId="53CF7012" wp14:editId="580B363C">
            <wp:extent cx="5569527" cy="3764478"/>
            <wp:effectExtent l="0" t="0" r="0" b="7620"/>
            <wp:docPr id="764" name="Chart 764">
              <a:extLst xmlns:a="http://schemas.openxmlformats.org/drawingml/2006/main">
                <a:ext uri="{FF2B5EF4-FFF2-40B4-BE49-F238E27FC236}">
                  <a16:creationId xmlns:a16="http://schemas.microsoft.com/office/drawing/2014/main" id="{5F53E83B-4DB8-4F2B-AF1E-7693BF331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b/>
        </w:rPr>
        <w:br/>
      </w:r>
      <w:r w:rsidRPr="005B2395">
        <w:t xml:space="preserve">Comparison of frequency data for global theme expression within the set of statements encouraging use of NPS </w:t>
      </w:r>
      <w:r>
        <w:t xml:space="preserve">shows that with the exception of risk perceptions and substitution, most themes differ in the extent to which they were emphasised in participant discussions. While the coping theme and social influence themes show notable increases while the number of references made to accessibility, legal status, authority, pleasure identity and curiosity are noticeably fewer. </w:t>
      </w:r>
    </w:p>
    <w:p w14:paraId="13325D43" w14:textId="3636DAF8" w:rsidR="007E1D13" w:rsidRPr="00AF71CD" w:rsidRDefault="007E1D13" w:rsidP="00BB0973">
      <w:pPr>
        <w:pStyle w:val="FigureHeading"/>
      </w:pPr>
      <w:bookmarkStart w:id="475" w:name="_Toc9509139"/>
      <w:r w:rsidRPr="00AF71CD">
        <w:t xml:space="preserve">Figure </w:t>
      </w:r>
      <w:r w:rsidR="00BB0973">
        <w:t>7-3</w:t>
      </w:r>
      <w:r w:rsidRPr="00AF71CD">
        <w:t>. Discouraging use of NPS: Number of statements referencing each theme</w:t>
      </w:r>
      <w:bookmarkEnd w:id="475"/>
    </w:p>
    <w:p w14:paraId="0E309894" w14:textId="77777777" w:rsidR="007E1D13" w:rsidRPr="00AF71CD" w:rsidRDefault="007E1D13" w:rsidP="007E1D13">
      <w:pPr>
        <w:rPr>
          <w:b/>
        </w:rPr>
      </w:pPr>
      <w:r>
        <w:rPr>
          <w:noProof/>
          <w:lang w:val="en-US" w:eastAsia="en-US"/>
        </w:rPr>
        <w:drawing>
          <wp:inline distT="0" distB="0" distL="0" distR="0" wp14:anchorId="412C7184" wp14:editId="610BA6FF">
            <wp:extent cx="5213267" cy="3800104"/>
            <wp:effectExtent l="0" t="0" r="6985" b="0"/>
            <wp:docPr id="765" name="Chart 765">
              <a:extLst xmlns:a="http://schemas.openxmlformats.org/drawingml/2006/main">
                <a:ext uri="{FF2B5EF4-FFF2-40B4-BE49-F238E27FC236}">
                  <a16:creationId xmlns:a16="http://schemas.microsoft.com/office/drawing/2014/main" id="{B7DFBEEE-CAC5-43B8-B048-4BACFD5A8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95A12F2" w14:textId="77777777" w:rsidR="007E1D13" w:rsidRDefault="007E1D13" w:rsidP="007E1D13">
      <w:pPr>
        <w:spacing w:before="200" w:line="480" w:lineRule="auto"/>
      </w:pPr>
      <w:r w:rsidRPr="005B2395">
        <w:t xml:space="preserve">Comparison of frequency data for global theme expression within the set of statements </w:t>
      </w:r>
      <w:r>
        <w:t xml:space="preserve">discouraging </w:t>
      </w:r>
      <w:r w:rsidRPr="005B2395">
        <w:t xml:space="preserve">use of NPS </w:t>
      </w:r>
      <w:r>
        <w:t xml:space="preserve">shows that the greatest differences relate to increases in the number of references made toward risk perception, accessibly, legal status, and to a lesser extent identity. In contrast, participants’ emphasis on the unpleasant effects associated with NPS use is notably less.  </w:t>
      </w:r>
    </w:p>
    <w:p w14:paraId="0F95BC10" w14:textId="77777777" w:rsidR="007E1D13" w:rsidRPr="001E36B6" w:rsidRDefault="007E1D13" w:rsidP="00E31E26">
      <w:pPr>
        <w:pStyle w:val="Heading4"/>
      </w:pPr>
      <w:r w:rsidRPr="001E36B6">
        <w:t>Organising themes</w:t>
      </w:r>
    </w:p>
    <w:p w14:paraId="7E5C65E2" w14:textId="67E67B7C" w:rsidR="007E1D13" w:rsidRDefault="007E1D13" w:rsidP="007E1D13">
      <w:pPr>
        <w:spacing w:before="200" w:line="480" w:lineRule="auto"/>
      </w:pPr>
      <w:r>
        <w:t xml:space="preserve">A breakdown of the organising themes associated with use of NPS is shown in Table </w:t>
      </w:r>
      <w:r w:rsidR="00BB0973">
        <w:t>7-</w:t>
      </w:r>
      <w:r>
        <w:t xml:space="preserve">10, </w:t>
      </w:r>
      <w:r w:rsidRPr="005409DE">
        <w:t xml:space="preserve">and a breakdown of the organising themes associated with non-use in Table </w:t>
      </w:r>
      <w:r w:rsidR="00BB0973">
        <w:t>7-</w:t>
      </w:r>
      <w:r>
        <w:t>11</w:t>
      </w:r>
      <w:r w:rsidRPr="005409DE">
        <w:t xml:space="preserve">. The organising themes are arranged by global theme and shown together with a count of the frequency with which they were expressed </w:t>
      </w:r>
      <w:r>
        <w:t xml:space="preserve">within participants’ conversations </w:t>
      </w:r>
      <w:r w:rsidRPr="005409DE">
        <w:t xml:space="preserve">and the number of focus groups in which they occurred. In addition, a third column shows the </w:t>
      </w:r>
      <w:r>
        <w:t xml:space="preserve">adjusted total for each organising theme to normalise the data </w:t>
      </w:r>
      <w:r w:rsidR="00AC09F3">
        <w:t xml:space="preserve">as described in Section 7.4.8.2 </w:t>
      </w:r>
      <w:r>
        <w:t xml:space="preserve">to allow comparison. Accordingly, the final column shows the difference in the expression between Study 1 and the adjusted figure for Study 2. It should be noted that the difference figure is solely intended as a guide to interpretation to indicate the relative scale and direction of any differences. </w:t>
      </w:r>
    </w:p>
    <w:p w14:paraId="39BD9885" w14:textId="591FE6E7" w:rsidR="007E1D13" w:rsidRPr="00025727" w:rsidRDefault="007E1D13" w:rsidP="007E1D13">
      <w:pPr>
        <w:spacing w:before="200" w:line="480" w:lineRule="auto"/>
      </w:pPr>
      <w:r>
        <w:t xml:space="preserve"> </w:t>
      </w:r>
      <w:r w:rsidRPr="00764285">
        <w:t xml:space="preserve">A summed frequency for each global theme is also included in the table, with the global themes ranked according to the amount of emphasis they received within the focus group discussions. </w:t>
      </w:r>
    </w:p>
    <w:bookmarkEnd w:id="468"/>
    <w:p w14:paraId="39910540" w14:textId="77777777" w:rsidR="007E1D13" w:rsidRDefault="007E1D13" w:rsidP="007E1D13">
      <w:pPr>
        <w:spacing w:line="480" w:lineRule="auto"/>
        <w:rPr>
          <w:color w:val="4F81BD" w:themeColor="accent1"/>
        </w:rPr>
      </w:pPr>
    </w:p>
    <w:p w14:paraId="0B83476A" w14:textId="77777777" w:rsidR="007E1D13" w:rsidRPr="00FF5BE1" w:rsidRDefault="007E1D13" w:rsidP="007E1D13">
      <w:pPr>
        <w:spacing w:line="480" w:lineRule="auto"/>
        <w:rPr>
          <w:color w:val="4F81BD" w:themeColor="accent1"/>
        </w:rPr>
        <w:sectPr w:rsidR="007E1D13" w:rsidRPr="00FF5BE1" w:rsidSect="007E1D13">
          <w:headerReference w:type="default" r:id="rId70"/>
          <w:pgSz w:w="11900" w:h="16840"/>
          <w:pgMar w:top="1418" w:right="1418" w:bottom="1276" w:left="1418" w:header="709" w:footer="709" w:gutter="0"/>
          <w:cols w:space="708"/>
          <w:docGrid w:linePitch="360"/>
        </w:sectPr>
      </w:pPr>
    </w:p>
    <w:p w14:paraId="465754D8" w14:textId="43F742CF" w:rsidR="007E1D13" w:rsidRPr="004B0B16" w:rsidRDefault="007E1D13" w:rsidP="00FA6445">
      <w:pPr>
        <w:pStyle w:val="TableHeader"/>
        <w:spacing w:line="240" w:lineRule="auto"/>
        <w:rPr>
          <w:b/>
        </w:rPr>
      </w:pPr>
      <w:bookmarkStart w:id="476" w:name="_Toc9509084"/>
      <w:r w:rsidRPr="004B0B16">
        <w:rPr>
          <w:b/>
        </w:rPr>
        <w:t xml:space="preserve">Table </w:t>
      </w:r>
      <w:r w:rsidR="00BB0973" w:rsidRPr="004B0B16">
        <w:rPr>
          <w:b/>
        </w:rPr>
        <w:t>7-</w:t>
      </w:r>
      <w:r w:rsidRPr="004B0B16">
        <w:rPr>
          <w:b/>
        </w:rPr>
        <w:t>10. Beliefs, reasons and motives encouraging use of NPS</w:t>
      </w:r>
      <w:bookmarkEnd w:id="476"/>
      <w:r w:rsidRPr="004B0B16">
        <w:rPr>
          <w:b/>
        </w:rPr>
        <w:t xml:space="preserve"> </w:t>
      </w:r>
    </w:p>
    <w:tbl>
      <w:tblPr>
        <w:tblW w:w="9606" w:type="dxa"/>
        <w:tblLayout w:type="fixed"/>
        <w:tblLook w:val="04A0" w:firstRow="1" w:lastRow="0" w:firstColumn="1" w:lastColumn="0" w:noHBand="0" w:noVBand="1"/>
      </w:tblPr>
      <w:tblGrid>
        <w:gridCol w:w="1952"/>
        <w:gridCol w:w="465"/>
        <w:gridCol w:w="244"/>
        <w:gridCol w:w="3684"/>
        <w:gridCol w:w="123"/>
        <w:gridCol w:w="586"/>
        <w:gridCol w:w="80"/>
        <w:gridCol w:w="710"/>
        <w:gridCol w:w="61"/>
        <w:gridCol w:w="696"/>
        <w:gridCol w:w="12"/>
        <w:gridCol w:w="851"/>
        <w:gridCol w:w="142"/>
      </w:tblGrid>
      <w:tr w:rsidR="007E1D13" w:rsidRPr="00B2469D" w14:paraId="35A5F7A9" w14:textId="77777777" w:rsidTr="007E1D13">
        <w:trPr>
          <w:gridAfter w:val="1"/>
          <w:wAfter w:w="142" w:type="dxa"/>
          <w:trHeight w:val="290"/>
        </w:trPr>
        <w:tc>
          <w:tcPr>
            <w:tcW w:w="1952" w:type="dxa"/>
            <w:tcBorders>
              <w:top w:val="single" w:sz="4" w:space="0" w:color="auto"/>
              <w:bottom w:val="single" w:sz="4" w:space="0" w:color="auto"/>
            </w:tcBorders>
            <w:shd w:val="clear" w:color="auto" w:fill="auto"/>
            <w:noWrap/>
          </w:tcPr>
          <w:p w14:paraId="1F5ECA2C" w14:textId="77777777" w:rsidR="007E1D13" w:rsidRPr="00B2469D" w:rsidRDefault="007E1D13" w:rsidP="007E1D13">
            <w:pPr>
              <w:spacing w:before="120" w:after="120" w:line="240" w:lineRule="auto"/>
              <w:rPr>
                <w:b/>
                <w:color w:val="000000"/>
                <w:lang w:eastAsia="en-GB"/>
              </w:rPr>
            </w:pPr>
            <w:r>
              <w:rPr>
                <w:b/>
                <w:color w:val="000000"/>
                <w:lang w:eastAsia="en-GB"/>
              </w:rPr>
              <w:t>Global t</w:t>
            </w:r>
            <w:r w:rsidRPr="00B2469D">
              <w:rPr>
                <w:b/>
                <w:color w:val="000000"/>
                <w:lang w:eastAsia="en-GB"/>
              </w:rPr>
              <w:t>heme</w:t>
            </w:r>
          </w:p>
        </w:tc>
        <w:tc>
          <w:tcPr>
            <w:tcW w:w="709" w:type="dxa"/>
            <w:gridSpan w:val="2"/>
            <w:tcBorders>
              <w:top w:val="single" w:sz="4" w:space="0" w:color="auto"/>
              <w:bottom w:val="single" w:sz="4" w:space="0" w:color="auto"/>
            </w:tcBorders>
            <w:shd w:val="clear" w:color="auto" w:fill="auto"/>
          </w:tcPr>
          <w:p w14:paraId="127EBC73" w14:textId="77777777" w:rsidR="007E1D13" w:rsidRPr="00B2469D" w:rsidRDefault="007E1D13" w:rsidP="007E1D13">
            <w:pPr>
              <w:spacing w:before="120" w:after="120" w:line="240" w:lineRule="auto"/>
              <w:rPr>
                <w:b/>
                <w:color w:val="000000"/>
                <w:lang w:eastAsia="en-GB"/>
              </w:rPr>
            </w:pPr>
          </w:p>
        </w:tc>
        <w:tc>
          <w:tcPr>
            <w:tcW w:w="3684" w:type="dxa"/>
            <w:tcBorders>
              <w:top w:val="single" w:sz="4" w:space="0" w:color="auto"/>
              <w:bottom w:val="single" w:sz="4" w:space="0" w:color="auto"/>
            </w:tcBorders>
            <w:shd w:val="clear" w:color="auto" w:fill="auto"/>
          </w:tcPr>
          <w:p w14:paraId="23103FAD" w14:textId="77777777" w:rsidR="007E1D13" w:rsidRPr="00B2469D" w:rsidRDefault="007E1D13" w:rsidP="007E1D13">
            <w:pPr>
              <w:spacing w:before="120" w:after="120" w:line="240" w:lineRule="auto"/>
              <w:rPr>
                <w:b/>
                <w:color w:val="000000"/>
                <w:lang w:eastAsia="en-GB"/>
              </w:rPr>
            </w:pPr>
            <w:r>
              <w:rPr>
                <w:b/>
                <w:color w:val="000000"/>
                <w:lang w:eastAsia="en-GB"/>
              </w:rPr>
              <w:t>Organising theme</w:t>
            </w:r>
          </w:p>
        </w:tc>
        <w:tc>
          <w:tcPr>
            <w:tcW w:w="709" w:type="dxa"/>
            <w:gridSpan w:val="2"/>
            <w:tcBorders>
              <w:top w:val="single" w:sz="4" w:space="0" w:color="auto"/>
              <w:bottom w:val="single" w:sz="4" w:space="0" w:color="auto"/>
            </w:tcBorders>
          </w:tcPr>
          <w:p w14:paraId="416796A8" w14:textId="77777777" w:rsidR="007E1D13" w:rsidRPr="00B2469D" w:rsidRDefault="007E1D13" w:rsidP="007E1D13">
            <w:pPr>
              <w:spacing w:before="120" w:after="120" w:line="240" w:lineRule="auto"/>
              <w:rPr>
                <w:b/>
                <w:color w:val="000000"/>
                <w:lang w:eastAsia="en-GB"/>
              </w:rPr>
            </w:pPr>
            <w:r>
              <w:rPr>
                <w:b/>
                <w:color w:val="000000"/>
                <w:lang w:eastAsia="en-GB"/>
              </w:rPr>
              <w:t>FGs</w:t>
            </w:r>
          </w:p>
        </w:tc>
        <w:tc>
          <w:tcPr>
            <w:tcW w:w="851" w:type="dxa"/>
            <w:gridSpan w:val="3"/>
            <w:tcBorders>
              <w:top w:val="single" w:sz="4" w:space="0" w:color="auto"/>
              <w:bottom w:val="single" w:sz="4" w:space="0" w:color="auto"/>
            </w:tcBorders>
            <w:shd w:val="clear" w:color="auto" w:fill="auto"/>
          </w:tcPr>
          <w:p w14:paraId="3E0B7775" w14:textId="77777777" w:rsidR="007E1D13" w:rsidRPr="00B2469D" w:rsidRDefault="007E1D13" w:rsidP="007E1D13">
            <w:pPr>
              <w:spacing w:before="120" w:after="120" w:line="240" w:lineRule="auto"/>
              <w:rPr>
                <w:b/>
                <w:color w:val="000000"/>
                <w:lang w:eastAsia="en-GB"/>
              </w:rPr>
            </w:pPr>
            <w:r>
              <w:rPr>
                <w:b/>
                <w:color w:val="000000"/>
                <w:lang w:eastAsia="en-GB"/>
              </w:rPr>
              <w:t xml:space="preserve">Freq.   </w:t>
            </w:r>
          </w:p>
        </w:tc>
        <w:tc>
          <w:tcPr>
            <w:tcW w:w="708" w:type="dxa"/>
            <w:gridSpan w:val="2"/>
            <w:tcBorders>
              <w:top w:val="single" w:sz="4" w:space="0" w:color="auto"/>
              <w:bottom w:val="single" w:sz="4" w:space="0" w:color="auto"/>
            </w:tcBorders>
          </w:tcPr>
          <w:p w14:paraId="58F2A7D5" w14:textId="77777777" w:rsidR="007E1D13" w:rsidRDefault="007E1D13" w:rsidP="007E1D13">
            <w:pPr>
              <w:spacing w:before="120" w:after="120" w:line="240" w:lineRule="auto"/>
              <w:jc w:val="right"/>
              <w:rPr>
                <w:b/>
                <w:color w:val="000000"/>
                <w:lang w:eastAsia="en-GB"/>
              </w:rPr>
            </w:pPr>
            <w:r>
              <w:rPr>
                <w:b/>
                <w:color w:val="000000"/>
                <w:lang w:eastAsia="en-GB"/>
              </w:rPr>
              <w:t>Adj.</w:t>
            </w:r>
          </w:p>
        </w:tc>
        <w:tc>
          <w:tcPr>
            <w:tcW w:w="851" w:type="dxa"/>
            <w:tcBorders>
              <w:top w:val="single" w:sz="4" w:space="0" w:color="auto"/>
              <w:bottom w:val="single" w:sz="4" w:space="0" w:color="auto"/>
            </w:tcBorders>
          </w:tcPr>
          <w:p w14:paraId="701D7888" w14:textId="77777777" w:rsidR="007E1D13" w:rsidRDefault="007E1D13" w:rsidP="007E1D13">
            <w:pPr>
              <w:spacing w:before="120" w:after="120" w:line="240" w:lineRule="auto"/>
              <w:jc w:val="right"/>
              <w:rPr>
                <w:b/>
                <w:color w:val="000000"/>
                <w:lang w:eastAsia="en-GB"/>
              </w:rPr>
            </w:pPr>
            <w:r>
              <w:rPr>
                <w:b/>
                <w:color w:val="000000"/>
                <w:lang w:eastAsia="en-GB"/>
              </w:rPr>
              <w:t>Diff.</w:t>
            </w:r>
          </w:p>
        </w:tc>
      </w:tr>
      <w:tr w:rsidR="007E1D13" w:rsidRPr="00B2469D" w14:paraId="32E4B5B7" w14:textId="77777777" w:rsidTr="007E1D13">
        <w:trPr>
          <w:trHeight w:val="290"/>
        </w:trPr>
        <w:tc>
          <w:tcPr>
            <w:tcW w:w="1952" w:type="dxa"/>
            <w:shd w:val="clear" w:color="auto" w:fill="auto"/>
            <w:noWrap/>
            <w:vAlign w:val="bottom"/>
          </w:tcPr>
          <w:p w14:paraId="3B1AEAC8" w14:textId="77777777" w:rsidR="007E1D13" w:rsidRPr="00B2469D" w:rsidRDefault="007E1D13" w:rsidP="007E1D13">
            <w:pPr>
              <w:spacing w:before="120" w:after="0" w:line="360" w:lineRule="auto"/>
              <w:rPr>
                <w:sz w:val="20"/>
                <w:szCs w:val="20"/>
                <w:lang w:eastAsia="en-GB"/>
              </w:rPr>
            </w:pPr>
            <w:r>
              <w:rPr>
                <w:b/>
                <w:color w:val="000000"/>
                <w:lang w:eastAsia="en-GB"/>
              </w:rPr>
              <w:t>Coping</w:t>
            </w:r>
          </w:p>
        </w:tc>
        <w:tc>
          <w:tcPr>
            <w:tcW w:w="465" w:type="dxa"/>
            <w:shd w:val="clear" w:color="auto" w:fill="auto"/>
            <w:vAlign w:val="center"/>
          </w:tcPr>
          <w:p w14:paraId="12ADD313" w14:textId="77777777" w:rsidR="007E1D13" w:rsidRPr="00A454B5" w:rsidRDefault="007E1D13" w:rsidP="007E1D13">
            <w:pPr>
              <w:spacing w:before="120" w:after="0" w:line="360" w:lineRule="auto"/>
              <w:jc w:val="right"/>
              <w:rPr>
                <w:b/>
                <w:szCs w:val="24"/>
                <w:lang w:eastAsia="en-GB"/>
              </w:rPr>
            </w:pPr>
            <w:r>
              <w:rPr>
                <w:b/>
                <w:szCs w:val="24"/>
                <w:lang w:eastAsia="en-GB"/>
              </w:rPr>
              <w:t>78</w:t>
            </w:r>
          </w:p>
        </w:tc>
        <w:tc>
          <w:tcPr>
            <w:tcW w:w="4051" w:type="dxa"/>
            <w:gridSpan w:val="3"/>
            <w:shd w:val="clear" w:color="auto" w:fill="auto"/>
            <w:noWrap/>
          </w:tcPr>
          <w:p w14:paraId="31874044" w14:textId="77777777" w:rsidR="007E1D13" w:rsidRPr="00B2469D" w:rsidRDefault="007E1D13" w:rsidP="007E1D13">
            <w:pPr>
              <w:spacing w:before="120" w:after="0" w:line="360" w:lineRule="auto"/>
              <w:rPr>
                <w:color w:val="000000"/>
                <w:lang w:eastAsia="en-GB"/>
              </w:rPr>
            </w:pPr>
            <w:r>
              <w:rPr>
                <w:color w:val="000000"/>
                <w:lang w:eastAsia="en-GB"/>
              </w:rPr>
              <w:t>Coping / escapism</w:t>
            </w:r>
          </w:p>
        </w:tc>
        <w:tc>
          <w:tcPr>
            <w:tcW w:w="666" w:type="dxa"/>
            <w:gridSpan w:val="2"/>
            <w:shd w:val="clear" w:color="auto" w:fill="auto"/>
            <w:vAlign w:val="center"/>
          </w:tcPr>
          <w:p w14:paraId="2CB94BAB"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Pr>
          <w:p w14:paraId="5B98A63A" w14:textId="77777777" w:rsidR="007E1D13" w:rsidRDefault="007E1D13" w:rsidP="007E1D13">
            <w:pPr>
              <w:spacing w:before="120" w:after="0" w:line="360" w:lineRule="auto"/>
              <w:jc w:val="right"/>
              <w:rPr>
                <w:color w:val="000000"/>
                <w:lang w:eastAsia="en-GB"/>
              </w:rPr>
            </w:pPr>
            <w:r>
              <w:rPr>
                <w:color w:val="000000"/>
                <w:lang w:eastAsia="en-GB"/>
              </w:rPr>
              <w:t>41</w:t>
            </w:r>
          </w:p>
        </w:tc>
        <w:tc>
          <w:tcPr>
            <w:tcW w:w="757" w:type="dxa"/>
            <w:gridSpan w:val="2"/>
          </w:tcPr>
          <w:p w14:paraId="0A2DE760" w14:textId="77777777" w:rsidR="007E1D13" w:rsidRDefault="007E1D13" w:rsidP="007E1D13">
            <w:pPr>
              <w:spacing w:before="120" w:after="0" w:line="360" w:lineRule="auto"/>
              <w:jc w:val="right"/>
              <w:rPr>
                <w:color w:val="000000"/>
                <w:lang w:eastAsia="en-GB"/>
              </w:rPr>
            </w:pPr>
            <w:r>
              <w:rPr>
                <w:color w:val="000000"/>
                <w:lang w:eastAsia="en-GB"/>
              </w:rPr>
              <w:t>47</w:t>
            </w:r>
          </w:p>
        </w:tc>
        <w:tc>
          <w:tcPr>
            <w:tcW w:w="1005" w:type="dxa"/>
            <w:gridSpan w:val="3"/>
            <w:shd w:val="clear" w:color="auto" w:fill="auto"/>
          </w:tcPr>
          <w:p w14:paraId="1E11FB5C" w14:textId="77777777" w:rsidR="007E1D13" w:rsidRPr="00B2469D" w:rsidRDefault="007E1D13" w:rsidP="007E1D13">
            <w:pPr>
              <w:spacing w:before="120" w:after="0" w:line="360" w:lineRule="auto"/>
              <w:jc w:val="right"/>
              <w:rPr>
                <w:color w:val="000000"/>
                <w:lang w:eastAsia="en-GB"/>
              </w:rPr>
            </w:pPr>
            <w:r>
              <w:rPr>
                <w:color w:val="000000"/>
                <w:lang w:eastAsia="en-GB"/>
              </w:rPr>
              <w:t>+ 33</w:t>
            </w:r>
          </w:p>
        </w:tc>
      </w:tr>
      <w:tr w:rsidR="007E1D13" w:rsidRPr="00B2469D" w14:paraId="75648796" w14:textId="77777777" w:rsidTr="007E1D13">
        <w:trPr>
          <w:trHeight w:val="290"/>
        </w:trPr>
        <w:tc>
          <w:tcPr>
            <w:tcW w:w="1952" w:type="dxa"/>
            <w:shd w:val="clear" w:color="auto" w:fill="auto"/>
            <w:noWrap/>
            <w:vAlign w:val="bottom"/>
          </w:tcPr>
          <w:p w14:paraId="0B1BF74A"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4AEA8223" w14:textId="77777777" w:rsidR="007E1D13" w:rsidRDefault="007E1D13" w:rsidP="007E1D13">
            <w:pPr>
              <w:spacing w:after="0" w:line="360" w:lineRule="auto"/>
              <w:jc w:val="right"/>
              <w:rPr>
                <w:b/>
                <w:szCs w:val="24"/>
                <w:lang w:eastAsia="en-GB"/>
              </w:rPr>
            </w:pPr>
          </w:p>
        </w:tc>
        <w:tc>
          <w:tcPr>
            <w:tcW w:w="4051" w:type="dxa"/>
            <w:gridSpan w:val="3"/>
            <w:shd w:val="clear" w:color="auto" w:fill="auto"/>
            <w:noWrap/>
          </w:tcPr>
          <w:p w14:paraId="218F51A8" w14:textId="77777777" w:rsidR="007E1D13" w:rsidRDefault="007E1D13" w:rsidP="007E1D13">
            <w:pPr>
              <w:spacing w:after="0" w:line="360" w:lineRule="auto"/>
              <w:rPr>
                <w:color w:val="000000"/>
                <w:lang w:eastAsia="en-GB"/>
              </w:rPr>
            </w:pPr>
            <w:r w:rsidRPr="00133A66">
              <w:rPr>
                <w:color w:val="000000" w:themeColor="text1"/>
                <w:szCs w:val="24"/>
                <w:lang w:eastAsia="en-GB"/>
              </w:rPr>
              <w:t xml:space="preserve">Tough life </w:t>
            </w:r>
            <w:r>
              <w:rPr>
                <w:color w:val="000000" w:themeColor="text1"/>
                <w:szCs w:val="24"/>
                <w:lang w:eastAsia="en-GB"/>
              </w:rPr>
              <w:t xml:space="preserve">/ </w:t>
            </w:r>
            <w:r w:rsidRPr="00133A66">
              <w:rPr>
                <w:color w:val="000000" w:themeColor="text1"/>
                <w:szCs w:val="24"/>
                <w:lang w:eastAsia="en-GB"/>
              </w:rPr>
              <w:t>vulnerable</w:t>
            </w:r>
          </w:p>
        </w:tc>
        <w:tc>
          <w:tcPr>
            <w:tcW w:w="666" w:type="dxa"/>
            <w:gridSpan w:val="2"/>
            <w:shd w:val="clear" w:color="auto" w:fill="auto"/>
            <w:vAlign w:val="center"/>
          </w:tcPr>
          <w:p w14:paraId="123C64D0" w14:textId="77777777" w:rsidR="007E1D13" w:rsidRDefault="007E1D13" w:rsidP="007E1D13">
            <w:pPr>
              <w:spacing w:after="0" w:line="360" w:lineRule="auto"/>
              <w:jc w:val="center"/>
              <w:rPr>
                <w:color w:val="000000"/>
                <w:lang w:eastAsia="en-GB"/>
              </w:rPr>
            </w:pPr>
            <w:r>
              <w:rPr>
                <w:color w:val="000000"/>
                <w:lang w:eastAsia="en-GB"/>
              </w:rPr>
              <w:t>3</w:t>
            </w:r>
          </w:p>
        </w:tc>
        <w:tc>
          <w:tcPr>
            <w:tcW w:w="710" w:type="dxa"/>
          </w:tcPr>
          <w:p w14:paraId="31F43DAE" w14:textId="77777777" w:rsidR="007E1D13" w:rsidRDefault="007E1D13" w:rsidP="007E1D13">
            <w:pPr>
              <w:spacing w:after="0" w:line="360" w:lineRule="auto"/>
              <w:jc w:val="right"/>
              <w:rPr>
                <w:color w:val="000000"/>
                <w:lang w:eastAsia="en-GB"/>
              </w:rPr>
            </w:pPr>
            <w:r>
              <w:rPr>
                <w:color w:val="000000"/>
                <w:lang w:eastAsia="en-GB"/>
              </w:rPr>
              <w:t>19</w:t>
            </w:r>
          </w:p>
        </w:tc>
        <w:tc>
          <w:tcPr>
            <w:tcW w:w="757" w:type="dxa"/>
            <w:gridSpan w:val="2"/>
          </w:tcPr>
          <w:p w14:paraId="01EF05F2" w14:textId="77777777" w:rsidR="007E1D13" w:rsidRDefault="007E1D13" w:rsidP="007E1D13">
            <w:pPr>
              <w:spacing w:after="0" w:line="360" w:lineRule="auto"/>
              <w:jc w:val="right"/>
              <w:rPr>
                <w:color w:val="000000"/>
                <w:lang w:eastAsia="en-GB"/>
              </w:rPr>
            </w:pPr>
            <w:r>
              <w:rPr>
                <w:color w:val="000000"/>
                <w:lang w:eastAsia="en-GB"/>
              </w:rPr>
              <w:t>22</w:t>
            </w:r>
          </w:p>
        </w:tc>
        <w:tc>
          <w:tcPr>
            <w:tcW w:w="1005" w:type="dxa"/>
            <w:gridSpan w:val="3"/>
            <w:shd w:val="clear" w:color="auto" w:fill="auto"/>
          </w:tcPr>
          <w:p w14:paraId="49C3BE33" w14:textId="77777777" w:rsidR="007E1D13" w:rsidRDefault="007E1D13" w:rsidP="007E1D13">
            <w:pPr>
              <w:spacing w:after="0" w:line="360" w:lineRule="auto"/>
              <w:jc w:val="right"/>
              <w:rPr>
                <w:color w:val="000000"/>
                <w:lang w:eastAsia="en-GB"/>
              </w:rPr>
            </w:pPr>
            <w:r>
              <w:rPr>
                <w:color w:val="000000"/>
                <w:lang w:eastAsia="en-GB"/>
              </w:rPr>
              <w:t>+12</w:t>
            </w:r>
          </w:p>
        </w:tc>
      </w:tr>
      <w:tr w:rsidR="007E1D13" w:rsidRPr="00B2469D" w14:paraId="17529C85" w14:textId="77777777" w:rsidTr="007E1D13">
        <w:trPr>
          <w:trHeight w:val="290"/>
        </w:trPr>
        <w:tc>
          <w:tcPr>
            <w:tcW w:w="1952" w:type="dxa"/>
            <w:tcBorders>
              <w:bottom w:val="single" w:sz="4" w:space="0" w:color="auto"/>
            </w:tcBorders>
            <w:shd w:val="clear" w:color="auto" w:fill="auto"/>
            <w:noWrap/>
            <w:vAlign w:val="bottom"/>
          </w:tcPr>
          <w:p w14:paraId="2CB28D44"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58E22246"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tcPr>
          <w:p w14:paraId="7649B696" w14:textId="77777777" w:rsidR="007E1D13" w:rsidRPr="00B2469D" w:rsidRDefault="007E1D13" w:rsidP="007E1D13">
            <w:pPr>
              <w:spacing w:after="0" w:line="360" w:lineRule="auto"/>
              <w:rPr>
                <w:color w:val="000000"/>
                <w:lang w:eastAsia="en-GB"/>
              </w:rPr>
            </w:pPr>
            <w:r>
              <w:rPr>
                <w:color w:val="000000"/>
                <w:lang w:eastAsia="en-GB"/>
              </w:rPr>
              <w:t>Addiction</w:t>
            </w:r>
          </w:p>
        </w:tc>
        <w:tc>
          <w:tcPr>
            <w:tcW w:w="666" w:type="dxa"/>
            <w:gridSpan w:val="2"/>
            <w:tcBorders>
              <w:bottom w:val="single" w:sz="4" w:space="0" w:color="auto"/>
            </w:tcBorders>
            <w:shd w:val="clear" w:color="auto" w:fill="auto"/>
            <w:vAlign w:val="center"/>
          </w:tcPr>
          <w:p w14:paraId="04EE8C8F"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tcBorders>
              <w:bottom w:val="single" w:sz="4" w:space="0" w:color="auto"/>
            </w:tcBorders>
          </w:tcPr>
          <w:p w14:paraId="4E930B5C" w14:textId="77777777" w:rsidR="007E1D13" w:rsidRDefault="007E1D13" w:rsidP="007E1D13">
            <w:pPr>
              <w:spacing w:after="0" w:line="360" w:lineRule="auto"/>
              <w:jc w:val="right"/>
              <w:rPr>
                <w:color w:val="000000"/>
                <w:lang w:eastAsia="en-GB"/>
              </w:rPr>
            </w:pPr>
            <w:r>
              <w:rPr>
                <w:color w:val="000000"/>
                <w:lang w:eastAsia="en-GB"/>
              </w:rPr>
              <w:t>18</w:t>
            </w:r>
          </w:p>
        </w:tc>
        <w:tc>
          <w:tcPr>
            <w:tcW w:w="757" w:type="dxa"/>
            <w:gridSpan w:val="2"/>
            <w:tcBorders>
              <w:bottom w:val="single" w:sz="4" w:space="0" w:color="auto"/>
            </w:tcBorders>
          </w:tcPr>
          <w:p w14:paraId="7A27B836" w14:textId="77777777" w:rsidR="007E1D13" w:rsidRDefault="007E1D13" w:rsidP="007E1D13">
            <w:pPr>
              <w:spacing w:after="0" w:line="360" w:lineRule="auto"/>
              <w:jc w:val="right"/>
              <w:rPr>
                <w:color w:val="000000"/>
                <w:lang w:eastAsia="en-GB"/>
              </w:rPr>
            </w:pPr>
            <w:r>
              <w:rPr>
                <w:color w:val="000000"/>
                <w:lang w:eastAsia="en-GB"/>
              </w:rPr>
              <w:t>21</w:t>
            </w:r>
          </w:p>
        </w:tc>
        <w:tc>
          <w:tcPr>
            <w:tcW w:w="1005" w:type="dxa"/>
            <w:gridSpan w:val="3"/>
            <w:tcBorders>
              <w:bottom w:val="single" w:sz="4" w:space="0" w:color="auto"/>
            </w:tcBorders>
            <w:shd w:val="clear" w:color="auto" w:fill="auto"/>
          </w:tcPr>
          <w:p w14:paraId="60D2F01E" w14:textId="77777777" w:rsidR="007E1D13" w:rsidRPr="00B2469D" w:rsidRDefault="007E1D13" w:rsidP="007E1D13">
            <w:pPr>
              <w:spacing w:after="0" w:line="360" w:lineRule="auto"/>
              <w:jc w:val="right"/>
              <w:rPr>
                <w:color w:val="000000"/>
                <w:lang w:eastAsia="en-GB"/>
              </w:rPr>
            </w:pPr>
            <w:r>
              <w:rPr>
                <w:color w:val="000000"/>
                <w:lang w:eastAsia="en-GB"/>
              </w:rPr>
              <w:t>+ 12</w:t>
            </w:r>
          </w:p>
        </w:tc>
      </w:tr>
      <w:tr w:rsidR="007E1D13" w:rsidRPr="00B2469D" w14:paraId="3D58642A" w14:textId="77777777" w:rsidTr="007E1D13">
        <w:trPr>
          <w:trHeight w:val="290"/>
        </w:trPr>
        <w:tc>
          <w:tcPr>
            <w:tcW w:w="1952" w:type="dxa"/>
            <w:tcBorders>
              <w:top w:val="single" w:sz="4" w:space="0" w:color="auto"/>
            </w:tcBorders>
            <w:shd w:val="clear" w:color="auto" w:fill="auto"/>
            <w:noWrap/>
            <w:vAlign w:val="bottom"/>
          </w:tcPr>
          <w:p w14:paraId="574B6A30" w14:textId="77777777" w:rsidR="007E1D13" w:rsidRPr="00A454B5" w:rsidRDefault="007E1D13" w:rsidP="007E1D13">
            <w:pPr>
              <w:spacing w:before="120" w:after="0" w:line="360" w:lineRule="auto"/>
              <w:rPr>
                <w:b/>
                <w:color w:val="000000"/>
                <w:lang w:eastAsia="en-GB"/>
              </w:rPr>
            </w:pPr>
            <w:r w:rsidRPr="00A454B5">
              <w:rPr>
                <w:b/>
                <w:color w:val="000000"/>
                <w:lang w:eastAsia="en-GB"/>
              </w:rPr>
              <w:t xml:space="preserve">Social </w:t>
            </w:r>
            <w:r>
              <w:rPr>
                <w:b/>
                <w:color w:val="000000"/>
                <w:lang w:eastAsia="en-GB"/>
              </w:rPr>
              <w:t>influences</w:t>
            </w:r>
          </w:p>
        </w:tc>
        <w:tc>
          <w:tcPr>
            <w:tcW w:w="465" w:type="dxa"/>
            <w:tcBorders>
              <w:top w:val="single" w:sz="4" w:space="0" w:color="auto"/>
            </w:tcBorders>
            <w:shd w:val="clear" w:color="auto" w:fill="auto"/>
            <w:vAlign w:val="center"/>
          </w:tcPr>
          <w:p w14:paraId="0335A568" w14:textId="77777777" w:rsidR="007E1D13" w:rsidRPr="00A454B5" w:rsidRDefault="007E1D13" w:rsidP="007E1D13">
            <w:pPr>
              <w:spacing w:before="120" w:after="0" w:line="360" w:lineRule="auto"/>
              <w:jc w:val="right"/>
              <w:rPr>
                <w:b/>
                <w:color w:val="000000"/>
                <w:lang w:eastAsia="en-GB"/>
              </w:rPr>
            </w:pPr>
            <w:r>
              <w:rPr>
                <w:b/>
                <w:color w:val="000000"/>
                <w:lang w:eastAsia="en-GB"/>
              </w:rPr>
              <w:t>66</w:t>
            </w:r>
          </w:p>
        </w:tc>
        <w:tc>
          <w:tcPr>
            <w:tcW w:w="4051" w:type="dxa"/>
            <w:gridSpan w:val="3"/>
            <w:tcBorders>
              <w:top w:val="single" w:sz="4" w:space="0" w:color="auto"/>
            </w:tcBorders>
            <w:shd w:val="clear" w:color="auto" w:fill="auto"/>
            <w:noWrap/>
            <w:vAlign w:val="bottom"/>
          </w:tcPr>
          <w:p w14:paraId="3C1744D3" w14:textId="77777777" w:rsidR="007E1D13" w:rsidRPr="00B2469D" w:rsidRDefault="007E1D13" w:rsidP="007E1D13">
            <w:pPr>
              <w:spacing w:before="120" w:after="0" w:line="360" w:lineRule="auto"/>
              <w:rPr>
                <w:color w:val="000000"/>
                <w:lang w:eastAsia="en-GB"/>
              </w:rPr>
            </w:pPr>
            <w:r w:rsidRPr="00B2469D">
              <w:rPr>
                <w:color w:val="000000"/>
                <w:lang w:eastAsia="en-GB"/>
              </w:rPr>
              <w:t xml:space="preserve">Friends </w:t>
            </w:r>
            <w:r>
              <w:rPr>
                <w:color w:val="000000"/>
                <w:lang w:eastAsia="en-GB"/>
              </w:rPr>
              <w:t>approval / peer pressure</w:t>
            </w:r>
          </w:p>
        </w:tc>
        <w:tc>
          <w:tcPr>
            <w:tcW w:w="666" w:type="dxa"/>
            <w:gridSpan w:val="2"/>
            <w:tcBorders>
              <w:top w:val="single" w:sz="4" w:space="0" w:color="auto"/>
            </w:tcBorders>
            <w:shd w:val="clear" w:color="auto" w:fill="auto"/>
            <w:vAlign w:val="center"/>
          </w:tcPr>
          <w:p w14:paraId="63B8156A"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281A6E48" w14:textId="77777777" w:rsidR="007E1D13" w:rsidRPr="00B2469D" w:rsidRDefault="007E1D13" w:rsidP="007E1D13">
            <w:pPr>
              <w:spacing w:before="120" w:after="0" w:line="360" w:lineRule="auto"/>
              <w:jc w:val="right"/>
              <w:rPr>
                <w:color w:val="000000"/>
                <w:lang w:eastAsia="en-GB"/>
              </w:rPr>
            </w:pPr>
            <w:r>
              <w:rPr>
                <w:color w:val="000000"/>
                <w:lang w:eastAsia="en-GB"/>
              </w:rPr>
              <w:t>40</w:t>
            </w:r>
          </w:p>
        </w:tc>
        <w:tc>
          <w:tcPr>
            <w:tcW w:w="757" w:type="dxa"/>
            <w:gridSpan w:val="2"/>
            <w:tcBorders>
              <w:top w:val="single" w:sz="4" w:space="0" w:color="auto"/>
            </w:tcBorders>
          </w:tcPr>
          <w:p w14:paraId="190593C7" w14:textId="77777777" w:rsidR="007E1D13" w:rsidRDefault="007E1D13" w:rsidP="007E1D13">
            <w:pPr>
              <w:spacing w:before="120" w:after="0" w:line="360" w:lineRule="auto"/>
              <w:jc w:val="right"/>
              <w:rPr>
                <w:color w:val="000000"/>
                <w:lang w:eastAsia="en-GB"/>
              </w:rPr>
            </w:pPr>
            <w:r>
              <w:rPr>
                <w:color w:val="000000"/>
                <w:lang w:eastAsia="en-GB"/>
              </w:rPr>
              <w:t>46</w:t>
            </w:r>
          </w:p>
        </w:tc>
        <w:tc>
          <w:tcPr>
            <w:tcW w:w="1005" w:type="dxa"/>
            <w:gridSpan w:val="3"/>
            <w:tcBorders>
              <w:top w:val="single" w:sz="4" w:space="0" w:color="auto"/>
            </w:tcBorders>
            <w:shd w:val="clear" w:color="auto" w:fill="auto"/>
          </w:tcPr>
          <w:p w14:paraId="0603080C" w14:textId="77777777" w:rsidR="007E1D13" w:rsidRPr="00B2469D" w:rsidRDefault="007E1D13" w:rsidP="007E1D13">
            <w:pPr>
              <w:spacing w:before="120" w:after="0" w:line="360" w:lineRule="auto"/>
              <w:jc w:val="right"/>
              <w:rPr>
                <w:color w:val="000000"/>
                <w:lang w:eastAsia="en-GB"/>
              </w:rPr>
            </w:pPr>
            <w:r>
              <w:rPr>
                <w:color w:val="000000"/>
                <w:lang w:eastAsia="en-GB"/>
              </w:rPr>
              <w:t>+ 18</w:t>
            </w:r>
          </w:p>
        </w:tc>
      </w:tr>
      <w:tr w:rsidR="007E1D13" w:rsidRPr="00B2469D" w14:paraId="66C0EC32" w14:textId="77777777" w:rsidTr="007E1D13">
        <w:trPr>
          <w:trHeight w:val="290"/>
        </w:trPr>
        <w:tc>
          <w:tcPr>
            <w:tcW w:w="1952" w:type="dxa"/>
            <w:tcBorders>
              <w:bottom w:val="single" w:sz="4" w:space="0" w:color="auto"/>
            </w:tcBorders>
            <w:shd w:val="clear" w:color="auto" w:fill="auto"/>
            <w:noWrap/>
            <w:vAlign w:val="bottom"/>
          </w:tcPr>
          <w:p w14:paraId="030774C1"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5016CD41"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vAlign w:val="bottom"/>
          </w:tcPr>
          <w:p w14:paraId="15CD18D9" w14:textId="77777777" w:rsidR="007E1D13" w:rsidRPr="00B2469D" w:rsidRDefault="007E1D13" w:rsidP="007E1D13">
            <w:pPr>
              <w:spacing w:after="0" w:line="360" w:lineRule="auto"/>
              <w:rPr>
                <w:color w:val="000000"/>
                <w:lang w:eastAsia="en-GB"/>
              </w:rPr>
            </w:pPr>
            <w:r>
              <w:rPr>
                <w:color w:val="000000"/>
                <w:lang w:eastAsia="en-GB"/>
              </w:rPr>
              <w:t>Normal / a</w:t>
            </w:r>
            <w:r w:rsidRPr="00B2469D">
              <w:rPr>
                <w:color w:val="000000"/>
                <w:lang w:eastAsia="en-GB"/>
              </w:rPr>
              <w:t>cceptable to use</w:t>
            </w:r>
          </w:p>
        </w:tc>
        <w:tc>
          <w:tcPr>
            <w:tcW w:w="666" w:type="dxa"/>
            <w:gridSpan w:val="2"/>
            <w:tcBorders>
              <w:bottom w:val="single" w:sz="4" w:space="0" w:color="auto"/>
            </w:tcBorders>
            <w:shd w:val="clear" w:color="auto" w:fill="auto"/>
            <w:vAlign w:val="center"/>
          </w:tcPr>
          <w:p w14:paraId="783F0C54"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tcBorders>
              <w:bottom w:val="single" w:sz="4" w:space="0" w:color="auto"/>
            </w:tcBorders>
            <w:vAlign w:val="bottom"/>
          </w:tcPr>
          <w:p w14:paraId="25C8E801" w14:textId="77777777" w:rsidR="007E1D13" w:rsidRPr="00B2469D" w:rsidRDefault="007E1D13" w:rsidP="007E1D13">
            <w:pPr>
              <w:spacing w:after="0" w:line="360" w:lineRule="auto"/>
              <w:jc w:val="right"/>
              <w:rPr>
                <w:color w:val="000000"/>
                <w:lang w:eastAsia="en-GB"/>
              </w:rPr>
            </w:pPr>
            <w:r>
              <w:rPr>
                <w:color w:val="000000"/>
                <w:lang w:eastAsia="en-GB"/>
              </w:rPr>
              <w:t>26</w:t>
            </w:r>
          </w:p>
        </w:tc>
        <w:tc>
          <w:tcPr>
            <w:tcW w:w="757" w:type="dxa"/>
            <w:gridSpan w:val="2"/>
            <w:tcBorders>
              <w:bottom w:val="single" w:sz="4" w:space="0" w:color="auto"/>
            </w:tcBorders>
          </w:tcPr>
          <w:p w14:paraId="27794103" w14:textId="77777777" w:rsidR="007E1D13" w:rsidRDefault="007E1D13" w:rsidP="007E1D13">
            <w:pPr>
              <w:spacing w:after="0" w:line="360" w:lineRule="auto"/>
              <w:jc w:val="right"/>
              <w:rPr>
                <w:color w:val="000000"/>
                <w:lang w:eastAsia="en-GB"/>
              </w:rPr>
            </w:pPr>
            <w:r>
              <w:rPr>
                <w:color w:val="000000"/>
                <w:lang w:eastAsia="en-GB"/>
              </w:rPr>
              <w:t>30</w:t>
            </w:r>
          </w:p>
        </w:tc>
        <w:tc>
          <w:tcPr>
            <w:tcW w:w="1005" w:type="dxa"/>
            <w:gridSpan w:val="3"/>
            <w:tcBorders>
              <w:bottom w:val="single" w:sz="4" w:space="0" w:color="auto"/>
            </w:tcBorders>
            <w:shd w:val="clear" w:color="auto" w:fill="auto"/>
          </w:tcPr>
          <w:p w14:paraId="71BFD0FA" w14:textId="77777777" w:rsidR="007E1D13" w:rsidRPr="00B2469D" w:rsidRDefault="007E1D13" w:rsidP="007E1D13">
            <w:pPr>
              <w:spacing w:after="0" w:line="360" w:lineRule="auto"/>
              <w:jc w:val="right"/>
              <w:rPr>
                <w:color w:val="000000"/>
                <w:lang w:eastAsia="en-GB"/>
              </w:rPr>
            </w:pPr>
            <w:r>
              <w:rPr>
                <w:color w:val="000000"/>
                <w:lang w:eastAsia="en-GB"/>
              </w:rPr>
              <w:t>+ 16</w:t>
            </w:r>
          </w:p>
        </w:tc>
      </w:tr>
      <w:tr w:rsidR="007E1D13" w:rsidRPr="00B2469D" w14:paraId="4F99907F" w14:textId="77777777" w:rsidTr="007E1D13">
        <w:trPr>
          <w:trHeight w:val="290"/>
        </w:trPr>
        <w:tc>
          <w:tcPr>
            <w:tcW w:w="1952" w:type="dxa"/>
            <w:tcBorders>
              <w:top w:val="single" w:sz="4" w:space="0" w:color="auto"/>
            </w:tcBorders>
            <w:shd w:val="clear" w:color="auto" w:fill="auto"/>
            <w:noWrap/>
            <w:vAlign w:val="bottom"/>
          </w:tcPr>
          <w:p w14:paraId="1232313A" w14:textId="77777777" w:rsidR="007E1D13" w:rsidRPr="00B2469D" w:rsidRDefault="007E1D13" w:rsidP="007E1D13">
            <w:pPr>
              <w:spacing w:before="120" w:after="0" w:line="360" w:lineRule="auto"/>
              <w:rPr>
                <w:color w:val="000000"/>
                <w:lang w:eastAsia="en-GB"/>
              </w:rPr>
            </w:pPr>
            <w:r>
              <w:rPr>
                <w:b/>
                <w:color w:val="000000"/>
                <w:lang w:eastAsia="en-GB"/>
              </w:rPr>
              <w:t>Risk perception</w:t>
            </w:r>
          </w:p>
        </w:tc>
        <w:tc>
          <w:tcPr>
            <w:tcW w:w="465" w:type="dxa"/>
            <w:tcBorders>
              <w:top w:val="single" w:sz="4" w:space="0" w:color="auto"/>
            </w:tcBorders>
            <w:shd w:val="clear" w:color="auto" w:fill="auto"/>
            <w:vAlign w:val="center"/>
          </w:tcPr>
          <w:p w14:paraId="2A97499A" w14:textId="77777777" w:rsidR="007E1D13" w:rsidRPr="00A454B5" w:rsidRDefault="007E1D13" w:rsidP="007E1D13">
            <w:pPr>
              <w:spacing w:before="120" w:after="0" w:line="360" w:lineRule="auto"/>
              <w:jc w:val="right"/>
              <w:rPr>
                <w:b/>
                <w:color w:val="000000"/>
                <w:lang w:eastAsia="en-GB"/>
              </w:rPr>
            </w:pPr>
            <w:r>
              <w:rPr>
                <w:b/>
                <w:color w:val="000000"/>
                <w:lang w:eastAsia="en-GB"/>
              </w:rPr>
              <w:t>57</w:t>
            </w:r>
          </w:p>
        </w:tc>
        <w:tc>
          <w:tcPr>
            <w:tcW w:w="4051" w:type="dxa"/>
            <w:gridSpan w:val="3"/>
            <w:tcBorders>
              <w:top w:val="single" w:sz="4" w:space="0" w:color="auto"/>
            </w:tcBorders>
            <w:shd w:val="clear" w:color="auto" w:fill="auto"/>
            <w:noWrap/>
            <w:vAlign w:val="bottom"/>
          </w:tcPr>
          <w:p w14:paraId="08EF5005" w14:textId="77777777" w:rsidR="007E1D13" w:rsidRPr="00B2469D" w:rsidRDefault="007E1D13" w:rsidP="007E1D13">
            <w:pPr>
              <w:spacing w:before="120" w:after="0" w:line="360" w:lineRule="auto"/>
              <w:rPr>
                <w:color w:val="000000"/>
                <w:lang w:eastAsia="en-GB"/>
              </w:rPr>
            </w:pPr>
            <w:r w:rsidRPr="00B2469D">
              <w:rPr>
                <w:color w:val="000000"/>
                <w:lang w:eastAsia="en-GB"/>
              </w:rPr>
              <w:t>Lack of awareness</w:t>
            </w:r>
            <w:r>
              <w:rPr>
                <w:color w:val="000000"/>
                <w:lang w:eastAsia="en-GB"/>
              </w:rPr>
              <w:t xml:space="preserve"> / education</w:t>
            </w:r>
          </w:p>
        </w:tc>
        <w:tc>
          <w:tcPr>
            <w:tcW w:w="666" w:type="dxa"/>
            <w:gridSpan w:val="2"/>
            <w:tcBorders>
              <w:top w:val="single" w:sz="4" w:space="0" w:color="auto"/>
            </w:tcBorders>
            <w:shd w:val="clear" w:color="auto" w:fill="auto"/>
            <w:vAlign w:val="center"/>
          </w:tcPr>
          <w:p w14:paraId="5FDD96B2"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52EB246C" w14:textId="77777777" w:rsidR="007E1D13" w:rsidRDefault="007E1D13" w:rsidP="007E1D13">
            <w:pPr>
              <w:spacing w:before="120" w:after="0" w:line="360" w:lineRule="auto"/>
              <w:jc w:val="right"/>
              <w:rPr>
                <w:color w:val="000000"/>
                <w:lang w:eastAsia="en-GB"/>
              </w:rPr>
            </w:pPr>
            <w:r>
              <w:rPr>
                <w:color w:val="000000"/>
                <w:lang w:eastAsia="en-GB"/>
              </w:rPr>
              <w:t>30</w:t>
            </w:r>
          </w:p>
        </w:tc>
        <w:tc>
          <w:tcPr>
            <w:tcW w:w="757" w:type="dxa"/>
            <w:gridSpan w:val="2"/>
            <w:tcBorders>
              <w:top w:val="single" w:sz="4" w:space="0" w:color="auto"/>
            </w:tcBorders>
          </w:tcPr>
          <w:p w14:paraId="21E12372" w14:textId="77777777" w:rsidR="007E1D13" w:rsidRDefault="007E1D13" w:rsidP="007E1D13">
            <w:pPr>
              <w:spacing w:before="120" w:after="0" w:line="360" w:lineRule="auto"/>
              <w:jc w:val="right"/>
              <w:rPr>
                <w:color w:val="000000"/>
                <w:lang w:eastAsia="en-GB"/>
              </w:rPr>
            </w:pPr>
            <w:r>
              <w:rPr>
                <w:color w:val="000000"/>
                <w:lang w:eastAsia="en-GB"/>
              </w:rPr>
              <w:t>34</w:t>
            </w:r>
          </w:p>
        </w:tc>
        <w:tc>
          <w:tcPr>
            <w:tcW w:w="1005" w:type="dxa"/>
            <w:gridSpan w:val="3"/>
            <w:tcBorders>
              <w:top w:val="single" w:sz="4" w:space="0" w:color="auto"/>
            </w:tcBorders>
            <w:shd w:val="clear" w:color="auto" w:fill="auto"/>
          </w:tcPr>
          <w:p w14:paraId="55198895" w14:textId="77777777" w:rsidR="007E1D13" w:rsidRPr="00B2469D" w:rsidRDefault="007E1D13" w:rsidP="007E1D13">
            <w:pPr>
              <w:spacing w:before="120" w:after="0" w:line="360" w:lineRule="auto"/>
              <w:jc w:val="right"/>
              <w:rPr>
                <w:color w:val="000000"/>
                <w:lang w:eastAsia="en-GB"/>
              </w:rPr>
            </w:pPr>
            <w:r>
              <w:rPr>
                <w:color w:val="000000"/>
                <w:lang w:eastAsia="en-GB"/>
              </w:rPr>
              <w:t>- 2</w:t>
            </w:r>
          </w:p>
        </w:tc>
      </w:tr>
      <w:tr w:rsidR="007E1D13" w:rsidRPr="00B2469D" w14:paraId="4169FC67" w14:textId="77777777" w:rsidTr="007E1D13">
        <w:trPr>
          <w:trHeight w:val="290"/>
        </w:trPr>
        <w:tc>
          <w:tcPr>
            <w:tcW w:w="1952" w:type="dxa"/>
            <w:shd w:val="clear" w:color="auto" w:fill="auto"/>
            <w:noWrap/>
            <w:vAlign w:val="bottom"/>
          </w:tcPr>
          <w:p w14:paraId="51494635"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03173294" w14:textId="77777777" w:rsidR="007E1D13" w:rsidRDefault="007E1D13" w:rsidP="007E1D13">
            <w:pPr>
              <w:spacing w:after="0" w:line="360" w:lineRule="auto"/>
              <w:jc w:val="right"/>
              <w:rPr>
                <w:b/>
                <w:color w:val="000000"/>
                <w:lang w:eastAsia="en-GB"/>
              </w:rPr>
            </w:pPr>
          </w:p>
        </w:tc>
        <w:tc>
          <w:tcPr>
            <w:tcW w:w="4051" w:type="dxa"/>
            <w:gridSpan w:val="3"/>
            <w:shd w:val="clear" w:color="auto" w:fill="auto"/>
            <w:noWrap/>
            <w:vAlign w:val="bottom"/>
          </w:tcPr>
          <w:p w14:paraId="2BFC0AA5" w14:textId="77777777" w:rsidR="007E1D13" w:rsidRDefault="007E1D13" w:rsidP="007E1D13">
            <w:pPr>
              <w:spacing w:after="0" w:line="360" w:lineRule="auto"/>
              <w:rPr>
                <w:color w:val="000000"/>
                <w:lang w:eastAsia="en-GB"/>
              </w:rPr>
            </w:pPr>
            <w:r>
              <w:rPr>
                <w:color w:val="000000"/>
                <w:lang w:eastAsia="en-GB"/>
              </w:rPr>
              <w:t>Risk denial / try another</w:t>
            </w:r>
          </w:p>
        </w:tc>
        <w:tc>
          <w:tcPr>
            <w:tcW w:w="666" w:type="dxa"/>
            <w:gridSpan w:val="2"/>
            <w:shd w:val="clear" w:color="auto" w:fill="auto"/>
            <w:vAlign w:val="center"/>
          </w:tcPr>
          <w:p w14:paraId="7F311C3B" w14:textId="77777777" w:rsidR="007E1D13"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1A14EE6F" w14:textId="77777777" w:rsidR="007E1D13" w:rsidRDefault="007E1D13" w:rsidP="007E1D13">
            <w:pPr>
              <w:spacing w:after="0" w:line="360" w:lineRule="auto"/>
              <w:jc w:val="right"/>
              <w:rPr>
                <w:color w:val="000000"/>
                <w:lang w:eastAsia="en-GB"/>
              </w:rPr>
            </w:pPr>
            <w:r>
              <w:rPr>
                <w:color w:val="000000"/>
                <w:lang w:eastAsia="en-GB"/>
              </w:rPr>
              <w:t>14</w:t>
            </w:r>
          </w:p>
        </w:tc>
        <w:tc>
          <w:tcPr>
            <w:tcW w:w="757" w:type="dxa"/>
            <w:gridSpan w:val="2"/>
          </w:tcPr>
          <w:p w14:paraId="300BDA7D" w14:textId="77777777" w:rsidR="007E1D13" w:rsidRDefault="007E1D13" w:rsidP="007E1D13">
            <w:pPr>
              <w:spacing w:after="0" w:line="360" w:lineRule="auto"/>
              <w:jc w:val="right"/>
              <w:rPr>
                <w:color w:val="000000"/>
                <w:lang w:eastAsia="en-GB"/>
              </w:rPr>
            </w:pPr>
            <w:r>
              <w:rPr>
                <w:color w:val="000000"/>
                <w:lang w:eastAsia="en-GB"/>
              </w:rPr>
              <w:t>16</w:t>
            </w:r>
          </w:p>
        </w:tc>
        <w:tc>
          <w:tcPr>
            <w:tcW w:w="1005" w:type="dxa"/>
            <w:gridSpan w:val="3"/>
            <w:shd w:val="clear" w:color="auto" w:fill="auto"/>
          </w:tcPr>
          <w:p w14:paraId="51C9AFCC" w14:textId="77777777" w:rsidR="007E1D13" w:rsidRDefault="007E1D13" w:rsidP="007E1D13">
            <w:pPr>
              <w:spacing w:after="0" w:line="360" w:lineRule="auto"/>
              <w:jc w:val="right"/>
              <w:rPr>
                <w:color w:val="000000"/>
                <w:lang w:eastAsia="en-GB"/>
              </w:rPr>
            </w:pPr>
            <w:r>
              <w:rPr>
                <w:color w:val="000000"/>
                <w:lang w:eastAsia="en-GB"/>
              </w:rPr>
              <w:t>+ 3</w:t>
            </w:r>
          </w:p>
        </w:tc>
      </w:tr>
      <w:tr w:rsidR="007E1D13" w:rsidRPr="00B2469D" w14:paraId="00AD049A" w14:textId="77777777" w:rsidTr="007E1D13">
        <w:trPr>
          <w:trHeight w:val="290"/>
        </w:trPr>
        <w:tc>
          <w:tcPr>
            <w:tcW w:w="1952" w:type="dxa"/>
            <w:tcBorders>
              <w:bottom w:val="single" w:sz="4" w:space="0" w:color="auto"/>
            </w:tcBorders>
            <w:shd w:val="clear" w:color="auto" w:fill="auto"/>
            <w:noWrap/>
            <w:vAlign w:val="bottom"/>
          </w:tcPr>
          <w:p w14:paraId="1A04C659"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443A1062"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vAlign w:val="bottom"/>
          </w:tcPr>
          <w:p w14:paraId="02936775" w14:textId="77777777" w:rsidR="007E1D13" w:rsidRPr="00B2469D" w:rsidRDefault="007E1D13" w:rsidP="007E1D13">
            <w:pPr>
              <w:spacing w:after="0" w:line="360" w:lineRule="auto"/>
              <w:rPr>
                <w:color w:val="000000"/>
                <w:lang w:eastAsia="en-GB"/>
              </w:rPr>
            </w:pPr>
            <w:r w:rsidRPr="00B2469D">
              <w:rPr>
                <w:color w:val="000000"/>
                <w:lang w:eastAsia="en-GB"/>
              </w:rPr>
              <w:t>Safe to use</w:t>
            </w:r>
          </w:p>
        </w:tc>
        <w:tc>
          <w:tcPr>
            <w:tcW w:w="666" w:type="dxa"/>
            <w:gridSpan w:val="2"/>
            <w:tcBorders>
              <w:bottom w:val="single" w:sz="4" w:space="0" w:color="auto"/>
            </w:tcBorders>
            <w:shd w:val="clear" w:color="auto" w:fill="auto"/>
            <w:vAlign w:val="center"/>
          </w:tcPr>
          <w:p w14:paraId="6BF49D89"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tcBorders>
              <w:bottom w:val="single" w:sz="4" w:space="0" w:color="auto"/>
            </w:tcBorders>
            <w:vAlign w:val="bottom"/>
          </w:tcPr>
          <w:p w14:paraId="224C8D28" w14:textId="77777777" w:rsidR="007E1D13" w:rsidRDefault="007E1D13" w:rsidP="007E1D13">
            <w:pPr>
              <w:spacing w:after="0" w:line="360" w:lineRule="auto"/>
              <w:jc w:val="right"/>
              <w:rPr>
                <w:color w:val="000000"/>
                <w:lang w:eastAsia="en-GB"/>
              </w:rPr>
            </w:pPr>
            <w:r>
              <w:rPr>
                <w:color w:val="000000"/>
                <w:lang w:eastAsia="en-GB"/>
              </w:rPr>
              <w:t>13</w:t>
            </w:r>
          </w:p>
        </w:tc>
        <w:tc>
          <w:tcPr>
            <w:tcW w:w="757" w:type="dxa"/>
            <w:gridSpan w:val="2"/>
            <w:tcBorders>
              <w:bottom w:val="single" w:sz="4" w:space="0" w:color="auto"/>
            </w:tcBorders>
          </w:tcPr>
          <w:p w14:paraId="6DCFEFCD" w14:textId="77777777" w:rsidR="007E1D13" w:rsidRDefault="007E1D13" w:rsidP="007E1D13">
            <w:pPr>
              <w:spacing w:after="0" w:line="360" w:lineRule="auto"/>
              <w:jc w:val="right"/>
              <w:rPr>
                <w:color w:val="000000"/>
                <w:lang w:eastAsia="en-GB"/>
              </w:rPr>
            </w:pPr>
            <w:r>
              <w:rPr>
                <w:color w:val="000000"/>
                <w:lang w:eastAsia="en-GB"/>
              </w:rPr>
              <w:t>15</w:t>
            </w:r>
          </w:p>
        </w:tc>
        <w:tc>
          <w:tcPr>
            <w:tcW w:w="1005" w:type="dxa"/>
            <w:gridSpan w:val="3"/>
            <w:tcBorders>
              <w:bottom w:val="single" w:sz="4" w:space="0" w:color="auto"/>
            </w:tcBorders>
            <w:shd w:val="clear" w:color="auto" w:fill="auto"/>
          </w:tcPr>
          <w:p w14:paraId="5D2F751F" w14:textId="77777777" w:rsidR="007E1D13" w:rsidRPr="00B2469D" w:rsidRDefault="007E1D13" w:rsidP="007E1D13">
            <w:pPr>
              <w:spacing w:after="0" w:line="360" w:lineRule="auto"/>
              <w:jc w:val="right"/>
              <w:rPr>
                <w:color w:val="000000"/>
                <w:lang w:eastAsia="en-GB"/>
              </w:rPr>
            </w:pPr>
            <w:r>
              <w:rPr>
                <w:color w:val="000000"/>
                <w:lang w:eastAsia="en-GB"/>
              </w:rPr>
              <w:t>2</w:t>
            </w:r>
          </w:p>
        </w:tc>
      </w:tr>
      <w:tr w:rsidR="007E1D13" w:rsidRPr="00B2469D" w14:paraId="69EB89D6" w14:textId="77777777" w:rsidTr="007E1D13">
        <w:trPr>
          <w:trHeight w:val="290"/>
        </w:trPr>
        <w:tc>
          <w:tcPr>
            <w:tcW w:w="1952" w:type="dxa"/>
            <w:tcBorders>
              <w:top w:val="single" w:sz="4" w:space="0" w:color="auto"/>
            </w:tcBorders>
            <w:shd w:val="clear" w:color="auto" w:fill="auto"/>
            <w:noWrap/>
            <w:vAlign w:val="bottom"/>
          </w:tcPr>
          <w:p w14:paraId="08962F5C" w14:textId="77777777" w:rsidR="007E1D13" w:rsidRPr="00B2469D" w:rsidRDefault="007E1D13" w:rsidP="007E1D13">
            <w:pPr>
              <w:spacing w:before="120" w:after="0" w:line="360" w:lineRule="auto"/>
              <w:rPr>
                <w:sz w:val="20"/>
                <w:szCs w:val="20"/>
                <w:lang w:eastAsia="en-GB"/>
              </w:rPr>
            </w:pPr>
            <w:r>
              <w:rPr>
                <w:b/>
                <w:color w:val="000000"/>
                <w:lang w:eastAsia="en-GB"/>
              </w:rPr>
              <w:t>Legal status</w:t>
            </w:r>
          </w:p>
        </w:tc>
        <w:tc>
          <w:tcPr>
            <w:tcW w:w="465" w:type="dxa"/>
            <w:tcBorders>
              <w:top w:val="single" w:sz="4" w:space="0" w:color="auto"/>
            </w:tcBorders>
            <w:shd w:val="clear" w:color="auto" w:fill="auto"/>
            <w:vAlign w:val="center"/>
          </w:tcPr>
          <w:p w14:paraId="04A3A4BC" w14:textId="77777777" w:rsidR="007E1D13" w:rsidRPr="003B1C17" w:rsidRDefault="007E1D13" w:rsidP="007E1D13">
            <w:pPr>
              <w:spacing w:before="120" w:after="0" w:line="360" w:lineRule="auto"/>
              <w:jc w:val="right"/>
              <w:rPr>
                <w:b/>
                <w:sz w:val="20"/>
                <w:szCs w:val="20"/>
                <w:lang w:eastAsia="en-GB"/>
              </w:rPr>
            </w:pPr>
            <w:r>
              <w:rPr>
                <w:b/>
                <w:color w:val="000000"/>
                <w:lang w:eastAsia="en-GB"/>
              </w:rPr>
              <w:t>38</w:t>
            </w:r>
          </w:p>
        </w:tc>
        <w:tc>
          <w:tcPr>
            <w:tcW w:w="4051" w:type="dxa"/>
            <w:gridSpan w:val="3"/>
            <w:tcBorders>
              <w:top w:val="single" w:sz="4" w:space="0" w:color="auto"/>
            </w:tcBorders>
            <w:shd w:val="clear" w:color="auto" w:fill="auto"/>
            <w:noWrap/>
            <w:vAlign w:val="bottom"/>
          </w:tcPr>
          <w:p w14:paraId="14F363C7" w14:textId="77777777" w:rsidR="007E1D13" w:rsidRPr="00B2469D" w:rsidRDefault="007E1D13" w:rsidP="007E1D13">
            <w:pPr>
              <w:spacing w:before="120" w:after="0" w:line="360" w:lineRule="auto"/>
              <w:rPr>
                <w:color w:val="000000"/>
                <w:lang w:eastAsia="en-GB"/>
              </w:rPr>
            </w:pPr>
            <w:r>
              <w:rPr>
                <w:color w:val="000000"/>
                <w:lang w:eastAsia="en-GB"/>
              </w:rPr>
              <w:t xml:space="preserve">Because they are legal </w:t>
            </w:r>
          </w:p>
        </w:tc>
        <w:tc>
          <w:tcPr>
            <w:tcW w:w="666" w:type="dxa"/>
            <w:gridSpan w:val="2"/>
            <w:tcBorders>
              <w:top w:val="single" w:sz="4" w:space="0" w:color="auto"/>
            </w:tcBorders>
            <w:shd w:val="clear" w:color="auto" w:fill="auto"/>
            <w:vAlign w:val="center"/>
          </w:tcPr>
          <w:p w14:paraId="58479036"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4C7451AE" w14:textId="77777777" w:rsidR="007E1D13" w:rsidRDefault="007E1D13" w:rsidP="007E1D13">
            <w:pPr>
              <w:spacing w:before="120" w:after="0" w:line="360" w:lineRule="auto"/>
              <w:jc w:val="right"/>
              <w:rPr>
                <w:color w:val="000000"/>
                <w:lang w:eastAsia="en-GB"/>
              </w:rPr>
            </w:pPr>
            <w:r>
              <w:rPr>
                <w:color w:val="000000"/>
                <w:lang w:eastAsia="en-GB"/>
              </w:rPr>
              <w:t>21</w:t>
            </w:r>
          </w:p>
        </w:tc>
        <w:tc>
          <w:tcPr>
            <w:tcW w:w="757" w:type="dxa"/>
            <w:gridSpan w:val="2"/>
            <w:tcBorders>
              <w:top w:val="single" w:sz="4" w:space="0" w:color="auto"/>
            </w:tcBorders>
          </w:tcPr>
          <w:p w14:paraId="256E4B24" w14:textId="77777777" w:rsidR="007E1D13" w:rsidRDefault="007E1D13" w:rsidP="007E1D13">
            <w:pPr>
              <w:spacing w:before="120" w:after="0" w:line="360" w:lineRule="auto"/>
              <w:jc w:val="right"/>
              <w:rPr>
                <w:color w:val="000000"/>
                <w:lang w:eastAsia="en-GB"/>
              </w:rPr>
            </w:pPr>
            <w:r>
              <w:rPr>
                <w:color w:val="000000"/>
                <w:lang w:eastAsia="en-GB"/>
              </w:rPr>
              <w:t>24</w:t>
            </w:r>
          </w:p>
        </w:tc>
        <w:tc>
          <w:tcPr>
            <w:tcW w:w="1005" w:type="dxa"/>
            <w:gridSpan w:val="3"/>
            <w:tcBorders>
              <w:top w:val="single" w:sz="4" w:space="0" w:color="auto"/>
            </w:tcBorders>
            <w:shd w:val="clear" w:color="auto" w:fill="auto"/>
          </w:tcPr>
          <w:p w14:paraId="13457022" w14:textId="77777777" w:rsidR="007E1D13" w:rsidRPr="00B2469D" w:rsidRDefault="007E1D13" w:rsidP="007E1D13">
            <w:pPr>
              <w:spacing w:before="120" w:after="0" w:line="360" w:lineRule="auto"/>
              <w:jc w:val="right"/>
              <w:rPr>
                <w:color w:val="000000"/>
                <w:lang w:eastAsia="en-GB"/>
              </w:rPr>
            </w:pPr>
            <w:r>
              <w:rPr>
                <w:color w:val="000000"/>
                <w:lang w:eastAsia="en-GB"/>
              </w:rPr>
              <w:t>+ 5</w:t>
            </w:r>
          </w:p>
        </w:tc>
      </w:tr>
      <w:tr w:rsidR="007E1D13" w:rsidRPr="00B2469D" w14:paraId="235C0C40" w14:textId="77777777" w:rsidTr="007E1D13">
        <w:trPr>
          <w:trHeight w:val="290"/>
        </w:trPr>
        <w:tc>
          <w:tcPr>
            <w:tcW w:w="1952" w:type="dxa"/>
            <w:shd w:val="clear" w:color="auto" w:fill="auto"/>
            <w:noWrap/>
            <w:vAlign w:val="bottom"/>
          </w:tcPr>
          <w:p w14:paraId="0C13CD82"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6EBFA3E1" w14:textId="77777777" w:rsidR="007E1D13" w:rsidRDefault="007E1D13" w:rsidP="007E1D13">
            <w:pPr>
              <w:spacing w:after="0" w:line="360" w:lineRule="auto"/>
              <w:jc w:val="right"/>
              <w:rPr>
                <w:b/>
                <w:color w:val="000000"/>
                <w:lang w:eastAsia="en-GB"/>
              </w:rPr>
            </w:pPr>
          </w:p>
        </w:tc>
        <w:tc>
          <w:tcPr>
            <w:tcW w:w="4051" w:type="dxa"/>
            <w:gridSpan w:val="3"/>
            <w:shd w:val="clear" w:color="auto" w:fill="auto"/>
            <w:noWrap/>
            <w:vAlign w:val="bottom"/>
          </w:tcPr>
          <w:p w14:paraId="48FEDCA8" w14:textId="77777777" w:rsidR="007E1D13" w:rsidRDefault="007E1D13" w:rsidP="007E1D13">
            <w:pPr>
              <w:spacing w:after="0" w:line="360" w:lineRule="auto"/>
              <w:rPr>
                <w:color w:val="000000"/>
                <w:lang w:eastAsia="en-GB"/>
              </w:rPr>
            </w:pPr>
            <w:r>
              <w:rPr>
                <w:color w:val="000000"/>
                <w:lang w:eastAsia="en-GB"/>
              </w:rPr>
              <w:t>Legal status doesn’t matter</w:t>
            </w:r>
          </w:p>
        </w:tc>
        <w:tc>
          <w:tcPr>
            <w:tcW w:w="666" w:type="dxa"/>
            <w:gridSpan w:val="2"/>
            <w:shd w:val="clear" w:color="auto" w:fill="auto"/>
            <w:vAlign w:val="center"/>
          </w:tcPr>
          <w:p w14:paraId="746404DA" w14:textId="77777777" w:rsidR="007E1D13"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3C1B07A5" w14:textId="77777777" w:rsidR="007E1D13" w:rsidRDefault="007E1D13" w:rsidP="007E1D13">
            <w:pPr>
              <w:spacing w:after="0" w:line="360" w:lineRule="auto"/>
              <w:jc w:val="right"/>
              <w:rPr>
                <w:color w:val="000000"/>
                <w:lang w:eastAsia="en-GB"/>
              </w:rPr>
            </w:pPr>
            <w:r>
              <w:rPr>
                <w:color w:val="000000"/>
                <w:lang w:eastAsia="en-GB"/>
              </w:rPr>
              <w:t>9</w:t>
            </w:r>
          </w:p>
        </w:tc>
        <w:tc>
          <w:tcPr>
            <w:tcW w:w="757" w:type="dxa"/>
            <w:gridSpan w:val="2"/>
          </w:tcPr>
          <w:p w14:paraId="740126DF" w14:textId="77777777" w:rsidR="007E1D13" w:rsidRDefault="007E1D13" w:rsidP="007E1D13">
            <w:pPr>
              <w:spacing w:after="0" w:line="360" w:lineRule="auto"/>
              <w:jc w:val="right"/>
              <w:rPr>
                <w:color w:val="000000"/>
                <w:lang w:eastAsia="en-GB"/>
              </w:rPr>
            </w:pPr>
            <w:r>
              <w:rPr>
                <w:color w:val="000000"/>
                <w:lang w:eastAsia="en-GB"/>
              </w:rPr>
              <w:t>10</w:t>
            </w:r>
          </w:p>
        </w:tc>
        <w:tc>
          <w:tcPr>
            <w:tcW w:w="1005" w:type="dxa"/>
            <w:gridSpan w:val="3"/>
            <w:shd w:val="clear" w:color="auto" w:fill="auto"/>
          </w:tcPr>
          <w:p w14:paraId="6B3D225C" w14:textId="77777777" w:rsidR="007E1D13" w:rsidRDefault="007E1D13" w:rsidP="007E1D13">
            <w:pPr>
              <w:spacing w:after="0" w:line="360" w:lineRule="auto"/>
              <w:jc w:val="right"/>
              <w:rPr>
                <w:color w:val="000000"/>
                <w:lang w:eastAsia="en-GB"/>
              </w:rPr>
            </w:pPr>
            <w:r>
              <w:rPr>
                <w:color w:val="000000"/>
                <w:lang w:eastAsia="en-GB"/>
              </w:rPr>
              <w:t>- 1</w:t>
            </w:r>
          </w:p>
        </w:tc>
      </w:tr>
      <w:tr w:rsidR="007E1D13" w:rsidRPr="00B2469D" w14:paraId="4C249F6B" w14:textId="77777777" w:rsidTr="007E1D13">
        <w:trPr>
          <w:trHeight w:val="290"/>
        </w:trPr>
        <w:tc>
          <w:tcPr>
            <w:tcW w:w="1952" w:type="dxa"/>
            <w:shd w:val="clear" w:color="auto" w:fill="auto"/>
            <w:noWrap/>
            <w:vAlign w:val="bottom"/>
          </w:tcPr>
          <w:p w14:paraId="1D4EAB39"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6E0B777B" w14:textId="77777777" w:rsidR="007E1D13" w:rsidRDefault="007E1D13" w:rsidP="007E1D13">
            <w:pPr>
              <w:spacing w:after="0" w:line="360" w:lineRule="auto"/>
              <w:jc w:val="right"/>
              <w:rPr>
                <w:b/>
                <w:color w:val="000000"/>
                <w:lang w:eastAsia="en-GB"/>
              </w:rPr>
            </w:pPr>
          </w:p>
        </w:tc>
        <w:tc>
          <w:tcPr>
            <w:tcW w:w="4051" w:type="dxa"/>
            <w:gridSpan w:val="3"/>
            <w:shd w:val="clear" w:color="auto" w:fill="auto"/>
            <w:noWrap/>
            <w:vAlign w:val="bottom"/>
          </w:tcPr>
          <w:p w14:paraId="48F3985A" w14:textId="77777777" w:rsidR="007E1D13" w:rsidRDefault="007E1D13" w:rsidP="007E1D13">
            <w:pPr>
              <w:spacing w:after="0" w:line="360" w:lineRule="auto"/>
              <w:rPr>
                <w:color w:val="000000"/>
                <w:lang w:eastAsia="en-GB"/>
              </w:rPr>
            </w:pPr>
            <w:r>
              <w:rPr>
                <w:color w:val="000000"/>
                <w:lang w:eastAsia="en-GB"/>
              </w:rPr>
              <w:t xml:space="preserve">Legal means safe to use </w:t>
            </w:r>
          </w:p>
        </w:tc>
        <w:tc>
          <w:tcPr>
            <w:tcW w:w="666" w:type="dxa"/>
            <w:gridSpan w:val="2"/>
            <w:shd w:val="clear" w:color="auto" w:fill="auto"/>
            <w:vAlign w:val="center"/>
          </w:tcPr>
          <w:p w14:paraId="44289979" w14:textId="77777777" w:rsidR="007E1D13" w:rsidRDefault="007E1D13" w:rsidP="007E1D13">
            <w:pPr>
              <w:spacing w:after="0" w:line="360" w:lineRule="auto"/>
              <w:jc w:val="center"/>
              <w:rPr>
                <w:color w:val="000000"/>
                <w:lang w:eastAsia="en-GB"/>
              </w:rPr>
            </w:pPr>
            <w:r>
              <w:rPr>
                <w:color w:val="000000"/>
                <w:lang w:eastAsia="en-GB"/>
              </w:rPr>
              <w:t>2</w:t>
            </w:r>
          </w:p>
        </w:tc>
        <w:tc>
          <w:tcPr>
            <w:tcW w:w="710" w:type="dxa"/>
            <w:vAlign w:val="bottom"/>
          </w:tcPr>
          <w:p w14:paraId="64949C8F" w14:textId="77777777" w:rsidR="007E1D13" w:rsidRDefault="007E1D13" w:rsidP="007E1D13">
            <w:pPr>
              <w:spacing w:after="0" w:line="360" w:lineRule="auto"/>
              <w:jc w:val="right"/>
              <w:rPr>
                <w:color w:val="000000"/>
                <w:lang w:eastAsia="en-GB"/>
              </w:rPr>
            </w:pPr>
            <w:r>
              <w:rPr>
                <w:color w:val="000000"/>
                <w:lang w:eastAsia="en-GB"/>
              </w:rPr>
              <w:t>4</w:t>
            </w:r>
          </w:p>
        </w:tc>
        <w:tc>
          <w:tcPr>
            <w:tcW w:w="757" w:type="dxa"/>
            <w:gridSpan w:val="2"/>
          </w:tcPr>
          <w:p w14:paraId="3446FF7A" w14:textId="77777777" w:rsidR="007E1D13" w:rsidRDefault="007E1D13" w:rsidP="007E1D13">
            <w:pPr>
              <w:spacing w:after="0" w:line="360" w:lineRule="auto"/>
              <w:jc w:val="right"/>
              <w:rPr>
                <w:color w:val="000000"/>
                <w:lang w:eastAsia="en-GB"/>
              </w:rPr>
            </w:pPr>
            <w:r>
              <w:rPr>
                <w:color w:val="000000"/>
                <w:lang w:eastAsia="en-GB"/>
              </w:rPr>
              <w:t>5</w:t>
            </w:r>
          </w:p>
        </w:tc>
        <w:tc>
          <w:tcPr>
            <w:tcW w:w="1005" w:type="dxa"/>
            <w:gridSpan w:val="3"/>
            <w:shd w:val="clear" w:color="auto" w:fill="auto"/>
          </w:tcPr>
          <w:p w14:paraId="22C3C9E2" w14:textId="77777777" w:rsidR="007E1D13" w:rsidRDefault="007E1D13" w:rsidP="007E1D13">
            <w:pPr>
              <w:spacing w:after="0" w:line="360" w:lineRule="auto"/>
              <w:jc w:val="right"/>
              <w:rPr>
                <w:color w:val="000000"/>
                <w:lang w:eastAsia="en-GB"/>
              </w:rPr>
            </w:pPr>
            <w:r>
              <w:rPr>
                <w:color w:val="000000"/>
                <w:lang w:eastAsia="en-GB"/>
              </w:rPr>
              <w:t>- 3</w:t>
            </w:r>
          </w:p>
        </w:tc>
      </w:tr>
      <w:tr w:rsidR="007E1D13" w:rsidRPr="00B2469D" w14:paraId="33AC93DA" w14:textId="77777777" w:rsidTr="007E1D13">
        <w:trPr>
          <w:trHeight w:val="290"/>
        </w:trPr>
        <w:tc>
          <w:tcPr>
            <w:tcW w:w="1952" w:type="dxa"/>
            <w:shd w:val="clear" w:color="auto" w:fill="auto"/>
            <w:noWrap/>
            <w:vAlign w:val="bottom"/>
          </w:tcPr>
          <w:p w14:paraId="3404AE2E"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329ADA2D" w14:textId="77777777" w:rsidR="007E1D13" w:rsidRDefault="007E1D13" w:rsidP="007E1D13">
            <w:pPr>
              <w:spacing w:after="0" w:line="360" w:lineRule="auto"/>
              <w:jc w:val="right"/>
              <w:rPr>
                <w:b/>
                <w:szCs w:val="20"/>
                <w:lang w:eastAsia="en-GB"/>
              </w:rPr>
            </w:pPr>
          </w:p>
        </w:tc>
        <w:tc>
          <w:tcPr>
            <w:tcW w:w="4051" w:type="dxa"/>
            <w:gridSpan w:val="3"/>
            <w:shd w:val="clear" w:color="auto" w:fill="auto"/>
            <w:noWrap/>
            <w:vAlign w:val="bottom"/>
          </w:tcPr>
          <w:p w14:paraId="79B0C46A" w14:textId="77777777" w:rsidR="007E1D13" w:rsidRPr="00B2469D" w:rsidRDefault="007E1D13" w:rsidP="007E1D13">
            <w:pPr>
              <w:spacing w:after="0" w:line="360" w:lineRule="auto"/>
              <w:rPr>
                <w:color w:val="000000"/>
                <w:lang w:eastAsia="en-GB"/>
              </w:rPr>
            </w:pPr>
            <w:r>
              <w:rPr>
                <w:color w:val="000000"/>
                <w:lang w:eastAsia="en-GB"/>
              </w:rPr>
              <w:t xml:space="preserve">Illicit status is enticing*  </w:t>
            </w:r>
          </w:p>
        </w:tc>
        <w:tc>
          <w:tcPr>
            <w:tcW w:w="666" w:type="dxa"/>
            <w:gridSpan w:val="2"/>
            <w:shd w:val="clear" w:color="auto" w:fill="auto"/>
            <w:vAlign w:val="center"/>
          </w:tcPr>
          <w:p w14:paraId="0D6C0F12" w14:textId="77777777" w:rsidR="007E1D13" w:rsidRDefault="007E1D13" w:rsidP="007E1D13">
            <w:pPr>
              <w:spacing w:after="0" w:line="360" w:lineRule="auto"/>
              <w:jc w:val="center"/>
              <w:rPr>
                <w:color w:val="000000"/>
                <w:lang w:eastAsia="en-GB"/>
              </w:rPr>
            </w:pPr>
            <w:r>
              <w:rPr>
                <w:color w:val="000000"/>
                <w:lang w:eastAsia="en-GB"/>
              </w:rPr>
              <w:t>2</w:t>
            </w:r>
          </w:p>
        </w:tc>
        <w:tc>
          <w:tcPr>
            <w:tcW w:w="710" w:type="dxa"/>
            <w:vAlign w:val="bottom"/>
          </w:tcPr>
          <w:p w14:paraId="058AE30F" w14:textId="77777777" w:rsidR="007E1D13" w:rsidRDefault="007E1D13" w:rsidP="007E1D13">
            <w:pPr>
              <w:spacing w:after="0" w:line="360" w:lineRule="auto"/>
              <w:jc w:val="right"/>
              <w:rPr>
                <w:color w:val="000000"/>
                <w:lang w:eastAsia="en-GB"/>
              </w:rPr>
            </w:pPr>
            <w:r>
              <w:rPr>
                <w:color w:val="000000"/>
                <w:lang w:eastAsia="en-GB"/>
              </w:rPr>
              <w:t>4</w:t>
            </w:r>
          </w:p>
        </w:tc>
        <w:tc>
          <w:tcPr>
            <w:tcW w:w="757" w:type="dxa"/>
            <w:gridSpan w:val="2"/>
          </w:tcPr>
          <w:p w14:paraId="3C356ECC" w14:textId="77777777" w:rsidR="007E1D13" w:rsidRDefault="007E1D13" w:rsidP="007E1D13">
            <w:pPr>
              <w:spacing w:after="0" w:line="360" w:lineRule="auto"/>
              <w:jc w:val="right"/>
              <w:rPr>
                <w:color w:val="000000"/>
                <w:lang w:eastAsia="en-GB"/>
              </w:rPr>
            </w:pPr>
            <w:r>
              <w:rPr>
                <w:color w:val="000000"/>
                <w:lang w:eastAsia="en-GB"/>
              </w:rPr>
              <w:t>5</w:t>
            </w:r>
          </w:p>
        </w:tc>
        <w:tc>
          <w:tcPr>
            <w:tcW w:w="1005" w:type="dxa"/>
            <w:gridSpan w:val="3"/>
            <w:shd w:val="clear" w:color="auto" w:fill="auto"/>
          </w:tcPr>
          <w:p w14:paraId="68E8525C" w14:textId="77777777" w:rsidR="007E1D13" w:rsidRDefault="007E1D13" w:rsidP="007E1D13">
            <w:pPr>
              <w:spacing w:after="0" w:line="360" w:lineRule="auto"/>
              <w:jc w:val="right"/>
              <w:rPr>
                <w:color w:val="000000"/>
                <w:lang w:eastAsia="en-GB"/>
              </w:rPr>
            </w:pPr>
            <w:r>
              <w:rPr>
                <w:color w:val="000000"/>
                <w:lang w:eastAsia="en-GB"/>
              </w:rPr>
              <w:t>+ 5</w:t>
            </w:r>
          </w:p>
        </w:tc>
      </w:tr>
      <w:tr w:rsidR="007E1D13" w:rsidRPr="00B2469D" w14:paraId="05D94D72" w14:textId="77777777" w:rsidTr="007E1D13">
        <w:trPr>
          <w:trHeight w:val="290"/>
        </w:trPr>
        <w:tc>
          <w:tcPr>
            <w:tcW w:w="1952" w:type="dxa"/>
            <w:shd w:val="clear" w:color="auto" w:fill="auto"/>
            <w:noWrap/>
            <w:vAlign w:val="bottom"/>
          </w:tcPr>
          <w:p w14:paraId="7EB0D268" w14:textId="77777777" w:rsidR="007E1D13" w:rsidRDefault="007E1D13" w:rsidP="007E1D13">
            <w:pPr>
              <w:spacing w:after="0" w:line="360" w:lineRule="auto"/>
              <w:rPr>
                <w:b/>
                <w:color w:val="000000"/>
                <w:lang w:eastAsia="en-GB"/>
              </w:rPr>
            </w:pPr>
          </w:p>
        </w:tc>
        <w:tc>
          <w:tcPr>
            <w:tcW w:w="465" w:type="dxa"/>
            <w:shd w:val="clear" w:color="auto" w:fill="auto"/>
            <w:vAlign w:val="center"/>
          </w:tcPr>
          <w:p w14:paraId="6084D32B" w14:textId="77777777" w:rsidR="007E1D13" w:rsidRDefault="007E1D13" w:rsidP="007E1D13">
            <w:pPr>
              <w:spacing w:after="0" w:line="360" w:lineRule="auto"/>
              <w:jc w:val="right"/>
              <w:rPr>
                <w:b/>
                <w:szCs w:val="20"/>
                <w:lang w:eastAsia="en-GB"/>
              </w:rPr>
            </w:pPr>
          </w:p>
        </w:tc>
        <w:tc>
          <w:tcPr>
            <w:tcW w:w="4051" w:type="dxa"/>
            <w:gridSpan w:val="3"/>
            <w:shd w:val="clear" w:color="auto" w:fill="auto"/>
            <w:noWrap/>
            <w:vAlign w:val="bottom"/>
          </w:tcPr>
          <w:p w14:paraId="62A60E55" w14:textId="77777777" w:rsidR="007E1D13" w:rsidRDefault="007E1D13" w:rsidP="007E1D13">
            <w:pPr>
              <w:spacing w:after="0" w:line="360" w:lineRule="auto"/>
              <w:rPr>
                <w:color w:val="000000"/>
                <w:lang w:eastAsia="en-GB"/>
              </w:rPr>
            </w:pPr>
            <w:r>
              <w:rPr>
                <w:color w:val="000000"/>
                <w:lang w:eastAsia="en-GB"/>
              </w:rPr>
              <w:t>Fit in without doing something illegal</w:t>
            </w:r>
            <w:r w:rsidRPr="00AC4533">
              <w:rPr>
                <w:color w:val="000000"/>
                <w:sz w:val="28"/>
                <w:vertAlign w:val="superscript"/>
                <w:lang w:eastAsia="en-GB"/>
              </w:rPr>
              <w:sym w:font="Wingdings 2" w:char="F085"/>
            </w:r>
            <w:r>
              <w:rPr>
                <w:color w:val="000000"/>
                <w:lang w:eastAsia="en-GB"/>
              </w:rPr>
              <w:t xml:space="preserve"> </w:t>
            </w:r>
          </w:p>
        </w:tc>
        <w:tc>
          <w:tcPr>
            <w:tcW w:w="666" w:type="dxa"/>
            <w:gridSpan w:val="2"/>
            <w:shd w:val="clear" w:color="auto" w:fill="auto"/>
            <w:vAlign w:val="center"/>
          </w:tcPr>
          <w:p w14:paraId="1780BA6F" w14:textId="77777777" w:rsidR="007E1D13" w:rsidRDefault="007E1D13" w:rsidP="007E1D13">
            <w:pPr>
              <w:spacing w:after="0" w:line="360" w:lineRule="auto"/>
              <w:jc w:val="center"/>
              <w:rPr>
                <w:color w:val="000000"/>
                <w:lang w:eastAsia="en-GB"/>
              </w:rPr>
            </w:pPr>
            <w:r>
              <w:rPr>
                <w:color w:val="000000"/>
                <w:lang w:eastAsia="en-GB"/>
              </w:rPr>
              <w:t>0</w:t>
            </w:r>
          </w:p>
        </w:tc>
        <w:tc>
          <w:tcPr>
            <w:tcW w:w="710" w:type="dxa"/>
            <w:vAlign w:val="bottom"/>
          </w:tcPr>
          <w:p w14:paraId="407CE8D9" w14:textId="77777777" w:rsidR="007E1D13" w:rsidRDefault="007E1D13" w:rsidP="007E1D13">
            <w:pPr>
              <w:spacing w:after="0" w:line="360" w:lineRule="auto"/>
              <w:jc w:val="right"/>
              <w:rPr>
                <w:color w:val="000000"/>
                <w:lang w:eastAsia="en-GB"/>
              </w:rPr>
            </w:pPr>
            <w:r>
              <w:rPr>
                <w:color w:val="000000"/>
                <w:lang w:eastAsia="en-GB"/>
              </w:rPr>
              <w:t>0</w:t>
            </w:r>
          </w:p>
        </w:tc>
        <w:tc>
          <w:tcPr>
            <w:tcW w:w="757" w:type="dxa"/>
            <w:gridSpan w:val="2"/>
          </w:tcPr>
          <w:p w14:paraId="12FDB356" w14:textId="77777777" w:rsidR="007E1D13" w:rsidRDefault="007E1D13" w:rsidP="007E1D13">
            <w:pPr>
              <w:spacing w:after="0" w:line="360" w:lineRule="auto"/>
              <w:jc w:val="right"/>
              <w:rPr>
                <w:color w:val="000000"/>
                <w:lang w:eastAsia="en-GB"/>
              </w:rPr>
            </w:pPr>
            <w:r>
              <w:rPr>
                <w:color w:val="000000"/>
                <w:lang w:eastAsia="en-GB"/>
              </w:rPr>
              <w:t>0</w:t>
            </w:r>
          </w:p>
        </w:tc>
        <w:tc>
          <w:tcPr>
            <w:tcW w:w="1005" w:type="dxa"/>
            <w:gridSpan w:val="3"/>
            <w:shd w:val="clear" w:color="auto" w:fill="auto"/>
          </w:tcPr>
          <w:p w14:paraId="29D5B04D" w14:textId="77777777" w:rsidR="007E1D13" w:rsidRDefault="007E1D13" w:rsidP="007E1D13">
            <w:pPr>
              <w:spacing w:after="0" w:line="360" w:lineRule="auto"/>
              <w:jc w:val="right"/>
              <w:rPr>
                <w:color w:val="000000"/>
                <w:lang w:eastAsia="en-GB"/>
              </w:rPr>
            </w:pPr>
            <w:r>
              <w:rPr>
                <w:color w:val="000000"/>
                <w:lang w:eastAsia="en-GB"/>
              </w:rPr>
              <w:t>- 6</w:t>
            </w:r>
          </w:p>
        </w:tc>
      </w:tr>
      <w:tr w:rsidR="007E1D13" w:rsidRPr="00B2469D" w14:paraId="3D804DD4" w14:textId="77777777" w:rsidTr="007E1D13">
        <w:trPr>
          <w:trHeight w:val="290"/>
        </w:trPr>
        <w:tc>
          <w:tcPr>
            <w:tcW w:w="1952" w:type="dxa"/>
            <w:tcBorders>
              <w:bottom w:val="single" w:sz="4" w:space="0" w:color="auto"/>
            </w:tcBorders>
            <w:shd w:val="clear" w:color="auto" w:fill="auto"/>
            <w:noWrap/>
            <w:vAlign w:val="bottom"/>
          </w:tcPr>
          <w:p w14:paraId="7C7CCF39" w14:textId="77777777" w:rsidR="007E1D13" w:rsidRDefault="007E1D13" w:rsidP="007E1D13">
            <w:pPr>
              <w:spacing w:after="0" w:line="360" w:lineRule="auto"/>
              <w:rPr>
                <w:b/>
                <w:color w:val="000000"/>
                <w:lang w:eastAsia="en-GB"/>
              </w:rPr>
            </w:pPr>
          </w:p>
        </w:tc>
        <w:tc>
          <w:tcPr>
            <w:tcW w:w="465" w:type="dxa"/>
            <w:tcBorders>
              <w:bottom w:val="single" w:sz="4" w:space="0" w:color="auto"/>
            </w:tcBorders>
            <w:shd w:val="clear" w:color="auto" w:fill="auto"/>
            <w:vAlign w:val="center"/>
          </w:tcPr>
          <w:p w14:paraId="5B26C27B" w14:textId="77777777" w:rsidR="007E1D13" w:rsidRDefault="007E1D13" w:rsidP="007E1D13">
            <w:pPr>
              <w:spacing w:after="0" w:line="360" w:lineRule="auto"/>
              <w:jc w:val="right"/>
              <w:rPr>
                <w:b/>
                <w:color w:val="000000"/>
                <w:lang w:eastAsia="en-GB"/>
              </w:rPr>
            </w:pPr>
          </w:p>
        </w:tc>
        <w:tc>
          <w:tcPr>
            <w:tcW w:w="4051" w:type="dxa"/>
            <w:gridSpan w:val="3"/>
            <w:tcBorders>
              <w:bottom w:val="single" w:sz="4" w:space="0" w:color="auto"/>
            </w:tcBorders>
            <w:shd w:val="clear" w:color="auto" w:fill="auto"/>
            <w:noWrap/>
            <w:vAlign w:val="bottom"/>
          </w:tcPr>
          <w:p w14:paraId="78FFBD6D" w14:textId="77777777" w:rsidR="007E1D13" w:rsidRDefault="007E1D13" w:rsidP="007E1D13">
            <w:pPr>
              <w:spacing w:after="0" w:line="360" w:lineRule="auto"/>
              <w:rPr>
                <w:color w:val="000000"/>
                <w:lang w:eastAsia="en-GB"/>
              </w:rPr>
            </w:pPr>
            <w:r>
              <w:rPr>
                <w:color w:val="000000"/>
                <w:lang w:eastAsia="en-GB"/>
              </w:rPr>
              <w:t>No trouble because it’s legal</w:t>
            </w:r>
            <w:r w:rsidRPr="00AC4533">
              <w:rPr>
                <w:color w:val="000000"/>
                <w:sz w:val="28"/>
                <w:vertAlign w:val="superscript"/>
                <w:lang w:eastAsia="en-GB"/>
              </w:rPr>
              <w:sym w:font="Wingdings 2" w:char="F085"/>
            </w:r>
          </w:p>
        </w:tc>
        <w:tc>
          <w:tcPr>
            <w:tcW w:w="666" w:type="dxa"/>
            <w:gridSpan w:val="2"/>
            <w:tcBorders>
              <w:bottom w:val="single" w:sz="4" w:space="0" w:color="auto"/>
            </w:tcBorders>
            <w:shd w:val="clear" w:color="auto" w:fill="auto"/>
            <w:vAlign w:val="center"/>
          </w:tcPr>
          <w:p w14:paraId="0612E926" w14:textId="77777777" w:rsidR="007E1D13" w:rsidRDefault="007E1D13" w:rsidP="007E1D13">
            <w:pPr>
              <w:spacing w:after="0" w:line="360" w:lineRule="auto"/>
              <w:jc w:val="center"/>
              <w:rPr>
                <w:color w:val="000000"/>
                <w:lang w:eastAsia="en-GB"/>
              </w:rPr>
            </w:pPr>
            <w:r>
              <w:rPr>
                <w:color w:val="000000"/>
                <w:lang w:eastAsia="en-GB"/>
              </w:rPr>
              <w:t>0</w:t>
            </w:r>
          </w:p>
        </w:tc>
        <w:tc>
          <w:tcPr>
            <w:tcW w:w="710" w:type="dxa"/>
            <w:tcBorders>
              <w:bottom w:val="single" w:sz="4" w:space="0" w:color="auto"/>
            </w:tcBorders>
            <w:vAlign w:val="bottom"/>
          </w:tcPr>
          <w:p w14:paraId="1E8715AC" w14:textId="77777777" w:rsidR="007E1D13" w:rsidRDefault="007E1D13" w:rsidP="007E1D13">
            <w:pPr>
              <w:spacing w:after="0" w:line="360" w:lineRule="auto"/>
              <w:jc w:val="right"/>
              <w:rPr>
                <w:color w:val="000000"/>
                <w:lang w:eastAsia="en-GB"/>
              </w:rPr>
            </w:pPr>
            <w:r>
              <w:rPr>
                <w:color w:val="000000"/>
                <w:lang w:eastAsia="en-GB"/>
              </w:rPr>
              <w:t>0</w:t>
            </w:r>
          </w:p>
        </w:tc>
        <w:tc>
          <w:tcPr>
            <w:tcW w:w="757" w:type="dxa"/>
            <w:gridSpan w:val="2"/>
            <w:tcBorders>
              <w:bottom w:val="single" w:sz="4" w:space="0" w:color="auto"/>
            </w:tcBorders>
          </w:tcPr>
          <w:p w14:paraId="3F572A2C" w14:textId="77777777" w:rsidR="007E1D13" w:rsidRDefault="007E1D13" w:rsidP="007E1D13">
            <w:pPr>
              <w:spacing w:after="0" w:line="360" w:lineRule="auto"/>
              <w:jc w:val="right"/>
              <w:rPr>
                <w:color w:val="000000"/>
                <w:lang w:eastAsia="en-GB"/>
              </w:rPr>
            </w:pPr>
            <w:r>
              <w:rPr>
                <w:color w:val="000000"/>
                <w:lang w:eastAsia="en-GB"/>
              </w:rPr>
              <w:t>0</w:t>
            </w:r>
          </w:p>
        </w:tc>
        <w:tc>
          <w:tcPr>
            <w:tcW w:w="1005" w:type="dxa"/>
            <w:gridSpan w:val="3"/>
            <w:tcBorders>
              <w:bottom w:val="single" w:sz="4" w:space="0" w:color="auto"/>
            </w:tcBorders>
            <w:shd w:val="clear" w:color="auto" w:fill="auto"/>
          </w:tcPr>
          <w:p w14:paraId="0DF9A6CA" w14:textId="77777777" w:rsidR="007E1D13" w:rsidRDefault="007E1D13" w:rsidP="007E1D13">
            <w:pPr>
              <w:spacing w:after="0" w:line="360" w:lineRule="auto"/>
              <w:jc w:val="right"/>
              <w:rPr>
                <w:color w:val="000000"/>
                <w:lang w:eastAsia="en-GB"/>
              </w:rPr>
            </w:pPr>
            <w:r>
              <w:rPr>
                <w:color w:val="000000"/>
                <w:lang w:eastAsia="en-GB"/>
              </w:rPr>
              <w:t>- 14</w:t>
            </w:r>
          </w:p>
        </w:tc>
      </w:tr>
      <w:tr w:rsidR="007E1D13" w:rsidRPr="00B2469D" w14:paraId="0888F5CC" w14:textId="77777777" w:rsidTr="007E1D13">
        <w:trPr>
          <w:trHeight w:val="290"/>
        </w:trPr>
        <w:tc>
          <w:tcPr>
            <w:tcW w:w="1952" w:type="dxa"/>
            <w:tcBorders>
              <w:top w:val="single" w:sz="4" w:space="0" w:color="auto"/>
            </w:tcBorders>
            <w:shd w:val="clear" w:color="auto" w:fill="auto"/>
            <w:noWrap/>
            <w:vAlign w:val="bottom"/>
          </w:tcPr>
          <w:p w14:paraId="7E368B90" w14:textId="77777777" w:rsidR="007E1D13" w:rsidRPr="00B2469D" w:rsidRDefault="007E1D13" w:rsidP="007E1D13">
            <w:pPr>
              <w:spacing w:before="120" w:after="0" w:line="360" w:lineRule="auto"/>
              <w:rPr>
                <w:color w:val="000000"/>
                <w:lang w:eastAsia="en-GB"/>
              </w:rPr>
            </w:pPr>
            <w:r>
              <w:rPr>
                <w:b/>
                <w:color w:val="000000"/>
                <w:lang w:eastAsia="en-GB"/>
              </w:rPr>
              <w:t xml:space="preserve">Accessibility  </w:t>
            </w:r>
          </w:p>
        </w:tc>
        <w:tc>
          <w:tcPr>
            <w:tcW w:w="465" w:type="dxa"/>
            <w:tcBorders>
              <w:top w:val="single" w:sz="4" w:space="0" w:color="auto"/>
            </w:tcBorders>
            <w:shd w:val="clear" w:color="auto" w:fill="auto"/>
            <w:vAlign w:val="center"/>
          </w:tcPr>
          <w:p w14:paraId="0D951371" w14:textId="77777777" w:rsidR="007E1D13" w:rsidRPr="00B2469D" w:rsidRDefault="007E1D13" w:rsidP="007E1D13">
            <w:pPr>
              <w:spacing w:before="120" w:after="0" w:line="360" w:lineRule="auto"/>
              <w:jc w:val="right"/>
              <w:rPr>
                <w:color w:val="000000"/>
                <w:lang w:eastAsia="en-GB"/>
              </w:rPr>
            </w:pPr>
            <w:r>
              <w:rPr>
                <w:b/>
                <w:color w:val="000000"/>
                <w:lang w:eastAsia="en-GB"/>
              </w:rPr>
              <w:t>32</w:t>
            </w:r>
          </w:p>
        </w:tc>
        <w:tc>
          <w:tcPr>
            <w:tcW w:w="4051" w:type="dxa"/>
            <w:gridSpan w:val="3"/>
            <w:tcBorders>
              <w:top w:val="single" w:sz="4" w:space="0" w:color="auto"/>
            </w:tcBorders>
            <w:shd w:val="clear" w:color="auto" w:fill="auto"/>
            <w:noWrap/>
            <w:vAlign w:val="bottom"/>
            <w:hideMark/>
          </w:tcPr>
          <w:p w14:paraId="2B17A0E8" w14:textId="77777777" w:rsidR="007E1D13" w:rsidRPr="00B2469D" w:rsidRDefault="007E1D13" w:rsidP="007E1D13">
            <w:pPr>
              <w:spacing w:before="120" w:after="0" w:line="360" w:lineRule="auto"/>
              <w:rPr>
                <w:color w:val="000000"/>
                <w:lang w:eastAsia="en-GB"/>
              </w:rPr>
            </w:pPr>
            <w:r w:rsidRPr="00B2469D">
              <w:rPr>
                <w:color w:val="000000"/>
                <w:lang w:eastAsia="en-GB"/>
              </w:rPr>
              <w:t>Easy to get</w:t>
            </w:r>
          </w:p>
        </w:tc>
        <w:tc>
          <w:tcPr>
            <w:tcW w:w="666" w:type="dxa"/>
            <w:gridSpan w:val="2"/>
            <w:tcBorders>
              <w:top w:val="single" w:sz="4" w:space="0" w:color="auto"/>
            </w:tcBorders>
            <w:shd w:val="clear" w:color="auto" w:fill="auto"/>
            <w:vAlign w:val="center"/>
          </w:tcPr>
          <w:p w14:paraId="4484A95D"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306240C2" w14:textId="77777777" w:rsidR="007E1D13" w:rsidRPr="00B2469D" w:rsidRDefault="007E1D13" w:rsidP="007E1D13">
            <w:pPr>
              <w:spacing w:before="120" w:after="0" w:line="360" w:lineRule="auto"/>
              <w:jc w:val="right"/>
              <w:rPr>
                <w:color w:val="000000"/>
                <w:lang w:eastAsia="en-GB"/>
              </w:rPr>
            </w:pPr>
            <w:r>
              <w:rPr>
                <w:color w:val="000000"/>
                <w:lang w:eastAsia="en-GB"/>
              </w:rPr>
              <w:t>14</w:t>
            </w:r>
          </w:p>
        </w:tc>
        <w:tc>
          <w:tcPr>
            <w:tcW w:w="757" w:type="dxa"/>
            <w:gridSpan w:val="2"/>
            <w:tcBorders>
              <w:top w:val="single" w:sz="4" w:space="0" w:color="auto"/>
            </w:tcBorders>
          </w:tcPr>
          <w:p w14:paraId="445B2280" w14:textId="77777777" w:rsidR="007E1D13" w:rsidRPr="00375BC0" w:rsidRDefault="007E1D13" w:rsidP="007E1D13">
            <w:pPr>
              <w:spacing w:before="120" w:after="0" w:line="360" w:lineRule="auto"/>
              <w:jc w:val="right"/>
              <w:rPr>
                <w:color w:val="000000"/>
                <w:lang w:eastAsia="en-GB"/>
              </w:rPr>
            </w:pPr>
            <w:r>
              <w:rPr>
                <w:color w:val="000000"/>
                <w:lang w:eastAsia="en-GB"/>
              </w:rPr>
              <w:t>16</w:t>
            </w:r>
          </w:p>
        </w:tc>
        <w:tc>
          <w:tcPr>
            <w:tcW w:w="1005" w:type="dxa"/>
            <w:gridSpan w:val="3"/>
            <w:tcBorders>
              <w:top w:val="single" w:sz="4" w:space="0" w:color="auto"/>
            </w:tcBorders>
            <w:shd w:val="clear" w:color="auto" w:fill="auto"/>
          </w:tcPr>
          <w:p w14:paraId="77476209" w14:textId="77777777" w:rsidR="007E1D13" w:rsidRPr="00375BC0" w:rsidRDefault="007E1D13" w:rsidP="007E1D13">
            <w:pPr>
              <w:spacing w:before="120" w:after="0" w:line="360" w:lineRule="auto"/>
              <w:jc w:val="right"/>
              <w:rPr>
                <w:color w:val="000000"/>
                <w:lang w:eastAsia="en-GB"/>
              </w:rPr>
            </w:pPr>
            <w:r w:rsidRPr="00375BC0">
              <w:rPr>
                <w:color w:val="000000"/>
                <w:lang w:eastAsia="en-GB"/>
              </w:rPr>
              <w:t>-</w:t>
            </w:r>
            <w:r>
              <w:rPr>
                <w:color w:val="000000"/>
                <w:lang w:eastAsia="en-GB"/>
              </w:rPr>
              <w:t xml:space="preserve"> 14</w:t>
            </w:r>
          </w:p>
        </w:tc>
      </w:tr>
      <w:tr w:rsidR="007E1D13" w:rsidRPr="00B2469D" w14:paraId="2F0A291A" w14:textId="77777777" w:rsidTr="007E1D13">
        <w:trPr>
          <w:trHeight w:val="290"/>
        </w:trPr>
        <w:tc>
          <w:tcPr>
            <w:tcW w:w="1952" w:type="dxa"/>
            <w:shd w:val="clear" w:color="auto" w:fill="auto"/>
            <w:noWrap/>
            <w:vAlign w:val="bottom"/>
          </w:tcPr>
          <w:p w14:paraId="094A56C6" w14:textId="77777777" w:rsidR="007E1D13" w:rsidRPr="00B2469D" w:rsidRDefault="007E1D13" w:rsidP="007E1D13">
            <w:pPr>
              <w:spacing w:after="0" w:line="360" w:lineRule="auto"/>
              <w:rPr>
                <w:color w:val="000000"/>
                <w:lang w:eastAsia="en-GB"/>
              </w:rPr>
            </w:pPr>
          </w:p>
        </w:tc>
        <w:tc>
          <w:tcPr>
            <w:tcW w:w="465" w:type="dxa"/>
            <w:shd w:val="clear" w:color="auto" w:fill="auto"/>
            <w:vAlign w:val="bottom"/>
          </w:tcPr>
          <w:p w14:paraId="03EF9E3C" w14:textId="77777777" w:rsidR="007E1D13" w:rsidRPr="00B2469D" w:rsidRDefault="007E1D13" w:rsidP="007E1D13">
            <w:pPr>
              <w:spacing w:after="0" w:line="360" w:lineRule="auto"/>
              <w:rPr>
                <w:color w:val="000000"/>
                <w:lang w:eastAsia="en-GB"/>
              </w:rPr>
            </w:pPr>
          </w:p>
        </w:tc>
        <w:tc>
          <w:tcPr>
            <w:tcW w:w="4051" w:type="dxa"/>
            <w:gridSpan w:val="3"/>
            <w:shd w:val="clear" w:color="auto" w:fill="auto"/>
            <w:noWrap/>
            <w:vAlign w:val="bottom"/>
          </w:tcPr>
          <w:p w14:paraId="1A960F08" w14:textId="77777777" w:rsidR="007E1D13" w:rsidRPr="00B2469D" w:rsidRDefault="007E1D13" w:rsidP="007E1D13">
            <w:pPr>
              <w:spacing w:after="0" w:line="360" w:lineRule="auto"/>
              <w:rPr>
                <w:color w:val="000000"/>
                <w:lang w:eastAsia="en-GB"/>
              </w:rPr>
            </w:pPr>
            <w:r w:rsidRPr="00B2469D">
              <w:rPr>
                <w:color w:val="000000"/>
                <w:lang w:eastAsia="en-GB"/>
              </w:rPr>
              <w:t>Cheap</w:t>
            </w:r>
          </w:p>
        </w:tc>
        <w:tc>
          <w:tcPr>
            <w:tcW w:w="666" w:type="dxa"/>
            <w:gridSpan w:val="2"/>
            <w:shd w:val="clear" w:color="auto" w:fill="auto"/>
            <w:vAlign w:val="center"/>
          </w:tcPr>
          <w:p w14:paraId="09CB7855"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5DD400DC" w14:textId="77777777" w:rsidR="007E1D13" w:rsidRDefault="007E1D13" w:rsidP="007E1D13">
            <w:pPr>
              <w:spacing w:after="0" w:line="360" w:lineRule="auto"/>
              <w:jc w:val="right"/>
              <w:rPr>
                <w:color w:val="000000"/>
                <w:lang w:eastAsia="en-GB"/>
              </w:rPr>
            </w:pPr>
            <w:r>
              <w:rPr>
                <w:color w:val="000000"/>
                <w:lang w:eastAsia="en-GB"/>
              </w:rPr>
              <w:t>13</w:t>
            </w:r>
          </w:p>
        </w:tc>
        <w:tc>
          <w:tcPr>
            <w:tcW w:w="757" w:type="dxa"/>
            <w:gridSpan w:val="2"/>
          </w:tcPr>
          <w:p w14:paraId="2931E9AA" w14:textId="77777777" w:rsidR="007E1D13" w:rsidRDefault="007E1D13" w:rsidP="007E1D13">
            <w:pPr>
              <w:spacing w:after="0" w:line="360" w:lineRule="auto"/>
              <w:jc w:val="right"/>
              <w:rPr>
                <w:color w:val="000000"/>
                <w:lang w:eastAsia="en-GB"/>
              </w:rPr>
            </w:pPr>
            <w:r>
              <w:rPr>
                <w:color w:val="000000"/>
                <w:lang w:eastAsia="en-GB"/>
              </w:rPr>
              <w:t>15</w:t>
            </w:r>
          </w:p>
        </w:tc>
        <w:tc>
          <w:tcPr>
            <w:tcW w:w="1005" w:type="dxa"/>
            <w:gridSpan w:val="3"/>
            <w:shd w:val="clear" w:color="auto" w:fill="auto"/>
          </w:tcPr>
          <w:p w14:paraId="7ADDEE41" w14:textId="77777777" w:rsidR="007E1D13" w:rsidRPr="00B2469D" w:rsidRDefault="007E1D13" w:rsidP="007E1D13">
            <w:pPr>
              <w:spacing w:after="0" w:line="360" w:lineRule="auto"/>
              <w:jc w:val="right"/>
              <w:rPr>
                <w:color w:val="000000"/>
                <w:lang w:eastAsia="en-GB"/>
              </w:rPr>
            </w:pPr>
            <w:r>
              <w:rPr>
                <w:color w:val="000000"/>
                <w:lang w:eastAsia="en-GB"/>
              </w:rPr>
              <w:t>- 2</w:t>
            </w:r>
          </w:p>
        </w:tc>
      </w:tr>
      <w:tr w:rsidR="007E1D13" w:rsidRPr="00B2469D" w14:paraId="5C932D25" w14:textId="77777777" w:rsidTr="007E1D13">
        <w:trPr>
          <w:trHeight w:val="290"/>
        </w:trPr>
        <w:tc>
          <w:tcPr>
            <w:tcW w:w="1952" w:type="dxa"/>
            <w:shd w:val="clear" w:color="auto" w:fill="auto"/>
            <w:noWrap/>
            <w:vAlign w:val="bottom"/>
          </w:tcPr>
          <w:p w14:paraId="33D79D18" w14:textId="77777777" w:rsidR="007E1D13" w:rsidRPr="00B2469D" w:rsidRDefault="007E1D13" w:rsidP="007E1D13">
            <w:pPr>
              <w:spacing w:after="0" w:line="360" w:lineRule="auto"/>
              <w:rPr>
                <w:sz w:val="20"/>
                <w:szCs w:val="20"/>
                <w:lang w:eastAsia="en-GB"/>
              </w:rPr>
            </w:pPr>
          </w:p>
        </w:tc>
        <w:tc>
          <w:tcPr>
            <w:tcW w:w="465" w:type="dxa"/>
            <w:shd w:val="clear" w:color="auto" w:fill="auto"/>
            <w:vAlign w:val="bottom"/>
          </w:tcPr>
          <w:p w14:paraId="71B2629B" w14:textId="77777777" w:rsidR="007E1D13" w:rsidRPr="00B2469D" w:rsidRDefault="007E1D13" w:rsidP="007E1D13">
            <w:pPr>
              <w:spacing w:after="0" w:line="360" w:lineRule="auto"/>
              <w:rPr>
                <w:sz w:val="20"/>
                <w:szCs w:val="20"/>
                <w:lang w:eastAsia="en-GB"/>
              </w:rPr>
            </w:pPr>
          </w:p>
        </w:tc>
        <w:tc>
          <w:tcPr>
            <w:tcW w:w="4051" w:type="dxa"/>
            <w:gridSpan w:val="3"/>
            <w:shd w:val="clear" w:color="auto" w:fill="auto"/>
            <w:noWrap/>
            <w:vAlign w:val="bottom"/>
          </w:tcPr>
          <w:p w14:paraId="637DB9AF" w14:textId="77777777" w:rsidR="007E1D13" w:rsidRPr="00B2469D" w:rsidRDefault="007E1D13" w:rsidP="007E1D13">
            <w:pPr>
              <w:spacing w:after="0" w:line="360" w:lineRule="auto"/>
              <w:rPr>
                <w:color w:val="000000"/>
                <w:lang w:eastAsia="en-GB"/>
              </w:rPr>
            </w:pPr>
            <w:r w:rsidRPr="00B2469D">
              <w:rPr>
                <w:color w:val="000000"/>
                <w:lang w:eastAsia="en-GB"/>
              </w:rPr>
              <w:t xml:space="preserve">Sold </w:t>
            </w:r>
            <w:r>
              <w:rPr>
                <w:color w:val="000000"/>
                <w:lang w:eastAsia="en-GB"/>
              </w:rPr>
              <w:t>by dealers</w:t>
            </w:r>
          </w:p>
        </w:tc>
        <w:tc>
          <w:tcPr>
            <w:tcW w:w="666" w:type="dxa"/>
            <w:gridSpan w:val="2"/>
            <w:shd w:val="clear" w:color="auto" w:fill="auto"/>
            <w:vAlign w:val="center"/>
          </w:tcPr>
          <w:p w14:paraId="694965A2"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3FCCE9BE" w14:textId="77777777" w:rsidR="007E1D13" w:rsidRDefault="007E1D13" w:rsidP="007E1D13">
            <w:pPr>
              <w:spacing w:after="0" w:line="360" w:lineRule="auto"/>
              <w:jc w:val="right"/>
              <w:rPr>
                <w:color w:val="000000"/>
                <w:lang w:eastAsia="en-GB"/>
              </w:rPr>
            </w:pPr>
            <w:r>
              <w:rPr>
                <w:color w:val="000000"/>
                <w:lang w:eastAsia="en-GB"/>
              </w:rPr>
              <w:t>4</w:t>
            </w:r>
          </w:p>
        </w:tc>
        <w:tc>
          <w:tcPr>
            <w:tcW w:w="757" w:type="dxa"/>
            <w:gridSpan w:val="2"/>
          </w:tcPr>
          <w:p w14:paraId="332FFB76" w14:textId="77777777" w:rsidR="007E1D13" w:rsidRDefault="007E1D13" w:rsidP="007E1D13">
            <w:pPr>
              <w:spacing w:after="0" w:line="360" w:lineRule="auto"/>
              <w:jc w:val="right"/>
              <w:rPr>
                <w:color w:val="000000"/>
                <w:lang w:eastAsia="en-GB"/>
              </w:rPr>
            </w:pPr>
            <w:r>
              <w:rPr>
                <w:color w:val="000000"/>
                <w:lang w:eastAsia="en-GB"/>
              </w:rPr>
              <w:t>5</w:t>
            </w:r>
          </w:p>
        </w:tc>
        <w:tc>
          <w:tcPr>
            <w:tcW w:w="1005" w:type="dxa"/>
            <w:gridSpan w:val="3"/>
            <w:shd w:val="clear" w:color="auto" w:fill="auto"/>
          </w:tcPr>
          <w:p w14:paraId="52CEA4C0" w14:textId="77777777" w:rsidR="007E1D13" w:rsidRPr="00B2469D" w:rsidRDefault="007E1D13" w:rsidP="007E1D13">
            <w:pPr>
              <w:spacing w:after="0" w:line="360" w:lineRule="auto"/>
              <w:jc w:val="right"/>
              <w:rPr>
                <w:color w:val="000000"/>
                <w:lang w:eastAsia="en-GB"/>
              </w:rPr>
            </w:pPr>
            <w:r>
              <w:rPr>
                <w:color w:val="000000"/>
                <w:lang w:eastAsia="en-GB"/>
              </w:rPr>
              <w:t>- 3</w:t>
            </w:r>
          </w:p>
        </w:tc>
      </w:tr>
      <w:tr w:rsidR="007E1D13" w:rsidRPr="00B2469D" w14:paraId="636F6BC6" w14:textId="77777777" w:rsidTr="007E1D13">
        <w:trPr>
          <w:trHeight w:val="290"/>
        </w:trPr>
        <w:tc>
          <w:tcPr>
            <w:tcW w:w="1952" w:type="dxa"/>
            <w:tcBorders>
              <w:bottom w:val="single" w:sz="4" w:space="0" w:color="auto"/>
            </w:tcBorders>
            <w:shd w:val="clear" w:color="auto" w:fill="auto"/>
            <w:noWrap/>
            <w:vAlign w:val="bottom"/>
          </w:tcPr>
          <w:p w14:paraId="1537C4A7"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177FF6D7"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vAlign w:val="bottom"/>
          </w:tcPr>
          <w:p w14:paraId="232D441D" w14:textId="77777777" w:rsidR="007E1D13" w:rsidRPr="00B2469D" w:rsidRDefault="007E1D13" w:rsidP="007E1D13">
            <w:pPr>
              <w:spacing w:after="0" w:line="360" w:lineRule="auto"/>
              <w:rPr>
                <w:color w:val="000000"/>
                <w:lang w:eastAsia="en-GB"/>
              </w:rPr>
            </w:pPr>
            <w:r w:rsidRPr="00B2469D">
              <w:rPr>
                <w:color w:val="000000"/>
                <w:lang w:eastAsia="en-GB"/>
              </w:rPr>
              <w:t>Sold in shops</w:t>
            </w:r>
          </w:p>
        </w:tc>
        <w:tc>
          <w:tcPr>
            <w:tcW w:w="666" w:type="dxa"/>
            <w:gridSpan w:val="2"/>
            <w:tcBorders>
              <w:bottom w:val="single" w:sz="4" w:space="0" w:color="auto"/>
            </w:tcBorders>
            <w:shd w:val="clear" w:color="auto" w:fill="auto"/>
            <w:vAlign w:val="center"/>
          </w:tcPr>
          <w:p w14:paraId="1A9AD43F" w14:textId="77777777" w:rsidR="007E1D13" w:rsidRPr="00B2469D" w:rsidRDefault="007E1D13" w:rsidP="007E1D13">
            <w:pPr>
              <w:spacing w:after="0" w:line="360" w:lineRule="auto"/>
              <w:jc w:val="center"/>
              <w:rPr>
                <w:color w:val="000000"/>
                <w:lang w:eastAsia="en-GB"/>
              </w:rPr>
            </w:pPr>
            <w:r>
              <w:rPr>
                <w:color w:val="000000"/>
                <w:lang w:eastAsia="en-GB"/>
              </w:rPr>
              <w:t>1</w:t>
            </w:r>
          </w:p>
        </w:tc>
        <w:tc>
          <w:tcPr>
            <w:tcW w:w="710" w:type="dxa"/>
            <w:tcBorders>
              <w:bottom w:val="single" w:sz="4" w:space="0" w:color="auto"/>
            </w:tcBorders>
            <w:vAlign w:val="bottom"/>
          </w:tcPr>
          <w:p w14:paraId="40CD21D8" w14:textId="77777777" w:rsidR="007E1D13" w:rsidRDefault="007E1D13" w:rsidP="007E1D13">
            <w:pPr>
              <w:spacing w:after="0" w:line="360" w:lineRule="auto"/>
              <w:jc w:val="right"/>
              <w:rPr>
                <w:color w:val="000000"/>
                <w:lang w:eastAsia="en-GB"/>
              </w:rPr>
            </w:pPr>
            <w:r>
              <w:rPr>
                <w:color w:val="000000"/>
                <w:lang w:eastAsia="en-GB"/>
              </w:rPr>
              <w:t>1</w:t>
            </w:r>
          </w:p>
        </w:tc>
        <w:tc>
          <w:tcPr>
            <w:tcW w:w="757" w:type="dxa"/>
            <w:gridSpan w:val="2"/>
            <w:tcBorders>
              <w:bottom w:val="single" w:sz="4" w:space="0" w:color="auto"/>
            </w:tcBorders>
          </w:tcPr>
          <w:p w14:paraId="189834B6" w14:textId="77777777" w:rsidR="007E1D13" w:rsidRDefault="007E1D13" w:rsidP="007E1D13">
            <w:pPr>
              <w:spacing w:after="0" w:line="360" w:lineRule="auto"/>
              <w:jc w:val="right"/>
              <w:rPr>
                <w:color w:val="000000"/>
                <w:lang w:eastAsia="en-GB"/>
              </w:rPr>
            </w:pPr>
            <w:r>
              <w:rPr>
                <w:color w:val="000000"/>
                <w:lang w:eastAsia="en-GB"/>
              </w:rPr>
              <w:t>1</w:t>
            </w:r>
          </w:p>
        </w:tc>
        <w:tc>
          <w:tcPr>
            <w:tcW w:w="1005" w:type="dxa"/>
            <w:gridSpan w:val="3"/>
            <w:tcBorders>
              <w:bottom w:val="single" w:sz="4" w:space="0" w:color="auto"/>
            </w:tcBorders>
            <w:shd w:val="clear" w:color="auto" w:fill="auto"/>
          </w:tcPr>
          <w:p w14:paraId="222AEA68" w14:textId="77777777" w:rsidR="007E1D13" w:rsidRPr="00B2469D" w:rsidRDefault="007E1D13" w:rsidP="007E1D13">
            <w:pPr>
              <w:spacing w:after="0" w:line="360" w:lineRule="auto"/>
              <w:jc w:val="right"/>
              <w:rPr>
                <w:color w:val="000000"/>
                <w:lang w:eastAsia="en-GB"/>
              </w:rPr>
            </w:pPr>
            <w:r>
              <w:rPr>
                <w:color w:val="000000"/>
                <w:lang w:eastAsia="en-GB"/>
              </w:rPr>
              <w:t>- 31</w:t>
            </w:r>
          </w:p>
        </w:tc>
      </w:tr>
      <w:tr w:rsidR="007E1D13" w:rsidRPr="00B2469D" w14:paraId="64865C21" w14:textId="77777777" w:rsidTr="007E1D13">
        <w:trPr>
          <w:trHeight w:val="290"/>
        </w:trPr>
        <w:tc>
          <w:tcPr>
            <w:tcW w:w="1952" w:type="dxa"/>
            <w:tcBorders>
              <w:top w:val="single" w:sz="4" w:space="0" w:color="auto"/>
            </w:tcBorders>
            <w:shd w:val="clear" w:color="auto" w:fill="auto"/>
            <w:noWrap/>
            <w:vAlign w:val="bottom"/>
          </w:tcPr>
          <w:p w14:paraId="44867C85" w14:textId="77777777" w:rsidR="007E1D13" w:rsidRPr="00B2469D" w:rsidRDefault="007E1D13" w:rsidP="007E1D13">
            <w:pPr>
              <w:spacing w:before="120" w:after="0" w:line="360" w:lineRule="auto"/>
              <w:rPr>
                <w:sz w:val="20"/>
                <w:szCs w:val="20"/>
                <w:lang w:eastAsia="en-GB"/>
              </w:rPr>
            </w:pPr>
            <w:r>
              <w:rPr>
                <w:b/>
                <w:color w:val="000000"/>
                <w:lang w:eastAsia="en-GB"/>
              </w:rPr>
              <w:t>Substitution</w:t>
            </w:r>
          </w:p>
        </w:tc>
        <w:tc>
          <w:tcPr>
            <w:tcW w:w="465" w:type="dxa"/>
            <w:tcBorders>
              <w:top w:val="single" w:sz="4" w:space="0" w:color="auto"/>
            </w:tcBorders>
            <w:shd w:val="clear" w:color="auto" w:fill="auto"/>
            <w:vAlign w:val="center"/>
          </w:tcPr>
          <w:p w14:paraId="7663E23D" w14:textId="77777777" w:rsidR="007E1D13" w:rsidRPr="00A454B5" w:rsidRDefault="007E1D13" w:rsidP="007E1D13">
            <w:pPr>
              <w:spacing w:before="120" w:after="0" w:line="360" w:lineRule="auto"/>
              <w:jc w:val="right"/>
              <w:rPr>
                <w:b/>
                <w:sz w:val="20"/>
                <w:szCs w:val="20"/>
                <w:lang w:eastAsia="en-GB"/>
              </w:rPr>
            </w:pPr>
            <w:r>
              <w:rPr>
                <w:b/>
                <w:color w:val="000000"/>
                <w:lang w:eastAsia="en-GB"/>
              </w:rPr>
              <w:t>22</w:t>
            </w:r>
          </w:p>
        </w:tc>
        <w:tc>
          <w:tcPr>
            <w:tcW w:w="4051" w:type="dxa"/>
            <w:gridSpan w:val="3"/>
            <w:tcBorders>
              <w:top w:val="single" w:sz="4" w:space="0" w:color="auto"/>
            </w:tcBorders>
            <w:shd w:val="clear" w:color="auto" w:fill="auto"/>
            <w:noWrap/>
            <w:vAlign w:val="bottom"/>
          </w:tcPr>
          <w:p w14:paraId="70EB3BE3" w14:textId="77777777" w:rsidR="007E1D13" w:rsidRPr="00B2469D" w:rsidRDefault="007E1D13" w:rsidP="007E1D13">
            <w:pPr>
              <w:spacing w:before="120" w:after="0" w:line="360" w:lineRule="auto"/>
              <w:rPr>
                <w:color w:val="000000"/>
                <w:lang w:eastAsia="en-GB"/>
              </w:rPr>
            </w:pPr>
            <w:r w:rsidRPr="00B2469D">
              <w:rPr>
                <w:color w:val="000000"/>
                <w:lang w:eastAsia="en-GB"/>
              </w:rPr>
              <w:t xml:space="preserve">Cheaper than </w:t>
            </w:r>
            <w:r>
              <w:rPr>
                <w:color w:val="000000"/>
                <w:lang w:eastAsia="en-GB"/>
              </w:rPr>
              <w:t>traditional</w:t>
            </w:r>
            <w:r w:rsidRPr="00B2469D">
              <w:rPr>
                <w:color w:val="000000"/>
                <w:lang w:eastAsia="en-GB"/>
              </w:rPr>
              <w:t xml:space="preserve"> drugs</w:t>
            </w:r>
          </w:p>
        </w:tc>
        <w:tc>
          <w:tcPr>
            <w:tcW w:w="666" w:type="dxa"/>
            <w:gridSpan w:val="2"/>
            <w:tcBorders>
              <w:top w:val="single" w:sz="4" w:space="0" w:color="auto"/>
            </w:tcBorders>
            <w:shd w:val="clear" w:color="auto" w:fill="auto"/>
            <w:vAlign w:val="center"/>
          </w:tcPr>
          <w:p w14:paraId="0B656BE1"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4CE84651" w14:textId="77777777" w:rsidR="007E1D13" w:rsidRDefault="007E1D13" w:rsidP="007E1D13">
            <w:pPr>
              <w:spacing w:before="120" w:after="0" w:line="360" w:lineRule="auto"/>
              <w:jc w:val="right"/>
              <w:rPr>
                <w:color w:val="000000"/>
                <w:lang w:eastAsia="en-GB"/>
              </w:rPr>
            </w:pPr>
            <w:r>
              <w:rPr>
                <w:color w:val="000000"/>
                <w:lang w:eastAsia="en-GB"/>
              </w:rPr>
              <w:t>10</w:t>
            </w:r>
          </w:p>
        </w:tc>
        <w:tc>
          <w:tcPr>
            <w:tcW w:w="757" w:type="dxa"/>
            <w:gridSpan w:val="2"/>
            <w:tcBorders>
              <w:top w:val="single" w:sz="4" w:space="0" w:color="auto"/>
            </w:tcBorders>
          </w:tcPr>
          <w:p w14:paraId="05DE7862" w14:textId="77777777" w:rsidR="007E1D13" w:rsidRDefault="007E1D13" w:rsidP="007E1D13">
            <w:pPr>
              <w:tabs>
                <w:tab w:val="left" w:pos="258"/>
              </w:tabs>
              <w:spacing w:before="120" w:after="0" w:line="360" w:lineRule="auto"/>
              <w:rPr>
                <w:color w:val="000000"/>
                <w:lang w:eastAsia="en-GB"/>
              </w:rPr>
            </w:pPr>
            <w:r>
              <w:rPr>
                <w:color w:val="000000"/>
                <w:lang w:eastAsia="en-GB"/>
              </w:rPr>
              <w:tab/>
              <w:t>11</w:t>
            </w:r>
          </w:p>
        </w:tc>
        <w:tc>
          <w:tcPr>
            <w:tcW w:w="1005" w:type="dxa"/>
            <w:gridSpan w:val="3"/>
            <w:tcBorders>
              <w:top w:val="single" w:sz="4" w:space="0" w:color="auto"/>
            </w:tcBorders>
            <w:shd w:val="clear" w:color="auto" w:fill="auto"/>
          </w:tcPr>
          <w:p w14:paraId="42BCEABE" w14:textId="77777777" w:rsidR="007E1D13" w:rsidRPr="00B2469D" w:rsidRDefault="007E1D13" w:rsidP="007E1D13">
            <w:pPr>
              <w:spacing w:before="120" w:after="0" w:line="360" w:lineRule="auto"/>
              <w:jc w:val="right"/>
              <w:rPr>
                <w:color w:val="000000"/>
                <w:lang w:eastAsia="en-GB"/>
              </w:rPr>
            </w:pPr>
            <w:r>
              <w:rPr>
                <w:color w:val="000000"/>
                <w:lang w:eastAsia="en-GB"/>
              </w:rPr>
              <w:t>+ 9</w:t>
            </w:r>
          </w:p>
        </w:tc>
      </w:tr>
      <w:tr w:rsidR="007E1D13" w:rsidRPr="00B2469D" w14:paraId="009B261A" w14:textId="77777777" w:rsidTr="007E1D13">
        <w:trPr>
          <w:trHeight w:val="290"/>
        </w:trPr>
        <w:tc>
          <w:tcPr>
            <w:tcW w:w="1952" w:type="dxa"/>
            <w:shd w:val="clear" w:color="auto" w:fill="auto"/>
            <w:noWrap/>
            <w:vAlign w:val="bottom"/>
          </w:tcPr>
          <w:p w14:paraId="1189476A" w14:textId="77777777" w:rsidR="007E1D13" w:rsidRPr="00B2469D" w:rsidRDefault="007E1D13" w:rsidP="007E1D13">
            <w:pPr>
              <w:spacing w:after="0" w:line="360" w:lineRule="auto"/>
              <w:rPr>
                <w:sz w:val="20"/>
                <w:szCs w:val="20"/>
                <w:lang w:eastAsia="en-GB"/>
              </w:rPr>
            </w:pPr>
          </w:p>
        </w:tc>
        <w:tc>
          <w:tcPr>
            <w:tcW w:w="465" w:type="dxa"/>
            <w:shd w:val="clear" w:color="auto" w:fill="auto"/>
            <w:vAlign w:val="bottom"/>
          </w:tcPr>
          <w:p w14:paraId="5A8576C9" w14:textId="77777777" w:rsidR="007E1D13" w:rsidRPr="00B2469D" w:rsidRDefault="007E1D13" w:rsidP="007E1D13">
            <w:pPr>
              <w:spacing w:after="0" w:line="360" w:lineRule="auto"/>
              <w:rPr>
                <w:sz w:val="20"/>
                <w:szCs w:val="20"/>
                <w:lang w:eastAsia="en-GB"/>
              </w:rPr>
            </w:pPr>
          </w:p>
        </w:tc>
        <w:tc>
          <w:tcPr>
            <w:tcW w:w="4051" w:type="dxa"/>
            <w:gridSpan w:val="3"/>
            <w:shd w:val="clear" w:color="auto" w:fill="auto"/>
            <w:noWrap/>
            <w:vAlign w:val="bottom"/>
            <w:hideMark/>
          </w:tcPr>
          <w:p w14:paraId="4D2AEF96" w14:textId="77777777" w:rsidR="007E1D13" w:rsidRPr="00B2469D" w:rsidRDefault="007E1D13" w:rsidP="007E1D13">
            <w:pPr>
              <w:spacing w:after="0" w:line="360" w:lineRule="auto"/>
              <w:rPr>
                <w:color w:val="000000"/>
                <w:lang w:eastAsia="en-GB"/>
              </w:rPr>
            </w:pPr>
            <w:r>
              <w:rPr>
                <w:color w:val="000000"/>
                <w:lang w:eastAsia="en-GB"/>
              </w:rPr>
              <w:t>Safer</w:t>
            </w:r>
            <w:r w:rsidRPr="00B2469D">
              <w:rPr>
                <w:color w:val="000000"/>
                <w:lang w:eastAsia="en-GB"/>
              </w:rPr>
              <w:t xml:space="preserve"> than </w:t>
            </w:r>
            <w:r>
              <w:rPr>
                <w:color w:val="000000"/>
                <w:lang w:eastAsia="en-GB"/>
              </w:rPr>
              <w:t>traditional</w:t>
            </w:r>
            <w:r w:rsidRPr="00B2469D">
              <w:rPr>
                <w:color w:val="000000"/>
                <w:lang w:eastAsia="en-GB"/>
              </w:rPr>
              <w:t xml:space="preserve"> drugs</w:t>
            </w:r>
          </w:p>
        </w:tc>
        <w:tc>
          <w:tcPr>
            <w:tcW w:w="666" w:type="dxa"/>
            <w:gridSpan w:val="2"/>
            <w:shd w:val="clear" w:color="auto" w:fill="auto"/>
            <w:vAlign w:val="center"/>
          </w:tcPr>
          <w:p w14:paraId="03361CEC"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4E002B87" w14:textId="77777777" w:rsidR="007E1D13" w:rsidRDefault="007E1D13" w:rsidP="007E1D13">
            <w:pPr>
              <w:spacing w:after="0" w:line="360" w:lineRule="auto"/>
              <w:jc w:val="right"/>
              <w:rPr>
                <w:color w:val="000000"/>
                <w:lang w:eastAsia="en-GB"/>
              </w:rPr>
            </w:pPr>
            <w:r>
              <w:rPr>
                <w:color w:val="000000"/>
                <w:lang w:eastAsia="en-GB"/>
              </w:rPr>
              <w:t>7</w:t>
            </w:r>
          </w:p>
        </w:tc>
        <w:tc>
          <w:tcPr>
            <w:tcW w:w="757" w:type="dxa"/>
            <w:gridSpan w:val="2"/>
          </w:tcPr>
          <w:p w14:paraId="7792B0CF" w14:textId="77777777" w:rsidR="007E1D13" w:rsidRDefault="007E1D13" w:rsidP="007E1D13">
            <w:pPr>
              <w:spacing w:after="0" w:line="360" w:lineRule="auto"/>
              <w:jc w:val="right"/>
              <w:rPr>
                <w:color w:val="000000"/>
                <w:lang w:eastAsia="en-GB"/>
              </w:rPr>
            </w:pPr>
            <w:r>
              <w:rPr>
                <w:color w:val="000000"/>
                <w:lang w:eastAsia="en-GB"/>
              </w:rPr>
              <w:t>8</w:t>
            </w:r>
          </w:p>
        </w:tc>
        <w:tc>
          <w:tcPr>
            <w:tcW w:w="1005" w:type="dxa"/>
            <w:gridSpan w:val="3"/>
            <w:shd w:val="clear" w:color="auto" w:fill="auto"/>
          </w:tcPr>
          <w:p w14:paraId="5195F314" w14:textId="77777777" w:rsidR="007E1D13" w:rsidRPr="00B2469D" w:rsidRDefault="007E1D13" w:rsidP="007E1D13">
            <w:pPr>
              <w:spacing w:after="0" w:line="360" w:lineRule="auto"/>
              <w:jc w:val="right"/>
              <w:rPr>
                <w:color w:val="000000"/>
                <w:lang w:eastAsia="en-GB"/>
              </w:rPr>
            </w:pPr>
            <w:r>
              <w:rPr>
                <w:color w:val="000000"/>
                <w:lang w:eastAsia="en-GB"/>
              </w:rPr>
              <w:t>+ 4</w:t>
            </w:r>
          </w:p>
        </w:tc>
      </w:tr>
      <w:tr w:rsidR="007E1D13" w:rsidRPr="00B2469D" w14:paraId="033989EC" w14:textId="77777777" w:rsidTr="007E1D13">
        <w:trPr>
          <w:trHeight w:val="290"/>
        </w:trPr>
        <w:tc>
          <w:tcPr>
            <w:tcW w:w="1952" w:type="dxa"/>
            <w:shd w:val="clear" w:color="auto" w:fill="auto"/>
            <w:noWrap/>
            <w:vAlign w:val="bottom"/>
          </w:tcPr>
          <w:p w14:paraId="5B117322" w14:textId="77777777" w:rsidR="007E1D13" w:rsidRPr="00B2469D" w:rsidRDefault="007E1D13" w:rsidP="007E1D13">
            <w:pPr>
              <w:spacing w:after="0" w:line="360" w:lineRule="auto"/>
              <w:rPr>
                <w:sz w:val="20"/>
                <w:szCs w:val="20"/>
                <w:lang w:eastAsia="en-GB"/>
              </w:rPr>
            </w:pPr>
          </w:p>
        </w:tc>
        <w:tc>
          <w:tcPr>
            <w:tcW w:w="465" w:type="dxa"/>
            <w:shd w:val="clear" w:color="auto" w:fill="auto"/>
            <w:vAlign w:val="bottom"/>
          </w:tcPr>
          <w:p w14:paraId="477AC854" w14:textId="77777777" w:rsidR="007E1D13" w:rsidRPr="00B2469D" w:rsidRDefault="007E1D13" w:rsidP="007E1D13">
            <w:pPr>
              <w:spacing w:after="0" w:line="360" w:lineRule="auto"/>
              <w:rPr>
                <w:sz w:val="20"/>
                <w:szCs w:val="20"/>
                <w:lang w:eastAsia="en-GB"/>
              </w:rPr>
            </w:pPr>
          </w:p>
        </w:tc>
        <w:tc>
          <w:tcPr>
            <w:tcW w:w="4051" w:type="dxa"/>
            <w:gridSpan w:val="3"/>
            <w:shd w:val="clear" w:color="auto" w:fill="auto"/>
            <w:noWrap/>
            <w:vAlign w:val="bottom"/>
          </w:tcPr>
          <w:p w14:paraId="4C640FD0" w14:textId="77777777" w:rsidR="007E1D13" w:rsidRPr="00B2469D" w:rsidRDefault="007E1D13" w:rsidP="007E1D13">
            <w:pPr>
              <w:spacing w:after="0" w:line="360" w:lineRule="auto"/>
              <w:rPr>
                <w:color w:val="000000"/>
                <w:lang w:eastAsia="en-GB"/>
              </w:rPr>
            </w:pPr>
            <w:r>
              <w:rPr>
                <w:color w:val="000000"/>
                <w:lang w:eastAsia="en-GB"/>
              </w:rPr>
              <w:t>Traditional</w:t>
            </w:r>
            <w:r w:rsidRPr="00B2469D">
              <w:rPr>
                <w:color w:val="000000"/>
                <w:lang w:eastAsia="en-GB"/>
              </w:rPr>
              <w:t xml:space="preserve"> drugs hard to get</w:t>
            </w:r>
          </w:p>
        </w:tc>
        <w:tc>
          <w:tcPr>
            <w:tcW w:w="666" w:type="dxa"/>
            <w:gridSpan w:val="2"/>
            <w:shd w:val="clear" w:color="auto" w:fill="auto"/>
            <w:vAlign w:val="center"/>
          </w:tcPr>
          <w:p w14:paraId="35BF7B79" w14:textId="77777777" w:rsidR="007E1D13" w:rsidRPr="00B2469D" w:rsidRDefault="007E1D13" w:rsidP="007E1D13">
            <w:pPr>
              <w:spacing w:after="0" w:line="360" w:lineRule="auto"/>
              <w:jc w:val="center"/>
              <w:rPr>
                <w:color w:val="000000"/>
                <w:lang w:eastAsia="en-GB"/>
              </w:rPr>
            </w:pPr>
            <w:r>
              <w:rPr>
                <w:color w:val="000000"/>
                <w:lang w:eastAsia="en-GB"/>
              </w:rPr>
              <w:t>2</w:t>
            </w:r>
          </w:p>
        </w:tc>
        <w:tc>
          <w:tcPr>
            <w:tcW w:w="710" w:type="dxa"/>
            <w:vAlign w:val="bottom"/>
          </w:tcPr>
          <w:p w14:paraId="0DF0B3CA" w14:textId="77777777" w:rsidR="007E1D13" w:rsidRDefault="007E1D13" w:rsidP="007E1D13">
            <w:pPr>
              <w:spacing w:after="0" w:line="360" w:lineRule="auto"/>
              <w:jc w:val="right"/>
              <w:rPr>
                <w:color w:val="000000"/>
                <w:lang w:eastAsia="en-GB"/>
              </w:rPr>
            </w:pPr>
            <w:r>
              <w:rPr>
                <w:color w:val="000000"/>
                <w:lang w:eastAsia="en-GB"/>
              </w:rPr>
              <w:t>3</w:t>
            </w:r>
          </w:p>
        </w:tc>
        <w:tc>
          <w:tcPr>
            <w:tcW w:w="757" w:type="dxa"/>
            <w:gridSpan w:val="2"/>
          </w:tcPr>
          <w:p w14:paraId="662E1643" w14:textId="77777777" w:rsidR="007E1D13" w:rsidRDefault="007E1D13" w:rsidP="007E1D13">
            <w:pPr>
              <w:spacing w:after="0" w:line="360" w:lineRule="auto"/>
              <w:jc w:val="right"/>
              <w:rPr>
                <w:color w:val="000000"/>
                <w:lang w:eastAsia="en-GB"/>
              </w:rPr>
            </w:pPr>
            <w:r>
              <w:rPr>
                <w:color w:val="000000"/>
                <w:lang w:eastAsia="en-GB"/>
              </w:rPr>
              <w:t>3</w:t>
            </w:r>
          </w:p>
        </w:tc>
        <w:tc>
          <w:tcPr>
            <w:tcW w:w="1005" w:type="dxa"/>
            <w:gridSpan w:val="3"/>
            <w:shd w:val="clear" w:color="auto" w:fill="auto"/>
          </w:tcPr>
          <w:p w14:paraId="1118E5EE" w14:textId="77777777" w:rsidR="007E1D13" w:rsidRPr="00B2469D" w:rsidRDefault="007E1D13" w:rsidP="007E1D13">
            <w:pPr>
              <w:spacing w:after="0" w:line="360" w:lineRule="auto"/>
              <w:jc w:val="right"/>
              <w:rPr>
                <w:color w:val="000000"/>
                <w:lang w:eastAsia="en-GB"/>
              </w:rPr>
            </w:pPr>
            <w:r>
              <w:rPr>
                <w:color w:val="000000"/>
                <w:lang w:eastAsia="en-GB"/>
              </w:rPr>
              <w:t>- 6</w:t>
            </w:r>
          </w:p>
        </w:tc>
      </w:tr>
      <w:tr w:rsidR="007E1D13" w:rsidRPr="00B2469D" w14:paraId="399A4CAF" w14:textId="77777777" w:rsidTr="007E1D13">
        <w:trPr>
          <w:trHeight w:val="87"/>
        </w:trPr>
        <w:tc>
          <w:tcPr>
            <w:tcW w:w="1952" w:type="dxa"/>
            <w:shd w:val="clear" w:color="auto" w:fill="auto"/>
            <w:noWrap/>
            <w:vAlign w:val="bottom"/>
          </w:tcPr>
          <w:p w14:paraId="516CC786" w14:textId="77777777" w:rsidR="007E1D13" w:rsidRPr="00B2469D" w:rsidRDefault="007E1D13" w:rsidP="007E1D13">
            <w:pPr>
              <w:spacing w:after="0" w:line="360" w:lineRule="auto"/>
              <w:rPr>
                <w:sz w:val="20"/>
                <w:szCs w:val="20"/>
                <w:lang w:eastAsia="en-GB"/>
              </w:rPr>
            </w:pPr>
          </w:p>
        </w:tc>
        <w:tc>
          <w:tcPr>
            <w:tcW w:w="465" w:type="dxa"/>
            <w:shd w:val="clear" w:color="auto" w:fill="auto"/>
            <w:vAlign w:val="bottom"/>
          </w:tcPr>
          <w:p w14:paraId="552F40A3" w14:textId="77777777" w:rsidR="007E1D13" w:rsidRPr="00B2469D" w:rsidRDefault="007E1D13" w:rsidP="007E1D13">
            <w:pPr>
              <w:spacing w:after="0" w:line="360" w:lineRule="auto"/>
              <w:rPr>
                <w:sz w:val="20"/>
                <w:szCs w:val="20"/>
                <w:lang w:eastAsia="en-GB"/>
              </w:rPr>
            </w:pPr>
          </w:p>
        </w:tc>
        <w:tc>
          <w:tcPr>
            <w:tcW w:w="4051" w:type="dxa"/>
            <w:gridSpan w:val="3"/>
            <w:shd w:val="clear" w:color="auto" w:fill="auto"/>
            <w:noWrap/>
          </w:tcPr>
          <w:p w14:paraId="10CF9FB5" w14:textId="77777777" w:rsidR="007E1D13" w:rsidRPr="00B2469D" w:rsidRDefault="007E1D13" w:rsidP="007E1D13">
            <w:pPr>
              <w:spacing w:after="0" w:line="360" w:lineRule="auto"/>
              <w:rPr>
                <w:color w:val="000000"/>
                <w:lang w:eastAsia="en-GB"/>
              </w:rPr>
            </w:pPr>
            <w:r w:rsidRPr="00B2469D">
              <w:rPr>
                <w:color w:val="000000"/>
                <w:lang w:eastAsia="en-GB"/>
              </w:rPr>
              <w:t xml:space="preserve">Better than </w:t>
            </w:r>
            <w:r>
              <w:rPr>
                <w:color w:val="000000"/>
                <w:lang w:eastAsia="en-GB"/>
              </w:rPr>
              <w:t>traditional drugs*</w:t>
            </w:r>
          </w:p>
        </w:tc>
        <w:tc>
          <w:tcPr>
            <w:tcW w:w="666" w:type="dxa"/>
            <w:gridSpan w:val="2"/>
            <w:shd w:val="clear" w:color="auto" w:fill="auto"/>
            <w:vAlign w:val="center"/>
          </w:tcPr>
          <w:p w14:paraId="082EAB37" w14:textId="77777777" w:rsidR="007E1D13" w:rsidRPr="00B2469D" w:rsidRDefault="007E1D13" w:rsidP="007E1D13">
            <w:pPr>
              <w:spacing w:after="0" w:line="360" w:lineRule="auto"/>
              <w:jc w:val="center"/>
              <w:rPr>
                <w:color w:val="000000"/>
                <w:lang w:eastAsia="en-GB"/>
              </w:rPr>
            </w:pPr>
            <w:r>
              <w:rPr>
                <w:color w:val="000000"/>
                <w:lang w:eastAsia="en-GB"/>
              </w:rPr>
              <w:t>1</w:t>
            </w:r>
          </w:p>
        </w:tc>
        <w:tc>
          <w:tcPr>
            <w:tcW w:w="710" w:type="dxa"/>
          </w:tcPr>
          <w:p w14:paraId="016B02E6" w14:textId="77777777" w:rsidR="007E1D13" w:rsidRDefault="007E1D13" w:rsidP="007E1D13">
            <w:pPr>
              <w:spacing w:after="0" w:line="360" w:lineRule="auto"/>
              <w:jc w:val="right"/>
              <w:rPr>
                <w:color w:val="000000"/>
                <w:lang w:eastAsia="en-GB"/>
              </w:rPr>
            </w:pPr>
            <w:r>
              <w:rPr>
                <w:color w:val="000000"/>
                <w:lang w:eastAsia="en-GB"/>
              </w:rPr>
              <w:t>2</w:t>
            </w:r>
          </w:p>
        </w:tc>
        <w:tc>
          <w:tcPr>
            <w:tcW w:w="757" w:type="dxa"/>
            <w:gridSpan w:val="2"/>
          </w:tcPr>
          <w:p w14:paraId="015AE196" w14:textId="77777777" w:rsidR="007E1D13" w:rsidRDefault="007E1D13" w:rsidP="007E1D13">
            <w:pPr>
              <w:spacing w:after="0" w:line="360" w:lineRule="auto"/>
              <w:jc w:val="right"/>
              <w:rPr>
                <w:color w:val="000000"/>
                <w:lang w:eastAsia="en-GB"/>
              </w:rPr>
            </w:pPr>
            <w:r>
              <w:rPr>
                <w:color w:val="000000"/>
                <w:lang w:eastAsia="en-GB"/>
              </w:rPr>
              <w:t>2</w:t>
            </w:r>
          </w:p>
        </w:tc>
        <w:tc>
          <w:tcPr>
            <w:tcW w:w="1005" w:type="dxa"/>
            <w:gridSpan w:val="3"/>
            <w:shd w:val="clear" w:color="auto" w:fill="auto"/>
          </w:tcPr>
          <w:p w14:paraId="168CFB88" w14:textId="77777777" w:rsidR="007E1D13" w:rsidRPr="00B2469D" w:rsidRDefault="007E1D13" w:rsidP="007E1D13">
            <w:pPr>
              <w:spacing w:after="0" w:line="360" w:lineRule="auto"/>
              <w:jc w:val="right"/>
              <w:rPr>
                <w:color w:val="000000"/>
                <w:lang w:eastAsia="en-GB"/>
              </w:rPr>
            </w:pPr>
            <w:r>
              <w:rPr>
                <w:color w:val="000000"/>
                <w:lang w:eastAsia="en-GB"/>
              </w:rPr>
              <w:t>+ 2</w:t>
            </w:r>
          </w:p>
        </w:tc>
      </w:tr>
      <w:tr w:rsidR="007E1D13" w:rsidRPr="00B2469D" w14:paraId="31499F7D" w14:textId="77777777" w:rsidTr="007E1D13">
        <w:trPr>
          <w:trHeight w:val="290"/>
        </w:trPr>
        <w:tc>
          <w:tcPr>
            <w:tcW w:w="1952" w:type="dxa"/>
            <w:tcBorders>
              <w:bottom w:val="single" w:sz="4" w:space="0" w:color="auto"/>
            </w:tcBorders>
            <w:shd w:val="clear" w:color="auto" w:fill="auto"/>
            <w:noWrap/>
            <w:vAlign w:val="bottom"/>
          </w:tcPr>
          <w:p w14:paraId="6F7CB092"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1D8ED537"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vAlign w:val="bottom"/>
          </w:tcPr>
          <w:p w14:paraId="0B966258" w14:textId="77777777" w:rsidR="007E1D13" w:rsidRDefault="007E1D13" w:rsidP="007E1D13">
            <w:pPr>
              <w:spacing w:after="0" w:line="360" w:lineRule="auto"/>
              <w:rPr>
                <w:color w:val="000000"/>
                <w:lang w:eastAsia="en-GB"/>
              </w:rPr>
            </w:pPr>
            <w:r>
              <w:rPr>
                <w:color w:val="000000"/>
                <w:lang w:eastAsia="en-GB"/>
              </w:rPr>
              <w:t>Don’t want to do illicit drugs</w:t>
            </w:r>
            <w:r w:rsidRPr="00AC4533">
              <w:rPr>
                <w:color w:val="000000"/>
                <w:sz w:val="28"/>
                <w:vertAlign w:val="superscript"/>
                <w:lang w:eastAsia="en-GB"/>
              </w:rPr>
              <w:sym w:font="Wingdings 2" w:char="F085"/>
            </w:r>
            <w:r>
              <w:rPr>
                <w:color w:val="000000"/>
                <w:lang w:eastAsia="en-GB"/>
              </w:rPr>
              <w:t xml:space="preserve"> </w:t>
            </w:r>
          </w:p>
        </w:tc>
        <w:tc>
          <w:tcPr>
            <w:tcW w:w="666" w:type="dxa"/>
            <w:gridSpan w:val="2"/>
            <w:tcBorders>
              <w:bottom w:val="single" w:sz="4" w:space="0" w:color="auto"/>
            </w:tcBorders>
            <w:shd w:val="clear" w:color="auto" w:fill="auto"/>
            <w:vAlign w:val="center"/>
          </w:tcPr>
          <w:p w14:paraId="234788C3" w14:textId="77777777" w:rsidR="007E1D13" w:rsidRDefault="007E1D13" w:rsidP="007E1D13">
            <w:pPr>
              <w:spacing w:after="0" w:line="360" w:lineRule="auto"/>
              <w:jc w:val="center"/>
              <w:rPr>
                <w:color w:val="000000"/>
                <w:lang w:eastAsia="en-GB"/>
              </w:rPr>
            </w:pPr>
            <w:r>
              <w:rPr>
                <w:color w:val="000000"/>
                <w:lang w:eastAsia="en-GB"/>
              </w:rPr>
              <w:t>0</w:t>
            </w:r>
          </w:p>
        </w:tc>
        <w:tc>
          <w:tcPr>
            <w:tcW w:w="710" w:type="dxa"/>
            <w:tcBorders>
              <w:bottom w:val="single" w:sz="4" w:space="0" w:color="auto"/>
            </w:tcBorders>
            <w:vAlign w:val="bottom"/>
          </w:tcPr>
          <w:p w14:paraId="0A565C90" w14:textId="77777777" w:rsidR="007E1D13" w:rsidRDefault="007E1D13" w:rsidP="007E1D13">
            <w:pPr>
              <w:spacing w:after="0" w:line="360" w:lineRule="auto"/>
              <w:jc w:val="right"/>
              <w:rPr>
                <w:color w:val="000000"/>
                <w:lang w:eastAsia="en-GB"/>
              </w:rPr>
            </w:pPr>
            <w:r>
              <w:rPr>
                <w:color w:val="000000"/>
                <w:lang w:eastAsia="en-GB"/>
              </w:rPr>
              <w:t>0</w:t>
            </w:r>
          </w:p>
        </w:tc>
        <w:tc>
          <w:tcPr>
            <w:tcW w:w="757" w:type="dxa"/>
            <w:gridSpan w:val="2"/>
            <w:tcBorders>
              <w:bottom w:val="single" w:sz="4" w:space="0" w:color="auto"/>
            </w:tcBorders>
          </w:tcPr>
          <w:p w14:paraId="2E29AAE0" w14:textId="77777777" w:rsidR="007E1D13" w:rsidRDefault="007E1D13" w:rsidP="007E1D13">
            <w:pPr>
              <w:spacing w:after="0" w:line="360" w:lineRule="auto"/>
              <w:jc w:val="right"/>
              <w:rPr>
                <w:color w:val="000000"/>
                <w:lang w:eastAsia="en-GB"/>
              </w:rPr>
            </w:pPr>
            <w:r>
              <w:rPr>
                <w:color w:val="000000"/>
                <w:lang w:eastAsia="en-GB"/>
              </w:rPr>
              <w:t>0</w:t>
            </w:r>
          </w:p>
        </w:tc>
        <w:tc>
          <w:tcPr>
            <w:tcW w:w="1005" w:type="dxa"/>
            <w:gridSpan w:val="3"/>
            <w:tcBorders>
              <w:bottom w:val="single" w:sz="4" w:space="0" w:color="auto"/>
            </w:tcBorders>
            <w:shd w:val="clear" w:color="auto" w:fill="auto"/>
          </w:tcPr>
          <w:p w14:paraId="0F8D0D73" w14:textId="77777777" w:rsidR="007E1D13" w:rsidRDefault="007E1D13" w:rsidP="007E1D13">
            <w:pPr>
              <w:spacing w:after="0" w:line="360" w:lineRule="auto"/>
              <w:jc w:val="right"/>
              <w:rPr>
                <w:color w:val="000000"/>
                <w:lang w:eastAsia="en-GB"/>
              </w:rPr>
            </w:pPr>
            <w:r>
              <w:rPr>
                <w:color w:val="000000"/>
                <w:lang w:eastAsia="en-GB"/>
              </w:rPr>
              <w:t>- 7</w:t>
            </w:r>
          </w:p>
        </w:tc>
      </w:tr>
      <w:tr w:rsidR="007E1D13" w:rsidRPr="00B2469D" w14:paraId="4E7866F5" w14:textId="77777777" w:rsidTr="007E1D13">
        <w:trPr>
          <w:trHeight w:val="290"/>
        </w:trPr>
        <w:tc>
          <w:tcPr>
            <w:tcW w:w="1952" w:type="dxa"/>
            <w:tcBorders>
              <w:top w:val="single" w:sz="4" w:space="0" w:color="auto"/>
            </w:tcBorders>
            <w:shd w:val="clear" w:color="auto" w:fill="auto"/>
            <w:noWrap/>
            <w:vAlign w:val="bottom"/>
          </w:tcPr>
          <w:p w14:paraId="7078466A" w14:textId="77777777" w:rsidR="007E1D13" w:rsidRPr="00B2469D" w:rsidRDefault="007E1D13" w:rsidP="007E1D13">
            <w:pPr>
              <w:spacing w:before="120" w:after="0" w:line="360" w:lineRule="auto"/>
              <w:rPr>
                <w:sz w:val="20"/>
                <w:szCs w:val="20"/>
                <w:lang w:eastAsia="en-GB"/>
              </w:rPr>
            </w:pPr>
            <w:r>
              <w:rPr>
                <w:b/>
                <w:color w:val="000000"/>
                <w:lang w:eastAsia="en-GB"/>
              </w:rPr>
              <w:t>Authority</w:t>
            </w:r>
          </w:p>
        </w:tc>
        <w:tc>
          <w:tcPr>
            <w:tcW w:w="465" w:type="dxa"/>
            <w:tcBorders>
              <w:top w:val="single" w:sz="4" w:space="0" w:color="auto"/>
            </w:tcBorders>
            <w:shd w:val="clear" w:color="auto" w:fill="auto"/>
            <w:vAlign w:val="center"/>
          </w:tcPr>
          <w:p w14:paraId="51323FB3" w14:textId="77777777" w:rsidR="007E1D13" w:rsidRPr="00A454B5" w:rsidRDefault="007E1D13" w:rsidP="007E1D13">
            <w:pPr>
              <w:spacing w:before="120" w:after="0" w:line="360" w:lineRule="auto"/>
              <w:jc w:val="right"/>
              <w:rPr>
                <w:b/>
                <w:sz w:val="20"/>
                <w:szCs w:val="20"/>
                <w:lang w:eastAsia="en-GB"/>
              </w:rPr>
            </w:pPr>
            <w:r>
              <w:rPr>
                <w:b/>
                <w:color w:val="000000"/>
                <w:lang w:eastAsia="en-GB"/>
              </w:rPr>
              <w:t>21</w:t>
            </w:r>
          </w:p>
        </w:tc>
        <w:tc>
          <w:tcPr>
            <w:tcW w:w="4051" w:type="dxa"/>
            <w:gridSpan w:val="3"/>
            <w:tcBorders>
              <w:top w:val="single" w:sz="4" w:space="0" w:color="auto"/>
            </w:tcBorders>
            <w:shd w:val="clear" w:color="auto" w:fill="auto"/>
            <w:noWrap/>
            <w:vAlign w:val="bottom"/>
          </w:tcPr>
          <w:p w14:paraId="0FC2A526" w14:textId="77777777" w:rsidR="007E1D13" w:rsidRPr="00B2469D" w:rsidRDefault="007E1D13" w:rsidP="007E1D13">
            <w:pPr>
              <w:spacing w:before="120" w:after="0" w:line="360" w:lineRule="auto"/>
              <w:rPr>
                <w:color w:val="000000"/>
                <w:lang w:eastAsia="en-GB"/>
              </w:rPr>
            </w:pPr>
            <w:r w:rsidRPr="00B2469D">
              <w:rPr>
                <w:color w:val="000000"/>
                <w:lang w:eastAsia="en-GB"/>
              </w:rPr>
              <w:t>Rebellion</w:t>
            </w:r>
            <w:r>
              <w:rPr>
                <w:color w:val="000000"/>
                <w:lang w:eastAsia="en-GB"/>
              </w:rPr>
              <w:t xml:space="preserve"> / do what you want</w:t>
            </w:r>
          </w:p>
        </w:tc>
        <w:tc>
          <w:tcPr>
            <w:tcW w:w="666" w:type="dxa"/>
            <w:gridSpan w:val="2"/>
            <w:tcBorders>
              <w:top w:val="single" w:sz="4" w:space="0" w:color="auto"/>
            </w:tcBorders>
            <w:shd w:val="clear" w:color="auto" w:fill="auto"/>
            <w:vAlign w:val="center"/>
          </w:tcPr>
          <w:p w14:paraId="39466498"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vAlign w:val="bottom"/>
          </w:tcPr>
          <w:p w14:paraId="5C8DE120" w14:textId="77777777" w:rsidR="007E1D13" w:rsidRDefault="007E1D13" w:rsidP="007E1D13">
            <w:pPr>
              <w:spacing w:before="120" w:after="0" w:line="360" w:lineRule="auto"/>
              <w:jc w:val="right"/>
              <w:rPr>
                <w:color w:val="000000"/>
                <w:lang w:eastAsia="en-GB"/>
              </w:rPr>
            </w:pPr>
            <w:r>
              <w:rPr>
                <w:color w:val="000000"/>
                <w:lang w:eastAsia="en-GB"/>
              </w:rPr>
              <w:t>14</w:t>
            </w:r>
          </w:p>
        </w:tc>
        <w:tc>
          <w:tcPr>
            <w:tcW w:w="757" w:type="dxa"/>
            <w:gridSpan w:val="2"/>
            <w:tcBorders>
              <w:top w:val="single" w:sz="4" w:space="0" w:color="auto"/>
            </w:tcBorders>
          </w:tcPr>
          <w:p w14:paraId="4A027485" w14:textId="77777777" w:rsidR="007E1D13" w:rsidRDefault="007E1D13" w:rsidP="007E1D13">
            <w:pPr>
              <w:spacing w:before="120" w:after="0" w:line="360" w:lineRule="auto"/>
              <w:jc w:val="right"/>
              <w:rPr>
                <w:color w:val="000000"/>
                <w:lang w:eastAsia="en-GB"/>
              </w:rPr>
            </w:pPr>
            <w:r>
              <w:rPr>
                <w:color w:val="000000"/>
                <w:lang w:eastAsia="en-GB"/>
              </w:rPr>
              <w:t>16</w:t>
            </w:r>
          </w:p>
        </w:tc>
        <w:tc>
          <w:tcPr>
            <w:tcW w:w="1005" w:type="dxa"/>
            <w:gridSpan w:val="3"/>
            <w:tcBorders>
              <w:top w:val="single" w:sz="4" w:space="0" w:color="auto"/>
            </w:tcBorders>
            <w:shd w:val="clear" w:color="auto" w:fill="auto"/>
          </w:tcPr>
          <w:p w14:paraId="5B3D01BC" w14:textId="77777777" w:rsidR="007E1D13" w:rsidRPr="00B2469D" w:rsidRDefault="007E1D13" w:rsidP="007E1D13">
            <w:pPr>
              <w:spacing w:before="120" w:after="0" w:line="360" w:lineRule="auto"/>
              <w:jc w:val="right"/>
              <w:rPr>
                <w:color w:val="000000"/>
                <w:lang w:eastAsia="en-GB"/>
              </w:rPr>
            </w:pPr>
            <w:r>
              <w:rPr>
                <w:color w:val="000000"/>
                <w:lang w:eastAsia="en-GB"/>
              </w:rPr>
              <w:t>- 4</w:t>
            </w:r>
          </w:p>
        </w:tc>
      </w:tr>
      <w:tr w:rsidR="007E1D13" w:rsidRPr="00B2469D" w14:paraId="740094C5" w14:textId="77777777" w:rsidTr="007E1D13">
        <w:trPr>
          <w:trHeight w:val="290"/>
        </w:trPr>
        <w:tc>
          <w:tcPr>
            <w:tcW w:w="1952" w:type="dxa"/>
            <w:shd w:val="clear" w:color="auto" w:fill="auto"/>
            <w:noWrap/>
            <w:vAlign w:val="bottom"/>
          </w:tcPr>
          <w:p w14:paraId="7C12A0CA" w14:textId="77777777" w:rsidR="007E1D13" w:rsidRDefault="007E1D13" w:rsidP="007E1D13">
            <w:pPr>
              <w:spacing w:after="0" w:line="360" w:lineRule="auto"/>
              <w:rPr>
                <w:b/>
                <w:color w:val="000000"/>
                <w:lang w:eastAsia="en-GB"/>
              </w:rPr>
            </w:pPr>
          </w:p>
        </w:tc>
        <w:tc>
          <w:tcPr>
            <w:tcW w:w="465" w:type="dxa"/>
            <w:shd w:val="clear" w:color="auto" w:fill="auto"/>
            <w:vAlign w:val="bottom"/>
          </w:tcPr>
          <w:p w14:paraId="71AF52C7" w14:textId="77777777" w:rsidR="007E1D13" w:rsidRPr="00A454B5" w:rsidRDefault="007E1D13" w:rsidP="007E1D13">
            <w:pPr>
              <w:spacing w:after="0" w:line="360" w:lineRule="auto"/>
              <w:rPr>
                <w:b/>
                <w:szCs w:val="20"/>
                <w:lang w:eastAsia="en-GB"/>
              </w:rPr>
            </w:pPr>
          </w:p>
        </w:tc>
        <w:tc>
          <w:tcPr>
            <w:tcW w:w="4051" w:type="dxa"/>
            <w:gridSpan w:val="3"/>
            <w:shd w:val="clear" w:color="auto" w:fill="auto"/>
            <w:noWrap/>
            <w:vAlign w:val="bottom"/>
          </w:tcPr>
          <w:p w14:paraId="6E077D9F" w14:textId="77777777" w:rsidR="007E1D13" w:rsidRPr="00B2469D" w:rsidRDefault="007E1D13" w:rsidP="007E1D13">
            <w:pPr>
              <w:spacing w:after="0" w:line="360" w:lineRule="auto"/>
              <w:rPr>
                <w:color w:val="000000"/>
                <w:lang w:eastAsia="en-GB"/>
              </w:rPr>
            </w:pPr>
            <w:r w:rsidRPr="00B2469D">
              <w:rPr>
                <w:color w:val="000000"/>
                <w:lang w:eastAsia="en-GB"/>
              </w:rPr>
              <w:t>Parents approve of use</w:t>
            </w:r>
          </w:p>
        </w:tc>
        <w:tc>
          <w:tcPr>
            <w:tcW w:w="666" w:type="dxa"/>
            <w:gridSpan w:val="2"/>
            <w:shd w:val="clear" w:color="auto" w:fill="auto"/>
            <w:vAlign w:val="center"/>
          </w:tcPr>
          <w:p w14:paraId="306B3B2B" w14:textId="77777777" w:rsidR="007E1D13" w:rsidRPr="00B2469D" w:rsidRDefault="007E1D13" w:rsidP="007E1D13">
            <w:pPr>
              <w:spacing w:after="0" w:line="360" w:lineRule="auto"/>
              <w:jc w:val="center"/>
              <w:rPr>
                <w:color w:val="000000"/>
                <w:lang w:eastAsia="en-GB"/>
              </w:rPr>
            </w:pPr>
            <w:r>
              <w:rPr>
                <w:color w:val="000000"/>
                <w:lang w:eastAsia="en-GB"/>
              </w:rPr>
              <w:t>3</w:t>
            </w:r>
          </w:p>
        </w:tc>
        <w:tc>
          <w:tcPr>
            <w:tcW w:w="710" w:type="dxa"/>
            <w:vAlign w:val="bottom"/>
          </w:tcPr>
          <w:p w14:paraId="1CC9A495" w14:textId="77777777" w:rsidR="007E1D13" w:rsidRDefault="007E1D13" w:rsidP="007E1D13">
            <w:pPr>
              <w:spacing w:after="0" w:line="360" w:lineRule="auto"/>
              <w:jc w:val="right"/>
              <w:rPr>
                <w:color w:val="000000"/>
                <w:lang w:eastAsia="en-GB"/>
              </w:rPr>
            </w:pPr>
            <w:r>
              <w:rPr>
                <w:color w:val="000000"/>
                <w:lang w:eastAsia="en-GB"/>
              </w:rPr>
              <w:t>5</w:t>
            </w:r>
          </w:p>
        </w:tc>
        <w:tc>
          <w:tcPr>
            <w:tcW w:w="757" w:type="dxa"/>
            <w:gridSpan w:val="2"/>
          </w:tcPr>
          <w:p w14:paraId="7EBBB84C" w14:textId="77777777" w:rsidR="007E1D13" w:rsidRDefault="007E1D13" w:rsidP="007E1D13">
            <w:pPr>
              <w:spacing w:after="0" w:line="360" w:lineRule="auto"/>
              <w:jc w:val="right"/>
              <w:rPr>
                <w:color w:val="000000"/>
                <w:lang w:eastAsia="en-GB"/>
              </w:rPr>
            </w:pPr>
            <w:r>
              <w:rPr>
                <w:color w:val="000000"/>
                <w:lang w:eastAsia="en-GB"/>
              </w:rPr>
              <w:t>6</w:t>
            </w:r>
          </w:p>
        </w:tc>
        <w:tc>
          <w:tcPr>
            <w:tcW w:w="1005" w:type="dxa"/>
            <w:gridSpan w:val="3"/>
            <w:shd w:val="clear" w:color="auto" w:fill="auto"/>
          </w:tcPr>
          <w:p w14:paraId="029A4974" w14:textId="77777777" w:rsidR="007E1D13" w:rsidRPr="00B2469D" w:rsidRDefault="007E1D13" w:rsidP="007E1D13">
            <w:pPr>
              <w:spacing w:after="0" w:line="360" w:lineRule="auto"/>
              <w:jc w:val="right"/>
              <w:rPr>
                <w:color w:val="000000"/>
                <w:lang w:eastAsia="en-GB"/>
              </w:rPr>
            </w:pPr>
            <w:r>
              <w:rPr>
                <w:color w:val="000000"/>
                <w:lang w:eastAsia="en-GB"/>
              </w:rPr>
              <w:t>0</w:t>
            </w:r>
          </w:p>
        </w:tc>
      </w:tr>
      <w:tr w:rsidR="007E1D13" w:rsidRPr="00B2469D" w14:paraId="73C4CD55" w14:textId="77777777" w:rsidTr="007E1D13">
        <w:trPr>
          <w:trHeight w:val="290"/>
        </w:trPr>
        <w:tc>
          <w:tcPr>
            <w:tcW w:w="1952" w:type="dxa"/>
            <w:shd w:val="clear" w:color="auto" w:fill="auto"/>
            <w:noWrap/>
            <w:vAlign w:val="bottom"/>
          </w:tcPr>
          <w:p w14:paraId="55583B29" w14:textId="77777777" w:rsidR="007E1D13" w:rsidRPr="00B2469D" w:rsidRDefault="007E1D13" w:rsidP="007E1D13">
            <w:pPr>
              <w:spacing w:after="0" w:line="360" w:lineRule="auto"/>
              <w:rPr>
                <w:sz w:val="20"/>
                <w:szCs w:val="20"/>
                <w:lang w:eastAsia="en-GB"/>
              </w:rPr>
            </w:pPr>
          </w:p>
        </w:tc>
        <w:tc>
          <w:tcPr>
            <w:tcW w:w="465" w:type="dxa"/>
            <w:shd w:val="clear" w:color="auto" w:fill="auto"/>
            <w:vAlign w:val="bottom"/>
          </w:tcPr>
          <w:p w14:paraId="34E26C89" w14:textId="77777777" w:rsidR="007E1D13" w:rsidRPr="00B2469D" w:rsidRDefault="007E1D13" w:rsidP="007E1D13">
            <w:pPr>
              <w:spacing w:after="0" w:line="360" w:lineRule="auto"/>
              <w:rPr>
                <w:sz w:val="20"/>
                <w:szCs w:val="20"/>
                <w:lang w:eastAsia="en-GB"/>
              </w:rPr>
            </w:pPr>
          </w:p>
        </w:tc>
        <w:tc>
          <w:tcPr>
            <w:tcW w:w="4051" w:type="dxa"/>
            <w:gridSpan w:val="3"/>
            <w:shd w:val="clear" w:color="auto" w:fill="auto"/>
            <w:noWrap/>
            <w:vAlign w:val="bottom"/>
          </w:tcPr>
          <w:p w14:paraId="6D6A9909" w14:textId="77777777" w:rsidR="007E1D13" w:rsidRPr="00B2469D" w:rsidRDefault="007E1D13" w:rsidP="007E1D13">
            <w:pPr>
              <w:spacing w:after="0" w:line="360" w:lineRule="auto"/>
              <w:rPr>
                <w:color w:val="000000"/>
                <w:lang w:eastAsia="en-GB"/>
              </w:rPr>
            </w:pPr>
            <w:r>
              <w:rPr>
                <w:color w:val="000000"/>
                <w:lang w:eastAsia="en-GB"/>
              </w:rPr>
              <w:t>Government approves of use</w:t>
            </w:r>
          </w:p>
        </w:tc>
        <w:tc>
          <w:tcPr>
            <w:tcW w:w="666" w:type="dxa"/>
            <w:gridSpan w:val="2"/>
            <w:shd w:val="clear" w:color="auto" w:fill="auto"/>
            <w:vAlign w:val="center"/>
          </w:tcPr>
          <w:p w14:paraId="2D7DE33C" w14:textId="77777777" w:rsidR="007E1D13" w:rsidRPr="00B2469D" w:rsidRDefault="007E1D13" w:rsidP="007E1D13">
            <w:pPr>
              <w:spacing w:after="0" w:line="360" w:lineRule="auto"/>
              <w:jc w:val="center"/>
              <w:rPr>
                <w:color w:val="000000"/>
                <w:lang w:eastAsia="en-GB"/>
              </w:rPr>
            </w:pPr>
            <w:r>
              <w:rPr>
                <w:color w:val="000000"/>
                <w:lang w:eastAsia="en-GB"/>
              </w:rPr>
              <w:t>1</w:t>
            </w:r>
          </w:p>
        </w:tc>
        <w:tc>
          <w:tcPr>
            <w:tcW w:w="710" w:type="dxa"/>
            <w:vAlign w:val="bottom"/>
          </w:tcPr>
          <w:p w14:paraId="51833D1A" w14:textId="77777777" w:rsidR="007E1D13" w:rsidRDefault="007E1D13" w:rsidP="007E1D13">
            <w:pPr>
              <w:spacing w:after="0" w:line="360" w:lineRule="auto"/>
              <w:jc w:val="right"/>
              <w:rPr>
                <w:color w:val="000000"/>
                <w:lang w:eastAsia="en-GB"/>
              </w:rPr>
            </w:pPr>
            <w:r>
              <w:rPr>
                <w:color w:val="000000"/>
                <w:lang w:eastAsia="en-GB"/>
              </w:rPr>
              <w:t>2</w:t>
            </w:r>
          </w:p>
        </w:tc>
        <w:tc>
          <w:tcPr>
            <w:tcW w:w="757" w:type="dxa"/>
            <w:gridSpan w:val="2"/>
          </w:tcPr>
          <w:p w14:paraId="32CBF326" w14:textId="77777777" w:rsidR="007E1D13" w:rsidRDefault="007E1D13" w:rsidP="007E1D13">
            <w:pPr>
              <w:spacing w:after="0" w:line="360" w:lineRule="auto"/>
              <w:jc w:val="right"/>
              <w:rPr>
                <w:color w:val="000000"/>
                <w:lang w:eastAsia="en-GB"/>
              </w:rPr>
            </w:pPr>
            <w:r>
              <w:rPr>
                <w:color w:val="000000"/>
                <w:lang w:eastAsia="en-GB"/>
              </w:rPr>
              <w:t>2</w:t>
            </w:r>
          </w:p>
        </w:tc>
        <w:tc>
          <w:tcPr>
            <w:tcW w:w="1005" w:type="dxa"/>
            <w:gridSpan w:val="3"/>
            <w:shd w:val="clear" w:color="auto" w:fill="auto"/>
          </w:tcPr>
          <w:p w14:paraId="553BD770" w14:textId="77777777" w:rsidR="007E1D13" w:rsidRPr="00B2469D" w:rsidRDefault="007E1D13" w:rsidP="007E1D13">
            <w:pPr>
              <w:spacing w:after="0" w:line="360" w:lineRule="auto"/>
              <w:jc w:val="right"/>
              <w:rPr>
                <w:color w:val="000000"/>
                <w:lang w:eastAsia="en-GB"/>
              </w:rPr>
            </w:pPr>
            <w:r>
              <w:rPr>
                <w:color w:val="000000"/>
                <w:lang w:eastAsia="en-GB"/>
              </w:rPr>
              <w:t>- 3</w:t>
            </w:r>
          </w:p>
        </w:tc>
      </w:tr>
      <w:tr w:rsidR="007E1D13" w:rsidRPr="00B2469D" w14:paraId="094505D4" w14:textId="77777777" w:rsidTr="007E1D13">
        <w:trPr>
          <w:trHeight w:val="290"/>
        </w:trPr>
        <w:tc>
          <w:tcPr>
            <w:tcW w:w="1952" w:type="dxa"/>
            <w:tcBorders>
              <w:bottom w:val="single" w:sz="4" w:space="0" w:color="auto"/>
            </w:tcBorders>
            <w:shd w:val="clear" w:color="auto" w:fill="auto"/>
            <w:noWrap/>
            <w:vAlign w:val="bottom"/>
          </w:tcPr>
          <w:p w14:paraId="60063A6D" w14:textId="77777777" w:rsidR="007E1D13" w:rsidRPr="00B2469D" w:rsidRDefault="007E1D13" w:rsidP="007E1D13">
            <w:pPr>
              <w:spacing w:after="0" w:line="360" w:lineRule="auto"/>
              <w:rPr>
                <w:sz w:val="20"/>
                <w:szCs w:val="20"/>
                <w:lang w:eastAsia="en-GB"/>
              </w:rPr>
            </w:pPr>
          </w:p>
        </w:tc>
        <w:tc>
          <w:tcPr>
            <w:tcW w:w="465" w:type="dxa"/>
            <w:tcBorders>
              <w:bottom w:val="single" w:sz="4" w:space="0" w:color="auto"/>
            </w:tcBorders>
            <w:shd w:val="clear" w:color="auto" w:fill="auto"/>
            <w:vAlign w:val="bottom"/>
          </w:tcPr>
          <w:p w14:paraId="69FC4DDF" w14:textId="77777777" w:rsidR="007E1D13" w:rsidRPr="00B2469D" w:rsidRDefault="007E1D13" w:rsidP="007E1D13">
            <w:pPr>
              <w:spacing w:after="0" w:line="360" w:lineRule="auto"/>
              <w:rPr>
                <w:sz w:val="20"/>
                <w:szCs w:val="20"/>
                <w:lang w:eastAsia="en-GB"/>
              </w:rPr>
            </w:pPr>
          </w:p>
        </w:tc>
        <w:tc>
          <w:tcPr>
            <w:tcW w:w="4051" w:type="dxa"/>
            <w:gridSpan w:val="3"/>
            <w:tcBorders>
              <w:bottom w:val="single" w:sz="4" w:space="0" w:color="auto"/>
            </w:tcBorders>
            <w:shd w:val="clear" w:color="auto" w:fill="auto"/>
            <w:noWrap/>
            <w:vAlign w:val="bottom"/>
          </w:tcPr>
          <w:p w14:paraId="0F4461E5" w14:textId="77777777" w:rsidR="007E1D13" w:rsidRPr="00B2469D" w:rsidRDefault="007E1D13" w:rsidP="007E1D13">
            <w:pPr>
              <w:spacing w:after="0" w:line="360" w:lineRule="auto"/>
              <w:rPr>
                <w:color w:val="000000"/>
                <w:lang w:eastAsia="en-GB"/>
              </w:rPr>
            </w:pPr>
            <w:r>
              <w:rPr>
                <w:color w:val="000000"/>
                <w:lang w:eastAsia="en-GB"/>
              </w:rPr>
              <w:t>Won’t get into trouble</w:t>
            </w:r>
            <w:r w:rsidRPr="00AC4533">
              <w:rPr>
                <w:color w:val="000000"/>
                <w:sz w:val="28"/>
                <w:vertAlign w:val="superscript"/>
                <w:lang w:eastAsia="en-GB"/>
              </w:rPr>
              <w:sym w:font="Wingdings 2" w:char="F085"/>
            </w:r>
          </w:p>
        </w:tc>
        <w:tc>
          <w:tcPr>
            <w:tcW w:w="666" w:type="dxa"/>
            <w:gridSpan w:val="2"/>
            <w:tcBorders>
              <w:bottom w:val="single" w:sz="4" w:space="0" w:color="auto"/>
            </w:tcBorders>
            <w:shd w:val="clear" w:color="auto" w:fill="auto"/>
            <w:vAlign w:val="center"/>
          </w:tcPr>
          <w:p w14:paraId="4D6C47A9" w14:textId="77777777" w:rsidR="007E1D13" w:rsidRDefault="007E1D13" w:rsidP="007E1D13">
            <w:pPr>
              <w:spacing w:after="0" w:line="360" w:lineRule="auto"/>
              <w:jc w:val="center"/>
              <w:rPr>
                <w:color w:val="000000"/>
                <w:lang w:eastAsia="en-GB"/>
              </w:rPr>
            </w:pPr>
            <w:r>
              <w:rPr>
                <w:color w:val="000000"/>
                <w:lang w:eastAsia="en-GB"/>
              </w:rPr>
              <w:t>0</w:t>
            </w:r>
          </w:p>
        </w:tc>
        <w:tc>
          <w:tcPr>
            <w:tcW w:w="710" w:type="dxa"/>
            <w:tcBorders>
              <w:bottom w:val="single" w:sz="4" w:space="0" w:color="auto"/>
            </w:tcBorders>
            <w:vAlign w:val="bottom"/>
          </w:tcPr>
          <w:p w14:paraId="4E060472" w14:textId="77777777" w:rsidR="007E1D13" w:rsidRDefault="007E1D13" w:rsidP="007E1D13">
            <w:pPr>
              <w:spacing w:after="0" w:line="360" w:lineRule="auto"/>
              <w:jc w:val="right"/>
              <w:rPr>
                <w:color w:val="000000"/>
                <w:lang w:eastAsia="en-GB"/>
              </w:rPr>
            </w:pPr>
            <w:r>
              <w:rPr>
                <w:color w:val="000000"/>
                <w:lang w:eastAsia="en-GB"/>
              </w:rPr>
              <w:t>0</w:t>
            </w:r>
          </w:p>
        </w:tc>
        <w:tc>
          <w:tcPr>
            <w:tcW w:w="757" w:type="dxa"/>
            <w:gridSpan w:val="2"/>
            <w:tcBorders>
              <w:bottom w:val="single" w:sz="4" w:space="0" w:color="auto"/>
            </w:tcBorders>
          </w:tcPr>
          <w:p w14:paraId="57E57263" w14:textId="77777777" w:rsidR="007E1D13" w:rsidRDefault="007E1D13" w:rsidP="007E1D13">
            <w:pPr>
              <w:spacing w:after="0" w:line="360" w:lineRule="auto"/>
              <w:jc w:val="right"/>
              <w:rPr>
                <w:color w:val="000000"/>
                <w:lang w:eastAsia="en-GB"/>
              </w:rPr>
            </w:pPr>
            <w:r>
              <w:rPr>
                <w:color w:val="000000"/>
                <w:lang w:eastAsia="en-GB"/>
              </w:rPr>
              <w:t>0</w:t>
            </w:r>
          </w:p>
        </w:tc>
        <w:tc>
          <w:tcPr>
            <w:tcW w:w="1005" w:type="dxa"/>
            <w:gridSpan w:val="3"/>
            <w:tcBorders>
              <w:bottom w:val="single" w:sz="4" w:space="0" w:color="auto"/>
            </w:tcBorders>
            <w:shd w:val="clear" w:color="auto" w:fill="auto"/>
          </w:tcPr>
          <w:p w14:paraId="18622C2A" w14:textId="77777777" w:rsidR="007E1D13" w:rsidRDefault="007E1D13" w:rsidP="007E1D13">
            <w:pPr>
              <w:spacing w:after="0" w:line="360" w:lineRule="auto"/>
              <w:jc w:val="right"/>
              <w:rPr>
                <w:color w:val="000000"/>
                <w:lang w:eastAsia="en-GB"/>
              </w:rPr>
            </w:pPr>
            <w:r>
              <w:rPr>
                <w:color w:val="000000"/>
                <w:lang w:eastAsia="en-GB"/>
              </w:rPr>
              <w:t>- 20</w:t>
            </w:r>
          </w:p>
        </w:tc>
      </w:tr>
    </w:tbl>
    <w:p w14:paraId="37FD3CD4" w14:textId="77777777" w:rsidR="007E1D13" w:rsidRDefault="007E1D13" w:rsidP="007E1D13">
      <w:pPr>
        <w:rPr>
          <w:b/>
        </w:rPr>
      </w:pPr>
    </w:p>
    <w:p w14:paraId="09136E4E" w14:textId="4E35C409" w:rsidR="007E1D13" w:rsidRPr="006533CF" w:rsidRDefault="007E1D13" w:rsidP="007E1D13">
      <w:pPr>
        <w:rPr>
          <w:b/>
        </w:rPr>
      </w:pPr>
      <w:r w:rsidRPr="006533CF">
        <w:rPr>
          <w:b/>
        </w:rPr>
        <w:t xml:space="preserve">Table </w:t>
      </w:r>
      <w:r w:rsidR="00BB0973">
        <w:rPr>
          <w:b/>
        </w:rPr>
        <w:t>7-</w:t>
      </w:r>
      <w:r>
        <w:rPr>
          <w:b/>
        </w:rPr>
        <w:t>10</w:t>
      </w:r>
      <w:r w:rsidRPr="006533CF">
        <w:rPr>
          <w:b/>
        </w:rPr>
        <w:t xml:space="preserve">. </w:t>
      </w:r>
      <w:r>
        <w:rPr>
          <w:b/>
        </w:rPr>
        <w:t>Beliefs, reasons and motives encouraging use of NPS - continued</w:t>
      </w:r>
    </w:p>
    <w:tbl>
      <w:tblPr>
        <w:tblW w:w="9606" w:type="dxa"/>
        <w:tblLook w:val="04A0" w:firstRow="1" w:lastRow="0" w:firstColumn="1" w:lastColumn="0" w:noHBand="0" w:noVBand="1"/>
      </w:tblPr>
      <w:tblGrid>
        <w:gridCol w:w="1951"/>
        <w:gridCol w:w="567"/>
        <w:gridCol w:w="142"/>
        <w:gridCol w:w="3685"/>
        <w:gridCol w:w="709"/>
        <w:gridCol w:w="710"/>
        <w:gridCol w:w="141"/>
        <w:gridCol w:w="698"/>
        <w:gridCol w:w="10"/>
        <w:gridCol w:w="851"/>
        <w:gridCol w:w="142"/>
      </w:tblGrid>
      <w:tr w:rsidR="007E1D13" w:rsidRPr="00B2469D" w14:paraId="113E0B02" w14:textId="77777777" w:rsidTr="007E1D13">
        <w:trPr>
          <w:gridAfter w:val="1"/>
          <w:wAfter w:w="142" w:type="dxa"/>
          <w:trHeight w:val="290"/>
        </w:trPr>
        <w:tc>
          <w:tcPr>
            <w:tcW w:w="1951" w:type="dxa"/>
            <w:tcBorders>
              <w:top w:val="single" w:sz="4" w:space="0" w:color="auto"/>
              <w:bottom w:val="single" w:sz="4" w:space="0" w:color="auto"/>
            </w:tcBorders>
            <w:shd w:val="clear" w:color="auto" w:fill="auto"/>
            <w:noWrap/>
          </w:tcPr>
          <w:p w14:paraId="497B5F48" w14:textId="77777777" w:rsidR="007E1D13" w:rsidRPr="00B2469D" w:rsidRDefault="007E1D13" w:rsidP="007E1D13">
            <w:pPr>
              <w:spacing w:before="120" w:after="120" w:line="240" w:lineRule="auto"/>
              <w:rPr>
                <w:b/>
                <w:color w:val="000000"/>
                <w:lang w:eastAsia="en-GB"/>
              </w:rPr>
            </w:pPr>
            <w:r>
              <w:rPr>
                <w:b/>
                <w:color w:val="000000"/>
                <w:lang w:eastAsia="en-GB"/>
              </w:rPr>
              <w:t>Global t</w:t>
            </w:r>
            <w:r w:rsidRPr="00B2469D">
              <w:rPr>
                <w:b/>
                <w:color w:val="000000"/>
                <w:lang w:eastAsia="en-GB"/>
              </w:rPr>
              <w:t>heme</w:t>
            </w:r>
          </w:p>
        </w:tc>
        <w:tc>
          <w:tcPr>
            <w:tcW w:w="709" w:type="dxa"/>
            <w:gridSpan w:val="2"/>
            <w:tcBorders>
              <w:top w:val="single" w:sz="4" w:space="0" w:color="auto"/>
              <w:bottom w:val="single" w:sz="4" w:space="0" w:color="auto"/>
            </w:tcBorders>
            <w:shd w:val="clear" w:color="auto" w:fill="auto"/>
          </w:tcPr>
          <w:p w14:paraId="1D0328CC" w14:textId="77777777" w:rsidR="007E1D13" w:rsidRPr="00B2469D" w:rsidRDefault="007E1D13" w:rsidP="007E1D13">
            <w:pPr>
              <w:spacing w:before="120" w:after="120" w:line="240" w:lineRule="auto"/>
              <w:rPr>
                <w:b/>
                <w:color w:val="000000"/>
                <w:lang w:eastAsia="en-GB"/>
              </w:rPr>
            </w:pPr>
          </w:p>
        </w:tc>
        <w:tc>
          <w:tcPr>
            <w:tcW w:w="3685" w:type="dxa"/>
            <w:tcBorders>
              <w:top w:val="single" w:sz="4" w:space="0" w:color="auto"/>
              <w:bottom w:val="single" w:sz="4" w:space="0" w:color="auto"/>
            </w:tcBorders>
            <w:shd w:val="clear" w:color="auto" w:fill="auto"/>
          </w:tcPr>
          <w:p w14:paraId="1D40D335" w14:textId="77777777" w:rsidR="007E1D13" w:rsidRPr="00B2469D" w:rsidRDefault="007E1D13" w:rsidP="007E1D13">
            <w:pPr>
              <w:spacing w:before="120" w:after="120" w:line="240" w:lineRule="auto"/>
              <w:rPr>
                <w:b/>
                <w:color w:val="000000"/>
                <w:lang w:eastAsia="en-GB"/>
              </w:rPr>
            </w:pPr>
            <w:r>
              <w:rPr>
                <w:b/>
                <w:color w:val="000000"/>
                <w:lang w:eastAsia="en-GB"/>
              </w:rPr>
              <w:t>Organising theme</w:t>
            </w:r>
          </w:p>
        </w:tc>
        <w:tc>
          <w:tcPr>
            <w:tcW w:w="709" w:type="dxa"/>
            <w:tcBorders>
              <w:top w:val="single" w:sz="4" w:space="0" w:color="auto"/>
              <w:bottom w:val="single" w:sz="4" w:space="0" w:color="auto"/>
            </w:tcBorders>
          </w:tcPr>
          <w:p w14:paraId="5AF35B77" w14:textId="77777777" w:rsidR="007E1D13" w:rsidRPr="00B2469D" w:rsidRDefault="007E1D13" w:rsidP="007E1D13">
            <w:pPr>
              <w:spacing w:before="120" w:after="120" w:line="240" w:lineRule="auto"/>
              <w:rPr>
                <w:b/>
                <w:color w:val="000000"/>
                <w:lang w:eastAsia="en-GB"/>
              </w:rPr>
            </w:pPr>
            <w:r>
              <w:rPr>
                <w:b/>
                <w:color w:val="000000"/>
                <w:lang w:eastAsia="en-GB"/>
              </w:rPr>
              <w:t>FGs</w:t>
            </w:r>
          </w:p>
        </w:tc>
        <w:tc>
          <w:tcPr>
            <w:tcW w:w="851" w:type="dxa"/>
            <w:gridSpan w:val="2"/>
            <w:tcBorders>
              <w:top w:val="single" w:sz="4" w:space="0" w:color="auto"/>
              <w:bottom w:val="single" w:sz="4" w:space="0" w:color="auto"/>
            </w:tcBorders>
            <w:shd w:val="clear" w:color="auto" w:fill="auto"/>
          </w:tcPr>
          <w:p w14:paraId="4508BB72" w14:textId="77777777" w:rsidR="007E1D13" w:rsidRPr="00B2469D" w:rsidRDefault="007E1D13" w:rsidP="007E1D13">
            <w:pPr>
              <w:spacing w:before="120" w:after="120" w:line="240" w:lineRule="auto"/>
              <w:rPr>
                <w:b/>
                <w:color w:val="000000"/>
                <w:lang w:eastAsia="en-GB"/>
              </w:rPr>
            </w:pPr>
            <w:r>
              <w:rPr>
                <w:b/>
                <w:color w:val="000000"/>
                <w:lang w:eastAsia="en-GB"/>
              </w:rPr>
              <w:t xml:space="preserve">Freq.   </w:t>
            </w:r>
          </w:p>
        </w:tc>
        <w:tc>
          <w:tcPr>
            <w:tcW w:w="708" w:type="dxa"/>
            <w:gridSpan w:val="2"/>
            <w:tcBorders>
              <w:top w:val="single" w:sz="4" w:space="0" w:color="auto"/>
              <w:bottom w:val="single" w:sz="4" w:space="0" w:color="auto"/>
            </w:tcBorders>
          </w:tcPr>
          <w:p w14:paraId="7B0BEEBC" w14:textId="77777777" w:rsidR="007E1D13" w:rsidRDefault="007E1D13" w:rsidP="007E1D13">
            <w:pPr>
              <w:spacing w:before="120" w:after="120" w:line="240" w:lineRule="auto"/>
              <w:jc w:val="right"/>
              <w:rPr>
                <w:b/>
                <w:color w:val="000000"/>
                <w:lang w:eastAsia="en-GB"/>
              </w:rPr>
            </w:pPr>
            <w:r>
              <w:rPr>
                <w:b/>
                <w:color w:val="000000"/>
                <w:lang w:eastAsia="en-GB"/>
              </w:rPr>
              <w:t>Adj.</w:t>
            </w:r>
          </w:p>
        </w:tc>
        <w:tc>
          <w:tcPr>
            <w:tcW w:w="851" w:type="dxa"/>
            <w:tcBorders>
              <w:top w:val="single" w:sz="4" w:space="0" w:color="auto"/>
              <w:bottom w:val="single" w:sz="4" w:space="0" w:color="auto"/>
            </w:tcBorders>
          </w:tcPr>
          <w:p w14:paraId="13D298D6" w14:textId="77777777" w:rsidR="007E1D13" w:rsidRDefault="007E1D13" w:rsidP="007E1D13">
            <w:pPr>
              <w:spacing w:before="120" w:after="120" w:line="240" w:lineRule="auto"/>
              <w:jc w:val="right"/>
              <w:rPr>
                <w:b/>
                <w:color w:val="000000"/>
                <w:lang w:eastAsia="en-GB"/>
              </w:rPr>
            </w:pPr>
            <w:r>
              <w:rPr>
                <w:b/>
                <w:color w:val="000000"/>
                <w:lang w:eastAsia="en-GB"/>
              </w:rPr>
              <w:t>Diff.</w:t>
            </w:r>
          </w:p>
        </w:tc>
      </w:tr>
      <w:tr w:rsidR="007E1D13" w:rsidRPr="00B2469D" w14:paraId="4378433A" w14:textId="77777777" w:rsidTr="007E1D13">
        <w:trPr>
          <w:trHeight w:val="290"/>
        </w:trPr>
        <w:tc>
          <w:tcPr>
            <w:tcW w:w="1951" w:type="dxa"/>
            <w:shd w:val="clear" w:color="auto" w:fill="auto"/>
            <w:noWrap/>
            <w:vAlign w:val="bottom"/>
          </w:tcPr>
          <w:p w14:paraId="14390739" w14:textId="77777777" w:rsidR="007E1D13" w:rsidRPr="00A454B5" w:rsidRDefault="007E1D13" w:rsidP="007E1D13">
            <w:pPr>
              <w:spacing w:before="120" w:after="0" w:line="360" w:lineRule="auto"/>
              <w:rPr>
                <w:b/>
                <w:szCs w:val="24"/>
                <w:lang w:eastAsia="en-GB"/>
              </w:rPr>
            </w:pPr>
            <w:r w:rsidRPr="00A454B5">
              <w:rPr>
                <w:b/>
                <w:color w:val="000000"/>
                <w:szCs w:val="24"/>
                <w:lang w:eastAsia="en-GB"/>
              </w:rPr>
              <w:t>Curiosity</w:t>
            </w:r>
          </w:p>
        </w:tc>
        <w:tc>
          <w:tcPr>
            <w:tcW w:w="567" w:type="dxa"/>
            <w:shd w:val="clear" w:color="auto" w:fill="auto"/>
          </w:tcPr>
          <w:p w14:paraId="6AD6D1B9" w14:textId="77777777" w:rsidR="007E1D13" w:rsidRPr="00A454B5" w:rsidRDefault="007E1D13" w:rsidP="007E1D13">
            <w:pPr>
              <w:spacing w:before="120" w:after="0" w:line="360" w:lineRule="auto"/>
              <w:jc w:val="right"/>
              <w:rPr>
                <w:b/>
                <w:szCs w:val="24"/>
                <w:lang w:eastAsia="en-GB"/>
              </w:rPr>
            </w:pPr>
            <w:r>
              <w:rPr>
                <w:b/>
                <w:color w:val="000000"/>
                <w:lang w:eastAsia="en-GB"/>
              </w:rPr>
              <w:t>21</w:t>
            </w:r>
          </w:p>
        </w:tc>
        <w:tc>
          <w:tcPr>
            <w:tcW w:w="3827" w:type="dxa"/>
            <w:gridSpan w:val="2"/>
            <w:shd w:val="clear" w:color="auto" w:fill="auto"/>
            <w:noWrap/>
            <w:vAlign w:val="bottom"/>
            <w:hideMark/>
          </w:tcPr>
          <w:p w14:paraId="4E389301" w14:textId="77777777" w:rsidR="007E1D13" w:rsidRPr="00B2469D" w:rsidRDefault="007E1D13" w:rsidP="007E1D13">
            <w:pPr>
              <w:spacing w:before="120" w:after="0" w:line="360" w:lineRule="auto"/>
              <w:rPr>
                <w:color w:val="000000"/>
                <w:lang w:eastAsia="en-GB"/>
              </w:rPr>
            </w:pPr>
            <w:r w:rsidRPr="00B2469D">
              <w:rPr>
                <w:color w:val="000000"/>
                <w:lang w:eastAsia="en-GB"/>
              </w:rPr>
              <w:t>Curiosity</w:t>
            </w:r>
          </w:p>
        </w:tc>
        <w:tc>
          <w:tcPr>
            <w:tcW w:w="709" w:type="dxa"/>
            <w:shd w:val="clear" w:color="auto" w:fill="auto"/>
            <w:vAlign w:val="center"/>
          </w:tcPr>
          <w:p w14:paraId="6B6C5D4F"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vAlign w:val="bottom"/>
          </w:tcPr>
          <w:p w14:paraId="374498A2" w14:textId="77777777" w:rsidR="007E1D13" w:rsidRPr="00B2469D" w:rsidRDefault="007E1D13" w:rsidP="007E1D13">
            <w:pPr>
              <w:spacing w:before="120" w:after="0" w:line="360" w:lineRule="auto"/>
              <w:jc w:val="right"/>
              <w:rPr>
                <w:color w:val="000000"/>
                <w:lang w:eastAsia="en-GB"/>
              </w:rPr>
            </w:pPr>
            <w:r>
              <w:rPr>
                <w:color w:val="000000"/>
                <w:lang w:eastAsia="en-GB"/>
              </w:rPr>
              <w:t>10</w:t>
            </w:r>
          </w:p>
        </w:tc>
        <w:tc>
          <w:tcPr>
            <w:tcW w:w="839" w:type="dxa"/>
            <w:gridSpan w:val="2"/>
          </w:tcPr>
          <w:p w14:paraId="5DA05F48" w14:textId="77777777" w:rsidR="007E1D13" w:rsidRDefault="007E1D13" w:rsidP="007E1D13">
            <w:pPr>
              <w:spacing w:before="120" w:after="0" w:line="360" w:lineRule="auto"/>
              <w:jc w:val="right"/>
              <w:rPr>
                <w:color w:val="000000"/>
                <w:lang w:eastAsia="en-GB"/>
              </w:rPr>
            </w:pPr>
            <w:r>
              <w:rPr>
                <w:color w:val="000000"/>
                <w:lang w:eastAsia="en-GB"/>
              </w:rPr>
              <w:t>11</w:t>
            </w:r>
          </w:p>
        </w:tc>
        <w:tc>
          <w:tcPr>
            <w:tcW w:w="1003" w:type="dxa"/>
            <w:gridSpan w:val="3"/>
            <w:shd w:val="clear" w:color="auto" w:fill="auto"/>
          </w:tcPr>
          <w:p w14:paraId="6C744497" w14:textId="77777777" w:rsidR="007E1D13" w:rsidRPr="00B2469D" w:rsidRDefault="007E1D13" w:rsidP="007E1D13">
            <w:pPr>
              <w:spacing w:before="120" w:after="0" w:line="360" w:lineRule="auto"/>
              <w:jc w:val="right"/>
              <w:rPr>
                <w:color w:val="000000"/>
                <w:lang w:eastAsia="en-GB"/>
              </w:rPr>
            </w:pPr>
            <w:r>
              <w:rPr>
                <w:color w:val="000000"/>
                <w:lang w:eastAsia="en-GB"/>
              </w:rPr>
              <w:t>- 10</w:t>
            </w:r>
          </w:p>
        </w:tc>
      </w:tr>
      <w:tr w:rsidR="007E1D13" w:rsidRPr="00B2469D" w14:paraId="6C65F3E5" w14:textId="77777777" w:rsidTr="007E1D13">
        <w:trPr>
          <w:trHeight w:val="87"/>
        </w:trPr>
        <w:tc>
          <w:tcPr>
            <w:tcW w:w="1951" w:type="dxa"/>
            <w:shd w:val="clear" w:color="auto" w:fill="auto"/>
            <w:noWrap/>
            <w:vAlign w:val="bottom"/>
          </w:tcPr>
          <w:p w14:paraId="77B7D0F9" w14:textId="77777777" w:rsidR="007E1D13" w:rsidRPr="00B2469D" w:rsidRDefault="007E1D13" w:rsidP="007E1D13">
            <w:pPr>
              <w:spacing w:after="0" w:line="360" w:lineRule="auto"/>
              <w:rPr>
                <w:sz w:val="20"/>
                <w:szCs w:val="20"/>
                <w:lang w:eastAsia="en-GB"/>
              </w:rPr>
            </w:pPr>
          </w:p>
        </w:tc>
        <w:tc>
          <w:tcPr>
            <w:tcW w:w="567" w:type="dxa"/>
            <w:shd w:val="clear" w:color="auto" w:fill="auto"/>
            <w:vAlign w:val="bottom"/>
          </w:tcPr>
          <w:p w14:paraId="61D8D68B" w14:textId="77777777" w:rsidR="007E1D13" w:rsidRPr="00B2469D" w:rsidRDefault="007E1D13" w:rsidP="007E1D13">
            <w:pPr>
              <w:spacing w:after="0" w:line="360" w:lineRule="auto"/>
              <w:rPr>
                <w:sz w:val="20"/>
                <w:szCs w:val="20"/>
                <w:lang w:eastAsia="en-GB"/>
              </w:rPr>
            </w:pPr>
          </w:p>
        </w:tc>
        <w:tc>
          <w:tcPr>
            <w:tcW w:w="3827" w:type="dxa"/>
            <w:gridSpan w:val="2"/>
            <w:shd w:val="clear" w:color="auto" w:fill="auto"/>
            <w:noWrap/>
            <w:hideMark/>
          </w:tcPr>
          <w:p w14:paraId="56AB7686" w14:textId="77777777" w:rsidR="007E1D13" w:rsidRPr="00B2469D" w:rsidRDefault="007E1D13" w:rsidP="007E1D13">
            <w:pPr>
              <w:spacing w:after="0" w:line="360" w:lineRule="auto"/>
              <w:rPr>
                <w:color w:val="000000"/>
                <w:lang w:eastAsia="en-GB"/>
              </w:rPr>
            </w:pPr>
            <w:r w:rsidRPr="00B2469D">
              <w:rPr>
                <w:color w:val="000000"/>
                <w:lang w:eastAsia="en-GB"/>
              </w:rPr>
              <w:t>Appealing marketing</w:t>
            </w:r>
          </w:p>
        </w:tc>
        <w:tc>
          <w:tcPr>
            <w:tcW w:w="709" w:type="dxa"/>
            <w:shd w:val="clear" w:color="auto" w:fill="auto"/>
            <w:vAlign w:val="center"/>
          </w:tcPr>
          <w:p w14:paraId="0AEEDF54" w14:textId="77777777" w:rsidR="007E1D13" w:rsidRPr="00B2469D" w:rsidRDefault="007E1D13" w:rsidP="007E1D13">
            <w:pPr>
              <w:spacing w:after="0" w:line="360" w:lineRule="auto"/>
              <w:jc w:val="center"/>
              <w:rPr>
                <w:color w:val="000000"/>
                <w:lang w:eastAsia="en-GB"/>
              </w:rPr>
            </w:pPr>
            <w:r>
              <w:rPr>
                <w:color w:val="000000"/>
                <w:lang w:eastAsia="en-GB"/>
              </w:rPr>
              <w:t>2</w:t>
            </w:r>
          </w:p>
        </w:tc>
        <w:tc>
          <w:tcPr>
            <w:tcW w:w="710" w:type="dxa"/>
          </w:tcPr>
          <w:p w14:paraId="08FA5B88" w14:textId="77777777" w:rsidR="007E1D13" w:rsidRPr="00B2469D" w:rsidRDefault="007E1D13" w:rsidP="007E1D13">
            <w:pPr>
              <w:spacing w:after="0" w:line="360" w:lineRule="auto"/>
              <w:jc w:val="right"/>
              <w:rPr>
                <w:color w:val="000000"/>
                <w:lang w:eastAsia="en-GB"/>
              </w:rPr>
            </w:pPr>
            <w:r>
              <w:rPr>
                <w:color w:val="000000"/>
                <w:lang w:eastAsia="en-GB"/>
              </w:rPr>
              <w:t>6</w:t>
            </w:r>
          </w:p>
        </w:tc>
        <w:tc>
          <w:tcPr>
            <w:tcW w:w="839" w:type="dxa"/>
            <w:gridSpan w:val="2"/>
          </w:tcPr>
          <w:p w14:paraId="079624DC" w14:textId="77777777" w:rsidR="007E1D13" w:rsidRDefault="007E1D13" w:rsidP="007E1D13">
            <w:pPr>
              <w:spacing w:after="0" w:line="360" w:lineRule="auto"/>
              <w:jc w:val="right"/>
              <w:rPr>
                <w:color w:val="000000"/>
                <w:lang w:eastAsia="en-GB"/>
              </w:rPr>
            </w:pPr>
            <w:r>
              <w:rPr>
                <w:color w:val="000000"/>
                <w:lang w:eastAsia="en-GB"/>
              </w:rPr>
              <w:t>7</w:t>
            </w:r>
          </w:p>
        </w:tc>
        <w:tc>
          <w:tcPr>
            <w:tcW w:w="1003" w:type="dxa"/>
            <w:gridSpan w:val="3"/>
            <w:shd w:val="clear" w:color="auto" w:fill="auto"/>
          </w:tcPr>
          <w:p w14:paraId="2610C518" w14:textId="77777777" w:rsidR="007E1D13" w:rsidRPr="00B2469D" w:rsidRDefault="007E1D13" w:rsidP="007E1D13">
            <w:pPr>
              <w:spacing w:after="0" w:line="360" w:lineRule="auto"/>
              <w:jc w:val="right"/>
              <w:rPr>
                <w:color w:val="000000"/>
                <w:lang w:eastAsia="en-GB"/>
              </w:rPr>
            </w:pPr>
            <w:r>
              <w:rPr>
                <w:color w:val="000000"/>
                <w:lang w:eastAsia="en-GB"/>
              </w:rPr>
              <w:t>- 2</w:t>
            </w:r>
          </w:p>
        </w:tc>
      </w:tr>
      <w:tr w:rsidR="007E1D13" w:rsidRPr="00B2469D" w14:paraId="5227CDC4" w14:textId="77777777" w:rsidTr="007E1D13">
        <w:trPr>
          <w:trHeight w:val="290"/>
        </w:trPr>
        <w:tc>
          <w:tcPr>
            <w:tcW w:w="1951" w:type="dxa"/>
            <w:tcBorders>
              <w:bottom w:val="single" w:sz="4" w:space="0" w:color="auto"/>
            </w:tcBorders>
            <w:shd w:val="clear" w:color="auto" w:fill="auto"/>
            <w:noWrap/>
            <w:vAlign w:val="bottom"/>
          </w:tcPr>
          <w:p w14:paraId="1E4A91A7" w14:textId="77777777" w:rsidR="007E1D13" w:rsidRPr="00B2469D" w:rsidRDefault="007E1D13" w:rsidP="007E1D13">
            <w:pPr>
              <w:spacing w:after="0" w:line="360" w:lineRule="auto"/>
              <w:rPr>
                <w:sz w:val="20"/>
                <w:szCs w:val="20"/>
                <w:lang w:eastAsia="en-GB"/>
              </w:rPr>
            </w:pPr>
          </w:p>
        </w:tc>
        <w:tc>
          <w:tcPr>
            <w:tcW w:w="567" w:type="dxa"/>
            <w:tcBorders>
              <w:bottom w:val="single" w:sz="4" w:space="0" w:color="auto"/>
            </w:tcBorders>
            <w:shd w:val="clear" w:color="auto" w:fill="auto"/>
            <w:vAlign w:val="bottom"/>
          </w:tcPr>
          <w:p w14:paraId="2DC27814" w14:textId="77777777" w:rsidR="007E1D13" w:rsidRPr="00B2469D" w:rsidRDefault="007E1D13" w:rsidP="007E1D13">
            <w:pPr>
              <w:spacing w:after="0" w:line="360" w:lineRule="auto"/>
              <w:rPr>
                <w:sz w:val="20"/>
                <w:szCs w:val="20"/>
                <w:lang w:eastAsia="en-GB"/>
              </w:rPr>
            </w:pPr>
          </w:p>
        </w:tc>
        <w:tc>
          <w:tcPr>
            <w:tcW w:w="3827" w:type="dxa"/>
            <w:gridSpan w:val="2"/>
            <w:tcBorders>
              <w:bottom w:val="single" w:sz="4" w:space="0" w:color="auto"/>
            </w:tcBorders>
            <w:shd w:val="clear" w:color="auto" w:fill="auto"/>
            <w:noWrap/>
            <w:vAlign w:val="bottom"/>
          </w:tcPr>
          <w:p w14:paraId="18856AE3" w14:textId="77777777" w:rsidR="007E1D13" w:rsidRPr="00B2469D" w:rsidRDefault="007E1D13" w:rsidP="007E1D13">
            <w:pPr>
              <w:spacing w:after="0" w:line="360" w:lineRule="auto"/>
              <w:rPr>
                <w:color w:val="000000"/>
                <w:lang w:eastAsia="en-GB"/>
              </w:rPr>
            </w:pPr>
            <w:r w:rsidRPr="00B2469D">
              <w:rPr>
                <w:color w:val="000000"/>
                <w:lang w:eastAsia="en-GB"/>
              </w:rPr>
              <w:t>Awareness encourages use</w:t>
            </w:r>
          </w:p>
        </w:tc>
        <w:tc>
          <w:tcPr>
            <w:tcW w:w="709" w:type="dxa"/>
            <w:tcBorders>
              <w:bottom w:val="single" w:sz="4" w:space="0" w:color="auto"/>
            </w:tcBorders>
            <w:shd w:val="clear" w:color="auto" w:fill="auto"/>
            <w:vAlign w:val="center"/>
          </w:tcPr>
          <w:p w14:paraId="51625537" w14:textId="77777777" w:rsidR="007E1D13" w:rsidRPr="00B2469D" w:rsidRDefault="007E1D13" w:rsidP="007E1D13">
            <w:pPr>
              <w:spacing w:after="0" w:line="360" w:lineRule="auto"/>
              <w:jc w:val="center"/>
              <w:rPr>
                <w:color w:val="000000"/>
                <w:lang w:eastAsia="en-GB"/>
              </w:rPr>
            </w:pPr>
            <w:r>
              <w:rPr>
                <w:color w:val="000000"/>
                <w:lang w:eastAsia="en-GB"/>
              </w:rPr>
              <w:t>1</w:t>
            </w:r>
          </w:p>
        </w:tc>
        <w:tc>
          <w:tcPr>
            <w:tcW w:w="710" w:type="dxa"/>
            <w:tcBorders>
              <w:bottom w:val="single" w:sz="4" w:space="0" w:color="auto"/>
            </w:tcBorders>
            <w:vAlign w:val="bottom"/>
          </w:tcPr>
          <w:p w14:paraId="446BF526" w14:textId="77777777" w:rsidR="007E1D13" w:rsidRDefault="007E1D13" w:rsidP="007E1D13">
            <w:pPr>
              <w:spacing w:after="0" w:line="360" w:lineRule="auto"/>
              <w:jc w:val="right"/>
              <w:rPr>
                <w:color w:val="000000"/>
                <w:lang w:eastAsia="en-GB"/>
              </w:rPr>
            </w:pPr>
            <w:r>
              <w:rPr>
                <w:color w:val="000000"/>
                <w:lang w:eastAsia="en-GB"/>
              </w:rPr>
              <w:t>5</w:t>
            </w:r>
          </w:p>
        </w:tc>
        <w:tc>
          <w:tcPr>
            <w:tcW w:w="839" w:type="dxa"/>
            <w:gridSpan w:val="2"/>
            <w:tcBorders>
              <w:bottom w:val="single" w:sz="4" w:space="0" w:color="auto"/>
            </w:tcBorders>
          </w:tcPr>
          <w:p w14:paraId="7CA8884B" w14:textId="77777777" w:rsidR="007E1D13" w:rsidRDefault="007E1D13" w:rsidP="007E1D13">
            <w:pPr>
              <w:spacing w:after="0" w:line="360" w:lineRule="auto"/>
              <w:jc w:val="right"/>
              <w:rPr>
                <w:color w:val="000000"/>
                <w:lang w:eastAsia="en-GB"/>
              </w:rPr>
            </w:pPr>
            <w:r>
              <w:rPr>
                <w:color w:val="000000"/>
                <w:lang w:eastAsia="en-GB"/>
              </w:rPr>
              <w:t>6</w:t>
            </w:r>
          </w:p>
        </w:tc>
        <w:tc>
          <w:tcPr>
            <w:tcW w:w="1003" w:type="dxa"/>
            <w:gridSpan w:val="3"/>
            <w:tcBorders>
              <w:bottom w:val="single" w:sz="4" w:space="0" w:color="auto"/>
            </w:tcBorders>
            <w:shd w:val="clear" w:color="auto" w:fill="auto"/>
          </w:tcPr>
          <w:p w14:paraId="6881AF1D" w14:textId="77777777" w:rsidR="007E1D13" w:rsidRPr="00B2469D" w:rsidRDefault="007E1D13" w:rsidP="007E1D13">
            <w:pPr>
              <w:spacing w:after="0" w:line="360" w:lineRule="auto"/>
              <w:jc w:val="right"/>
              <w:rPr>
                <w:color w:val="000000"/>
                <w:lang w:eastAsia="en-GB"/>
              </w:rPr>
            </w:pPr>
            <w:r>
              <w:rPr>
                <w:color w:val="000000"/>
                <w:lang w:eastAsia="en-GB"/>
              </w:rPr>
              <w:t>1</w:t>
            </w:r>
          </w:p>
        </w:tc>
      </w:tr>
      <w:tr w:rsidR="007E1D13" w:rsidRPr="00B2469D" w14:paraId="6B2842EF" w14:textId="77777777" w:rsidTr="007E1D13">
        <w:trPr>
          <w:trHeight w:val="290"/>
        </w:trPr>
        <w:tc>
          <w:tcPr>
            <w:tcW w:w="1951" w:type="dxa"/>
            <w:tcBorders>
              <w:top w:val="single" w:sz="4" w:space="0" w:color="auto"/>
            </w:tcBorders>
            <w:shd w:val="clear" w:color="auto" w:fill="auto"/>
            <w:noWrap/>
            <w:vAlign w:val="bottom"/>
          </w:tcPr>
          <w:p w14:paraId="5C0DB710" w14:textId="77777777" w:rsidR="007E1D13" w:rsidRPr="00B2469D" w:rsidRDefault="007E1D13" w:rsidP="007E1D13">
            <w:pPr>
              <w:spacing w:before="120" w:after="0" w:line="360" w:lineRule="auto"/>
              <w:rPr>
                <w:color w:val="000000"/>
                <w:lang w:eastAsia="en-GB"/>
              </w:rPr>
            </w:pPr>
            <w:r>
              <w:rPr>
                <w:b/>
                <w:color w:val="000000"/>
                <w:lang w:eastAsia="en-GB"/>
              </w:rPr>
              <w:t>Pleasure</w:t>
            </w:r>
          </w:p>
        </w:tc>
        <w:tc>
          <w:tcPr>
            <w:tcW w:w="567" w:type="dxa"/>
            <w:tcBorders>
              <w:top w:val="single" w:sz="4" w:space="0" w:color="auto"/>
            </w:tcBorders>
            <w:shd w:val="clear" w:color="auto" w:fill="auto"/>
            <w:vAlign w:val="center"/>
          </w:tcPr>
          <w:p w14:paraId="1534B902" w14:textId="77777777" w:rsidR="007E1D13" w:rsidRPr="00A454B5" w:rsidRDefault="007E1D13" w:rsidP="007E1D13">
            <w:pPr>
              <w:spacing w:before="120" w:after="0" w:line="360" w:lineRule="auto"/>
              <w:jc w:val="right"/>
              <w:rPr>
                <w:b/>
                <w:color w:val="000000"/>
                <w:lang w:eastAsia="en-GB"/>
              </w:rPr>
            </w:pPr>
            <w:r>
              <w:rPr>
                <w:b/>
                <w:color w:val="000000"/>
                <w:lang w:eastAsia="en-GB"/>
              </w:rPr>
              <w:t>20</w:t>
            </w:r>
          </w:p>
        </w:tc>
        <w:tc>
          <w:tcPr>
            <w:tcW w:w="3827" w:type="dxa"/>
            <w:gridSpan w:val="2"/>
            <w:tcBorders>
              <w:top w:val="single" w:sz="4" w:space="0" w:color="auto"/>
            </w:tcBorders>
            <w:shd w:val="clear" w:color="auto" w:fill="auto"/>
            <w:noWrap/>
          </w:tcPr>
          <w:p w14:paraId="22AA2D30" w14:textId="77777777" w:rsidR="007E1D13" w:rsidRPr="00B2469D" w:rsidRDefault="007E1D13" w:rsidP="007E1D13">
            <w:pPr>
              <w:spacing w:before="120" w:after="0" w:line="360" w:lineRule="auto"/>
              <w:rPr>
                <w:color w:val="000000"/>
                <w:lang w:eastAsia="en-GB"/>
              </w:rPr>
            </w:pPr>
            <w:r w:rsidRPr="00B2469D">
              <w:rPr>
                <w:color w:val="000000"/>
                <w:lang w:eastAsia="en-GB"/>
              </w:rPr>
              <w:t xml:space="preserve">For the </w:t>
            </w:r>
            <w:r>
              <w:rPr>
                <w:color w:val="000000"/>
                <w:lang w:eastAsia="en-GB"/>
              </w:rPr>
              <w:t xml:space="preserve">high </w:t>
            </w:r>
          </w:p>
        </w:tc>
        <w:tc>
          <w:tcPr>
            <w:tcW w:w="709" w:type="dxa"/>
            <w:tcBorders>
              <w:top w:val="single" w:sz="4" w:space="0" w:color="auto"/>
            </w:tcBorders>
            <w:shd w:val="clear" w:color="auto" w:fill="auto"/>
            <w:vAlign w:val="center"/>
          </w:tcPr>
          <w:p w14:paraId="75944B66"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tcPr>
          <w:p w14:paraId="551D7466" w14:textId="77777777" w:rsidR="007E1D13" w:rsidRDefault="007E1D13" w:rsidP="007E1D13">
            <w:pPr>
              <w:spacing w:before="120" w:after="0" w:line="360" w:lineRule="auto"/>
              <w:jc w:val="right"/>
              <w:rPr>
                <w:color w:val="000000"/>
                <w:lang w:eastAsia="en-GB"/>
              </w:rPr>
            </w:pPr>
            <w:r>
              <w:rPr>
                <w:color w:val="000000"/>
                <w:lang w:eastAsia="en-GB"/>
              </w:rPr>
              <w:t>10</w:t>
            </w:r>
          </w:p>
        </w:tc>
        <w:tc>
          <w:tcPr>
            <w:tcW w:w="839" w:type="dxa"/>
            <w:gridSpan w:val="2"/>
            <w:tcBorders>
              <w:top w:val="single" w:sz="4" w:space="0" w:color="auto"/>
            </w:tcBorders>
          </w:tcPr>
          <w:p w14:paraId="66076011" w14:textId="77777777" w:rsidR="007E1D13" w:rsidRDefault="007E1D13" w:rsidP="007E1D13">
            <w:pPr>
              <w:spacing w:before="120" w:after="0" w:line="360" w:lineRule="auto"/>
              <w:jc w:val="right"/>
              <w:rPr>
                <w:color w:val="000000"/>
                <w:lang w:eastAsia="en-GB"/>
              </w:rPr>
            </w:pPr>
            <w:r>
              <w:rPr>
                <w:color w:val="000000"/>
                <w:lang w:eastAsia="en-GB"/>
              </w:rPr>
              <w:t>11</w:t>
            </w:r>
          </w:p>
        </w:tc>
        <w:tc>
          <w:tcPr>
            <w:tcW w:w="1003" w:type="dxa"/>
            <w:gridSpan w:val="3"/>
            <w:tcBorders>
              <w:top w:val="single" w:sz="4" w:space="0" w:color="auto"/>
            </w:tcBorders>
            <w:shd w:val="clear" w:color="auto" w:fill="auto"/>
          </w:tcPr>
          <w:p w14:paraId="43FD6569" w14:textId="77777777" w:rsidR="007E1D13" w:rsidRPr="00B2469D" w:rsidRDefault="007E1D13" w:rsidP="007E1D13">
            <w:pPr>
              <w:spacing w:before="120" w:after="0" w:line="360" w:lineRule="auto"/>
              <w:jc w:val="right"/>
              <w:rPr>
                <w:color w:val="000000"/>
                <w:lang w:eastAsia="en-GB"/>
              </w:rPr>
            </w:pPr>
            <w:r>
              <w:rPr>
                <w:color w:val="000000"/>
                <w:lang w:eastAsia="en-GB"/>
              </w:rPr>
              <w:t>- 23</w:t>
            </w:r>
          </w:p>
        </w:tc>
      </w:tr>
      <w:tr w:rsidR="007E1D13" w:rsidRPr="00B2469D" w14:paraId="4F29D61B" w14:textId="77777777" w:rsidTr="007E1D13">
        <w:trPr>
          <w:trHeight w:val="290"/>
        </w:trPr>
        <w:tc>
          <w:tcPr>
            <w:tcW w:w="1951" w:type="dxa"/>
            <w:tcBorders>
              <w:bottom w:val="single" w:sz="4" w:space="0" w:color="auto"/>
            </w:tcBorders>
            <w:shd w:val="clear" w:color="auto" w:fill="auto"/>
            <w:noWrap/>
            <w:vAlign w:val="bottom"/>
          </w:tcPr>
          <w:p w14:paraId="029CCA35" w14:textId="77777777" w:rsidR="007E1D13" w:rsidRDefault="007E1D13" w:rsidP="007E1D13">
            <w:pPr>
              <w:spacing w:after="0" w:line="360" w:lineRule="auto"/>
              <w:rPr>
                <w:b/>
                <w:color w:val="000000"/>
                <w:lang w:eastAsia="en-GB"/>
              </w:rPr>
            </w:pPr>
          </w:p>
        </w:tc>
        <w:tc>
          <w:tcPr>
            <w:tcW w:w="567" w:type="dxa"/>
            <w:tcBorders>
              <w:bottom w:val="single" w:sz="4" w:space="0" w:color="auto"/>
            </w:tcBorders>
            <w:shd w:val="clear" w:color="auto" w:fill="auto"/>
            <w:vAlign w:val="center"/>
          </w:tcPr>
          <w:p w14:paraId="5405FEA3" w14:textId="77777777" w:rsidR="007E1D13" w:rsidRDefault="007E1D13" w:rsidP="007E1D13">
            <w:pPr>
              <w:spacing w:after="0" w:line="360" w:lineRule="auto"/>
              <w:jc w:val="right"/>
              <w:rPr>
                <w:b/>
                <w:color w:val="000000"/>
                <w:lang w:eastAsia="en-GB"/>
              </w:rPr>
            </w:pPr>
          </w:p>
        </w:tc>
        <w:tc>
          <w:tcPr>
            <w:tcW w:w="3827" w:type="dxa"/>
            <w:gridSpan w:val="2"/>
            <w:tcBorders>
              <w:bottom w:val="single" w:sz="4" w:space="0" w:color="auto"/>
            </w:tcBorders>
            <w:shd w:val="clear" w:color="auto" w:fill="auto"/>
            <w:noWrap/>
          </w:tcPr>
          <w:p w14:paraId="05069394" w14:textId="77777777" w:rsidR="007E1D13" w:rsidRDefault="007E1D13" w:rsidP="007E1D13">
            <w:pPr>
              <w:spacing w:after="0" w:line="360" w:lineRule="auto"/>
              <w:rPr>
                <w:color w:val="000000"/>
                <w:lang w:eastAsia="en-GB"/>
              </w:rPr>
            </w:pPr>
            <w:r>
              <w:rPr>
                <w:color w:val="000000"/>
                <w:lang w:eastAsia="en-GB"/>
              </w:rPr>
              <w:t>Enjoyable / fun</w:t>
            </w:r>
          </w:p>
        </w:tc>
        <w:tc>
          <w:tcPr>
            <w:tcW w:w="709" w:type="dxa"/>
            <w:tcBorders>
              <w:bottom w:val="single" w:sz="4" w:space="0" w:color="auto"/>
            </w:tcBorders>
            <w:shd w:val="clear" w:color="auto" w:fill="auto"/>
            <w:vAlign w:val="center"/>
          </w:tcPr>
          <w:p w14:paraId="68584F82" w14:textId="77777777" w:rsidR="007E1D13" w:rsidRDefault="007E1D13" w:rsidP="007E1D13">
            <w:pPr>
              <w:spacing w:after="0" w:line="360" w:lineRule="auto"/>
              <w:jc w:val="center"/>
              <w:rPr>
                <w:color w:val="000000"/>
                <w:lang w:eastAsia="en-GB"/>
              </w:rPr>
            </w:pPr>
            <w:r>
              <w:rPr>
                <w:color w:val="000000"/>
                <w:lang w:eastAsia="en-GB"/>
              </w:rPr>
              <w:t>3</w:t>
            </w:r>
          </w:p>
        </w:tc>
        <w:tc>
          <w:tcPr>
            <w:tcW w:w="710" w:type="dxa"/>
            <w:tcBorders>
              <w:bottom w:val="single" w:sz="4" w:space="0" w:color="auto"/>
            </w:tcBorders>
          </w:tcPr>
          <w:p w14:paraId="1EEF17A7" w14:textId="77777777" w:rsidR="007E1D13" w:rsidRPr="00B2469D" w:rsidRDefault="007E1D13" w:rsidP="007E1D13">
            <w:pPr>
              <w:spacing w:after="0" w:line="360" w:lineRule="auto"/>
              <w:jc w:val="right"/>
              <w:rPr>
                <w:color w:val="000000"/>
                <w:lang w:eastAsia="en-GB"/>
              </w:rPr>
            </w:pPr>
            <w:r>
              <w:rPr>
                <w:color w:val="000000"/>
                <w:lang w:eastAsia="en-GB"/>
              </w:rPr>
              <w:t>10</w:t>
            </w:r>
          </w:p>
        </w:tc>
        <w:tc>
          <w:tcPr>
            <w:tcW w:w="839" w:type="dxa"/>
            <w:gridSpan w:val="2"/>
            <w:tcBorders>
              <w:bottom w:val="single" w:sz="4" w:space="0" w:color="auto"/>
            </w:tcBorders>
          </w:tcPr>
          <w:p w14:paraId="556B2AF2" w14:textId="77777777" w:rsidR="007E1D13" w:rsidRDefault="007E1D13" w:rsidP="007E1D13">
            <w:pPr>
              <w:spacing w:after="0" w:line="360" w:lineRule="auto"/>
              <w:jc w:val="right"/>
              <w:rPr>
                <w:color w:val="000000"/>
                <w:lang w:eastAsia="en-GB"/>
              </w:rPr>
            </w:pPr>
            <w:r>
              <w:rPr>
                <w:color w:val="000000"/>
                <w:lang w:eastAsia="en-GB"/>
              </w:rPr>
              <w:t>11</w:t>
            </w:r>
          </w:p>
        </w:tc>
        <w:tc>
          <w:tcPr>
            <w:tcW w:w="1003" w:type="dxa"/>
            <w:gridSpan w:val="3"/>
            <w:tcBorders>
              <w:bottom w:val="single" w:sz="4" w:space="0" w:color="auto"/>
            </w:tcBorders>
            <w:shd w:val="clear" w:color="auto" w:fill="auto"/>
          </w:tcPr>
          <w:p w14:paraId="0B5B787C" w14:textId="77777777" w:rsidR="007E1D13" w:rsidRPr="00B2469D" w:rsidRDefault="007E1D13" w:rsidP="007E1D13">
            <w:pPr>
              <w:spacing w:after="0" w:line="360" w:lineRule="auto"/>
              <w:jc w:val="right"/>
              <w:rPr>
                <w:color w:val="000000"/>
                <w:lang w:eastAsia="en-GB"/>
              </w:rPr>
            </w:pPr>
            <w:r>
              <w:rPr>
                <w:color w:val="000000"/>
                <w:lang w:eastAsia="en-GB"/>
              </w:rPr>
              <w:t>- 1</w:t>
            </w:r>
          </w:p>
        </w:tc>
      </w:tr>
      <w:tr w:rsidR="007E1D13" w:rsidRPr="00B2469D" w14:paraId="1AF742CD" w14:textId="77777777" w:rsidTr="007E1D13">
        <w:trPr>
          <w:trHeight w:val="290"/>
        </w:trPr>
        <w:tc>
          <w:tcPr>
            <w:tcW w:w="1951" w:type="dxa"/>
            <w:tcBorders>
              <w:top w:val="single" w:sz="4" w:space="0" w:color="auto"/>
            </w:tcBorders>
            <w:shd w:val="clear" w:color="auto" w:fill="auto"/>
            <w:noWrap/>
            <w:vAlign w:val="bottom"/>
          </w:tcPr>
          <w:p w14:paraId="1307B855" w14:textId="77777777" w:rsidR="007E1D13" w:rsidRPr="00B2469D" w:rsidRDefault="007E1D13" w:rsidP="007E1D13">
            <w:pPr>
              <w:spacing w:before="120" w:after="0" w:line="360" w:lineRule="auto"/>
              <w:rPr>
                <w:sz w:val="20"/>
                <w:szCs w:val="20"/>
                <w:lang w:eastAsia="en-GB"/>
              </w:rPr>
            </w:pPr>
            <w:r>
              <w:rPr>
                <w:b/>
                <w:color w:val="000000"/>
                <w:lang w:eastAsia="en-GB"/>
              </w:rPr>
              <w:t>Identity</w:t>
            </w:r>
          </w:p>
        </w:tc>
        <w:tc>
          <w:tcPr>
            <w:tcW w:w="567" w:type="dxa"/>
            <w:tcBorders>
              <w:top w:val="single" w:sz="4" w:space="0" w:color="auto"/>
            </w:tcBorders>
            <w:shd w:val="clear" w:color="auto" w:fill="auto"/>
            <w:vAlign w:val="center"/>
          </w:tcPr>
          <w:p w14:paraId="2A374549" w14:textId="77777777" w:rsidR="007E1D13" w:rsidRPr="00A454B5" w:rsidRDefault="007E1D13" w:rsidP="007E1D13">
            <w:pPr>
              <w:spacing w:before="120" w:after="0" w:line="360" w:lineRule="auto"/>
              <w:jc w:val="right"/>
              <w:rPr>
                <w:b/>
                <w:sz w:val="20"/>
                <w:szCs w:val="20"/>
                <w:lang w:eastAsia="en-GB"/>
              </w:rPr>
            </w:pPr>
            <w:r>
              <w:rPr>
                <w:b/>
                <w:szCs w:val="20"/>
                <w:lang w:eastAsia="en-GB"/>
              </w:rPr>
              <w:t>9</w:t>
            </w:r>
          </w:p>
        </w:tc>
        <w:tc>
          <w:tcPr>
            <w:tcW w:w="3827" w:type="dxa"/>
            <w:gridSpan w:val="2"/>
            <w:tcBorders>
              <w:top w:val="single" w:sz="4" w:space="0" w:color="auto"/>
            </w:tcBorders>
            <w:shd w:val="clear" w:color="auto" w:fill="auto"/>
            <w:noWrap/>
            <w:vAlign w:val="bottom"/>
            <w:hideMark/>
          </w:tcPr>
          <w:p w14:paraId="2569C209" w14:textId="77777777" w:rsidR="007E1D13" w:rsidRPr="00B2469D" w:rsidRDefault="007E1D13" w:rsidP="007E1D13">
            <w:pPr>
              <w:spacing w:before="120" w:after="0" w:line="360" w:lineRule="auto"/>
              <w:rPr>
                <w:color w:val="000000"/>
                <w:lang w:eastAsia="en-GB"/>
              </w:rPr>
            </w:pPr>
            <w:r w:rsidRPr="00B2469D">
              <w:rPr>
                <w:color w:val="000000"/>
                <w:lang w:eastAsia="en-GB"/>
              </w:rPr>
              <w:t xml:space="preserve">Anyone </w:t>
            </w:r>
            <w:r>
              <w:rPr>
                <w:color w:val="000000"/>
                <w:lang w:eastAsia="en-GB"/>
              </w:rPr>
              <w:t>could be a user</w:t>
            </w:r>
          </w:p>
        </w:tc>
        <w:tc>
          <w:tcPr>
            <w:tcW w:w="709" w:type="dxa"/>
            <w:tcBorders>
              <w:top w:val="single" w:sz="4" w:space="0" w:color="auto"/>
            </w:tcBorders>
            <w:shd w:val="clear" w:color="auto" w:fill="auto"/>
            <w:vAlign w:val="center"/>
          </w:tcPr>
          <w:p w14:paraId="654595CE" w14:textId="77777777" w:rsidR="007E1D13" w:rsidRPr="00B2469D" w:rsidRDefault="007E1D13" w:rsidP="007E1D13">
            <w:pPr>
              <w:spacing w:before="120" w:after="0" w:line="360" w:lineRule="auto"/>
              <w:jc w:val="center"/>
              <w:rPr>
                <w:color w:val="000000"/>
                <w:lang w:eastAsia="en-GB"/>
              </w:rPr>
            </w:pPr>
            <w:r>
              <w:rPr>
                <w:color w:val="000000"/>
                <w:lang w:eastAsia="en-GB"/>
              </w:rPr>
              <w:t>3</w:t>
            </w:r>
          </w:p>
        </w:tc>
        <w:tc>
          <w:tcPr>
            <w:tcW w:w="710" w:type="dxa"/>
            <w:tcBorders>
              <w:top w:val="single" w:sz="4" w:space="0" w:color="auto"/>
            </w:tcBorders>
          </w:tcPr>
          <w:p w14:paraId="3990E511" w14:textId="77777777" w:rsidR="007E1D13" w:rsidRPr="00B2469D" w:rsidRDefault="007E1D13" w:rsidP="007E1D13">
            <w:pPr>
              <w:spacing w:before="120" w:after="0" w:line="360" w:lineRule="auto"/>
              <w:jc w:val="right"/>
              <w:rPr>
                <w:color w:val="000000"/>
                <w:lang w:eastAsia="en-GB"/>
              </w:rPr>
            </w:pPr>
            <w:r>
              <w:rPr>
                <w:color w:val="000000"/>
                <w:lang w:eastAsia="en-GB"/>
              </w:rPr>
              <w:t>6</w:t>
            </w:r>
          </w:p>
        </w:tc>
        <w:tc>
          <w:tcPr>
            <w:tcW w:w="839" w:type="dxa"/>
            <w:gridSpan w:val="2"/>
            <w:tcBorders>
              <w:top w:val="single" w:sz="4" w:space="0" w:color="auto"/>
            </w:tcBorders>
          </w:tcPr>
          <w:p w14:paraId="06B07FDE" w14:textId="77777777" w:rsidR="007E1D13" w:rsidRDefault="007E1D13" w:rsidP="007E1D13">
            <w:pPr>
              <w:spacing w:before="120" w:after="0" w:line="360" w:lineRule="auto"/>
              <w:jc w:val="right"/>
              <w:rPr>
                <w:color w:val="000000"/>
                <w:lang w:eastAsia="en-GB"/>
              </w:rPr>
            </w:pPr>
            <w:r>
              <w:rPr>
                <w:color w:val="000000"/>
                <w:lang w:eastAsia="en-GB"/>
              </w:rPr>
              <w:t>7</w:t>
            </w:r>
          </w:p>
        </w:tc>
        <w:tc>
          <w:tcPr>
            <w:tcW w:w="1003" w:type="dxa"/>
            <w:gridSpan w:val="3"/>
            <w:tcBorders>
              <w:top w:val="single" w:sz="4" w:space="0" w:color="auto"/>
            </w:tcBorders>
            <w:shd w:val="clear" w:color="auto" w:fill="auto"/>
          </w:tcPr>
          <w:p w14:paraId="3C260E16" w14:textId="77777777" w:rsidR="007E1D13" w:rsidRPr="00B2469D" w:rsidRDefault="007E1D13" w:rsidP="007E1D13">
            <w:pPr>
              <w:spacing w:before="120" w:after="0" w:line="360" w:lineRule="auto"/>
              <w:jc w:val="right"/>
              <w:rPr>
                <w:color w:val="000000"/>
                <w:lang w:eastAsia="en-GB"/>
              </w:rPr>
            </w:pPr>
            <w:r>
              <w:rPr>
                <w:color w:val="000000"/>
                <w:lang w:eastAsia="en-GB"/>
              </w:rPr>
              <w:t>- 6</w:t>
            </w:r>
          </w:p>
        </w:tc>
      </w:tr>
      <w:tr w:rsidR="007E1D13" w:rsidRPr="00B2469D" w14:paraId="2B531B1A" w14:textId="77777777" w:rsidTr="007E1D13">
        <w:trPr>
          <w:trHeight w:val="290"/>
        </w:trPr>
        <w:tc>
          <w:tcPr>
            <w:tcW w:w="2518" w:type="dxa"/>
            <w:gridSpan w:val="2"/>
            <w:shd w:val="clear" w:color="auto" w:fill="auto"/>
            <w:noWrap/>
            <w:vAlign w:val="bottom"/>
          </w:tcPr>
          <w:p w14:paraId="1ACA8007" w14:textId="77777777" w:rsidR="007E1D13" w:rsidRPr="00B2469D" w:rsidRDefault="007E1D13" w:rsidP="007E1D13">
            <w:pPr>
              <w:spacing w:after="0" w:line="360" w:lineRule="auto"/>
              <w:rPr>
                <w:sz w:val="20"/>
                <w:szCs w:val="20"/>
                <w:lang w:eastAsia="en-GB"/>
              </w:rPr>
            </w:pPr>
          </w:p>
        </w:tc>
        <w:tc>
          <w:tcPr>
            <w:tcW w:w="3827" w:type="dxa"/>
            <w:gridSpan w:val="2"/>
            <w:shd w:val="clear" w:color="auto" w:fill="auto"/>
            <w:noWrap/>
            <w:vAlign w:val="bottom"/>
            <w:hideMark/>
          </w:tcPr>
          <w:p w14:paraId="659E3FF1" w14:textId="77777777" w:rsidR="007E1D13" w:rsidRPr="00B2469D" w:rsidRDefault="007E1D13" w:rsidP="007E1D13">
            <w:pPr>
              <w:spacing w:after="0" w:line="360" w:lineRule="auto"/>
              <w:rPr>
                <w:color w:val="000000"/>
                <w:lang w:eastAsia="en-GB"/>
              </w:rPr>
            </w:pPr>
            <w:r w:rsidRPr="00B2469D">
              <w:rPr>
                <w:color w:val="000000"/>
                <w:lang w:eastAsia="en-GB"/>
              </w:rPr>
              <w:t>Non-users are straight</w:t>
            </w:r>
          </w:p>
        </w:tc>
        <w:tc>
          <w:tcPr>
            <w:tcW w:w="709" w:type="dxa"/>
            <w:shd w:val="clear" w:color="auto" w:fill="auto"/>
            <w:vAlign w:val="center"/>
          </w:tcPr>
          <w:p w14:paraId="0307F19F" w14:textId="77777777" w:rsidR="007E1D13" w:rsidRPr="00B2469D" w:rsidRDefault="007E1D13" w:rsidP="007E1D13">
            <w:pPr>
              <w:spacing w:after="0" w:line="360" w:lineRule="auto"/>
              <w:jc w:val="center"/>
              <w:rPr>
                <w:color w:val="000000"/>
                <w:lang w:eastAsia="en-GB"/>
              </w:rPr>
            </w:pPr>
            <w:r>
              <w:rPr>
                <w:color w:val="000000"/>
                <w:lang w:eastAsia="en-GB"/>
              </w:rPr>
              <w:t>2</w:t>
            </w:r>
          </w:p>
        </w:tc>
        <w:tc>
          <w:tcPr>
            <w:tcW w:w="710" w:type="dxa"/>
          </w:tcPr>
          <w:p w14:paraId="62CD17E8" w14:textId="77777777" w:rsidR="007E1D13" w:rsidRDefault="007E1D13" w:rsidP="007E1D13">
            <w:pPr>
              <w:spacing w:after="0" w:line="360" w:lineRule="auto"/>
              <w:jc w:val="right"/>
              <w:rPr>
                <w:color w:val="000000"/>
                <w:lang w:eastAsia="en-GB"/>
              </w:rPr>
            </w:pPr>
            <w:r>
              <w:rPr>
                <w:color w:val="000000"/>
                <w:lang w:eastAsia="en-GB"/>
              </w:rPr>
              <w:t>3</w:t>
            </w:r>
          </w:p>
        </w:tc>
        <w:tc>
          <w:tcPr>
            <w:tcW w:w="839" w:type="dxa"/>
            <w:gridSpan w:val="2"/>
          </w:tcPr>
          <w:p w14:paraId="711B137F" w14:textId="77777777" w:rsidR="007E1D13" w:rsidRDefault="007E1D13" w:rsidP="007E1D13">
            <w:pPr>
              <w:spacing w:after="0" w:line="360" w:lineRule="auto"/>
              <w:jc w:val="right"/>
              <w:rPr>
                <w:color w:val="000000"/>
                <w:lang w:eastAsia="en-GB"/>
              </w:rPr>
            </w:pPr>
            <w:r>
              <w:rPr>
                <w:color w:val="000000"/>
                <w:lang w:eastAsia="en-GB"/>
              </w:rPr>
              <w:t>3</w:t>
            </w:r>
          </w:p>
        </w:tc>
        <w:tc>
          <w:tcPr>
            <w:tcW w:w="1003" w:type="dxa"/>
            <w:gridSpan w:val="3"/>
            <w:shd w:val="clear" w:color="auto" w:fill="auto"/>
          </w:tcPr>
          <w:p w14:paraId="36C7D56A" w14:textId="77777777" w:rsidR="007E1D13" w:rsidRPr="00B2469D" w:rsidRDefault="007E1D13" w:rsidP="007E1D13">
            <w:pPr>
              <w:spacing w:after="0" w:line="360" w:lineRule="auto"/>
              <w:jc w:val="right"/>
              <w:rPr>
                <w:color w:val="000000"/>
                <w:lang w:eastAsia="en-GB"/>
              </w:rPr>
            </w:pPr>
            <w:r>
              <w:rPr>
                <w:color w:val="000000"/>
                <w:lang w:eastAsia="en-GB"/>
              </w:rPr>
              <w:t>- 2</w:t>
            </w:r>
          </w:p>
        </w:tc>
      </w:tr>
      <w:tr w:rsidR="007E1D13" w:rsidRPr="00B2469D" w14:paraId="3612696C" w14:textId="77777777" w:rsidTr="007E1D13">
        <w:trPr>
          <w:trHeight w:val="290"/>
        </w:trPr>
        <w:tc>
          <w:tcPr>
            <w:tcW w:w="2518" w:type="dxa"/>
            <w:gridSpan w:val="2"/>
            <w:tcBorders>
              <w:bottom w:val="single" w:sz="4" w:space="0" w:color="auto"/>
            </w:tcBorders>
            <w:shd w:val="clear" w:color="auto" w:fill="auto"/>
            <w:noWrap/>
            <w:vAlign w:val="bottom"/>
          </w:tcPr>
          <w:p w14:paraId="2E4374E3" w14:textId="77777777" w:rsidR="007E1D13" w:rsidRPr="00B2469D" w:rsidRDefault="007E1D13" w:rsidP="007E1D13">
            <w:pPr>
              <w:spacing w:after="0" w:line="360" w:lineRule="auto"/>
              <w:rPr>
                <w:sz w:val="20"/>
                <w:szCs w:val="20"/>
                <w:lang w:eastAsia="en-GB"/>
              </w:rPr>
            </w:pPr>
          </w:p>
        </w:tc>
        <w:tc>
          <w:tcPr>
            <w:tcW w:w="3827" w:type="dxa"/>
            <w:gridSpan w:val="2"/>
            <w:tcBorders>
              <w:bottom w:val="single" w:sz="4" w:space="0" w:color="auto"/>
            </w:tcBorders>
            <w:shd w:val="clear" w:color="auto" w:fill="auto"/>
            <w:noWrap/>
            <w:vAlign w:val="bottom"/>
          </w:tcPr>
          <w:p w14:paraId="6CE7E408" w14:textId="77777777" w:rsidR="007E1D13" w:rsidRPr="00B2469D" w:rsidRDefault="007E1D13" w:rsidP="007E1D13">
            <w:pPr>
              <w:spacing w:after="0" w:line="360" w:lineRule="auto"/>
              <w:rPr>
                <w:color w:val="000000"/>
                <w:lang w:eastAsia="en-GB"/>
              </w:rPr>
            </w:pPr>
            <w:r>
              <w:rPr>
                <w:color w:val="000000"/>
                <w:lang w:eastAsia="en-GB"/>
              </w:rPr>
              <w:t>Users are from good backgrounds</w:t>
            </w:r>
            <w:r w:rsidRPr="00AC4533">
              <w:rPr>
                <w:color w:val="000000"/>
                <w:sz w:val="28"/>
                <w:vertAlign w:val="superscript"/>
                <w:lang w:eastAsia="en-GB"/>
              </w:rPr>
              <w:sym w:font="Wingdings 2" w:char="F085"/>
            </w:r>
            <w:r>
              <w:rPr>
                <w:color w:val="000000"/>
                <w:lang w:eastAsia="en-GB"/>
              </w:rPr>
              <w:t xml:space="preserve"> </w:t>
            </w:r>
          </w:p>
        </w:tc>
        <w:tc>
          <w:tcPr>
            <w:tcW w:w="709" w:type="dxa"/>
            <w:tcBorders>
              <w:bottom w:val="single" w:sz="4" w:space="0" w:color="auto"/>
            </w:tcBorders>
            <w:shd w:val="clear" w:color="auto" w:fill="auto"/>
            <w:vAlign w:val="center"/>
          </w:tcPr>
          <w:p w14:paraId="1723F042" w14:textId="77777777" w:rsidR="007E1D13" w:rsidRDefault="007E1D13" w:rsidP="007E1D13">
            <w:pPr>
              <w:spacing w:after="0" w:line="360" w:lineRule="auto"/>
              <w:jc w:val="center"/>
              <w:rPr>
                <w:color w:val="000000"/>
                <w:lang w:eastAsia="en-GB"/>
              </w:rPr>
            </w:pPr>
            <w:r>
              <w:rPr>
                <w:color w:val="000000"/>
                <w:lang w:eastAsia="en-GB"/>
              </w:rPr>
              <w:t>0</w:t>
            </w:r>
          </w:p>
        </w:tc>
        <w:tc>
          <w:tcPr>
            <w:tcW w:w="710" w:type="dxa"/>
            <w:tcBorders>
              <w:bottom w:val="single" w:sz="4" w:space="0" w:color="auto"/>
            </w:tcBorders>
          </w:tcPr>
          <w:p w14:paraId="58C4D670" w14:textId="77777777" w:rsidR="007E1D13" w:rsidRDefault="007E1D13" w:rsidP="007E1D13">
            <w:pPr>
              <w:spacing w:after="0" w:line="360" w:lineRule="auto"/>
              <w:jc w:val="right"/>
              <w:rPr>
                <w:color w:val="000000"/>
                <w:lang w:eastAsia="en-GB"/>
              </w:rPr>
            </w:pPr>
            <w:r>
              <w:rPr>
                <w:color w:val="000000"/>
                <w:lang w:eastAsia="en-GB"/>
              </w:rPr>
              <w:t>0</w:t>
            </w:r>
          </w:p>
        </w:tc>
        <w:tc>
          <w:tcPr>
            <w:tcW w:w="839" w:type="dxa"/>
            <w:gridSpan w:val="2"/>
            <w:tcBorders>
              <w:bottom w:val="single" w:sz="4" w:space="0" w:color="auto"/>
            </w:tcBorders>
          </w:tcPr>
          <w:p w14:paraId="126364F3" w14:textId="77777777" w:rsidR="007E1D13" w:rsidRDefault="007E1D13" w:rsidP="007E1D13">
            <w:pPr>
              <w:spacing w:after="0" w:line="360" w:lineRule="auto"/>
              <w:jc w:val="right"/>
              <w:rPr>
                <w:color w:val="000000"/>
                <w:lang w:eastAsia="en-GB"/>
              </w:rPr>
            </w:pPr>
            <w:r>
              <w:rPr>
                <w:color w:val="000000"/>
                <w:lang w:eastAsia="en-GB"/>
              </w:rPr>
              <w:t>0</w:t>
            </w:r>
          </w:p>
        </w:tc>
        <w:tc>
          <w:tcPr>
            <w:tcW w:w="1003" w:type="dxa"/>
            <w:gridSpan w:val="3"/>
            <w:tcBorders>
              <w:bottom w:val="single" w:sz="4" w:space="0" w:color="auto"/>
            </w:tcBorders>
            <w:shd w:val="clear" w:color="auto" w:fill="auto"/>
          </w:tcPr>
          <w:p w14:paraId="0A248517" w14:textId="77777777" w:rsidR="007E1D13" w:rsidRDefault="007E1D13" w:rsidP="007E1D13">
            <w:pPr>
              <w:spacing w:after="0" w:line="360" w:lineRule="auto"/>
              <w:jc w:val="right"/>
              <w:rPr>
                <w:color w:val="000000"/>
                <w:lang w:eastAsia="en-GB"/>
              </w:rPr>
            </w:pPr>
            <w:r>
              <w:rPr>
                <w:color w:val="000000"/>
                <w:lang w:eastAsia="en-GB"/>
              </w:rPr>
              <w:t>- 19</w:t>
            </w:r>
          </w:p>
        </w:tc>
      </w:tr>
    </w:tbl>
    <w:p w14:paraId="7B631232" w14:textId="77777777" w:rsidR="007E1D13" w:rsidRDefault="007E1D13" w:rsidP="007E1D13">
      <w:r>
        <w:t xml:space="preserve">* Novel coding category </w:t>
      </w:r>
      <w:r w:rsidRPr="00AC4533">
        <w:rPr>
          <w:color w:val="000000"/>
          <w:sz w:val="28"/>
          <w:vertAlign w:val="superscript"/>
          <w:lang w:eastAsia="en-GB"/>
        </w:rPr>
        <w:sym w:font="Wingdings 2" w:char="F085"/>
      </w:r>
      <w:r w:rsidRPr="00AC4533">
        <w:t xml:space="preserve"> </w:t>
      </w:r>
      <w:r>
        <w:t>Coding category absent</w:t>
      </w:r>
    </w:p>
    <w:p w14:paraId="22BE10AF" w14:textId="77777777" w:rsidR="007E1D13" w:rsidRDefault="007E1D13" w:rsidP="007E1D13">
      <w:pPr>
        <w:rPr>
          <w:b/>
        </w:rPr>
      </w:pPr>
    </w:p>
    <w:p w14:paraId="7092E19D" w14:textId="77777777" w:rsidR="007E1D13" w:rsidRDefault="007E1D13" w:rsidP="007E1D13">
      <w:pPr>
        <w:rPr>
          <w:b/>
        </w:rPr>
      </w:pPr>
      <w:r>
        <w:rPr>
          <w:b/>
        </w:rPr>
        <w:br w:type="page"/>
      </w:r>
    </w:p>
    <w:p w14:paraId="4DE62E48" w14:textId="5594F623" w:rsidR="007E1D13" w:rsidRPr="004B0B16" w:rsidRDefault="007E1D13" w:rsidP="00461C9A">
      <w:pPr>
        <w:pStyle w:val="TableHeader"/>
        <w:spacing w:line="240" w:lineRule="auto"/>
        <w:rPr>
          <w:b/>
        </w:rPr>
      </w:pPr>
      <w:bookmarkStart w:id="477" w:name="_Toc9509085"/>
      <w:r w:rsidRPr="004B0B16">
        <w:rPr>
          <w:b/>
        </w:rPr>
        <w:t xml:space="preserve">Table </w:t>
      </w:r>
      <w:r w:rsidR="00BB0973" w:rsidRPr="004B0B16">
        <w:rPr>
          <w:b/>
        </w:rPr>
        <w:t>7-</w:t>
      </w:r>
      <w:r w:rsidRPr="004B0B16">
        <w:rPr>
          <w:b/>
        </w:rPr>
        <w:t>11. Beliefs, reasons and motives discouraging use of NPS</w:t>
      </w:r>
      <w:bookmarkEnd w:id="477"/>
      <w:r w:rsidRPr="004B0B16">
        <w:rPr>
          <w:b/>
        </w:rPr>
        <w:t xml:space="preserve"> </w:t>
      </w:r>
    </w:p>
    <w:tbl>
      <w:tblPr>
        <w:tblW w:w="9464" w:type="dxa"/>
        <w:tblLayout w:type="fixed"/>
        <w:tblLook w:val="04A0" w:firstRow="1" w:lastRow="0" w:firstColumn="1" w:lastColumn="0" w:noHBand="0" w:noVBand="1"/>
      </w:tblPr>
      <w:tblGrid>
        <w:gridCol w:w="1951"/>
        <w:gridCol w:w="709"/>
        <w:gridCol w:w="3685"/>
        <w:gridCol w:w="709"/>
        <w:gridCol w:w="709"/>
        <w:gridCol w:w="142"/>
        <w:gridCol w:w="708"/>
        <w:gridCol w:w="851"/>
      </w:tblGrid>
      <w:tr w:rsidR="007E1D13" w:rsidRPr="00B2469D" w14:paraId="05707DE0" w14:textId="77777777" w:rsidTr="007E1D13">
        <w:trPr>
          <w:trHeight w:val="290"/>
        </w:trPr>
        <w:tc>
          <w:tcPr>
            <w:tcW w:w="1951" w:type="dxa"/>
            <w:tcBorders>
              <w:top w:val="single" w:sz="4" w:space="0" w:color="auto"/>
              <w:bottom w:val="single" w:sz="4" w:space="0" w:color="auto"/>
            </w:tcBorders>
            <w:shd w:val="clear" w:color="auto" w:fill="auto"/>
            <w:noWrap/>
          </w:tcPr>
          <w:p w14:paraId="128A6FE1" w14:textId="77777777" w:rsidR="007E1D13" w:rsidRPr="00B2469D" w:rsidRDefault="007E1D13" w:rsidP="007E1D13">
            <w:pPr>
              <w:spacing w:before="120" w:after="120" w:line="240" w:lineRule="auto"/>
              <w:rPr>
                <w:b/>
                <w:color w:val="000000"/>
                <w:lang w:eastAsia="en-GB"/>
              </w:rPr>
            </w:pPr>
            <w:r>
              <w:rPr>
                <w:b/>
                <w:color w:val="000000"/>
                <w:lang w:eastAsia="en-GB"/>
              </w:rPr>
              <w:t>Global t</w:t>
            </w:r>
            <w:r w:rsidRPr="00B2469D">
              <w:rPr>
                <w:b/>
                <w:color w:val="000000"/>
                <w:lang w:eastAsia="en-GB"/>
              </w:rPr>
              <w:t>heme</w:t>
            </w:r>
          </w:p>
        </w:tc>
        <w:tc>
          <w:tcPr>
            <w:tcW w:w="709" w:type="dxa"/>
            <w:tcBorders>
              <w:top w:val="single" w:sz="4" w:space="0" w:color="auto"/>
              <w:bottom w:val="single" w:sz="4" w:space="0" w:color="auto"/>
            </w:tcBorders>
            <w:shd w:val="clear" w:color="auto" w:fill="auto"/>
          </w:tcPr>
          <w:p w14:paraId="63F2B78B" w14:textId="77777777" w:rsidR="007E1D13" w:rsidRPr="00B2469D" w:rsidRDefault="007E1D13" w:rsidP="007E1D13">
            <w:pPr>
              <w:spacing w:before="120" w:after="120" w:line="240" w:lineRule="auto"/>
              <w:rPr>
                <w:b/>
                <w:color w:val="000000"/>
                <w:lang w:eastAsia="en-GB"/>
              </w:rPr>
            </w:pPr>
          </w:p>
        </w:tc>
        <w:tc>
          <w:tcPr>
            <w:tcW w:w="3685" w:type="dxa"/>
            <w:tcBorders>
              <w:top w:val="single" w:sz="4" w:space="0" w:color="auto"/>
              <w:bottom w:val="single" w:sz="4" w:space="0" w:color="auto"/>
            </w:tcBorders>
            <w:shd w:val="clear" w:color="auto" w:fill="auto"/>
          </w:tcPr>
          <w:p w14:paraId="71784129" w14:textId="77777777" w:rsidR="007E1D13" w:rsidRPr="00B2469D" w:rsidRDefault="007E1D13" w:rsidP="007E1D13">
            <w:pPr>
              <w:spacing w:before="120" w:after="120" w:line="240" w:lineRule="auto"/>
              <w:rPr>
                <w:b/>
                <w:color w:val="000000"/>
                <w:lang w:eastAsia="en-GB"/>
              </w:rPr>
            </w:pPr>
            <w:r>
              <w:rPr>
                <w:b/>
                <w:color w:val="000000"/>
                <w:lang w:eastAsia="en-GB"/>
              </w:rPr>
              <w:t>Organising theme</w:t>
            </w:r>
          </w:p>
        </w:tc>
        <w:tc>
          <w:tcPr>
            <w:tcW w:w="709" w:type="dxa"/>
            <w:tcBorders>
              <w:top w:val="single" w:sz="4" w:space="0" w:color="auto"/>
              <w:bottom w:val="single" w:sz="4" w:space="0" w:color="auto"/>
            </w:tcBorders>
          </w:tcPr>
          <w:p w14:paraId="2D68B0CA" w14:textId="77777777" w:rsidR="007E1D13" w:rsidRPr="00B2469D" w:rsidRDefault="007E1D13" w:rsidP="007E1D13">
            <w:pPr>
              <w:spacing w:before="120" w:after="120" w:line="240" w:lineRule="auto"/>
              <w:rPr>
                <w:b/>
                <w:color w:val="000000"/>
                <w:lang w:eastAsia="en-GB"/>
              </w:rPr>
            </w:pPr>
            <w:r>
              <w:rPr>
                <w:b/>
                <w:color w:val="000000"/>
                <w:lang w:eastAsia="en-GB"/>
              </w:rPr>
              <w:t>FGs</w:t>
            </w:r>
          </w:p>
        </w:tc>
        <w:tc>
          <w:tcPr>
            <w:tcW w:w="851" w:type="dxa"/>
            <w:gridSpan w:val="2"/>
            <w:tcBorders>
              <w:top w:val="single" w:sz="4" w:space="0" w:color="auto"/>
              <w:bottom w:val="single" w:sz="4" w:space="0" w:color="auto"/>
            </w:tcBorders>
            <w:shd w:val="clear" w:color="auto" w:fill="auto"/>
          </w:tcPr>
          <w:p w14:paraId="245308A1" w14:textId="77777777" w:rsidR="007E1D13" w:rsidRPr="00B2469D" w:rsidRDefault="007E1D13" w:rsidP="007E1D13">
            <w:pPr>
              <w:spacing w:before="120" w:after="120" w:line="240" w:lineRule="auto"/>
              <w:rPr>
                <w:b/>
                <w:color w:val="000000"/>
                <w:lang w:eastAsia="en-GB"/>
              </w:rPr>
            </w:pPr>
            <w:r>
              <w:rPr>
                <w:b/>
                <w:color w:val="000000"/>
                <w:lang w:eastAsia="en-GB"/>
              </w:rPr>
              <w:t xml:space="preserve">Freq.   </w:t>
            </w:r>
          </w:p>
        </w:tc>
        <w:tc>
          <w:tcPr>
            <w:tcW w:w="708" w:type="dxa"/>
            <w:tcBorders>
              <w:top w:val="single" w:sz="4" w:space="0" w:color="auto"/>
              <w:bottom w:val="single" w:sz="4" w:space="0" w:color="auto"/>
            </w:tcBorders>
          </w:tcPr>
          <w:p w14:paraId="207EDAC3" w14:textId="77777777" w:rsidR="007E1D13" w:rsidRDefault="007E1D13" w:rsidP="007E1D13">
            <w:pPr>
              <w:spacing w:before="120" w:after="120" w:line="240" w:lineRule="auto"/>
              <w:jc w:val="right"/>
              <w:rPr>
                <w:b/>
                <w:color w:val="000000"/>
                <w:lang w:eastAsia="en-GB"/>
              </w:rPr>
            </w:pPr>
            <w:r>
              <w:rPr>
                <w:b/>
                <w:color w:val="000000"/>
                <w:lang w:eastAsia="en-GB"/>
              </w:rPr>
              <w:t>Adj.</w:t>
            </w:r>
          </w:p>
        </w:tc>
        <w:tc>
          <w:tcPr>
            <w:tcW w:w="851" w:type="dxa"/>
            <w:tcBorders>
              <w:top w:val="single" w:sz="4" w:space="0" w:color="auto"/>
              <w:bottom w:val="single" w:sz="4" w:space="0" w:color="auto"/>
            </w:tcBorders>
          </w:tcPr>
          <w:p w14:paraId="3D9B2F40" w14:textId="77777777" w:rsidR="007E1D13" w:rsidRDefault="007E1D13" w:rsidP="007E1D13">
            <w:pPr>
              <w:spacing w:before="120" w:after="120" w:line="240" w:lineRule="auto"/>
              <w:jc w:val="right"/>
              <w:rPr>
                <w:b/>
                <w:color w:val="000000"/>
                <w:lang w:eastAsia="en-GB"/>
              </w:rPr>
            </w:pPr>
            <w:r>
              <w:rPr>
                <w:b/>
                <w:color w:val="000000"/>
                <w:lang w:eastAsia="en-GB"/>
              </w:rPr>
              <w:t>Diff.</w:t>
            </w:r>
          </w:p>
        </w:tc>
      </w:tr>
      <w:tr w:rsidR="007E1D13" w:rsidRPr="00B2469D" w14:paraId="1EC2950A" w14:textId="77777777" w:rsidTr="007E1D13">
        <w:trPr>
          <w:trHeight w:val="290"/>
        </w:trPr>
        <w:tc>
          <w:tcPr>
            <w:tcW w:w="1951" w:type="dxa"/>
            <w:tcBorders>
              <w:top w:val="single" w:sz="4" w:space="0" w:color="auto"/>
            </w:tcBorders>
            <w:shd w:val="clear" w:color="auto" w:fill="auto"/>
            <w:noWrap/>
            <w:vAlign w:val="bottom"/>
          </w:tcPr>
          <w:p w14:paraId="4799A2C3" w14:textId="77777777" w:rsidR="007E1D13" w:rsidRPr="00B2469D" w:rsidRDefault="007E1D13" w:rsidP="007E1D13">
            <w:pPr>
              <w:spacing w:before="120" w:after="0" w:line="360" w:lineRule="auto"/>
              <w:rPr>
                <w:color w:val="000000"/>
                <w:lang w:eastAsia="en-GB"/>
              </w:rPr>
            </w:pPr>
            <w:r>
              <w:rPr>
                <w:b/>
                <w:color w:val="000000"/>
                <w:lang w:eastAsia="en-GB"/>
              </w:rPr>
              <w:t xml:space="preserve">Risk perception  </w:t>
            </w:r>
          </w:p>
        </w:tc>
        <w:tc>
          <w:tcPr>
            <w:tcW w:w="709" w:type="dxa"/>
            <w:tcBorders>
              <w:top w:val="single" w:sz="4" w:space="0" w:color="auto"/>
            </w:tcBorders>
            <w:shd w:val="clear" w:color="auto" w:fill="auto"/>
            <w:vAlign w:val="center"/>
          </w:tcPr>
          <w:p w14:paraId="6C05E901" w14:textId="77777777" w:rsidR="007E1D13" w:rsidRPr="00B2469D" w:rsidRDefault="007E1D13" w:rsidP="007E1D13">
            <w:pPr>
              <w:spacing w:before="120" w:after="0" w:line="360" w:lineRule="auto"/>
              <w:jc w:val="right"/>
              <w:rPr>
                <w:color w:val="000000"/>
                <w:lang w:eastAsia="en-GB"/>
              </w:rPr>
            </w:pPr>
            <w:r>
              <w:rPr>
                <w:b/>
                <w:color w:val="000000"/>
                <w:lang w:eastAsia="en-GB"/>
              </w:rPr>
              <w:t>160</w:t>
            </w:r>
          </w:p>
        </w:tc>
        <w:tc>
          <w:tcPr>
            <w:tcW w:w="3685" w:type="dxa"/>
            <w:tcBorders>
              <w:top w:val="single" w:sz="4" w:space="0" w:color="auto"/>
            </w:tcBorders>
            <w:shd w:val="clear" w:color="auto" w:fill="auto"/>
            <w:noWrap/>
            <w:vAlign w:val="bottom"/>
          </w:tcPr>
          <w:p w14:paraId="39C8C738" w14:textId="77777777" w:rsidR="007E1D13" w:rsidRPr="00B2469D" w:rsidRDefault="007E1D13" w:rsidP="007E1D13">
            <w:pPr>
              <w:spacing w:before="120" w:after="0" w:line="360" w:lineRule="auto"/>
              <w:rPr>
                <w:color w:val="000000"/>
                <w:lang w:eastAsia="en-GB"/>
              </w:rPr>
            </w:pPr>
            <w:r w:rsidRPr="00B2469D">
              <w:rPr>
                <w:color w:val="000000"/>
                <w:lang w:eastAsia="en-GB"/>
              </w:rPr>
              <w:t>Harmful</w:t>
            </w:r>
            <w:r>
              <w:rPr>
                <w:color w:val="000000"/>
                <w:lang w:eastAsia="en-GB"/>
              </w:rPr>
              <w:t xml:space="preserve"> / deadly</w:t>
            </w:r>
          </w:p>
        </w:tc>
        <w:tc>
          <w:tcPr>
            <w:tcW w:w="709" w:type="dxa"/>
            <w:tcBorders>
              <w:top w:val="single" w:sz="4" w:space="0" w:color="auto"/>
            </w:tcBorders>
            <w:vAlign w:val="bottom"/>
          </w:tcPr>
          <w:p w14:paraId="668F92EC"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2D0450EF" w14:textId="77777777" w:rsidR="007E1D13" w:rsidRPr="00B2469D" w:rsidRDefault="007E1D13" w:rsidP="007E1D13">
            <w:pPr>
              <w:spacing w:before="120" w:after="0" w:line="360" w:lineRule="auto"/>
              <w:jc w:val="right"/>
              <w:rPr>
                <w:color w:val="000000"/>
                <w:lang w:eastAsia="en-GB"/>
              </w:rPr>
            </w:pPr>
            <w:r>
              <w:rPr>
                <w:color w:val="000000"/>
                <w:lang w:eastAsia="en-GB"/>
              </w:rPr>
              <w:t>65</w:t>
            </w:r>
          </w:p>
        </w:tc>
        <w:tc>
          <w:tcPr>
            <w:tcW w:w="850" w:type="dxa"/>
            <w:gridSpan w:val="2"/>
            <w:tcBorders>
              <w:top w:val="single" w:sz="4" w:space="0" w:color="auto"/>
            </w:tcBorders>
          </w:tcPr>
          <w:p w14:paraId="19A1BB91" w14:textId="77777777" w:rsidR="007E1D13" w:rsidRDefault="007E1D13" w:rsidP="007E1D13">
            <w:pPr>
              <w:spacing w:before="120" w:after="0" w:line="360" w:lineRule="auto"/>
              <w:jc w:val="right"/>
              <w:rPr>
                <w:color w:val="000000"/>
                <w:lang w:eastAsia="en-GB"/>
              </w:rPr>
            </w:pPr>
            <w:r>
              <w:rPr>
                <w:color w:val="000000"/>
                <w:lang w:eastAsia="en-GB"/>
              </w:rPr>
              <w:t>74</w:t>
            </w:r>
          </w:p>
        </w:tc>
        <w:tc>
          <w:tcPr>
            <w:tcW w:w="851" w:type="dxa"/>
            <w:tcBorders>
              <w:top w:val="single" w:sz="4" w:space="0" w:color="auto"/>
            </w:tcBorders>
          </w:tcPr>
          <w:p w14:paraId="6CA55BE0" w14:textId="77777777" w:rsidR="007E1D13" w:rsidRDefault="007E1D13" w:rsidP="007E1D13">
            <w:pPr>
              <w:spacing w:before="120" w:after="0" w:line="360" w:lineRule="auto"/>
              <w:jc w:val="right"/>
              <w:rPr>
                <w:color w:val="000000"/>
                <w:lang w:eastAsia="en-GB"/>
              </w:rPr>
            </w:pPr>
            <w:r>
              <w:rPr>
                <w:color w:val="000000"/>
                <w:lang w:eastAsia="en-GB"/>
              </w:rPr>
              <w:t xml:space="preserve">+ 33  </w:t>
            </w:r>
          </w:p>
        </w:tc>
      </w:tr>
      <w:tr w:rsidR="007E1D13" w:rsidRPr="00B2469D" w14:paraId="6090118F" w14:textId="77777777" w:rsidTr="007E1D13">
        <w:trPr>
          <w:trHeight w:val="290"/>
        </w:trPr>
        <w:tc>
          <w:tcPr>
            <w:tcW w:w="1951" w:type="dxa"/>
            <w:shd w:val="clear" w:color="auto" w:fill="auto"/>
            <w:noWrap/>
            <w:vAlign w:val="bottom"/>
          </w:tcPr>
          <w:p w14:paraId="29DC736E" w14:textId="77777777" w:rsidR="007E1D13" w:rsidRDefault="007E1D13" w:rsidP="007E1D13">
            <w:pPr>
              <w:spacing w:after="0" w:line="360" w:lineRule="auto"/>
              <w:rPr>
                <w:b/>
                <w:color w:val="000000"/>
                <w:lang w:eastAsia="en-GB"/>
              </w:rPr>
            </w:pPr>
          </w:p>
        </w:tc>
        <w:tc>
          <w:tcPr>
            <w:tcW w:w="709" w:type="dxa"/>
            <w:shd w:val="clear" w:color="auto" w:fill="auto"/>
            <w:vAlign w:val="center"/>
          </w:tcPr>
          <w:p w14:paraId="094511CA" w14:textId="77777777" w:rsidR="007E1D13" w:rsidRDefault="007E1D13" w:rsidP="007E1D13">
            <w:pPr>
              <w:spacing w:after="0" w:line="360" w:lineRule="auto"/>
              <w:jc w:val="right"/>
              <w:rPr>
                <w:b/>
                <w:color w:val="000000"/>
                <w:lang w:eastAsia="en-GB"/>
              </w:rPr>
            </w:pPr>
          </w:p>
        </w:tc>
        <w:tc>
          <w:tcPr>
            <w:tcW w:w="3685" w:type="dxa"/>
            <w:shd w:val="clear" w:color="auto" w:fill="auto"/>
            <w:noWrap/>
            <w:vAlign w:val="bottom"/>
          </w:tcPr>
          <w:p w14:paraId="39C82928" w14:textId="77777777" w:rsidR="007E1D13" w:rsidRPr="00B2469D" w:rsidRDefault="007E1D13" w:rsidP="007E1D13">
            <w:pPr>
              <w:spacing w:after="0" w:line="360" w:lineRule="auto"/>
              <w:rPr>
                <w:color w:val="000000"/>
                <w:lang w:eastAsia="en-GB"/>
              </w:rPr>
            </w:pPr>
            <w:r>
              <w:rPr>
                <w:color w:val="000000"/>
                <w:lang w:eastAsia="en-GB"/>
              </w:rPr>
              <w:t>Not regulated / bad ingredients</w:t>
            </w:r>
          </w:p>
        </w:tc>
        <w:tc>
          <w:tcPr>
            <w:tcW w:w="709" w:type="dxa"/>
            <w:vAlign w:val="bottom"/>
          </w:tcPr>
          <w:p w14:paraId="4EDFB4E7" w14:textId="77777777" w:rsidR="007E1D13" w:rsidRDefault="007E1D13" w:rsidP="007E1D13">
            <w:pPr>
              <w:spacing w:after="0" w:line="360" w:lineRule="auto"/>
              <w:jc w:val="center"/>
              <w:rPr>
                <w:color w:val="000000"/>
                <w:lang w:eastAsia="en-GB"/>
              </w:rPr>
            </w:pPr>
            <w:r>
              <w:rPr>
                <w:color w:val="000000"/>
                <w:lang w:eastAsia="en-GB"/>
              </w:rPr>
              <w:t>3</w:t>
            </w:r>
          </w:p>
        </w:tc>
        <w:tc>
          <w:tcPr>
            <w:tcW w:w="709" w:type="dxa"/>
            <w:shd w:val="clear" w:color="auto" w:fill="auto"/>
            <w:vAlign w:val="bottom"/>
          </w:tcPr>
          <w:p w14:paraId="772BE5CB" w14:textId="77777777" w:rsidR="007E1D13" w:rsidRDefault="007E1D13" w:rsidP="007E1D13">
            <w:pPr>
              <w:spacing w:after="0" w:line="360" w:lineRule="auto"/>
              <w:jc w:val="right"/>
              <w:rPr>
                <w:color w:val="000000"/>
                <w:lang w:eastAsia="en-GB"/>
              </w:rPr>
            </w:pPr>
            <w:r>
              <w:rPr>
                <w:color w:val="000000"/>
                <w:lang w:eastAsia="en-GB"/>
              </w:rPr>
              <w:t>27</w:t>
            </w:r>
          </w:p>
        </w:tc>
        <w:tc>
          <w:tcPr>
            <w:tcW w:w="850" w:type="dxa"/>
            <w:gridSpan w:val="2"/>
          </w:tcPr>
          <w:p w14:paraId="6A1BA1D1" w14:textId="77777777" w:rsidR="007E1D13" w:rsidRDefault="007E1D13" w:rsidP="007E1D13">
            <w:pPr>
              <w:spacing w:after="0" w:line="360" w:lineRule="auto"/>
              <w:jc w:val="right"/>
              <w:rPr>
                <w:color w:val="000000"/>
                <w:lang w:eastAsia="en-GB"/>
              </w:rPr>
            </w:pPr>
            <w:r>
              <w:rPr>
                <w:color w:val="000000"/>
                <w:lang w:eastAsia="en-GB"/>
              </w:rPr>
              <w:t>31</w:t>
            </w:r>
          </w:p>
        </w:tc>
        <w:tc>
          <w:tcPr>
            <w:tcW w:w="851" w:type="dxa"/>
          </w:tcPr>
          <w:p w14:paraId="411BBF8B" w14:textId="77777777" w:rsidR="007E1D13" w:rsidRDefault="007E1D13" w:rsidP="007E1D13">
            <w:pPr>
              <w:spacing w:after="0" w:line="360" w:lineRule="auto"/>
              <w:jc w:val="right"/>
              <w:rPr>
                <w:color w:val="000000"/>
                <w:lang w:eastAsia="en-GB"/>
              </w:rPr>
            </w:pPr>
            <w:r>
              <w:rPr>
                <w:color w:val="000000"/>
                <w:lang w:eastAsia="en-GB"/>
              </w:rPr>
              <w:t>+ 1</w:t>
            </w:r>
          </w:p>
        </w:tc>
      </w:tr>
      <w:tr w:rsidR="007E1D13" w:rsidRPr="00B2469D" w14:paraId="77E3C445" w14:textId="77777777" w:rsidTr="007E1D13">
        <w:trPr>
          <w:trHeight w:val="290"/>
        </w:trPr>
        <w:tc>
          <w:tcPr>
            <w:tcW w:w="1951" w:type="dxa"/>
            <w:shd w:val="clear" w:color="auto" w:fill="auto"/>
            <w:noWrap/>
            <w:vAlign w:val="bottom"/>
          </w:tcPr>
          <w:p w14:paraId="11FE8187" w14:textId="77777777" w:rsidR="007E1D13" w:rsidRDefault="007E1D13" w:rsidP="007E1D13">
            <w:pPr>
              <w:spacing w:after="0" w:line="360" w:lineRule="auto"/>
              <w:rPr>
                <w:b/>
                <w:color w:val="000000"/>
                <w:lang w:eastAsia="en-GB"/>
              </w:rPr>
            </w:pPr>
          </w:p>
        </w:tc>
        <w:tc>
          <w:tcPr>
            <w:tcW w:w="709" w:type="dxa"/>
            <w:shd w:val="clear" w:color="auto" w:fill="auto"/>
            <w:vAlign w:val="center"/>
          </w:tcPr>
          <w:p w14:paraId="6BBBE511" w14:textId="77777777" w:rsidR="007E1D13" w:rsidRDefault="007E1D13" w:rsidP="007E1D13">
            <w:pPr>
              <w:spacing w:after="0" w:line="360" w:lineRule="auto"/>
              <w:jc w:val="right"/>
              <w:rPr>
                <w:b/>
                <w:color w:val="000000"/>
                <w:lang w:eastAsia="en-GB"/>
              </w:rPr>
            </w:pPr>
          </w:p>
        </w:tc>
        <w:tc>
          <w:tcPr>
            <w:tcW w:w="3685" w:type="dxa"/>
            <w:shd w:val="clear" w:color="auto" w:fill="auto"/>
            <w:noWrap/>
            <w:vAlign w:val="bottom"/>
          </w:tcPr>
          <w:p w14:paraId="224FB2E4" w14:textId="77777777" w:rsidR="007E1D13" w:rsidRPr="00B2469D" w:rsidRDefault="007E1D13" w:rsidP="007E1D13">
            <w:pPr>
              <w:spacing w:after="0" w:line="360" w:lineRule="auto"/>
              <w:rPr>
                <w:color w:val="000000"/>
                <w:lang w:eastAsia="en-GB"/>
              </w:rPr>
            </w:pPr>
            <w:r>
              <w:rPr>
                <w:color w:val="000000"/>
                <w:lang w:eastAsia="en-GB"/>
              </w:rPr>
              <w:t xml:space="preserve">Risk aware / educated </w:t>
            </w:r>
          </w:p>
        </w:tc>
        <w:tc>
          <w:tcPr>
            <w:tcW w:w="709" w:type="dxa"/>
            <w:vAlign w:val="bottom"/>
          </w:tcPr>
          <w:p w14:paraId="668E9617" w14:textId="77777777" w:rsidR="007E1D13" w:rsidRDefault="007E1D13" w:rsidP="007E1D13">
            <w:pPr>
              <w:spacing w:after="0" w:line="360" w:lineRule="auto"/>
              <w:jc w:val="center"/>
              <w:rPr>
                <w:color w:val="000000"/>
                <w:lang w:eastAsia="en-GB"/>
              </w:rPr>
            </w:pPr>
            <w:r>
              <w:rPr>
                <w:color w:val="000000"/>
                <w:lang w:eastAsia="en-GB"/>
              </w:rPr>
              <w:t>3</w:t>
            </w:r>
          </w:p>
        </w:tc>
        <w:tc>
          <w:tcPr>
            <w:tcW w:w="709" w:type="dxa"/>
            <w:shd w:val="clear" w:color="auto" w:fill="auto"/>
            <w:vAlign w:val="bottom"/>
          </w:tcPr>
          <w:p w14:paraId="0720D237" w14:textId="77777777" w:rsidR="007E1D13" w:rsidRDefault="007E1D13" w:rsidP="007E1D13">
            <w:pPr>
              <w:spacing w:after="0" w:line="360" w:lineRule="auto"/>
              <w:jc w:val="right"/>
              <w:rPr>
                <w:color w:val="000000"/>
                <w:lang w:eastAsia="en-GB"/>
              </w:rPr>
            </w:pPr>
            <w:r>
              <w:rPr>
                <w:color w:val="000000"/>
                <w:lang w:eastAsia="en-GB"/>
              </w:rPr>
              <w:t>26</w:t>
            </w:r>
          </w:p>
        </w:tc>
        <w:tc>
          <w:tcPr>
            <w:tcW w:w="850" w:type="dxa"/>
            <w:gridSpan w:val="2"/>
          </w:tcPr>
          <w:p w14:paraId="112D4400" w14:textId="77777777" w:rsidR="007E1D13" w:rsidRDefault="007E1D13" w:rsidP="007E1D13">
            <w:pPr>
              <w:spacing w:after="0" w:line="360" w:lineRule="auto"/>
              <w:jc w:val="right"/>
              <w:rPr>
                <w:color w:val="000000"/>
                <w:lang w:eastAsia="en-GB"/>
              </w:rPr>
            </w:pPr>
            <w:r>
              <w:rPr>
                <w:color w:val="000000"/>
                <w:lang w:eastAsia="en-GB"/>
              </w:rPr>
              <w:t>30</w:t>
            </w:r>
          </w:p>
        </w:tc>
        <w:tc>
          <w:tcPr>
            <w:tcW w:w="851" w:type="dxa"/>
          </w:tcPr>
          <w:p w14:paraId="10967A70" w14:textId="77777777" w:rsidR="007E1D13" w:rsidRDefault="007E1D13" w:rsidP="007E1D13">
            <w:pPr>
              <w:spacing w:after="0" w:line="360" w:lineRule="auto"/>
              <w:jc w:val="right"/>
              <w:rPr>
                <w:color w:val="000000"/>
                <w:lang w:eastAsia="en-GB"/>
              </w:rPr>
            </w:pPr>
            <w:r>
              <w:rPr>
                <w:color w:val="000000"/>
                <w:lang w:eastAsia="en-GB"/>
              </w:rPr>
              <w:t>0</w:t>
            </w:r>
          </w:p>
        </w:tc>
      </w:tr>
      <w:tr w:rsidR="007E1D13" w:rsidRPr="00B2469D" w14:paraId="0226FA1D" w14:textId="77777777" w:rsidTr="007E1D13">
        <w:trPr>
          <w:trHeight w:val="290"/>
        </w:trPr>
        <w:tc>
          <w:tcPr>
            <w:tcW w:w="1951" w:type="dxa"/>
            <w:shd w:val="clear" w:color="auto" w:fill="auto"/>
            <w:noWrap/>
            <w:vAlign w:val="bottom"/>
          </w:tcPr>
          <w:p w14:paraId="77ED83FF" w14:textId="77777777" w:rsidR="007E1D13" w:rsidRDefault="007E1D13" w:rsidP="007E1D13">
            <w:pPr>
              <w:spacing w:after="0" w:line="360" w:lineRule="auto"/>
              <w:rPr>
                <w:b/>
                <w:color w:val="000000"/>
                <w:lang w:eastAsia="en-GB"/>
              </w:rPr>
            </w:pPr>
          </w:p>
        </w:tc>
        <w:tc>
          <w:tcPr>
            <w:tcW w:w="709" w:type="dxa"/>
            <w:shd w:val="clear" w:color="auto" w:fill="auto"/>
            <w:vAlign w:val="center"/>
          </w:tcPr>
          <w:p w14:paraId="6DEDD46E" w14:textId="77777777" w:rsidR="007E1D13" w:rsidRDefault="007E1D13" w:rsidP="007E1D13">
            <w:pPr>
              <w:spacing w:after="0" w:line="360" w:lineRule="auto"/>
              <w:jc w:val="right"/>
              <w:rPr>
                <w:b/>
                <w:color w:val="000000"/>
                <w:lang w:eastAsia="en-GB"/>
              </w:rPr>
            </w:pPr>
          </w:p>
        </w:tc>
        <w:tc>
          <w:tcPr>
            <w:tcW w:w="3685" w:type="dxa"/>
            <w:shd w:val="clear" w:color="auto" w:fill="auto"/>
            <w:noWrap/>
            <w:vAlign w:val="bottom"/>
          </w:tcPr>
          <w:p w14:paraId="57FB7778" w14:textId="77777777" w:rsidR="007E1D13" w:rsidRPr="00B2469D" w:rsidRDefault="007E1D13" w:rsidP="007E1D13">
            <w:pPr>
              <w:spacing w:after="0" w:line="360" w:lineRule="auto"/>
              <w:rPr>
                <w:color w:val="000000"/>
                <w:lang w:eastAsia="en-GB"/>
              </w:rPr>
            </w:pPr>
            <w:r>
              <w:rPr>
                <w:color w:val="000000"/>
                <w:lang w:eastAsia="en-GB"/>
              </w:rPr>
              <w:t xml:space="preserve">Risk aware / media </w:t>
            </w:r>
          </w:p>
        </w:tc>
        <w:tc>
          <w:tcPr>
            <w:tcW w:w="709" w:type="dxa"/>
            <w:vAlign w:val="bottom"/>
          </w:tcPr>
          <w:p w14:paraId="65232C01" w14:textId="77777777" w:rsidR="007E1D13" w:rsidRDefault="007E1D13" w:rsidP="007E1D13">
            <w:pPr>
              <w:spacing w:after="0" w:line="360" w:lineRule="auto"/>
              <w:jc w:val="center"/>
              <w:rPr>
                <w:color w:val="000000"/>
                <w:lang w:eastAsia="en-GB"/>
              </w:rPr>
            </w:pPr>
            <w:r>
              <w:rPr>
                <w:color w:val="000000"/>
                <w:lang w:eastAsia="en-GB"/>
              </w:rPr>
              <w:t>3</w:t>
            </w:r>
          </w:p>
        </w:tc>
        <w:tc>
          <w:tcPr>
            <w:tcW w:w="709" w:type="dxa"/>
            <w:shd w:val="clear" w:color="auto" w:fill="auto"/>
            <w:vAlign w:val="bottom"/>
          </w:tcPr>
          <w:p w14:paraId="115C1468" w14:textId="77777777" w:rsidR="007E1D13" w:rsidRDefault="007E1D13" w:rsidP="007E1D13">
            <w:pPr>
              <w:spacing w:after="0" w:line="360" w:lineRule="auto"/>
              <w:jc w:val="right"/>
              <w:rPr>
                <w:color w:val="000000"/>
                <w:lang w:eastAsia="en-GB"/>
              </w:rPr>
            </w:pPr>
            <w:r>
              <w:rPr>
                <w:color w:val="000000"/>
                <w:lang w:eastAsia="en-GB"/>
              </w:rPr>
              <w:t>22</w:t>
            </w:r>
          </w:p>
        </w:tc>
        <w:tc>
          <w:tcPr>
            <w:tcW w:w="850" w:type="dxa"/>
            <w:gridSpan w:val="2"/>
          </w:tcPr>
          <w:p w14:paraId="14879ECB" w14:textId="77777777" w:rsidR="007E1D13" w:rsidRDefault="007E1D13" w:rsidP="007E1D13">
            <w:pPr>
              <w:spacing w:after="0" w:line="360" w:lineRule="auto"/>
              <w:jc w:val="right"/>
              <w:rPr>
                <w:color w:val="000000"/>
                <w:lang w:eastAsia="en-GB"/>
              </w:rPr>
            </w:pPr>
            <w:r>
              <w:rPr>
                <w:color w:val="000000"/>
                <w:lang w:eastAsia="en-GB"/>
              </w:rPr>
              <w:t>25</w:t>
            </w:r>
          </w:p>
        </w:tc>
        <w:tc>
          <w:tcPr>
            <w:tcW w:w="851" w:type="dxa"/>
          </w:tcPr>
          <w:p w14:paraId="31E39063" w14:textId="77777777" w:rsidR="007E1D13" w:rsidRDefault="007E1D13" w:rsidP="007E1D13">
            <w:pPr>
              <w:spacing w:after="0" w:line="360" w:lineRule="auto"/>
              <w:jc w:val="right"/>
              <w:rPr>
                <w:color w:val="000000"/>
                <w:lang w:eastAsia="en-GB"/>
              </w:rPr>
            </w:pPr>
            <w:r>
              <w:rPr>
                <w:color w:val="000000"/>
                <w:lang w:eastAsia="en-GB"/>
              </w:rPr>
              <w:t>+ 13</w:t>
            </w:r>
          </w:p>
        </w:tc>
      </w:tr>
      <w:tr w:rsidR="007E1D13" w:rsidRPr="00B2469D" w14:paraId="2EB72FF0" w14:textId="77777777" w:rsidTr="007E1D13">
        <w:trPr>
          <w:trHeight w:val="290"/>
        </w:trPr>
        <w:tc>
          <w:tcPr>
            <w:tcW w:w="1951" w:type="dxa"/>
            <w:shd w:val="clear" w:color="auto" w:fill="auto"/>
            <w:noWrap/>
            <w:vAlign w:val="bottom"/>
          </w:tcPr>
          <w:p w14:paraId="2C55DD57" w14:textId="77777777" w:rsidR="007E1D13" w:rsidRDefault="007E1D13" w:rsidP="007E1D13">
            <w:pPr>
              <w:spacing w:after="0" w:line="360" w:lineRule="auto"/>
              <w:rPr>
                <w:b/>
                <w:color w:val="000000"/>
                <w:lang w:eastAsia="en-GB"/>
              </w:rPr>
            </w:pPr>
          </w:p>
        </w:tc>
        <w:tc>
          <w:tcPr>
            <w:tcW w:w="709" w:type="dxa"/>
            <w:shd w:val="clear" w:color="auto" w:fill="auto"/>
            <w:vAlign w:val="center"/>
          </w:tcPr>
          <w:p w14:paraId="75190BED" w14:textId="77777777" w:rsidR="007E1D13" w:rsidRDefault="007E1D13" w:rsidP="007E1D13">
            <w:pPr>
              <w:spacing w:after="0" w:line="360" w:lineRule="auto"/>
              <w:jc w:val="right"/>
              <w:rPr>
                <w:b/>
                <w:color w:val="000000"/>
                <w:lang w:eastAsia="en-GB"/>
              </w:rPr>
            </w:pPr>
          </w:p>
        </w:tc>
        <w:tc>
          <w:tcPr>
            <w:tcW w:w="3685" w:type="dxa"/>
            <w:shd w:val="clear" w:color="auto" w:fill="auto"/>
            <w:noWrap/>
            <w:vAlign w:val="bottom"/>
          </w:tcPr>
          <w:p w14:paraId="5CEB7237" w14:textId="77777777" w:rsidR="007E1D13" w:rsidRDefault="007E1D13" w:rsidP="007E1D13">
            <w:pPr>
              <w:spacing w:after="0" w:line="360" w:lineRule="auto"/>
              <w:rPr>
                <w:color w:val="000000"/>
                <w:lang w:eastAsia="en-GB"/>
              </w:rPr>
            </w:pPr>
            <w:r>
              <w:rPr>
                <w:color w:val="000000"/>
                <w:lang w:eastAsia="en-GB"/>
              </w:rPr>
              <w:t>Risks unknown / unknown effects</w:t>
            </w:r>
          </w:p>
        </w:tc>
        <w:tc>
          <w:tcPr>
            <w:tcW w:w="709" w:type="dxa"/>
            <w:vAlign w:val="bottom"/>
          </w:tcPr>
          <w:p w14:paraId="4F899035" w14:textId="77777777" w:rsidR="007E1D13" w:rsidRDefault="007E1D13" w:rsidP="007E1D13">
            <w:pPr>
              <w:spacing w:after="0" w:line="360" w:lineRule="auto"/>
              <w:jc w:val="center"/>
              <w:rPr>
                <w:color w:val="000000"/>
                <w:lang w:eastAsia="en-GB"/>
              </w:rPr>
            </w:pPr>
            <w:r>
              <w:rPr>
                <w:color w:val="000000"/>
                <w:lang w:eastAsia="en-GB"/>
              </w:rPr>
              <w:t>3</w:t>
            </w:r>
          </w:p>
        </w:tc>
        <w:tc>
          <w:tcPr>
            <w:tcW w:w="709" w:type="dxa"/>
            <w:shd w:val="clear" w:color="auto" w:fill="auto"/>
            <w:vAlign w:val="bottom"/>
          </w:tcPr>
          <w:p w14:paraId="6B6E0E21" w14:textId="77777777" w:rsidR="007E1D13" w:rsidRDefault="007E1D13" w:rsidP="007E1D13">
            <w:pPr>
              <w:spacing w:after="0" w:line="360" w:lineRule="auto"/>
              <w:jc w:val="right"/>
              <w:rPr>
                <w:color w:val="000000"/>
                <w:lang w:eastAsia="en-GB"/>
              </w:rPr>
            </w:pPr>
            <w:r>
              <w:rPr>
                <w:color w:val="000000"/>
                <w:lang w:eastAsia="en-GB"/>
              </w:rPr>
              <w:t>14</w:t>
            </w:r>
          </w:p>
        </w:tc>
        <w:tc>
          <w:tcPr>
            <w:tcW w:w="850" w:type="dxa"/>
            <w:gridSpan w:val="2"/>
          </w:tcPr>
          <w:p w14:paraId="7820EFC3" w14:textId="77777777" w:rsidR="007E1D13" w:rsidRDefault="007E1D13" w:rsidP="007E1D13">
            <w:pPr>
              <w:spacing w:after="0" w:line="360" w:lineRule="auto"/>
              <w:jc w:val="right"/>
              <w:rPr>
                <w:color w:val="000000"/>
                <w:lang w:eastAsia="en-GB"/>
              </w:rPr>
            </w:pPr>
            <w:r>
              <w:rPr>
                <w:color w:val="000000"/>
                <w:lang w:eastAsia="en-GB"/>
              </w:rPr>
              <w:t>16</w:t>
            </w:r>
          </w:p>
        </w:tc>
        <w:tc>
          <w:tcPr>
            <w:tcW w:w="851" w:type="dxa"/>
          </w:tcPr>
          <w:p w14:paraId="229AFBB6" w14:textId="77777777" w:rsidR="007E1D13" w:rsidRDefault="007E1D13" w:rsidP="007E1D13">
            <w:pPr>
              <w:spacing w:after="0" w:line="360" w:lineRule="auto"/>
              <w:jc w:val="right"/>
              <w:rPr>
                <w:color w:val="000000"/>
                <w:lang w:eastAsia="en-GB"/>
              </w:rPr>
            </w:pPr>
            <w:r>
              <w:rPr>
                <w:color w:val="000000"/>
                <w:lang w:eastAsia="en-GB"/>
              </w:rPr>
              <w:t>- 9</w:t>
            </w:r>
          </w:p>
        </w:tc>
      </w:tr>
      <w:tr w:rsidR="007E1D13" w:rsidRPr="00B2469D" w14:paraId="31E38435" w14:textId="77777777" w:rsidTr="007E1D13">
        <w:trPr>
          <w:trHeight w:val="290"/>
        </w:trPr>
        <w:tc>
          <w:tcPr>
            <w:tcW w:w="1951" w:type="dxa"/>
            <w:tcBorders>
              <w:bottom w:val="single" w:sz="4" w:space="0" w:color="auto"/>
            </w:tcBorders>
            <w:shd w:val="clear" w:color="auto" w:fill="auto"/>
            <w:noWrap/>
            <w:vAlign w:val="bottom"/>
          </w:tcPr>
          <w:p w14:paraId="44B6D437" w14:textId="77777777" w:rsidR="007E1D13" w:rsidRPr="00B2469D" w:rsidRDefault="007E1D13" w:rsidP="007E1D13">
            <w:pPr>
              <w:spacing w:after="0" w:line="360" w:lineRule="auto"/>
              <w:rPr>
                <w:color w:val="000000"/>
                <w:lang w:eastAsia="en-GB"/>
              </w:rPr>
            </w:pPr>
          </w:p>
        </w:tc>
        <w:tc>
          <w:tcPr>
            <w:tcW w:w="709" w:type="dxa"/>
            <w:tcBorders>
              <w:bottom w:val="single" w:sz="4" w:space="0" w:color="auto"/>
            </w:tcBorders>
            <w:shd w:val="clear" w:color="auto" w:fill="auto"/>
            <w:vAlign w:val="bottom"/>
          </w:tcPr>
          <w:p w14:paraId="34F82D81" w14:textId="77777777" w:rsidR="007E1D13" w:rsidRPr="00B2469D" w:rsidRDefault="007E1D13" w:rsidP="007E1D13">
            <w:pPr>
              <w:spacing w:after="0" w:line="360" w:lineRule="auto"/>
              <w:rPr>
                <w:color w:val="000000"/>
                <w:lang w:eastAsia="en-GB"/>
              </w:rPr>
            </w:pPr>
          </w:p>
        </w:tc>
        <w:tc>
          <w:tcPr>
            <w:tcW w:w="3685" w:type="dxa"/>
            <w:tcBorders>
              <w:bottom w:val="single" w:sz="4" w:space="0" w:color="auto"/>
            </w:tcBorders>
            <w:shd w:val="clear" w:color="auto" w:fill="auto"/>
            <w:noWrap/>
            <w:vAlign w:val="bottom"/>
          </w:tcPr>
          <w:p w14:paraId="2FF67A71" w14:textId="77777777" w:rsidR="007E1D13" w:rsidRPr="00B2469D" w:rsidRDefault="007E1D13" w:rsidP="007E1D13">
            <w:pPr>
              <w:spacing w:after="0" w:line="360" w:lineRule="auto"/>
              <w:rPr>
                <w:color w:val="000000"/>
                <w:lang w:eastAsia="en-GB"/>
              </w:rPr>
            </w:pPr>
            <w:r>
              <w:rPr>
                <w:color w:val="000000"/>
                <w:lang w:eastAsia="en-GB"/>
              </w:rPr>
              <w:t>Too strong / lose control</w:t>
            </w:r>
          </w:p>
        </w:tc>
        <w:tc>
          <w:tcPr>
            <w:tcW w:w="709" w:type="dxa"/>
            <w:tcBorders>
              <w:bottom w:val="single" w:sz="4" w:space="0" w:color="auto"/>
            </w:tcBorders>
            <w:vAlign w:val="bottom"/>
          </w:tcPr>
          <w:p w14:paraId="1DC40CF5"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tcBorders>
              <w:bottom w:val="single" w:sz="4" w:space="0" w:color="auto"/>
            </w:tcBorders>
            <w:shd w:val="clear" w:color="auto" w:fill="auto"/>
            <w:vAlign w:val="bottom"/>
          </w:tcPr>
          <w:p w14:paraId="0531C68F" w14:textId="77777777" w:rsidR="007E1D13" w:rsidRDefault="007E1D13" w:rsidP="007E1D13">
            <w:pPr>
              <w:spacing w:after="0" w:line="360" w:lineRule="auto"/>
              <w:jc w:val="right"/>
              <w:rPr>
                <w:color w:val="000000"/>
                <w:lang w:eastAsia="en-GB"/>
              </w:rPr>
            </w:pPr>
            <w:r>
              <w:rPr>
                <w:color w:val="000000"/>
                <w:lang w:eastAsia="en-GB"/>
              </w:rPr>
              <w:t>6</w:t>
            </w:r>
          </w:p>
        </w:tc>
        <w:tc>
          <w:tcPr>
            <w:tcW w:w="850" w:type="dxa"/>
            <w:gridSpan w:val="2"/>
            <w:tcBorders>
              <w:bottom w:val="single" w:sz="4" w:space="0" w:color="auto"/>
            </w:tcBorders>
          </w:tcPr>
          <w:p w14:paraId="619B0E39" w14:textId="77777777" w:rsidR="007E1D13" w:rsidRDefault="007E1D13" w:rsidP="007E1D13">
            <w:pPr>
              <w:spacing w:after="0" w:line="360" w:lineRule="auto"/>
              <w:jc w:val="right"/>
              <w:rPr>
                <w:color w:val="000000"/>
                <w:lang w:eastAsia="en-GB"/>
              </w:rPr>
            </w:pPr>
            <w:r>
              <w:rPr>
                <w:color w:val="000000"/>
                <w:lang w:eastAsia="en-GB"/>
              </w:rPr>
              <w:t>7</w:t>
            </w:r>
          </w:p>
        </w:tc>
        <w:tc>
          <w:tcPr>
            <w:tcW w:w="851" w:type="dxa"/>
            <w:tcBorders>
              <w:bottom w:val="single" w:sz="4" w:space="0" w:color="auto"/>
            </w:tcBorders>
          </w:tcPr>
          <w:p w14:paraId="147D9C57" w14:textId="77777777" w:rsidR="007E1D13" w:rsidRDefault="007E1D13" w:rsidP="007E1D13">
            <w:pPr>
              <w:spacing w:after="0" w:line="360" w:lineRule="auto"/>
              <w:jc w:val="right"/>
              <w:rPr>
                <w:color w:val="000000"/>
                <w:lang w:eastAsia="en-GB"/>
              </w:rPr>
            </w:pPr>
            <w:r>
              <w:rPr>
                <w:color w:val="000000"/>
                <w:lang w:eastAsia="en-GB"/>
              </w:rPr>
              <w:t>- 15</w:t>
            </w:r>
          </w:p>
        </w:tc>
      </w:tr>
      <w:tr w:rsidR="007E1D13" w:rsidRPr="00B2469D" w14:paraId="2E050C4B" w14:textId="77777777" w:rsidTr="007E1D13">
        <w:trPr>
          <w:trHeight w:val="290"/>
        </w:trPr>
        <w:tc>
          <w:tcPr>
            <w:tcW w:w="1951" w:type="dxa"/>
            <w:tcBorders>
              <w:top w:val="single" w:sz="4" w:space="0" w:color="auto"/>
            </w:tcBorders>
            <w:shd w:val="clear" w:color="auto" w:fill="auto"/>
            <w:noWrap/>
            <w:vAlign w:val="bottom"/>
          </w:tcPr>
          <w:p w14:paraId="0053AD7D" w14:textId="77777777" w:rsidR="007E1D13" w:rsidRPr="00B2469D" w:rsidRDefault="007E1D13" w:rsidP="007E1D13">
            <w:pPr>
              <w:spacing w:before="120" w:after="0" w:line="360" w:lineRule="auto"/>
              <w:rPr>
                <w:sz w:val="20"/>
                <w:szCs w:val="20"/>
                <w:lang w:eastAsia="en-GB"/>
              </w:rPr>
            </w:pPr>
            <w:r>
              <w:rPr>
                <w:b/>
                <w:lang w:eastAsia="en-GB"/>
              </w:rPr>
              <w:t xml:space="preserve">Identity </w:t>
            </w:r>
          </w:p>
        </w:tc>
        <w:tc>
          <w:tcPr>
            <w:tcW w:w="709" w:type="dxa"/>
            <w:tcBorders>
              <w:top w:val="single" w:sz="4" w:space="0" w:color="auto"/>
            </w:tcBorders>
            <w:shd w:val="clear" w:color="auto" w:fill="auto"/>
            <w:vAlign w:val="center"/>
          </w:tcPr>
          <w:p w14:paraId="25334BC9" w14:textId="77777777" w:rsidR="007E1D13" w:rsidRPr="00A454B5" w:rsidRDefault="007E1D13" w:rsidP="007E1D13">
            <w:pPr>
              <w:spacing w:before="120" w:after="0" w:line="360" w:lineRule="auto"/>
              <w:jc w:val="right"/>
              <w:rPr>
                <w:b/>
                <w:sz w:val="20"/>
                <w:szCs w:val="20"/>
                <w:lang w:eastAsia="en-GB"/>
              </w:rPr>
            </w:pPr>
            <w:r>
              <w:rPr>
                <w:b/>
                <w:color w:val="000000"/>
                <w:lang w:eastAsia="en-GB"/>
              </w:rPr>
              <w:t>31</w:t>
            </w:r>
          </w:p>
        </w:tc>
        <w:tc>
          <w:tcPr>
            <w:tcW w:w="3685" w:type="dxa"/>
            <w:tcBorders>
              <w:top w:val="single" w:sz="4" w:space="0" w:color="auto"/>
            </w:tcBorders>
            <w:shd w:val="clear" w:color="auto" w:fill="auto"/>
            <w:noWrap/>
            <w:vAlign w:val="bottom"/>
          </w:tcPr>
          <w:p w14:paraId="3BEF1A6A" w14:textId="77777777" w:rsidR="007E1D13" w:rsidRPr="00B2469D" w:rsidRDefault="007E1D13" w:rsidP="007E1D13">
            <w:pPr>
              <w:spacing w:before="120" w:after="0" w:line="360" w:lineRule="auto"/>
              <w:rPr>
                <w:color w:val="000000"/>
                <w:lang w:eastAsia="en-GB"/>
              </w:rPr>
            </w:pPr>
            <w:r>
              <w:rPr>
                <w:color w:val="000000"/>
                <w:lang w:eastAsia="en-GB"/>
              </w:rPr>
              <w:t>Users are homeless people</w:t>
            </w:r>
          </w:p>
        </w:tc>
        <w:tc>
          <w:tcPr>
            <w:tcW w:w="709" w:type="dxa"/>
            <w:tcBorders>
              <w:top w:val="single" w:sz="4" w:space="0" w:color="auto"/>
            </w:tcBorders>
            <w:vAlign w:val="bottom"/>
          </w:tcPr>
          <w:p w14:paraId="5ED525CE"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32182CC0" w14:textId="77777777" w:rsidR="007E1D13" w:rsidRPr="00B2469D" w:rsidRDefault="007E1D13" w:rsidP="007E1D13">
            <w:pPr>
              <w:spacing w:before="120" w:after="0" w:line="360" w:lineRule="auto"/>
              <w:jc w:val="right"/>
              <w:rPr>
                <w:color w:val="000000"/>
                <w:lang w:eastAsia="en-GB"/>
              </w:rPr>
            </w:pPr>
            <w:r>
              <w:rPr>
                <w:color w:val="000000"/>
                <w:lang w:eastAsia="en-GB"/>
              </w:rPr>
              <w:t>20</w:t>
            </w:r>
          </w:p>
        </w:tc>
        <w:tc>
          <w:tcPr>
            <w:tcW w:w="850" w:type="dxa"/>
            <w:gridSpan w:val="2"/>
            <w:tcBorders>
              <w:top w:val="single" w:sz="4" w:space="0" w:color="auto"/>
            </w:tcBorders>
          </w:tcPr>
          <w:p w14:paraId="64797E37" w14:textId="77777777" w:rsidR="007E1D13" w:rsidRDefault="007E1D13" w:rsidP="007E1D13">
            <w:pPr>
              <w:spacing w:before="120" w:after="0" w:line="360" w:lineRule="auto"/>
              <w:jc w:val="right"/>
              <w:rPr>
                <w:color w:val="000000"/>
                <w:lang w:eastAsia="en-GB"/>
              </w:rPr>
            </w:pPr>
            <w:r>
              <w:rPr>
                <w:color w:val="000000"/>
                <w:lang w:eastAsia="en-GB"/>
              </w:rPr>
              <w:t>23</w:t>
            </w:r>
          </w:p>
        </w:tc>
        <w:tc>
          <w:tcPr>
            <w:tcW w:w="851" w:type="dxa"/>
            <w:tcBorders>
              <w:top w:val="single" w:sz="4" w:space="0" w:color="auto"/>
            </w:tcBorders>
          </w:tcPr>
          <w:p w14:paraId="23EBF43A" w14:textId="77777777" w:rsidR="007E1D13" w:rsidRDefault="007E1D13" w:rsidP="007E1D13">
            <w:pPr>
              <w:spacing w:before="120" w:after="0" w:line="360" w:lineRule="auto"/>
              <w:jc w:val="right"/>
              <w:rPr>
                <w:color w:val="000000"/>
                <w:lang w:eastAsia="en-GB"/>
              </w:rPr>
            </w:pPr>
            <w:r>
              <w:rPr>
                <w:color w:val="000000"/>
                <w:lang w:eastAsia="en-GB"/>
              </w:rPr>
              <w:t>+ 17</w:t>
            </w:r>
          </w:p>
        </w:tc>
      </w:tr>
      <w:tr w:rsidR="007E1D13" w:rsidRPr="00B2469D" w14:paraId="3ECEE075" w14:textId="77777777" w:rsidTr="007E1D13">
        <w:trPr>
          <w:trHeight w:val="290"/>
        </w:trPr>
        <w:tc>
          <w:tcPr>
            <w:tcW w:w="1951" w:type="dxa"/>
            <w:shd w:val="clear" w:color="auto" w:fill="auto"/>
            <w:noWrap/>
            <w:vAlign w:val="bottom"/>
          </w:tcPr>
          <w:p w14:paraId="12B56E11" w14:textId="77777777" w:rsidR="007E1D13" w:rsidRDefault="007E1D13" w:rsidP="007E1D13">
            <w:pPr>
              <w:spacing w:after="0" w:line="360" w:lineRule="auto"/>
              <w:rPr>
                <w:b/>
                <w:color w:val="000000"/>
                <w:lang w:eastAsia="en-GB"/>
              </w:rPr>
            </w:pPr>
          </w:p>
        </w:tc>
        <w:tc>
          <w:tcPr>
            <w:tcW w:w="709" w:type="dxa"/>
            <w:shd w:val="clear" w:color="auto" w:fill="auto"/>
            <w:vAlign w:val="bottom"/>
          </w:tcPr>
          <w:p w14:paraId="554C4D54" w14:textId="77777777" w:rsidR="007E1D13" w:rsidRDefault="007E1D13" w:rsidP="007E1D13">
            <w:pPr>
              <w:spacing w:after="0" w:line="360" w:lineRule="auto"/>
              <w:rPr>
                <w:b/>
                <w:szCs w:val="20"/>
                <w:lang w:eastAsia="en-GB"/>
              </w:rPr>
            </w:pPr>
          </w:p>
        </w:tc>
        <w:tc>
          <w:tcPr>
            <w:tcW w:w="3685" w:type="dxa"/>
            <w:shd w:val="clear" w:color="auto" w:fill="auto"/>
            <w:noWrap/>
            <w:vAlign w:val="bottom"/>
          </w:tcPr>
          <w:p w14:paraId="6B3F7078" w14:textId="77777777" w:rsidR="007E1D13" w:rsidRDefault="007E1D13" w:rsidP="007E1D13">
            <w:pPr>
              <w:spacing w:after="0" w:line="360" w:lineRule="auto"/>
              <w:rPr>
                <w:color w:val="000000"/>
                <w:lang w:eastAsia="en-GB"/>
              </w:rPr>
            </w:pPr>
            <w:r>
              <w:rPr>
                <w:color w:val="000000"/>
                <w:lang w:eastAsia="en-GB"/>
              </w:rPr>
              <w:t>Rich kids use better drugs*</w:t>
            </w:r>
          </w:p>
        </w:tc>
        <w:tc>
          <w:tcPr>
            <w:tcW w:w="709" w:type="dxa"/>
            <w:vAlign w:val="bottom"/>
          </w:tcPr>
          <w:p w14:paraId="7BCAAD71"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shd w:val="clear" w:color="auto" w:fill="auto"/>
            <w:vAlign w:val="bottom"/>
          </w:tcPr>
          <w:p w14:paraId="296CC003" w14:textId="77777777" w:rsidR="007E1D13" w:rsidRDefault="007E1D13" w:rsidP="007E1D13">
            <w:pPr>
              <w:spacing w:after="0" w:line="360" w:lineRule="auto"/>
              <w:jc w:val="right"/>
              <w:rPr>
                <w:color w:val="000000"/>
                <w:lang w:eastAsia="en-GB"/>
              </w:rPr>
            </w:pPr>
            <w:r>
              <w:rPr>
                <w:color w:val="000000"/>
                <w:lang w:eastAsia="en-GB"/>
              </w:rPr>
              <w:t>9</w:t>
            </w:r>
          </w:p>
        </w:tc>
        <w:tc>
          <w:tcPr>
            <w:tcW w:w="850" w:type="dxa"/>
            <w:gridSpan w:val="2"/>
          </w:tcPr>
          <w:p w14:paraId="4C0F0596" w14:textId="77777777" w:rsidR="007E1D13" w:rsidRDefault="007E1D13" w:rsidP="007E1D13">
            <w:pPr>
              <w:spacing w:after="0" w:line="360" w:lineRule="auto"/>
              <w:jc w:val="right"/>
              <w:rPr>
                <w:color w:val="000000"/>
                <w:lang w:eastAsia="en-GB"/>
              </w:rPr>
            </w:pPr>
            <w:r>
              <w:rPr>
                <w:color w:val="000000"/>
                <w:lang w:eastAsia="en-GB"/>
              </w:rPr>
              <w:t>10</w:t>
            </w:r>
          </w:p>
        </w:tc>
        <w:tc>
          <w:tcPr>
            <w:tcW w:w="851" w:type="dxa"/>
          </w:tcPr>
          <w:p w14:paraId="775624CE" w14:textId="77777777" w:rsidR="007E1D13" w:rsidRDefault="007E1D13" w:rsidP="007E1D13">
            <w:pPr>
              <w:spacing w:after="0" w:line="360" w:lineRule="auto"/>
              <w:jc w:val="right"/>
              <w:rPr>
                <w:color w:val="000000"/>
                <w:lang w:eastAsia="en-GB"/>
              </w:rPr>
            </w:pPr>
            <w:r>
              <w:rPr>
                <w:color w:val="000000"/>
                <w:lang w:eastAsia="en-GB"/>
              </w:rPr>
              <w:t>+ 10</w:t>
            </w:r>
          </w:p>
        </w:tc>
      </w:tr>
      <w:tr w:rsidR="007E1D13" w:rsidRPr="00B2469D" w14:paraId="70CD1CC6" w14:textId="77777777" w:rsidTr="007E1D13">
        <w:trPr>
          <w:trHeight w:val="290"/>
        </w:trPr>
        <w:tc>
          <w:tcPr>
            <w:tcW w:w="1951" w:type="dxa"/>
            <w:shd w:val="clear" w:color="auto" w:fill="auto"/>
            <w:noWrap/>
            <w:vAlign w:val="bottom"/>
          </w:tcPr>
          <w:p w14:paraId="2185B874" w14:textId="77777777" w:rsidR="007E1D13" w:rsidRDefault="007E1D13" w:rsidP="007E1D13">
            <w:pPr>
              <w:spacing w:after="0" w:line="360" w:lineRule="auto"/>
              <w:rPr>
                <w:b/>
                <w:color w:val="000000"/>
                <w:lang w:eastAsia="en-GB"/>
              </w:rPr>
            </w:pPr>
          </w:p>
        </w:tc>
        <w:tc>
          <w:tcPr>
            <w:tcW w:w="709" w:type="dxa"/>
            <w:shd w:val="clear" w:color="auto" w:fill="auto"/>
            <w:vAlign w:val="center"/>
          </w:tcPr>
          <w:p w14:paraId="22020CB7" w14:textId="77777777" w:rsidR="007E1D13" w:rsidRDefault="007E1D13" w:rsidP="007E1D13">
            <w:pPr>
              <w:spacing w:after="0" w:line="360" w:lineRule="auto"/>
              <w:jc w:val="right"/>
              <w:rPr>
                <w:b/>
                <w:szCs w:val="20"/>
                <w:lang w:eastAsia="en-GB"/>
              </w:rPr>
            </w:pPr>
          </w:p>
        </w:tc>
        <w:tc>
          <w:tcPr>
            <w:tcW w:w="3685" w:type="dxa"/>
            <w:shd w:val="clear" w:color="auto" w:fill="auto"/>
            <w:noWrap/>
            <w:vAlign w:val="bottom"/>
          </w:tcPr>
          <w:p w14:paraId="43AE8266" w14:textId="77777777" w:rsidR="007E1D13" w:rsidRDefault="007E1D13" w:rsidP="007E1D13">
            <w:pPr>
              <w:spacing w:after="0" w:line="360" w:lineRule="auto"/>
              <w:rPr>
                <w:color w:val="000000"/>
                <w:lang w:eastAsia="en-GB"/>
              </w:rPr>
            </w:pPr>
            <w:r>
              <w:rPr>
                <w:color w:val="000000"/>
                <w:lang w:eastAsia="en-GB"/>
              </w:rPr>
              <w:t>Non-users are clued up</w:t>
            </w:r>
          </w:p>
        </w:tc>
        <w:tc>
          <w:tcPr>
            <w:tcW w:w="709" w:type="dxa"/>
            <w:vAlign w:val="bottom"/>
          </w:tcPr>
          <w:p w14:paraId="18CD6C8E"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shd w:val="clear" w:color="auto" w:fill="auto"/>
            <w:vAlign w:val="bottom"/>
          </w:tcPr>
          <w:p w14:paraId="1BCA53D6" w14:textId="77777777" w:rsidR="007E1D13" w:rsidRDefault="007E1D13" w:rsidP="007E1D13">
            <w:pPr>
              <w:spacing w:after="0" w:line="360" w:lineRule="auto"/>
              <w:jc w:val="right"/>
              <w:rPr>
                <w:color w:val="000000"/>
                <w:lang w:eastAsia="en-GB"/>
              </w:rPr>
            </w:pPr>
            <w:r>
              <w:rPr>
                <w:color w:val="000000"/>
                <w:lang w:eastAsia="en-GB"/>
              </w:rPr>
              <w:t>2</w:t>
            </w:r>
          </w:p>
        </w:tc>
        <w:tc>
          <w:tcPr>
            <w:tcW w:w="850" w:type="dxa"/>
            <w:gridSpan w:val="2"/>
          </w:tcPr>
          <w:p w14:paraId="3BFF00D3" w14:textId="77777777" w:rsidR="007E1D13" w:rsidRDefault="007E1D13" w:rsidP="007E1D13">
            <w:pPr>
              <w:spacing w:after="0" w:line="360" w:lineRule="auto"/>
              <w:jc w:val="right"/>
              <w:rPr>
                <w:color w:val="000000"/>
                <w:lang w:eastAsia="en-GB"/>
              </w:rPr>
            </w:pPr>
            <w:r>
              <w:rPr>
                <w:color w:val="000000"/>
                <w:lang w:eastAsia="en-GB"/>
              </w:rPr>
              <w:t>2</w:t>
            </w:r>
          </w:p>
        </w:tc>
        <w:tc>
          <w:tcPr>
            <w:tcW w:w="851" w:type="dxa"/>
          </w:tcPr>
          <w:p w14:paraId="40CF6E74" w14:textId="77777777" w:rsidR="007E1D13" w:rsidRDefault="007E1D13" w:rsidP="007E1D13">
            <w:pPr>
              <w:spacing w:after="0" w:line="360" w:lineRule="auto"/>
              <w:jc w:val="right"/>
              <w:rPr>
                <w:color w:val="000000"/>
                <w:lang w:eastAsia="en-GB"/>
              </w:rPr>
            </w:pPr>
            <w:r>
              <w:rPr>
                <w:color w:val="000000"/>
                <w:lang w:eastAsia="en-GB"/>
              </w:rPr>
              <w:t>- 5</w:t>
            </w:r>
          </w:p>
        </w:tc>
      </w:tr>
      <w:tr w:rsidR="007E1D13" w:rsidRPr="00B2469D" w14:paraId="52E8B2A6" w14:textId="77777777" w:rsidTr="007E1D13">
        <w:trPr>
          <w:trHeight w:val="290"/>
        </w:trPr>
        <w:tc>
          <w:tcPr>
            <w:tcW w:w="1951" w:type="dxa"/>
            <w:tcBorders>
              <w:bottom w:val="single" w:sz="4" w:space="0" w:color="auto"/>
            </w:tcBorders>
            <w:shd w:val="clear" w:color="auto" w:fill="auto"/>
            <w:noWrap/>
            <w:vAlign w:val="bottom"/>
          </w:tcPr>
          <w:p w14:paraId="07D5C075" w14:textId="77777777" w:rsidR="007E1D13" w:rsidRDefault="007E1D13" w:rsidP="007E1D13">
            <w:pPr>
              <w:spacing w:after="0" w:line="360" w:lineRule="auto"/>
              <w:rPr>
                <w:b/>
                <w:color w:val="000000"/>
                <w:lang w:eastAsia="en-GB"/>
              </w:rPr>
            </w:pPr>
          </w:p>
        </w:tc>
        <w:tc>
          <w:tcPr>
            <w:tcW w:w="709" w:type="dxa"/>
            <w:tcBorders>
              <w:bottom w:val="single" w:sz="4" w:space="0" w:color="auto"/>
            </w:tcBorders>
            <w:shd w:val="clear" w:color="auto" w:fill="auto"/>
            <w:vAlign w:val="center"/>
          </w:tcPr>
          <w:p w14:paraId="2E450AF7" w14:textId="77777777" w:rsidR="007E1D13" w:rsidRDefault="007E1D13" w:rsidP="007E1D13">
            <w:pPr>
              <w:spacing w:after="0" w:line="360" w:lineRule="auto"/>
              <w:jc w:val="right"/>
              <w:rPr>
                <w:b/>
                <w:szCs w:val="20"/>
                <w:lang w:eastAsia="en-GB"/>
              </w:rPr>
            </w:pPr>
          </w:p>
        </w:tc>
        <w:tc>
          <w:tcPr>
            <w:tcW w:w="3685" w:type="dxa"/>
            <w:tcBorders>
              <w:bottom w:val="single" w:sz="4" w:space="0" w:color="auto"/>
            </w:tcBorders>
            <w:shd w:val="clear" w:color="auto" w:fill="auto"/>
            <w:noWrap/>
            <w:vAlign w:val="bottom"/>
          </w:tcPr>
          <w:p w14:paraId="29C283FE" w14:textId="77777777" w:rsidR="007E1D13" w:rsidRDefault="007E1D13" w:rsidP="007E1D13">
            <w:pPr>
              <w:spacing w:after="0" w:line="360" w:lineRule="auto"/>
              <w:rPr>
                <w:color w:val="000000"/>
                <w:lang w:eastAsia="en-GB"/>
              </w:rPr>
            </w:pPr>
            <w:r>
              <w:rPr>
                <w:color w:val="000000"/>
                <w:lang w:eastAsia="en-GB"/>
              </w:rPr>
              <w:t>Users are underage kids</w:t>
            </w:r>
            <w:r w:rsidRPr="00AC4533">
              <w:rPr>
                <w:color w:val="000000"/>
                <w:sz w:val="28"/>
                <w:vertAlign w:val="superscript"/>
                <w:lang w:eastAsia="en-GB"/>
              </w:rPr>
              <w:sym w:font="Wingdings 2" w:char="F085"/>
            </w:r>
          </w:p>
        </w:tc>
        <w:tc>
          <w:tcPr>
            <w:tcW w:w="709" w:type="dxa"/>
            <w:tcBorders>
              <w:bottom w:val="single" w:sz="4" w:space="0" w:color="auto"/>
            </w:tcBorders>
            <w:vAlign w:val="center"/>
          </w:tcPr>
          <w:p w14:paraId="264E6E15" w14:textId="77777777" w:rsidR="007E1D13" w:rsidRDefault="007E1D13" w:rsidP="007E1D13">
            <w:pPr>
              <w:spacing w:after="0" w:line="360" w:lineRule="auto"/>
              <w:jc w:val="center"/>
              <w:rPr>
                <w:color w:val="000000"/>
                <w:lang w:eastAsia="en-GB"/>
              </w:rPr>
            </w:pPr>
            <w:r>
              <w:rPr>
                <w:color w:val="000000"/>
                <w:lang w:eastAsia="en-GB"/>
              </w:rPr>
              <w:t>0</w:t>
            </w:r>
          </w:p>
        </w:tc>
        <w:tc>
          <w:tcPr>
            <w:tcW w:w="709" w:type="dxa"/>
            <w:tcBorders>
              <w:bottom w:val="single" w:sz="4" w:space="0" w:color="auto"/>
            </w:tcBorders>
            <w:shd w:val="clear" w:color="auto" w:fill="auto"/>
            <w:vAlign w:val="center"/>
          </w:tcPr>
          <w:p w14:paraId="29E1E80F" w14:textId="77777777" w:rsidR="007E1D13" w:rsidRDefault="007E1D13" w:rsidP="007E1D13">
            <w:pPr>
              <w:spacing w:after="0" w:line="360" w:lineRule="auto"/>
              <w:jc w:val="right"/>
              <w:rPr>
                <w:color w:val="000000"/>
                <w:lang w:eastAsia="en-GB"/>
              </w:rPr>
            </w:pPr>
            <w:r>
              <w:rPr>
                <w:color w:val="000000"/>
                <w:lang w:eastAsia="en-GB"/>
              </w:rPr>
              <w:t>0</w:t>
            </w:r>
          </w:p>
        </w:tc>
        <w:tc>
          <w:tcPr>
            <w:tcW w:w="850" w:type="dxa"/>
            <w:gridSpan w:val="2"/>
            <w:tcBorders>
              <w:bottom w:val="single" w:sz="4" w:space="0" w:color="auto"/>
            </w:tcBorders>
            <w:vAlign w:val="center"/>
          </w:tcPr>
          <w:p w14:paraId="5A90456A" w14:textId="77777777" w:rsidR="007E1D13" w:rsidRDefault="007E1D13" w:rsidP="007E1D13">
            <w:pPr>
              <w:spacing w:after="0" w:line="360" w:lineRule="auto"/>
              <w:jc w:val="right"/>
              <w:rPr>
                <w:color w:val="000000"/>
                <w:lang w:eastAsia="en-GB"/>
              </w:rPr>
            </w:pPr>
            <w:r>
              <w:rPr>
                <w:color w:val="000000"/>
                <w:lang w:eastAsia="en-GB"/>
              </w:rPr>
              <w:t>0</w:t>
            </w:r>
          </w:p>
        </w:tc>
        <w:tc>
          <w:tcPr>
            <w:tcW w:w="851" w:type="dxa"/>
            <w:tcBorders>
              <w:bottom w:val="single" w:sz="4" w:space="0" w:color="auto"/>
            </w:tcBorders>
            <w:vAlign w:val="center"/>
          </w:tcPr>
          <w:p w14:paraId="6BC3D5A9" w14:textId="77777777" w:rsidR="007E1D13" w:rsidRDefault="007E1D13" w:rsidP="007E1D13">
            <w:pPr>
              <w:spacing w:after="0" w:line="360" w:lineRule="auto"/>
              <w:jc w:val="right"/>
              <w:rPr>
                <w:color w:val="000000"/>
                <w:lang w:eastAsia="en-GB"/>
              </w:rPr>
            </w:pPr>
            <w:r>
              <w:rPr>
                <w:color w:val="000000"/>
                <w:lang w:eastAsia="en-GB"/>
              </w:rPr>
              <w:t>- 8</w:t>
            </w:r>
          </w:p>
        </w:tc>
      </w:tr>
      <w:tr w:rsidR="007E1D13" w:rsidRPr="00B2469D" w14:paraId="7ADD30B7" w14:textId="77777777" w:rsidTr="007E1D13">
        <w:trPr>
          <w:trHeight w:val="290"/>
        </w:trPr>
        <w:tc>
          <w:tcPr>
            <w:tcW w:w="1951" w:type="dxa"/>
            <w:tcBorders>
              <w:top w:val="single" w:sz="4" w:space="0" w:color="auto"/>
            </w:tcBorders>
            <w:shd w:val="clear" w:color="auto" w:fill="auto"/>
            <w:noWrap/>
            <w:vAlign w:val="bottom"/>
          </w:tcPr>
          <w:p w14:paraId="441A66B1" w14:textId="77777777" w:rsidR="007E1D13" w:rsidRPr="00A454B5" w:rsidRDefault="007E1D13" w:rsidP="007E1D13">
            <w:pPr>
              <w:spacing w:before="120" w:after="0" w:line="360" w:lineRule="auto"/>
              <w:rPr>
                <w:b/>
                <w:color w:val="000000"/>
                <w:lang w:eastAsia="en-GB"/>
              </w:rPr>
            </w:pPr>
            <w:r>
              <w:rPr>
                <w:b/>
                <w:color w:val="000000"/>
                <w:lang w:eastAsia="en-GB"/>
              </w:rPr>
              <w:t>Substitution</w:t>
            </w:r>
          </w:p>
        </w:tc>
        <w:tc>
          <w:tcPr>
            <w:tcW w:w="709" w:type="dxa"/>
            <w:tcBorders>
              <w:top w:val="single" w:sz="4" w:space="0" w:color="auto"/>
            </w:tcBorders>
            <w:shd w:val="clear" w:color="auto" w:fill="auto"/>
            <w:vAlign w:val="center"/>
          </w:tcPr>
          <w:p w14:paraId="43E26CB7" w14:textId="77777777" w:rsidR="007E1D13" w:rsidRPr="00A454B5" w:rsidRDefault="007E1D13" w:rsidP="007E1D13">
            <w:pPr>
              <w:spacing w:before="120" w:after="0" w:line="360" w:lineRule="auto"/>
              <w:jc w:val="right"/>
              <w:rPr>
                <w:b/>
                <w:color w:val="000000"/>
                <w:lang w:eastAsia="en-GB"/>
              </w:rPr>
            </w:pPr>
            <w:r>
              <w:rPr>
                <w:b/>
                <w:color w:val="000000"/>
                <w:lang w:eastAsia="en-GB"/>
              </w:rPr>
              <w:t>29</w:t>
            </w:r>
          </w:p>
        </w:tc>
        <w:tc>
          <w:tcPr>
            <w:tcW w:w="3685" w:type="dxa"/>
            <w:tcBorders>
              <w:top w:val="single" w:sz="4" w:space="0" w:color="auto"/>
            </w:tcBorders>
            <w:shd w:val="clear" w:color="auto" w:fill="auto"/>
            <w:noWrap/>
            <w:vAlign w:val="bottom"/>
          </w:tcPr>
          <w:p w14:paraId="60718F35" w14:textId="77777777" w:rsidR="007E1D13" w:rsidRPr="00B2469D" w:rsidRDefault="007E1D13" w:rsidP="007E1D13">
            <w:pPr>
              <w:spacing w:before="120" w:after="0" w:line="360" w:lineRule="auto"/>
              <w:rPr>
                <w:color w:val="000000"/>
                <w:lang w:eastAsia="en-GB"/>
              </w:rPr>
            </w:pPr>
            <w:r>
              <w:rPr>
                <w:color w:val="000000"/>
                <w:lang w:eastAsia="en-GB"/>
              </w:rPr>
              <w:t>More dangerous than traditional</w:t>
            </w:r>
          </w:p>
        </w:tc>
        <w:tc>
          <w:tcPr>
            <w:tcW w:w="709" w:type="dxa"/>
            <w:tcBorders>
              <w:top w:val="single" w:sz="4" w:space="0" w:color="auto"/>
            </w:tcBorders>
            <w:vAlign w:val="bottom"/>
          </w:tcPr>
          <w:p w14:paraId="7F8FBF37"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48A78E73" w14:textId="77777777" w:rsidR="007E1D13" w:rsidRPr="00B2469D" w:rsidRDefault="007E1D13" w:rsidP="007E1D13">
            <w:pPr>
              <w:spacing w:before="120" w:after="0" w:line="360" w:lineRule="auto"/>
              <w:jc w:val="right"/>
              <w:rPr>
                <w:color w:val="000000"/>
                <w:lang w:eastAsia="en-GB"/>
              </w:rPr>
            </w:pPr>
            <w:r>
              <w:rPr>
                <w:color w:val="000000"/>
                <w:lang w:eastAsia="en-GB"/>
              </w:rPr>
              <w:t>17</w:t>
            </w:r>
          </w:p>
        </w:tc>
        <w:tc>
          <w:tcPr>
            <w:tcW w:w="850" w:type="dxa"/>
            <w:gridSpan w:val="2"/>
            <w:tcBorders>
              <w:top w:val="single" w:sz="4" w:space="0" w:color="auto"/>
            </w:tcBorders>
          </w:tcPr>
          <w:p w14:paraId="5F10BA27" w14:textId="77777777" w:rsidR="007E1D13" w:rsidRDefault="007E1D13" w:rsidP="007E1D13">
            <w:pPr>
              <w:spacing w:before="120" w:after="0" w:line="360" w:lineRule="auto"/>
              <w:jc w:val="right"/>
              <w:rPr>
                <w:color w:val="000000"/>
                <w:lang w:eastAsia="en-GB"/>
              </w:rPr>
            </w:pPr>
            <w:r>
              <w:rPr>
                <w:color w:val="000000"/>
                <w:lang w:eastAsia="en-GB"/>
              </w:rPr>
              <w:t>19</w:t>
            </w:r>
          </w:p>
        </w:tc>
        <w:tc>
          <w:tcPr>
            <w:tcW w:w="851" w:type="dxa"/>
            <w:tcBorders>
              <w:top w:val="single" w:sz="4" w:space="0" w:color="auto"/>
            </w:tcBorders>
          </w:tcPr>
          <w:p w14:paraId="1FC244FC" w14:textId="77777777" w:rsidR="007E1D13" w:rsidRDefault="007E1D13" w:rsidP="007E1D13">
            <w:pPr>
              <w:spacing w:before="120" w:after="0" w:line="360" w:lineRule="auto"/>
              <w:jc w:val="right"/>
              <w:rPr>
                <w:color w:val="000000"/>
                <w:lang w:eastAsia="en-GB"/>
              </w:rPr>
            </w:pPr>
            <w:r>
              <w:rPr>
                <w:color w:val="000000"/>
                <w:lang w:eastAsia="en-GB"/>
              </w:rPr>
              <w:t>- 13</w:t>
            </w:r>
          </w:p>
        </w:tc>
      </w:tr>
      <w:tr w:rsidR="007E1D13" w:rsidRPr="00B2469D" w14:paraId="30439C25" w14:textId="77777777" w:rsidTr="007E1D13">
        <w:trPr>
          <w:trHeight w:val="290"/>
        </w:trPr>
        <w:tc>
          <w:tcPr>
            <w:tcW w:w="1951" w:type="dxa"/>
            <w:shd w:val="clear" w:color="auto" w:fill="auto"/>
            <w:noWrap/>
            <w:vAlign w:val="bottom"/>
          </w:tcPr>
          <w:p w14:paraId="12A2CD07" w14:textId="77777777" w:rsidR="007E1D13" w:rsidRDefault="007E1D13" w:rsidP="007E1D13">
            <w:pPr>
              <w:spacing w:after="0" w:line="360" w:lineRule="auto"/>
              <w:rPr>
                <w:b/>
                <w:color w:val="000000"/>
                <w:lang w:eastAsia="en-GB"/>
              </w:rPr>
            </w:pPr>
          </w:p>
        </w:tc>
        <w:tc>
          <w:tcPr>
            <w:tcW w:w="709" w:type="dxa"/>
            <w:shd w:val="clear" w:color="auto" w:fill="auto"/>
            <w:vAlign w:val="bottom"/>
          </w:tcPr>
          <w:p w14:paraId="0AA0326E" w14:textId="77777777" w:rsidR="007E1D13" w:rsidRDefault="007E1D13" w:rsidP="007E1D13">
            <w:pPr>
              <w:spacing w:after="0" w:line="360" w:lineRule="auto"/>
              <w:rPr>
                <w:b/>
                <w:szCs w:val="20"/>
                <w:lang w:eastAsia="en-GB"/>
              </w:rPr>
            </w:pPr>
          </w:p>
        </w:tc>
        <w:tc>
          <w:tcPr>
            <w:tcW w:w="3685" w:type="dxa"/>
            <w:shd w:val="clear" w:color="auto" w:fill="auto"/>
            <w:noWrap/>
            <w:vAlign w:val="bottom"/>
          </w:tcPr>
          <w:p w14:paraId="3EBB51DF" w14:textId="77777777" w:rsidR="007E1D13" w:rsidRDefault="007E1D13" w:rsidP="007E1D13">
            <w:pPr>
              <w:spacing w:after="0" w:line="360" w:lineRule="auto"/>
              <w:rPr>
                <w:color w:val="000000"/>
                <w:lang w:eastAsia="en-GB"/>
              </w:rPr>
            </w:pPr>
            <w:r>
              <w:rPr>
                <w:color w:val="000000"/>
                <w:lang w:eastAsia="en-GB"/>
              </w:rPr>
              <w:t>People can afford better drugs*</w:t>
            </w:r>
          </w:p>
        </w:tc>
        <w:tc>
          <w:tcPr>
            <w:tcW w:w="709" w:type="dxa"/>
            <w:vAlign w:val="bottom"/>
          </w:tcPr>
          <w:p w14:paraId="33409C6C"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shd w:val="clear" w:color="auto" w:fill="auto"/>
            <w:vAlign w:val="bottom"/>
          </w:tcPr>
          <w:p w14:paraId="50BDAEDB" w14:textId="77777777" w:rsidR="007E1D13" w:rsidRDefault="007E1D13" w:rsidP="007E1D13">
            <w:pPr>
              <w:spacing w:after="0" w:line="360" w:lineRule="auto"/>
              <w:jc w:val="right"/>
              <w:rPr>
                <w:color w:val="000000"/>
                <w:lang w:eastAsia="en-GB"/>
              </w:rPr>
            </w:pPr>
            <w:r>
              <w:rPr>
                <w:color w:val="000000"/>
                <w:lang w:eastAsia="en-GB"/>
              </w:rPr>
              <w:t>6</w:t>
            </w:r>
          </w:p>
        </w:tc>
        <w:tc>
          <w:tcPr>
            <w:tcW w:w="850" w:type="dxa"/>
            <w:gridSpan w:val="2"/>
          </w:tcPr>
          <w:p w14:paraId="17E9D650" w14:textId="77777777" w:rsidR="007E1D13" w:rsidRDefault="007E1D13" w:rsidP="007E1D13">
            <w:pPr>
              <w:spacing w:after="0" w:line="360" w:lineRule="auto"/>
              <w:jc w:val="right"/>
              <w:rPr>
                <w:color w:val="000000"/>
                <w:lang w:eastAsia="en-GB"/>
              </w:rPr>
            </w:pPr>
            <w:r>
              <w:rPr>
                <w:color w:val="000000"/>
                <w:lang w:eastAsia="en-GB"/>
              </w:rPr>
              <w:t>7</w:t>
            </w:r>
          </w:p>
        </w:tc>
        <w:tc>
          <w:tcPr>
            <w:tcW w:w="851" w:type="dxa"/>
          </w:tcPr>
          <w:p w14:paraId="00CF6ADF" w14:textId="77777777" w:rsidR="007E1D13" w:rsidRDefault="007E1D13" w:rsidP="007E1D13">
            <w:pPr>
              <w:spacing w:after="0" w:line="360" w:lineRule="auto"/>
              <w:jc w:val="right"/>
              <w:rPr>
                <w:color w:val="000000"/>
                <w:lang w:eastAsia="en-GB"/>
              </w:rPr>
            </w:pPr>
            <w:r>
              <w:rPr>
                <w:color w:val="000000"/>
                <w:lang w:eastAsia="en-GB"/>
              </w:rPr>
              <w:t>+ 7</w:t>
            </w:r>
          </w:p>
        </w:tc>
      </w:tr>
      <w:tr w:rsidR="007E1D13" w:rsidRPr="00B2469D" w14:paraId="4976E339" w14:textId="77777777" w:rsidTr="007E1D13">
        <w:trPr>
          <w:trHeight w:val="290"/>
        </w:trPr>
        <w:tc>
          <w:tcPr>
            <w:tcW w:w="1951" w:type="dxa"/>
            <w:shd w:val="clear" w:color="auto" w:fill="auto"/>
            <w:noWrap/>
            <w:vAlign w:val="bottom"/>
          </w:tcPr>
          <w:p w14:paraId="2CC9F496" w14:textId="77777777" w:rsidR="007E1D13" w:rsidRDefault="007E1D13" w:rsidP="007E1D13">
            <w:pPr>
              <w:spacing w:after="0" w:line="360" w:lineRule="auto"/>
              <w:rPr>
                <w:b/>
                <w:color w:val="000000"/>
                <w:lang w:eastAsia="en-GB"/>
              </w:rPr>
            </w:pPr>
          </w:p>
        </w:tc>
        <w:tc>
          <w:tcPr>
            <w:tcW w:w="709" w:type="dxa"/>
            <w:shd w:val="clear" w:color="auto" w:fill="auto"/>
            <w:vAlign w:val="bottom"/>
          </w:tcPr>
          <w:p w14:paraId="5AB8E5DC" w14:textId="77777777" w:rsidR="007E1D13" w:rsidRDefault="007E1D13" w:rsidP="007E1D13">
            <w:pPr>
              <w:spacing w:after="0" w:line="360" w:lineRule="auto"/>
              <w:rPr>
                <w:b/>
                <w:szCs w:val="20"/>
                <w:lang w:eastAsia="en-GB"/>
              </w:rPr>
            </w:pPr>
          </w:p>
        </w:tc>
        <w:tc>
          <w:tcPr>
            <w:tcW w:w="3685" w:type="dxa"/>
            <w:shd w:val="clear" w:color="auto" w:fill="auto"/>
            <w:noWrap/>
            <w:vAlign w:val="bottom"/>
          </w:tcPr>
          <w:p w14:paraId="0257166F" w14:textId="77777777" w:rsidR="007E1D13" w:rsidRDefault="007E1D13" w:rsidP="007E1D13">
            <w:pPr>
              <w:spacing w:after="0" w:line="360" w:lineRule="auto"/>
              <w:rPr>
                <w:color w:val="000000"/>
                <w:lang w:eastAsia="en-GB"/>
              </w:rPr>
            </w:pPr>
            <w:r>
              <w:rPr>
                <w:color w:val="000000"/>
                <w:lang w:eastAsia="en-GB"/>
              </w:rPr>
              <w:t>Traditional</w:t>
            </w:r>
            <w:r w:rsidRPr="00B2469D">
              <w:rPr>
                <w:color w:val="000000"/>
                <w:lang w:eastAsia="en-GB"/>
              </w:rPr>
              <w:t xml:space="preserve"> </w:t>
            </w:r>
            <w:r>
              <w:rPr>
                <w:color w:val="000000"/>
                <w:lang w:eastAsia="en-GB"/>
              </w:rPr>
              <w:t>drugs easier to get*</w:t>
            </w:r>
          </w:p>
        </w:tc>
        <w:tc>
          <w:tcPr>
            <w:tcW w:w="709" w:type="dxa"/>
            <w:vAlign w:val="bottom"/>
          </w:tcPr>
          <w:p w14:paraId="62045286"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shd w:val="clear" w:color="auto" w:fill="auto"/>
            <w:vAlign w:val="bottom"/>
          </w:tcPr>
          <w:p w14:paraId="5ADED358" w14:textId="77777777" w:rsidR="007E1D13" w:rsidRDefault="007E1D13" w:rsidP="007E1D13">
            <w:pPr>
              <w:spacing w:after="0" w:line="360" w:lineRule="auto"/>
              <w:jc w:val="right"/>
              <w:rPr>
                <w:color w:val="000000"/>
                <w:lang w:eastAsia="en-GB"/>
              </w:rPr>
            </w:pPr>
            <w:r>
              <w:rPr>
                <w:color w:val="000000"/>
                <w:lang w:eastAsia="en-GB"/>
              </w:rPr>
              <w:t>6</w:t>
            </w:r>
          </w:p>
        </w:tc>
        <w:tc>
          <w:tcPr>
            <w:tcW w:w="850" w:type="dxa"/>
            <w:gridSpan w:val="2"/>
          </w:tcPr>
          <w:p w14:paraId="315EC0B2" w14:textId="77777777" w:rsidR="007E1D13" w:rsidRDefault="007E1D13" w:rsidP="007E1D13">
            <w:pPr>
              <w:spacing w:after="0" w:line="360" w:lineRule="auto"/>
              <w:jc w:val="right"/>
              <w:rPr>
                <w:color w:val="000000"/>
                <w:lang w:eastAsia="en-GB"/>
              </w:rPr>
            </w:pPr>
            <w:r>
              <w:rPr>
                <w:color w:val="000000"/>
                <w:lang w:eastAsia="en-GB"/>
              </w:rPr>
              <w:t>7</w:t>
            </w:r>
          </w:p>
        </w:tc>
        <w:tc>
          <w:tcPr>
            <w:tcW w:w="851" w:type="dxa"/>
          </w:tcPr>
          <w:p w14:paraId="1B132B75" w14:textId="77777777" w:rsidR="007E1D13" w:rsidRDefault="007E1D13" w:rsidP="007E1D13">
            <w:pPr>
              <w:spacing w:after="0" w:line="360" w:lineRule="auto"/>
              <w:jc w:val="right"/>
              <w:rPr>
                <w:color w:val="000000"/>
                <w:lang w:eastAsia="en-GB"/>
              </w:rPr>
            </w:pPr>
            <w:r>
              <w:rPr>
                <w:color w:val="000000"/>
                <w:lang w:eastAsia="en-GB"/>
              </w:rPr>
              <w:t>+ 7</w:t>
            </w:r>
          </w:p>
        </w:tc>
      </w:tr>
      <w:tr w:rsidR="007E1D13" w:rsidRPr="00B2469D" w14:paraId="37C31C51" w14:textId="77777777" w:rsidTr="007E1D13">
        <w:trPr>
          <w:trHeight w:val="290"/>
        </w:trPr>
        <w:tc>
          <w:tcPr>
            <w:tcW w:w="1951" w:type="dxa"/>
            <w:tcBorders>
              <w:bottom w:val="single" w:sz="4" w:space="0" w:color="auto"/>
            </w:tcBorders>
            <w:shd w:val="clear" w:color="auto" w:fill="auto"/>
            <w:noWrap/>
            <w:vAlign w:val="bottom"/>
          </w:tcPr>
          <w:p w14:paraId="70F7D2A0" w14:textId="77777777" w:rsidR="007E1D13" w:rsidRDefault="007E1D13" w:rsidP="007E1D13">
            <w:pPr>
              <w:spacing w:after="0" w:line="360" w:lineRule="auto"/>
              <w:rPr>
                <w:b/>
                <w:color w:val="000000"/>
                <w:lang w:eastAsia="en-GB"/>
              </w:rPr>
            </w:pPr>
          </w:p>
        </w:tc>
        <w:tc>
          <w:tcPr>
            <w:tcW w:w="709" w:type="dxa"/>
            <w:tcBorders>
              <w:bottom w:val="single" w:sz="4" w:space="0" w:color="auto"/>
            </w:tcBorders>
            <w:shd w:val="clear" w:color="auto" w:fill="auto"/>
            <w:vAlign w:val="bottom"/>
          </w:tcPr>
          <w:p w14:paraId="6E584AEB" w14:textId="77777777" w:rsidR="007E1D13" w:rsidRDefault="007E1D13" w:rsidP="007E1D13">
            <w:pPr>
              <w:spacing w:after="0" w:line="360" w:lineRule="auto"/>
              <w:rPr>
                <w:b/>
                <w:szCs w:val="20"/>
                <w:lang w:eastAsia="en-GB"/>
              </w:rPr>
            </w:pPr>
          </w:p>
        </w:tc>
        <w:tc>
          <w:tcPr>
            <w:tcW w:w="3685" w:type="dxa"/>
            <w:tcBorders>
              <w:bottom w:val="single" w:sz="4" w:space="0" w:color="auto"/>
            </w:tcBorders>
            <w:shd w:val="clear" w:color="auto" w:fill="auto"/>
            <w:noWrap/>
            <w:vAlign w:val="bottom"/>
          </w:tcPr>
          <w:p w14:paraId="4C3F10E2" w14:textId="77777777" w:rsidR="007E1D13" w:rsidRDefault="007E1D13" w:rsidP="007E1D13">
            <w:pPr>
              <w:spacing w:after="0" w:line="360" w:lineRule="auto"/>
              <w:rPr>
                <w:color w:val="000000"/>
                <w:lang w:eastAsia="en-GB"/>
              </w:rPr>
            </w:pPr>
            <w:r>
              <w:rPr>
                <w:color w:val="000000"/>
                <w:lang w:eastAsia="en-GB"/>
              </w:rPr>
              <w:t>Traditional</w:t>
            </w:r>
            <w:r w:rsidRPr="00B2469D">
              <w:rPr>
                <w:color w:val="000000"/>
                <w:lang w:eastAsia="en-GB"/>
              </w:rPr>
              <w:t xml:space="preserve"> </w:t>
            </w:r>
            <w:r>
              <w:rPr>
                <w:color w:val="000000"/>
                <w:lang w:eastAsia="en-GB"/>
              </w:rPr>
              <w:t>drugs better</w:t>
            </w:r>
            <w:r w:rsidRPr="00AC4533">
              <w:rPr>
                <w:color w:val="000000"/>
                <w:sz w:val="28"/>
                <w:vertAlign w:val="superscript"/>
                <w:lang w:eastAsia="en-GB"/>
              </w:rPr>
              <w:sym w:font="Wingdings 2" w:char="F085"/>
            </w:r>
          </w:p>
        </w:tc>
        <w:tc>
          <w:tcPr>
            <w:tcW w:w="709" w:type="dxa"/>
            <w:tcBorders>
              <w:bottom w:val="single" w:sz="4" w:space="0" w:color="auto"/>
            </w:tcBorders>
            <w:vAlign w:val="bottom"/>
          </w:tcPr>
          <w:p w14:paraId="2A777D27" w14:textId="77777777" w:rsidR="007E1D13" w:rsidRDefault="007E1D13" w:rsidP="007E1D13">
            <w:pPr>
              <w:spacing w:after="0" w:line="360" w:lineRule="auto"/>
              <w:jc w:val="center"/>
              <w:rPr>
                <w:color w:val="000000"/>
                <w:lang w:eastAsia="en-GB"/>
              </w:rPr>
            </w:pPr>
            <w:r>
              <w:rPr>
                <w:color w:val="000000"/>
                <w:lang w:eastAsia="en-GB"/>
              </w:rPr>
              <w:t>0</w:t>
            </w:r>
          </w:p>
        </w:tc>
        <w:tc>
          <w:tcPr>
            <w:tcW w:w="709" w:type="dxa"/>
            <w:tcBorders>
              <w:bottom w:val="single" w:sz="4" w:space="0" w:color="auto"/>
            </w:tcBorders>
            <w:shd w:val="clear" w:color="auto" w:fill="auto"/>
            <w:vAlign w:val="bottom"/>
          </w:tcPr>
          <w:p w14:paraId="45090CD8" w14:textId="77777777" w:rsidR="007E1D13" w:rsidRDefault="007E1D13" w:rsidP="007E1D13">
            <w:pPr>
              <w:spacing w:after="0" w:line="360" w:lineRule="auto"/>
              <w:jc w:val="right"/>
              <w:rPr>
                <w:color w:val="000000"/>
                <w:lang w:eastAsia="en-GB"/>
              </w:rPr>
            </w:pPr>
            <w:r>
              <w:rPr>
                <w:color w:val="000000"/>
                <w:lang w:eastAsia="en-GB"/>
              </w:rPr>
              <w:t>0</w:t>
            </w:r>
          </w:p>
        </w:tc>
        <w:tc>
          <w:tcPr>
            <w:tcW w:w="850" w:type="dxa"/>
            <w:gridSpan w:val="2"/>
            <w:tcBorders>
              <w:bottom w:val="single" w:sz="4" w:space="0" w:color="auto"/>
            </w:tcBorders>
          </w:tcPr>
          <w:p w14:paraId="073EA5D8" w14:textId="77777777" w:rsidR="007E1D13" w:rsidRDefault="007E1D13" w:rsidP="007E1D13">
            <w:pPr>
              <w:spacing w:after="0" w:line="360" w:lineRule="auto"/>
              <w:jc w:val="right"/>
              <w:rPr>
                <w:color w:val="000000"/>
                <w:lang w:eastAsia="en-GB"/>
              </w:rPr>
            </w:pPr>
            <w:r>
              <w:rPr>
                <w:color w:val="000000"/>
                <w:lang w:eastAsia="en-GB"/>
              </w:rPr>
              <w:t>0</w:t>
            </w:r>
          </w:p>
        </w:tc>
        <w:tc>
          <w:tcPr>
            <w:tcW w:w="851" w:type="dxa"/>
            <w:tcBorders>
              <w:bottom w:val="single" w:sz="4" w:space="0" w:color="auto"/>
            </w:tcBorders>
          </w:tcPr>
          <w:p w14:paraId="096D0E1D" w14:textId="77777777" w:rsidR="007E1D13" w:rsidRDefault="007E1D13" w:rsidP="007E1D13">
            <w:pPr>
              <w:spacing w:after="0" w:line="360" w:lineRule="auto"/>
              <w:jc w:val="right"/>
              <w:rPr>
                <w:color w:val="000000"/>
                <w:lang w:eastAsia="en-GB"/>
              </w:rPr>
            </w:pPr>
            <w:r>
              <w:rPr>
                <w:color w:val="000000"/>
                <w:lang w:eastAsia="en-GB"/>
              </w:rPr>
              <w:t>- 4</w:t>
            </w:r>
          </w:p>
        </w:tc>
      </w:tr>
      <w:tr w:rsidR="007E1D13" w:rsidRPr="00B2469D" w14:paraId="18EC77AE" w14:textId="77777777" w:rsidTr="007E1D13">
        <w:trPr>
          <w:trHeight w:val="290"/>
        </w:trPr>
        <w:tc>
          <w:tcPr>
            <w:tcW w:w="1951" w:type="dxa"/>
            <w:tcBorders>
              <w:top w:val="single" w:sz="4" w:space="0" w:color="auto"/>
            </w:tcBorders>
            <w:shd w:val="clear" w:color="auto" w:fill="auto"/>
            <w:noWrap/>
            <w:vAlign w:val="bottom"/>
          </w:tcPr>
          <w:p w14:paraId="53222897" w14:textId="77777777" w:rsidR="007E1D13" w:rsidRPr="00B2469D" w:rsidRDefault="007E1D13" w:rsidP="007E1D13">
            <w:pPr>
              <w:spacing w:before="120" w:after="0" w:line="360" w:lineRule="auto"/>
              <w:rPr>
                <w:sz w:val="20"/>
                <w:szCs w:val="20"/>
                <w:lang w:eastAsia="en-GB"/>
              </w:rPr>
            </w:pPr>
            <w:r>
              <w:rPr>
                <w:b/>
                <w:color w:val="000000"/>
                <w:lang w:eastAsia="en-GB"/>
              </w:rPr>
              <w:t>Authority</w:t>
            </w:r>
          </w:p>
        </w:tc>
        <w:tc>
          <w:tcPr>
            <w:tcW w:w="709" w:type="dxa"/>
            <w:tcBorders>
              <w:top w:val="single" w:sz="4" w:space="0" w:color="auto"/>
            </w:tcBorders>
            <w:shd w:val="clear" w:color="auto" w:fill="auto"/>
            <w:vAlign w:val="center"/>
          </w:tcPr>
          <w:p w14:paraId="607C088A" w14:textId="77777777" w:rsidR="007E1D13" w:rsidRPr="003B1C17" w:rsidRDefault="007E1D13" w:rsidP="007E1D13">
            <w:pPr>
              <w:spacing w:before="120" w:after="0" w:line="360" w:lineRule="auto"/>
              <w:jc w:val="right"/>
              <w:rPr>
                <w:b/>
                <w:sz w:val="20"/>
                <w:szCs w:val="20"/>
                <w:lang w:eastAsia="en-GB"/>
              </w:rPr>
            </w:pPr>
            <w:r>
              <w:rPr>
                <w:b/>
                <w:color w:val="000000"/>
                <w:lang w:eastAsia="en-GB"/>
              </w:rPr>
              <w:t>24</w:t>
            </w:r>
          </w:p>
        </w:tc>
        <w:tc>
          <w:tcPr>
            <w:tcW w:w="3685" w:type="dxa"/>
            <w:tcBorders>
              <w:top w:val="single" w:sz="4" w:space="0" w:color="auto"/>
            </w:tcBorders>
            <w:shd w:val="clear" w:color="auto" w:fill="auto"/>
            <w:noWrap/>
          </w:tcPr>
          <w:p w14:paraId="11606E40" w14:textId="77777777" w:rsidR="007E1D13" w:rsidRPr="00B2469D" w:rsidRDefault="007E1D13" w:rsidP="007E1D13">
            <w:pPr>
              <w:spacing w:before="120" w:after="0" w:line="360" w:lineRule="auto"/>
              <w:rPr>
                <w:color w:val="000000"/>
                <w:lang w:eastAsia="en-GB"/>
              </w:rPr>
            </w:pPr>
            <w:r>
              <w:rPr>
                <w:color w:val="000000"/>
                <w:lang w:eastAsia="en-GB"/>
              </w:rPr>
              <w:t>Authority figures disapprove</w:t>
            </w:r>
          </w:p>
        </w:tc>
        <w:tc>
          <w:tcPr>
            <w:tcW w:w="709" w:type="dxa"/>
            <w:tcBorders>
              <w:top w:val="single" w:sz="4" w:space="0" w:color="auto"/>
            </w:tcBorders>
            <w:vAlign w:val="bottom"/>
          </w:tcPr>
          <w:p w14:paraId="3B72581B"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2CAAC8E5" w14:textId="77777777" w:rsidR="007E1D13" w:rsidRPr="00B2469D" w:rsidRDefault="007E1D13" w:rsidP="007E1D13">
            <w:pPr>
              <w:spacing w:before="120" w:after="0" w:line="360" w:lineRule="auto"/>
              <w:jc w:val="right"/>
              <w:rPr>
                <w:color w:val="000000"/>
                <w:lang w:eastAsia="en-GB"/>
              </w:rPr>
            </w:pPr>
            <w:r>
              <w:rPr>
                <w:color w:val="000000"/>
                <w:lang w:eastAsia="en-GB"/>
              </w:rPr>
              <w:t>10</w:t>
            </w:r>
          </w:p>
        </w:tc>
        <w:tc>
          <w:tcPr>
            <w:tcW w:w="850" w:type="dxa"/>
            <w:gridSpan w:val="2"/>
            <w:tcBorders>
              <w:top w:val="single" w:sz="4" w:space="0" w:color="auto"/>
            </w:tcBorders>
          </w:tcPr>
          <w:p w14:paraId="2EE9BECD" w14:textId="77777777" w:rsidR="007E1D13" w:rsidRDefault="007E1D13" w:rsidP="007E1D13">
            <w:pPr>
              <w:spacing w:before="120" w:after="0" w:line="360" w:lineRule="auto"/>
              <w:jc w:val="right"/>
              <w:rPr>
                <w:color w:val="000000"/>
                <w:lang w:eastAsia="en-GB"/>
              </w:rPr>
            </w:pPr>
            <w:r>
              <w:rPr>
                <w:color w:val="000000"/>
                <w:lang w:eastAsia="en-GB"/>
              </w:rPr>
              <w:t>11</w:t>
            </w:r>
          </w:p>
        </w:tc>
        <w:tc>
          <w:tcPr>
            <w:tcW w:w="851" w:type="dxa"/>
            <w:tcBorders>
              <w:top w:val="single" w:sz="4" w:space="0" w:color="auto"/>
            </w:tcBorders>
          </w:tcPr>
          <w:p w14:paraId="58498E7F" w14:textId="77777777" w:rsidR="007E1D13" w:rsidRDefault="007E1D13" w:rsidP="007E1D13">
            <w:pPr>
              <w:spacing w:before="120" w:after="0" w:line="360" w:lineRule="auto"/>
              <w:jc w:val="right"/>
              <w:rPr>
                <w:color w:val="000000"/>
                <w:lang w:eastAsia="en-GB"/>
              </w:rPr>
            </w:pPr>
            <w:r>
              <w:rPr>
                <w:color w:val="000000"/>
                <w:lang w:eastAsia="en-GB"/>
              </w:rPr>
              <w:t>1</w:t>
            </w:r>
          </w:p>
        </w:tc>
      </w:tr>
      <w:tr w:rsidR="007E1D13" w:rsidRPr="00B2469D" w14:paraId="1703451D" w14:textId="77777777" w:rsidTr="007E1D13">
        <w:trPr>
          <w:trHeight w:val="290"/>
        </w:trPr>
        <w:tc>
          <w:tcPr>
            <w:tcW w:w="1951" w:type="dxa"/>
            <w:shd w:val="clear" w:color="auto" w:fill="auto"/>
            <w:noWrap/>
            <w:vAlign w:val="bottom"/>
          </w:tcPr>
          <w:p w14:paraId="42B80402" w14:textId="77777777" w:rsidR="007E1D13" w:rsidRDefault="007E1D13" w:rsidP="007E1D13">
            <w:pPr>
              <w:spacing w:after="0" w:line="360" w:lineRule="auto"/>
              <w:rPr>
                <w:b/>
                <w:color w:val="000000"/>
                <w:szCs w:val="24"/>
                <w:lang w:eastAsia="en-GB"/>
              </w:rPr>
            </w:pPr>
          </w:p>
        </w:tc>
        <w:tc>
          <w:tcPr>
            <w:tcW w:w="709" w:type="dxa"/>
            <w:shd w:val="clear" w:color="auto" w:fill="auto"/>
            <w:vAlign w:val="center"/>
          </w:tcPr>
          <w:p w14:paraId="287EAA9A" w14:textId="77777777" w:rsidR="007E1D13" w:rsidRDefault="007E1D13" w:rsidP="007E1D13">
            <w:pPr>
              <w:spacing w:after="0" w:line="360" w:lineRule="auto"/>
              <w:jc w:val="right"/>
              <w:rPr>
                <w:b/>
                <w:szCs w:val="24"/>
                <w:lang w:eastAsia="en-GB"/>
              </w:rPr>
            </w:pPr>
          </w:p>
        </w:tc>
        <w:tc>
          <w:tcPr>
            <w:tcW w:w="3685" w:type="dxa"/>
            <w:shd w:val="clear" w:color="auto" w:fill="auto"/>
            <w:noWrap/>
            <w:vAlign w:val="bottom"/>
          </w:tcPr>
          <w:p w14:paraId="1E63A2AD" w14:textId="77777777" w:rsidR="007E1D13" w:rsidRDefault="007E1D13" w:rsidP="007E1D13">
            <w:pPr>
              <w:spacing w:after="0" w:line="360" w:lineRule="auto"/>
              <w:rPr>
                <w:color w:val="000000"/>
                <w:lang w:eastAsia="en-GB"/>
              </w:rPr>
            </w:pPr>
            <w:r>
              <w:rPr>
                <w:color w:val="000000"/>
                <w:lang w:eastAsia="en-GB"/>
              </w:rPr>
              <w:t>Don’t want to</w:t>
            </w:r>
            <w:r w:rsidRPr="00B2469D">
              <w:rPr>
                <w:color w:val="000000"/>
                <w:lang w:eastAsia="en-GB"/>
              </w:rPr>
              <w:t xml:space="preserve"> get into trouble</w:t>
            </w:r>
            <w:r>
              <w:rPr>
                <w:color w:val="000000"/>
                <w:lang w:eastAsia="en-GB"/>
              </w:rPr>
              <w:t>*</w:t>
            </w:r>
          </w:p>
        </w:tc>
        <w:tc>
          <w:tcPr>
            <w:tcW w:w="709" w:type="dxa"/>
            <w:vAlign w:val="bottom"/>
          </w:tcPr>
          <w:p w14:paraId="6F647A52" w14:textId="77777777" w:rsidR="007E1D13" w:rsidRDefault="007E1D13" w:rsidP="007E1D13">
            <w:pPr>
              <w:spacing w:after="0" w:line="360" w:lineRule="auto"/>
              <w:jc w:val="center"/>
              <w:rPr>
                <w:color w:val="000000"/>
                <w:lang w:eastAsia="en-GB"/>
              </w:rPr>
            </w:pPr>
            <w:r>
              <w:rPr>
                <w:color w:val="000000"/>
                <w:lang w:eastAsia="en-GB"/>
              </w:rPr>
              <w:t>1</w:t>
            </w:r>
          </w:p>
        </w:tc>
        <w:tc>
          <w:tcPr>
            <w:tcW w:w="709" w:type="dxa"/>
            <w:shd w:val="clear" w:color="auto" w:fill="auto"/>
            <w:vAlign w:val="bottom"/>
          </w:tcPr>
          <w:p w14:paraId="7CB593D2" w14:textId="77777777" w:rsidR="007E1D13" w:rsidRDefault="007E1D13" w:rsidP="007E1D13">
            <w:pPr>
              <w:spacing w:after="0" w:line="360" w:lineRule="auto"/>
              <w:jc w:val="right"/>
              <w:rPr>
                <w:color w:val="000000"/>
                <w:lang w:eastAsia="en-GB"/>
              </w:rPr>
            </w:pPr>
            <w:r>
              <w:rPr>
                <w:color w:val="000000"/>
                <w:lang w:eastAsia="en-GB"/>
              </w:rPr>
              <w:t>8</w:t>
            </w:r>
          </w:p>
        </w:tc>
        <w:tc>
          <w:tcPr>
            <w:tcW w:w="850" w:type="dxa"/>
            <w:gridSpan w:val="2"/>
          </w:tcPr>
          <w:p w14:paraId="5CF4DF31" w14:textId="77777777" w:rsidR="007E1D13" w:rsidRDefault="007E1D13" w:rsidP="007E1D13">
            <w:pPr>
              <w:spacing w:after="0" w:line="360" w:lineRule="auto"/>
              <w:jc w:val="right"/>
              <w:rPr>
                <w:color w:val="000000"/>
                <w:lang w:eastAsia="en-GB"/>
              </w:rPr>
            </w:pPr>
            <w:r>
              <w:rPr>
                <w:color w:val="000000"/>
                <w:lang w:eastAsia="en-GB"/>
              </w:rPr>
              <w:t>9</w:t>
            </w:r>
          </w:p>
        </w:tc>
        <w:tc>
          <w:tcPr>
            <w:tcW w:w="851" w:type="dxa"/>
          </w:tcPr>
          <w:p w14:paraId="3923370A" w14:textId="77777777" w:rsidR="007E1D13" w:rsidRDefault="007E1D13" w:rsidP="007E1D13">
            <w:pPr>
              <w:spacing w:after="0" w:line="360" w:lineRule="auto"/>
              <w:jc w:val="right"/>
              <w:rPr>
                <w:color w:val="000000"/>
                <w:lang w:eastAsia="en-GB"/>
              </w:rPr>
            </w:pPr>
            <w:r>
              <w:rPr>
                <w:color w:val="000000"/>
                <w:lang w:eastAsia="en-GB"/>
              </w:rPr>
              <w:t>+ 9</w:t>
            </w:r>
          </w:p>
        </w:tc>
      </w:tr>
      <w:tr w:rsidR="007E1D13" w:rsidRPr="00B2469D" w14:paraId="3FB6CF56" w14:textId="77777777" w:rsidTr="007E1D13">
        <w:trPr>
          <w:trHeight w:val="290"/>
        </w:trPr>
        <w:tc>
          <w:tcPr>
            <w:tcW w:w="1951" w:type="dxa"/>
            <w:tcBorders>
              <w:bottom w:val="single" w:sz="4" w:space="0" w:color="auto"/>
            </w:tcBorders>
            <w:shd w:val="clear" w:color="auto" w:fill="auto"/>
            <w:noWrap/>
            <w:vAlign w:val="bottom"/>
          </w:tcPr>
          <w:p w14:paraId="737F3223" w14:textId="77777777" w:rsidR="007E1D13" w:rsidRPr="00A454B5" w:rsidRDefault="007E1D13" w:rsidP="007E1D13">
            <w:pPr>
              <w:spacing w:after="0" w:line="360" w:lineRule="auto"/>
              <w:rPr>
                <w:b/>
                <w:szCs w:val="24"/>
                <w:lang w:eastAsia="en-GB"/>
              </w:rPr>
            </w:pPr>
          </w:p>
        </w:tc>
        <w:tc>
          <w:tcPr>
            <w:tcW w:w="709" w:type="dxa"/>
            <w:tcBorders>
              <w:bottom w:val="single" w:sz="4" w:space="0" w:color="auto"/>
            </w:tcBorders>
            <w:shd w:val="clear" w:color="auto" w:fill="auto"/>
            <w:vAlign w:val="center"/>
          </w:tcPr>
          <w:p w14:paraId="71B3694A" w14:textId="77777777" w:rsidR="007E1D13" w:rsidRPr="00A454B5" w:rsidRDefault="007E1D13" w:rsidP="007E1D13">
            <w:pPr>
              <w:spacing w:after="0" w:line="360" w:lineRule="auto"/>
              <w:jc w:val="right"/>
              <w:rPr>
                <w:b/>
                <w:szCs w:val="24"/>
                <w:lang w:eastAsia="en-GB"/>
              </w:rPr>
            </w:pPr>
          </w:p>
        </w:tc>
        <w:tc>
          <w:tcPr>
            <w:tcW w:w="3685" w:type="dxa"/>
            <w:tcBorders>
              <w:bottom w:val="single" w:sz="4" w:space="0" w:color="auto"/>
            </w:tcBorders>
            <w:shd w:val="clear" w:color="auto" w:fill="auto"/>
            <w:noWrap/>
            <w:vAlign w:val="bottom"/>
          </w:tcPr>
          <w:p w14:paraId="0ADB3066" w14:textId="77777777" w:rsidR="007E1D13" w:rsidRDefault="007E1D13" w:rsidP="007E1D13">
            <w:pPr>
              <w:spacing w:after="0" w:line="360" w:lineRule="auto"/>
              <w:rPr>
                <w:color w:val="000000"/>
                <w:lang w:eastAsia="en-GB"/>
              </w:rPr>
            </w:pPr>
            <w:r>
              <w:rPr>
                <w:color w:val="000000"/>
                <w:lang w:eastAsia="en-GB"/>
              </w:rPr>
              <w:t>Parents disapprove of use</w:t>
            </w:r>
          </w:p>
        </w:tc>
        <w:tc>
          <w:tcPr>
            <w:tcW w:w="709" w:type="dxa"/>
            <w:tcBorders>
              <w:bottom w:val="single" w:sz="4" w:space="0" w:color="auto"/>
            </w:tcBorders>
            <w:vAlign w:val="bottom"/>
          </w:tcPr>
          <w:p w14:paraId="15DC7DEB" w14:textId="77777777" w:rsidR="007E1D13" w:rsidRDefault="007E1D13" w:rsidP="007E1D13">
            <w:pPr>
              <w:spacing w:after="0" w:line="360" w:lineRule="auto"/>
              <w:jc w:val="center"/>
              <w:rPr>
                <w:color w:val="000000"/>
                <w:lang w:eastAsia="en-GB"/>
              </w:rPr>
            </w:pPr>
            <w:r>
              <w:rPr>
                <w:color w:val="000000"/>
                <w:lang w:eastAsia="en-GB"/>
              </w:rPr>
              <w:t>2</w:t>
            </w:r>
          </w:p>
        </w:tc>
        <w:tc>
          <w:tcPr>
            <w:tcW w:w="709" w:type="dxa"/>
            <w:tcBorders>
              <w:bottom w:val="single" w:sz="4" w:space="0" w:color="auto"/>
            </w:tcBorders>
            <w:shd w:val="clear" w:color="auto" w:fill="auto"/>
            <w:vAlign w:val="bottom"/>
          </w:tcPr>
          <w:p w14:paraId="46D75113" w14:textId="77777777" w:rsidR="007E1D13" w:rsidRDefault="007E1D13" w:rsidP="007E1D13">
            <w:pPr>
              <w:spacing w:after="0" w:line="360" w:lineRule="auto"/>
              <w:jc w:val="right"/>
              <w:rPr>
                <w:color w:val="000000"/>
                <w:lang w:eastAsia="en-GB"/>
              </w:rPr>
            </w:pPr>
            <w:r>
              <w:rPr>
                <w:color w:val="000000"/>
                <w:lang w:eastAsia="en-GB"/>
              </w:rPr>
              <w:t>6</w:t>
            </w:r>
          </w:p>
        </w:tc>
        <w:tc>
          <w:tcPr>
            <w:tcW w:w="850" w:type="dxa"/>
            <w:gridSpan w:val="2"/>
            <w:tcBorders>
              <w:bottom w:val="single" w:sz="4" w:space="0" w:color="auto"/>
            </w:tcBorders>
          </w:tcPr>
          <w:p w14:paraId="4D4E224A" w14:textId="77777777" w:rsidR="007E1D13" w:rsidRDefault="007E1D13" w:rsidP="007E1D13">
            <w:pPr>
              <w:spacing w:after="0" w:line="360" w:lineRule="auto"/>
              <w:jc w:val="right"/>
              <w:rPr>
                <w:color w:val="000000"/>
                <w:lang w:eastAsia="en-GB"/>
              </w:rPr>
            </w:pPr>
            <w:r>
              <w:rPr>
                <w:color w:val="000000"/>
                <w:lang w:eastAsia="en-GB"/>
              </w:rPr>
              <w:t>7</w:t>
            </w:r>
          </w:p>
        </w:tc>
        <w:tc>
          <w:tcPr>
            <w:tcW w:w="851" w:type="dxa"/>
            <w:tcBorders>
              <w:bottom w:val="single" w:sz="4" w:space="0" w:color="auto"/>
            </w:tcBorders>
          </w:tcPr>
          <w:p w14:paraId="4986494C" w14:textId="77777777" w:rsidR="007E1D13" w:rsidRDefault="007E1D13" w:rsidP="007E1D13">
            <w:pPr>
              <w:spacing w:after="0" w:line="360" w:lineRule="auto"/>
              <w:jc w:val="right"/>
              <w:rPr>
                <w:color w:val="000000"/>
                <w:lang w:eastAsia="en-GB"/>
              </w:rPr>
            </w:pPr>
            <w:r>
              <w:rPr>
                <w:color w:val="000000"/>
                <w:lang w:eastAsia="en-GB"/>
              </w:rPr>
              <w:t>- 6</w:t>
            </w:r>
          </w:p>
        </w:tc>
      </w:tr>
      <w:tr w:rsidR="007E1D13" w:rsidRPr="00B2469D" w14:paraId="75FE4FC1" w14:textId="77777777" w:rsidTr="007E1D13">
        <w:trPr>
          <w:trHeight w:val="290"/>
        </w:trPr>
        <w:tc>
          <w:tcPr>
            <w:tcW w:w="1951" w:type="dxa"/>
            <w:tcBorders>
              <w:top w:val="single" w:sz="4" w:space="0" w:color="auto"/>
            </w:tcBorders>
            <w:shd w:val="clear" w:color="auto" w:fill="auto"/>
            <w:noWrap/>
            <w:vAlign w:val="bottom"/>
          </w:tcPr>
          <w:p w14:paraId="633CF134" w14:textId="77777777" w:rsidR="007E1D13" w:rsidRPr="00B2469D" w:rsidRDefault="007E1D13" w:rsidP="007E1D13">
            <w:pPr>
              <w:spacing w:before="120" w:after="0" w:line="360" w:lineRule="auto"/>
              <w:rPr>
                <w:sz w:val="20"/>
                <w:szCs w:val="20"/>
                <w:lang w:eastAsia="en-GB"/>
              </w:rPr>
            </w:pPr>
            <w:r>
              <w:rPr>
                <w:b/>
                <w:color w:val="000000"/>
                <w:lang w:eastAsia="en-GB"/>
              </w:rPr>
              <w:t xml:space="preserve">Accessibility </w:t>
            </w:r>
          </w:p>
        </w:tc>
        <w:tc>
          <w:tcPr>
            <w:tcW w:w="709" w:type="dxa"/>
            <w:tcBorders>
              <w:top w:val="single" w:sz="4" w:space="0" w:color="auto"/>
            </w:tcBorders>
            <w:shd w:val="clear" w:color="auto" w:fill="auto"/>
            <w:vAlign w:val="center"/>
          </w:tcPr>
          <w:p w14:paraId="33FE455D" w14:textId="77777777" w:rsidR="007E1D13" w:rsidRPr="00A454B5" w:rsidRDefault="007E1D13" w:rsidP="007E1D13">
            <w:pPr>
              <w:spacing w:before="120" w:after="0" w:line="360" w:lineRule="auto"/>
              <w:jc w:val="right"/>
              <w:rPr>
                <w:b/>
                <w:sz w:val="20"/>
                <w:szCs w:val="20"/>
                <w:lang w:eastAsia="en-GB"/>
              </w:rPr>
            </w:pPr>
            <w:r>
              <w:rPr>
                <w:b/>
                <w:color w:val="000000"/>
                <w:lang w:eastAsia="en-GB"/>
              </w:rPr>
              <w:t>20</w:t>
            </w:r>
          </w:p>
        </w:tc>
        <w:tc>
          <w:tcPr>
            <w:tcW w:w="3685" w:type="dxa"/>
            <w:tcBorders>
              <w:top w:val="single" w:sz="4" w:space="0" w:color="auto"/>
            </w:tcBorders>
            <w:shd w:val="clear" w:color="auto" w:fill="auto"/>
            <w:noWrap/>
            <w:vAlign w:val="bottom"/>
          </w:tcPr>
          <w:p w14:paraId="3CB7C2B9" w14:textId="77777777" w:rsidR="007E1D13" w:rsidRPr="00B2469D" w:rsidRDefault="007E1D13" w:rsidP="007E1D13">
            <w:pPr>
              <w:spacing w:before="120" w:after="0" w:line="360" w:lineRule="auto"/>
              <w:rPr>
                <w:color w:val="000000"/>
                <w:lang w:eastAsia="en-GB"/>
              </w:rPr>
            </w:pPr>
            <w:r>
              <w:rPr>
                <w:color w:val="000000"/>
                <w:lang w:eastAsia="en-GB"/>
              </w:rPr>
              <w:t>Hard to get*</w:t>
            </w:r>
          </w:p>
        </w:tc>
        <w:tc>
          <w:tcPr>
            <w:tcW w:w="709" w:type="dxa"/>
            <w:tcBorders>
              <w:top w:val="single" w:sz="4" w:space="0" w:color="auto"/>
            </w:tcBorders>
            <w:vAlign w:val="bottom"/>
          </w:tcPr>
          <w:p w14:paraId="70B6070D"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12396161" w14:textId="77777777" w:rsidR="007E1D13" w:rsidRPr="00B2469D" w:rsidRDefault="007E1D13" w:rsidP="007E1D13">
            <w:pPr>
              <w:spacing w:before="120" w:after="0" w:line="360" w:lineRule="auto"/>
              <w:jc w:val="right"/>
              <w:rPr>
                <w:color w:val="000000"/>
                <w:lang w:eastAsia="en-GB"/>
              </w:rPr>
            </w:pPr>
            <w:r>
              <w:rPr>
                <w:color w:val="000000"/>
                <w:lang w:eastAsia="en-GB"/>
              </w:rPr>
              <w:t>17</w:t>
            </w:r>
          </w:p>
        </w:tc>
        <w:tc>
          <w:tcPr>
            <w:tcW w:w="850" w:type="dxa"/>
            <w:gridSpan w:val="2"/>
            <w:tcBorders>
              <w:top w:val="single" w:sz="4" w:space="0" w:color="auto"/>
            </w:tcBorders>
          </w:tcPr>
          <w:p w14:paraId="3E599031" w14:textId="77777777" w:rsidR="007E1D13" w:rsidRDefault="007E1D13" w:rsidP="007E1D13">
            <w:pPr>
              <w:spacing w:before="120" w:after="0" w:line="360" w:lineRule="auto"/>
              <w:jc w:val="right"/>
              <w:rPr>
                <w:color w:val="000000"/>
                <w:lang w:eastAsia="en-GB"/>
              </w:rPr>
            </w:pPr>
            <w:r>
              <w:rPr>
                <w:color w:val="000000"/>
                <w:lang w:eastAsia="en-GB"/>
              </w:rPr>
              <w:t>19</w:t>
            </w:r>
          </w:p>
        </w:tc>
        <w:tc>
          <w:tcPr>
            <w:tcW w:w="851" w:type="dxa"/>
            <w:tcBorders>
              <w:top w:val="single" w:sz="4" w:space="0" w:color="auto"/>
            </w:tcBorders>
          </w:tcPr>
          <w:p w14:paraId="0CFD8C5C" w14:textId="77777777" w:rsidR="007E1D13" w:rsidRDefault="007E1D13" w:rsidP="007E1D13">
            <w:pPr>
              <w:spacing w:before="120" w:after="0" w:line="360" w:lineRule="auto"/>
              <w:jc w:val="right"/>
              <w:rPr>
                <w:color w:val="000000"/>
                <w:lang w:eastAsia="en-GB"/>
              </w:rPr>
            </w:pPr>
            <w:r>
              <w:rPr>
                <w:color w:val="000000"/>
                <w:lang w:eastAsia="en-GB"/>
              </w:rPr>
              <w:t>+ 19</w:t>
            </w:r>
          </w:p>
        </w:tc>
      </w:tr>
      <w:tr w:rsidR="007E1D13" w:rsidRPr="00B2469D" w14:paraId="63B339BC" w14:textId="77777777" w:rsidTr="007E1D13">
        <w:trPr>
          <w:trHeight w:val="290"/>
        </w:trPr>
        <w:tc>
          <w:tcPr>
            <w:tcW w:w="1951" w:type="dxa"/>
            <w:tcBorders>
              <w:bottom w:val="single" w:sz="4" w:space="0" w:color="auto"/>
            </w:tcBorders>
            <w:shd w:val="clear" w:color="auto" w:fill="auto"/>
            <w:noWrap/>
            <w:vAlign w:val="bottom"/>
          </w:tcPr>
          <w:p w14:paraId="38469101" w14:textId="77777777" w:rsidR="007E1D13" w:rsidRDefault="007E1D13" w:rsidP="007E1D13">
            <w:pPr>
              <w:spacing w:after="0" w:line="360" w:lineRule="auto"/>
              <w:rPr>
                <w:b/>
                <w:color w:val="000000"/>
                <w:lang w:eastAsia="en-GB"/>
              </w:rPr>
            </w:pPr>
          </w:p>
        </w:tc>
        <w:tc>
          <w:tcPr>
            <w:tcW w:w="709" w:type="dxa"/>
            <w:tcBorders>
              <w:bottom w:val="single" w:sz="4" w:space="0" w:color="auto"/>
            </w:tcBorders>
            <w:shd w:val="clear" w:color="auto" w:fill="auto"/>
            <w:vAlign w:val="bottom"/>
          </w:tcPr>
          <w:p w14:paraId="0635B0CD" w14:textId="77777777" w:rsidR="007E1D13" w:rsidRDefault="007E1D13" w:rsidP="007E1D13">
            <w:pPr>
              <w:spacing w:after="0" w:line="360" w:lineRule="auto"/>
              <w:rPr>
                <w:b/>
                <w:szCs w:val="20"/>
                <w:lang w:eastAsia="en-GB"/>
              </w:rPr>
            </w:pPr>
          </w:p>
        </w:tc>
        <w:tc>
          <w:tcPr>
            <w:tcW w:w="3685" w:type="dxa"/>
            <w:tcBorders>
              <w:bottom w:val="single" w:sz="4" w:space="0" w:color="auto"/>
            </w:tcBorders>
            <w:shd w:val="clear" w:color="auto" w:fill="auto"/>
            <w:noWrap/>
            <w:vAlign w:val="bottom"/>
          </w:tcPr>
          <w:p w14:paraId="54CC6F5B" w14:textId="77777777" w:rsidR="007E1D13" w:rsidRDefault="007E1D13" w:rsidP="007E1D13">
            <w:pPr>
              <w:spacing w:after="0" w:line="360" w:lineRule="auto"/>
              <w:rPr>
                <w:color w:val="000000"/>
                <w:lang w:eastAsia="en-GB"/>
              </w:rPr>
            </w:pPr>
            <w:r>
              <w:rPr>
                <w:color w:val="000000"/>
                <w:lang w:eastAsia="en-GB"/>
              </w:rPr>
              <w:t>Waste of money</w:t>
            </w:r>
          </w:p>
        </w:tc>
        <w:tc>
          <w:tcPr>
            <w:tcW w:w="709" w:type="dxa"/>
            <w:tcBorders>
              <w:bottom w:val="single" w:sz="4" w:space="0" w:color="auto"/>
            </w:tcBorders>
            <w:vAlign w:val="bottom"/>
          </w:tcPr>
          <w:p w14:paraId="41D8C974" w14:textId="77777777" w:rsidR="007E1D13" w:rsidRDefault="007E1D13" w:rsidP="007E1D13">
            <w:pPr>
              <w:spacing w:after="0" w:line="360" w:lineRule="auto"/>
              <w:jc w:val="center"/>
              <w:rPr>
                <w:color w:val="000000"/>
                <w:lang w:eastAsia="en-GB"/>
              </w:rPr>
            </w:pPr>
            <w:r>
              <w:rPr>
                <w:color w:val="000000"/>
                <w:lang w:eastAsia="en-GB"/>
              </w:rPr>
              <w:t>1</w:t>
            </w:r>
          </w:p>
        </w:tc>
        <w:tc>
          <w:tcPr>
            <w:tcW w:w="709" w:type="dxa"/>
            <w:tcBorders>
              <w:bottom w:val="single" w:sz="4" w:space="0" w:color="auto"/>
            </w:tcBorders>
            <w:shd w:val="clear" w:color="auto" w:fill="auto"/>
            <w:vAlign w:val="bottom"/>
          </w:tcPr>
          <w:p w14:paraId="34B54759" w14:textId="77777777" w:rsidR="007E1D13" w:rsidRDefault="007E1D13" w:rsidP="007E1D13">
            <w:pPr>
              <w:spacing w:after="0" w:line="360" w:lineRule="auto"/>
              <w:jc w:val="right"/>
              <w:rPr>
                <w:color w:val="000000"/>
                <w:lang w:eastAsia="en-GB"/>
              </w:rPr>
            </w:pPr>
            <w:r>
              <w:rPr>
                <w:color w:val="000000"/>
                <w:lang w:eastAsia="en-GB"/>
              </w:rPr>
              <w:t>3</w:t>
            </w:r>
          </w:p>
        </w:tc>
        <w:tc>
          <w:tcPr>
            <w:tcW w:w="850" w:type="dxa"/>
            <w:gridSpan w:val="2"/>
            <w:tcBorders>
              <w:bottom w:val="single" w:sz="4" w:space="0" w:color="auto"/>
            </w:tcBorders>
          </w:tcPr>
          <w:p w14:paraId="297F03DD" w14:textId="77777777" w:rsidR="007E1D13" w:rsidRDefault="007E1D13" w:rsidP="007E1D13">
            <w:pPr>
              <w:spacing w:after="0" w:line="360" w:lineRule="auto"/>
              <w:jc w:val="right"/>
              <w:rPr>
                <w:color w:val="000000"/>
                <w:lang w:eastAsia="en-GB"/>
              </w:rPr>
            </w:pPr>
            <w:r>
              <w:rPr>
                <w:color w:val="000000"/>
                <w:lang w:eastAsia="en-GB"/>
              </w:rPr>
              <w:t>3</w:t>
            </w:r>
          </w:p>
        </w:tc>
        <w:tc>
          <w:tcPr>
            <w:tcW w:w="851" w:type="dxa"/>
            <w:tcBorders>
              <w:bottom w:val="single" w:sz="4" w:space="0" w:color="auto"/>
            </w:tcBorders>
          </w:tcPr>
          <w:p w14:paraId="08C409A8" w14:textId="77777777" w:rsidR="007E1D13" w:rsidRDefault="007E1D13" w:rsidP="007E1D13">
            <w:pPr>
              <w:spacing w:after="0" w:line="360" w:lineRule="auto"/>
              <w:jc w:val="right"/>
              <w:rPr>
                <w:color w:val="000000"/>
                <w:lang w:eastAsia="en-GB"/>
              </w:rPr>
            </w:pPr>
            <w:r>
              <w:rPr>
                <w:color w:val="000000"/>
                <w:lang w:eastAsia="en-GB"/>
              </w:rPr>
              <w:t>0</w:t>
            </w:r>
          </w:p>
        </w:tc>
      </w:tr>
      <w:tr w:rsidR="007E1D13" w:rsidRPr="00B2469D" w14:paraId="0BEDAB81" w14:textId="77777777" w:rsidTr="007E1D13">
        <w:trPr>
          <w:trHeight w:val="290"/>
        </w:trPr>
        <w:tc>
          <w:tcPr>
            <w:tcW w:w="1951" w:type="dxa"/>
            <w:tcBorders>
              <w:top w:val="single" w:sz="4" w:space="0" w:color="auto"/>
              <w:bottom w:val="single" w:sz="4" w:space="0" w:color="auto"/>
            </w:tcBorders>
            <w:shd w:val="clear" w:color="auto" w:fill="auto"/>
            <w:noWrap/>
            <w:vAlign w:val="bottom"/>
          </w:tcPr>
          <w:p w14:paraId="6DBADAFA" w14:textId="77777777" w:rsidR="007E1D13" w:rsidRPr="00B2469D" w:rsidRDefault="007E1D13" w:rsidP="007E1D13">
            <w:pPr>
              <w:spacing w:before="120" w:after="0" w:line="360" w:lineRule="auto"/>
              <w:rPr>
                <w:sz w:val="20"/>
                <w:szCs w:val="20"/>
                <w:lang w:eastAsia="en-GB"/>
              </w:rPr>
            </w:pPr>
            <w:r>
              <w:rPr>
                <w:b/>
                <w:color w:val="000000"/>
                <w:lang w:eastAsia="en-GB"/>
              </w:rPr>
              <w:t>Legal status</w:t>
            </w:r>
          </w:p>
        </w:tc>
        <w:tc>
          <w:tcPr>
            <w:tcW w:w="709" w:type="dxa"/>
            <w:tcBorders>
              <w:top w:val="single" w:sz="4" w:space="0" w:color="auto"/>
              <w:bottom w:val="single" w:sz="4" w:space="0" w:color="auto"/>
            </w:tcBorders>
            <w:shd w:val="clear" w:color="auto" w:fill="auto"/>
            <w:vAlign w:val="center"/>
          </w:tcPr>
          <w:p w14:paraId="346FA86D" w14:textId="77777777" w:rsidR="007E1D13" w:rsidRPr="003B1C17" w:rsidRDefault="007E1D13" w:rsidP="007E1D13">
            <w:pPr>
              <w:spacing w:before="120" w:after="0" w:line="360" w:lineRule="auto"/>
              <w:jc w:val="right"/>
              <w:rPr>
                <w:b/>
                <w:sz w:val="20"/>
                <w:szCs w:val="20"/>
                <w:lang w:eastAsia="en-GB"/>
              </w:rPr>
            </w:pPr>
            <w:r>
              <w:rPr>
                <w:b/>
                <w:color w:val="000000"/>
                <w:lang w:eastAsia="en-GB"/>
              </w:rPr>
              <w:t>15</w:t>
            </w:r>
          </w:p>
        </w:tc>
        <w:tc>
          <w:tcPr>
            <w:tcW w:w="3685" w:type="dxa"/>
            <w:tcBorders>
              <w:top w:val="single" w:sz="4" w:space="0" w:color="auto"/>
              <w:bottom w:val="single" w:sz="4" w:space="0" w:color="auto"/>
            </w:tcBorders>
            <w:shd w:val="clear" w:color="auto" w:fill="auto"/>
            <w:noWrap/>
            <w:vAlign w:val="bottom"/>
            <w:hideMark/>
          </w:tcPr>
          <w:p w14:paraId="3A9D1DF6" w14:textId="77777777" w:rsidR="007E1D13" w:rsidRPr="00B2469D" w:rsidRDefault="007E1D13" w:rsidP="007E1D13">
            <w:pPr>
              <w:spacing w:before="120" w:after="0" w:line="360" w:lineRule="auto"/>
              <w:rPr>
                <w:color w:val="000000"/>
                <w:lang w:eastAsia="en-GB"/>
              </w:rPr>
            </w:pPr>
            <w:r w:rsidRPr="00B2469D">
              <w:rPr>
                <w:color w:val="000000"/>
                <w:lang w:eastAsia="en-GB"/>
              </w:rPr>
              <w:t xml:space="preserve">Because they are </w:t>
            </w:r>
            <w:r>
              <w:rPr>
                <w:color w:val="000000"/>
                <w:lang w:eastAsia="en-GB"/>
              </w:rPr>
              <w:t xml:space="preserve">illicit* </w:t>
            </w:r>
          </w:p>
        </w:tc>
        <w:tc>
          <w:tcPr>
            <w:tcW w:w="709" w:type="dxa"/>
            <w:tcBorders>
              <w:top w:val="single" w:sz="4" w:space="0" w:color="auto"/>
              <w:bottom w:val="single" w:sz="4" w:space="0" w:color="auto"/>
            </w:tcBorders>
            <w:vAlign w:val="bottom"/>
          </w:tcPr>
          <w:p w14:paraId="38934155" w14:textId="77777777" w:rsidR="007E1D13" w:rsidRDefault="007E1D13" w:rsidP="007E1D13">
            <w:pPr>
              <w:spacing w:before="120" w:after="0" w:line="360" w:lineRule="auto"/>
              <w:jc w:val="center"/>
              <w:rPr>
                <w:color w:val="000000"/>
                <w:lang w:eastAsia="en-GB"/>
              </w:rPr>
            </w:pPr>
            <w:r>
              <w:rPr>
                <w:color w:val="000000"/>
                <w:lang w:eastAsia="en-GB"/>
              </w:rPr>
              <w:t>2</w:t>
            </w:r>
          </w:p>
        </w:tc>
        <w:tc>
          <w:tcPr>
            <w:tcW w:w="709" w:type="dxa"/>
            <w:tcBorders>
              <w:top w:val="single" w:sz="4" w:space="0" w:color="auto"/>
              <w:bottom w:val="single" w:sz="4" w:space="0" w:color="auto"/>
            </w:tcBorders>
            <w:shd w:val="clear" w:color="auto" w:fill="auto"/>
            <w:vAlign w:val="bottom"/>
          </w:tcPr>
          <w:p w14:paraId="043E20FD" w14:textId="77777777" w:rsidR="007E1D13" w:rsidRPr="00B2469D" w:rsidRDefault="007E1D13" w:rsidP="007E1D13">
            <w:pPr>
              <w:spacing w:before="120" w:after="0" w:line="360" w:lineRule="auto"/>
              <w:jc w:val="right"/>
              <w:rPr>
                <w:color w:val="000000"/>
                <w:lang w:eastAsia="en-GB"/>
              </w:rPr>
            </w:pPr>
            <w:r>
              <w:rPr>
                <w:color w:val="000000"/>
                <w:lang w:eastAsia="en-GB"/>
              </w:rPr>
              <w:t>15</w:t>
            </w:r>
          </w:p>
        </w:tc>
        <w:tc>
          <w:tcPr>
            <w:tcW w:w="850" w:type="dxa"/>
            <w:gridSpan w:val="2"/>
            <w:tcBorders>
              <w:top w:val="single" w:sz="4" w:space="0" w:color="auto"/>
              <w:bottom w:val="single" w:sz="4" w:space="0" w:color="auto"/>
            </w:tcBorders>
          </w:tcPr>
          <w:p w14:paraId="5E844BD8" w14:textId="77777777" w:rsidR="007E1D13" w:rsidRDefault="007E1D13" w:rsidP="007E1D13">
            <w:pPr>
              <w:spacing w:before="120" w:after="0" w:line="360" w:lineRule="auto"/>
              <w:jc w:val="right"/>
              <w:rPr>
                <w:color w:val="000000"/>
                <w:lang w:eastAsia="en-GB"/>
              </w:rPr>
            </w:pPr>
            <w:r>
              <w:rPr>
                <w:color w:val="000000"/>
                <w:lang w:eastAsia="en-GB"/>
              </w:rPr>
              <w:t>17</w:t>
            </w:r>
          </w:p>
        </w:tc>
        <w:tc>
          <w:tcPr>
            <w:tcW w:w="851" w:type="dxa"/>
            <w:tcBorders>
              <w:top w:val="single" w:sz="4" w:space="0" w:color="auto"/>
              <w:bottom w:val="single" w:sz="4" w:space="0" w:color="auto"/>
            </w:tcBorders>
          </w:tcPr>
          <w:p w14:paraId="145E97AE" w14:textId="77777777" w:rsidR="007E1D13" w:rsidRDefault="007E1D13" w:rsidP="007E1D13">
            <w:pPr>
              <w:spacing w:before="120" w:after="0" w:line="360" w:lineRule="auto"/>
              <w:jc w:val="right"/>
              <w:rPr>
                <w:color w:val="000000"/>
                <w:lang w:eastAsia="en-GB"/>
              </w:rPr>
            </w:pPr>
            <w:r>
              <w:rPr>
                <w:color w:val="000000"/>
                <w:lang w:eastAsia="en-GB"/>
              </w:rPr>
              <w:t>+ 17</w:t>
            </w:r>
          </w:p>
        </w:tc>
      </w:tr>
      <w:tr w:rsidR="007E1D13" w:rsidRPr="00B2469D" w14:paraId="618295EC" w14:textId="77777777" w:rsidTr="007E1D13">
        <w:trPr>
          <w:trHeight w:val="290"/>
        </w:trPr>
        <w:tc>
          <w:tcPr>
            <w:tcW w:w="1951" w:type="dxa"/>
            <w:tcBorders>
              <w:top w:val="single" w:sz="4" w:space="0" w:color="auto"/>
            </w:tcBorders>
            <w:shd w:val="clear" w:color="auto" w:fill="auto"/>
            <w:noWrap/>
            <w:vAlign w:val="bottom"/>
          </w:tcPr>
          <w:p w14:paraId="37D93DAB" w14:textId="77777777" w:rsidR="007E1D13" w:rsidRPr="00B2469D" w:rsidRDefault="007E1D13" w:rsidP="007E1D13">
            <w:pPr>
              <w:spacing w:before="120" w:after="0" w:line="360" w:lineRule="auto"/>
              <w:rPr>
                <w:color w:val="000000"/>
                <w:lang w:eastAsia="en-GB"/>
              </w:rPr>
            </w:pPr>
            <w:r>
              <w:rPr>
                <w:b/>
                <w:color w:val="000000"/>
                <w:lang w:eastAsia="en-GB"/>
              </w:rPr>
              <w:t>Pleasure</w:t>
            </w:r>
          </w:p>
        </w:tc>
        <w:tc>
          <w:tcPr>
            <w:tcW w:w="709" w:type="dxa"/>
            <w:tcBorders>
              <w:top w:val="single" w:sz="4" w:space="0" w:color="auto"/>
            </w:tcBorders>
            <w:shd w:val="clear" w:color="auto" w:fill="auto"/>
            <w:vAlign w:val="center"/>
          </w:tcPr>
          <w:p w14:paraId="241F9FBD" w14:textId="77777777" w:rsidR="007E1D13" w:rsidRPr="00A454B5" w:rsidRDefault="007E1D13" w:rsidP="007E1D13">
            <w:pPr>
              <w:spacing w:before="120" w:after="0" w:line="360" w:lineRule="auto"/>
              <w:jc w:val="right"/>
              <w:rPr>
                <w:b/>
                <w:color w:val="000000"/>
                <w:lang w:eastAsia="en-GB"/>
              </w:rPr>
            </w:pPr>
            <w:r>
              <w:rPr>
                <w:b/>
                <w:color w:val="000000"/>
                <w:lang w:eastAsia="en-GB"/>
              </w:rPr>
              <w:t>8</w:t>
            </w:r>
          </w:p>
        </w:tc>
        <w:tc>
          <w:tcPr>
            <w:tcW w:w="3685" w:type="dxa"/>
            <w:tcBorders>
              <w:top w:val="single" w:sz="4" w:space="0" w:color="auto"/>
            </w:tcBorders>
            <w:shd w:val="clear" w:color="auto" w:fill="auto"/>
            <w:noWrap/>
            <w:vAlign w:val="bottom"/>
          </w:tcPr>
          <w:p w14:paraId="6C3FEE99" w14:textId="77777777" w:rsidR="007E1D13" w:rsidRPr="00B2469D" w:rsidRDefault="007E1D13" w:rsidP="007E1D13">
            <w:pPr>
              <w:spacing w:before="120" w:after="0" w:line="360" w:lineRule="auto"/>
              <w:rPr>
                <w:color w:val="000000"/>
                <w:lang w:eastAsia="en-GB"/>
              </w:rPr>
            </w:pPr>
            <w:r>
              <w:rPr>
                <w:color w:val="000000"/>
                <w:lang w:eastAsia="en-GB"/>
              </w:rPr>
              <w:t>Bad trip</w:t>
            </w:r>
          </w:p>
        </w:tc>
        <w:tc>
          <w:tcPr>
            <w:tcW w:w="709" w:type="dxa"/>
            <w:tcBorders>
              <w:top w:val="single" w:sz="4" w:space="0" w:color="auto"/>
            </w:tcBorders>
            <w:vAlign w:val="bottom"/>
          </w:tcPr>
          <w:p w14:paraId="6BB154B9" w14:textId="77777777" w:rsidR="007E1D13" w:rsidRDefault="007E1D13" w:rsidP="007E1D13">
            <w:pPr>
              <w:spacing w:before="120" w:after="0" w:line="360" w:lineRule="auto"/>
              <w:jc w:val="center"/>
              <w:rPr>
                <w:color w:val="000000"/>
                <w:lang w:eastAsia="en-GB"/>
              </w:rPr>
            </w:pPr>
            <w:r>
              <w:rPr>
                <w:color w:val="000000"/>
                <w:lang w:eastAsia="en-GB"/>
              </w:rPr>
              <w:t>1</w:t>
            </w:r>
          </w:p>
        </w:tc>
        <w:tc>
          <w:tcPr>
            <w:tcW w:w="709" w:type="dxa"/>
            <w:tcBorders>
              <w:top w:val="single" w:sz="4" w:space="0" w:color="auto"/>
            </w:tcBorders>
            <w:shd w:val="clear" w:color="auto" w:fill="auto"/>
            <w:vAlign w:val="bottom"/>
          </w:tcPr>
          <w:p w14:paraId="0D0C21D7" w14:textId="77777777" w:rsidR="007E1D13" w:rsidRPr="00B2469D" w:rsidRDefault="007E1D13" w:rsidP="007E1D13">
            <w:pPr>
              <w:spacing w:before="120" w:after="0" w:line="360" w:lineRule="auto"/>
              <w:jc w:val="right"/>
              <w:rPr>
                <w:color w:val="000000"/>
                <w:lang w:eastAsia="en-GB"/>
              </w:rPr>
            </w:pPr>
            <w:r>
              <w:rPr>
                <w:color w:val="000000"/>
                <w:lang w:eastAsia="en-GB"/>
              </w:rPr>
              <w:t>6</w:t>
            </w:r>
          </w:p>
        </w:tc>
        <w:tc>
          <w:tcPr>
            <w:tcW w:w="850" w:type="dxa"/>
            <w:gridSpan w:val="2"/>
            <w:tcBorders>
              <w:top w:val="single" w:sz="4" w:space="0" w:color="auto"/>
            </w:tcBorders>
          </w:tcPr>
          <w:p w14:paraId="257AE67C" w14:textId="77777777" w:rsidR="007E1D13" w:rsidRDefault="007E1D13" w:rsidP="007E1D13">
            <w:pPr>
              <w:spacing w:before="120" w:after="0" w:line="360" w:lineRule="auto"/>
              <w:jc w:val="right"/>
              <w:rPr>
                <w:color w:val="000000"/>
                <w:lang w:eastAsia="en-GB"/>
              </w:rPr>
            </w:pPr>
            <w:r>
              <w:rPr>
                <w:color w:val="000000"/>
                <w:lang w:eastAsia="en-GB"/>
              </w:rPr>
              <w:t>7</w:t>
            </w:r>
          </w:p>
        </w:tc>
        <w:tc>
          <w:tcPr>
            <w:tcW w:w="851" w:type="dxa"/>
            <w:tcBorders>
              <w:top w:val="single" w:sz="4" w:space="0" w:color="auto"/>
            </w:tcBorders>
          </w:tcPr>
          <w:p w14:paraId="76E8F16B" w14:textId="77777777" w:rsidR="007E1D13" w:rsidRDefault="007E1D13" w:rsidP="007E1D13">
            <w:pPr>
              <w:spacing w:before="120" w:after="0" w:line="360" w:lineRule="auto"/>
              <w:jc w:val="right"/>
              <w:rPr>
                <w:color w:val="000000"/>
                <w:lang w:eastAsia="en-GB"/>
              </w:rPr>
            </w:pPr>
            <w:r>
              <w:rPr>
                <w:color w:val="000000"/>
                <w:lang w:eastAsia="en-GB"/>
              </w:rPr>
              <w:t>- 2</w:t>
            </w:r>
          </w:p>
        </w:tc>
      </w:tr>
      <w:tr w:rsidR="007E1D13" w:rsidRPr="00B2469D" w14:paraId="03BC0FB4" w14:textId="77777777" w:rsidTr="007E1D13">
        <w:trPr>
          <w:trHeight w:val="87"/>
        </w:trPr>
        <w:tc>
          <w:tcPr>
            <w:tcW w:w="1951" w:type="dxa"/>
            <w:tcBorders>
              <w:bottom w:val="single" w:sz="4" w:space="0" w:color="auto"/>
            </w:tcBorders>
            <w:shd w:val="clear" w:color="auto" w:fill="auto"/>
            <w:noWrap/>
            <w:vAlign w:val="bottom"/>
          </w:tcPr>
          <w:p w14:paraId="69BE68E8" w14:textId="77777777" w:rsidR="007E1D13" w:rsidRPr="00B2469D" w:rsidRDefault="007E1D13" w:rsidP="007E1D13">
            <w:pPr>
              <w:spacing w:after="0" w:line="360" w:lineRule="auto"/>
              <w:rPr>
                <w:sz w:val="20"/>
                <w:szCs w:val="20"/>
                <w:lang w:eastAsia="en-GB"/>
              </w:rPr>
            </w:pPr>
          </w:p>
        </w:tc>
        <w:tc>
          <w:tcPr>
            <w:tcW w:w="709" w:type="dxa"/>
            <w:tcBorders>
              <w:bottom w:val="single" w:sz="4" w:space="0" w:color="auto"/>
            </w:tcBorders>
            <w:shd w:val="clear" w:color="auto" w:fill="auto"/>
            <w:vAlign w:val="bottom"/>
          </w:tcPr>
          <w:p w14:paraId="48CB74E2" w14:textId="77777777" w:rsidR="007E1D13" w:rsidRPr="00B2469D" w:rsidRDefault="007E1D13" w:rsidP="007E1D13">
            <w:pPr>
              <w:spacing w:after="0" w:line="360" w:lineRule="auto"/>
              <w:rPr>
                <w:sz w:val="20"/>
                <w:szCs w:val="20"/>
                <w:lang w:eastAsia="en-GB"/>
              </w:rPr>
            </w:pPr>
          </w:p>
        </w:tc>
        <w:tc>
          <w:tcPr>
            <w:tcW w:w="3685" w:type="dxa"/>
            <w:tcBorders>
              <w:bottom w:val="single" w:sz="4" w:space="0" w:color="auto"/>
            </w:tcBorders>
            <w:shd w:val="clear" w:color="auto" w:fill="auto"/>
            <w:noWrap/>
            <w:vAlign w:val="bottom"/>
          </w:tcPr>
          <w:p w14:paraId="404FCB75" w14:textId="77777777" w:rsidR="007E1D13" w:rsidRPr="00B2469D" w:rsidRDefault="007E1D13" w:rsidP="007E1D13">
            <w:pPr>
              <w:spacing w:after="0" w:line="360" w:lineRule="auto"/>
              <w:rPr>
                <w:color w:val="000000"/>
                <w:lang w:eastAsia="en-GB"/>
              </w:rPr>
            </w:pPr>
            <w:r>
              <w:rPr>
                <w:color w:val="000000"/>
                <w:lang w:eastAsia="en-GB"/>
              </w:rPr>
              <w:t>Unpleasant effects</w:t>
            </w:r>
          </w:p>
        </w:tc>
        <w:tc>
          <w:tcPr>
            <w:tcW w:w="709" w:type="dxa"/>
            <w:tcBorders>
              <w:bottom w:val="single" w:sz="4" w:space="0" w:color="auto"/>
            </w:tcBorders>
            <w:vAlign w:val="bottom"/>
          </w:tcPr>
          <w:p w14:paraId="503D1AAC" w14:textId="77777777" w:rsidR="007E1D13" w:rsidRDefault="007E1D13" w:rsidP="007E1D13">
            <w:pPr>
              <w:spacing w:after="0" w:line="360" w:lineRule="auto"/>
              <w:jc w:val="center"/>
              <w:rPr>
                <w:color w:val="000000"/>
                <w:lang w:eastAsia="en-GB"/>
              </w:rPr>
            </w:pPr>
            <w:r>
              <w:rPr>
                <w:color w:val="000000"/>
                <w:lang w:eastAsia="en-GB"/>
              </w:rPr>
              <w:t>1</w:t>
            </w:r>
          </w:p>
        </w:tc>
        <w:tc>
          <w:tcPr>
            <w:tcW w:w="709" w:type="dxa"/>
            <w:tcBorders>
              <w:bottom w:val="single" w:sz="4" w:space="0" w:color="auto"/>
            </w:tcBorders>
            <w:shd w:val="clear" w:color="auto" w:fill="auto"/>
            <w:vAlign w:val="bottom"/>
          </w:tcPr>
          <w:p w14:paraId="53352A26" w14:textId="77777777" w:rsidR="007E1D13" w:rsidRPr="00B2469D" w:rsidRDefault="007E1D13" w:rsidP="007E1D13">
            <w:pPr>
              <w:spacing w:after="0" w:line="360" w:lineRule="auto"/>
              <w:jc w:val="right"/>
              <w:rPr>
                <w:color w:val="000000"/>
                <w:lang w:eastAsia="en-GB"/>
              </w:rPr>
            </w:pPr>
            <w:r>
              <w:rPr>
                <w:color w:val="000000"/>
                <w:lang w:eastAsia="en-GB"/>
              </w:rPr>
              <w:t>2</w:t>
            </w:r>
          </w:p>
        </w:tc>
        <w:tc>
          <w:tcPr>
            <w:tcW w:w="850" w:type="dxa"/>
            <w:gridSpan w:val="2"/>
            <w:tcBorders>
              <w:bottom w:val="single" w:sz="4" w:space="0" w:color="auto"/>
            </w:tcBorders>
          </w:tcPr>
          <w:p w14:paraId="399EE2B3" w14:textId="77777777" w:rsidR="007E1D13" w:rsidRDefault="007E1D13" w:rsidP="007E1D13">
            <w:pPr>
              <w:spacing w:after="0" w:line="360" w:lineRule="auto"/>
              <w:jc w:val="right"/>
              <w:rPr>
                <w:color w:val="000000"/>
                <w:lang w:eastAsia="en-GB"/>
              </w:rPr>
            </w:pPr>
            <w:r>
              <w:rPr>
                <w:color w:val="000000"/>
                <w:lang w:eastAsia="en-GB"/>
              </w:rPr>
              <w:t>2</w:t>
            </w:r>
          </w:p>
        </w:tc>
        <w:tc>
          <w:tcPr>
            <w:tcW w:w="851" w:type="dxa"/>
            <w:tcBorders>
              <w:bottom w:val="single" w:sz="4" w:space="0" w:color="auto"/>
            </w:tcBorders>
          </w:tcPr>
          <w:p w14:paraId="1F6BC046" w14:textId="77777777" w:rsidR="007E1D13" w:rsidRDefault="007E1D13" w:rsidP="007E1D13">
            <w:pPr>
              <w:spacing w:after="0" w:line="360" w:lineRule="auto"/>
              <w:jc w:val="right"/>
              <w:rPr>
                <w:color w:val="000000"/>
                <w:lang w:eastAsia="en-GB"/>
              </w:rPr>
            </w:pPr>
            <w:r>
              <w:rPr>
                <w:color w:val="000000"/>
                <w:lang w:eastAsia="en-GB"/>
              </w:rPr>
              <w:t>- 16</w:t>
            </w:r>
          </w:p>
        </w:tc>
      </w:tr>
      <w:tr w:rsidR="007E1D13" w:rsidRPr="00B2469D" w14:paraId="56E695A5" w14:textId="77777777" w:rsidTr="007E1D13">
        <w:trPr>
          <w:trHeight w:val="290"/>
        </w:trPr>
        <w:tc>
          <w:tcPr>
            <w:tcW w:w="1951" w:type="dxa"/>
            <w:tcBorders>
              <w:top w:val="single" w:sz="4" w:space="0" w:color="auto"/>
            </w:tcBorders>
            <w:shd w:val="clear" w:color="auto" w:fill="auto"/>
            <w:noWrap/>
            <w:vAlign w:val="bottom"/>
          </w:tcPr>
          <w:p w14:paraId="60B330CC" w14:textId="77777777" w:rsidR="007E1D13" w:rsidRPr="00A454B5" w:rsidRDefault="007E1D13" w:rsidP="007E1D13">
            <w:pPr>
              <w:spacing w:before="120" w:after="0" w:line="360" w:lineRule="auto"/>
              <w:rPr>
                <w:b/>
                <w:szCs w:val="24"/>
                <w:lang w:eastAsia="en-GB"/>
              </w:rPr>
            </w:pPr>
            <w:r>
              <w:rPr>
                <w:b/>
                <w:color w:val="000000"/>
                <w:szCs w:val="24"/>
                <w:lang w:eastAsia="en-GB"/>
              </w:rPr>
              <w:t xml:space="preserve">Social influences </w:t>
            </w:r>
          </w:p>
        </w:tc>
        <w:tc>
          <w:tcPr>
            <w:tcW w:w="709" w:type="dxa"/>
            <w:tcBorders>
              <w:top w:val="single" w:sz="4" w:space="0" w:color="auto"/>
            </w:tcBorders>
            <w:shd w:val="clear" w:color="auto" w:fill="auto"/>
            <w:vAlign w:val="center"/>
          </w:tcPr>
          <w:p w14:paraId="5563FC17" w14:textId="77777777" w:rsidR="007E1D13" w:rsidRPr="00A454B5" w:rsidRDefault="007E1D13" w:rsidP="007E1D13">
            <w:pPr>
              <w:spacing w:before="120" w:after="0" w:line="360" w:lineRule="auto"/>
              <w:jc w:val="right"/>
              <w:rPr>
                <w:b/>
                <w:szCs w:val="24"/>
                <w:lang w:eastAsia="en-GB"/>
              </w:rPr>
            </w:pPr>
            <w:r>
              <w:rPr>
                <w:b/>
                <w:color w:val="000000"/>
                <w:lang w:eastAsia="en-GB"/>
              </w:rPr>
              <w:t>7</w:t>
            </w:r>
          </w:p>
        </w:tc>
        <w:tc>
          <w:tcPr>
            <w:tcW w:w="3685" w:type="dxa"/>
            <w:tcBorders>
              <w:top w:val="single" w:sz="4" w:space="0" w:color="auto"/>
            </w:tcBorders>
            <w:shd w:val="clear" w:color="auto" w:fill="auto"/>
            <w:noWrap/>
            <w:vAlign w:val="bottom"/>
          </w:tcPr>
          <w:p w14:paraId="77CAF377" w14:textId="77777777" w:rsidR="007E1D13" w:rsidRPr="00B2469D" w:rsidRDefault="007E1D13" w:rsidP="007E1D13">
            <w:pPr>
              <w:spacing w:before="120" w:after="0" w:line="360" w:lineRule="auto"/>
              <w:rPr>
                <w:color w:val="000000"/>
                <w:lang w:eastAsia="en-GB"/>
              </w:rPr>
            </w:pPr>
            <w:r>
              <w:rPr>
                <w:color w:val="000000"/>
                <w:lang w:eastAsia="en-GB"/>
              </w:rPr>
              <w:t xml:space="preserve">Socially unacceptable </w:t>
            </w:r>
          </w:p>
        </w:tc>
        <w:tc>
          <w:tcPr>
            <w:tcW w:w="709" w:type="dxa"/>
            <w:tcBorders>
              <w:top w:val="single" w:sz="4" w:space="0" w:color="auto"/>
            </w:tcBorders>
            <w:vAlign w:val="bottom"/>
          </w:tcPr>
          <w:p w14:paraId="3FEB18C3" w14:textId="77777777" w:rsidR="007E1D13" w:rsidRDefault="007E1D13" w:rsidP="007E1D13">
            <w:pPr>
              <w:spacing w:before="120" w:after="0" w:line="360" w:lineRule="auto"/>
              <w:jc w:val="center"/>
              <w:rPr>
                <w:color w:val="000000"/>
                <w:lang w:eastAsia="en-GB"/>
              </w:rPr>
            </w:pPr>
            <w:r>
              <w:rPr>
                <w:color w:val="000000"/>
                <w:lang w:eastAsia="en-GB"/>
              </w:rPr>
              <w:t>3</w:t>
            </w:r>
          </w:p>
        </w:tc>
        <w:tc>
          <w:tcPr>
            <w:tcW w:w="709" w:type="dxa"/>
            <w:tcBorders>
              <w:top w:val="single" w:sz="4" w:space="0" w:color="auto"/>
            </w:tcBorders>
            <w:shd w:val="clear" w:color="auto" w:fill="auto"/>
            <w:vAlign w:val="bottom"/>
          </w:tcPr>
          <w:p w14:paraId="3921C67C" w14:textId="77777777" w:rsidR="007E1D13" w:rsidRPr="00B2469D" w:rsidRDefault="007E1D13" w:rsidP="007E1D13">
            <w:pPr>
              <w:spacing w:before="120" w:after="0" w:line="360" w:lineRule="auto"/>
              <w:jc w:val="right"/>
              <w:rPr>
                <w:color w:val="000000"/>
                <w:lang w:eastAsia="en-GB"/>
              </w:rPr>
            </w:pPr>
            <w:r>
              <w:rPr>
                <w:color w:val="000000"/>
                <w:lang w:eastAsia="en-GB"/>
              </w:rPr>
              <w:t>7</w:t>
            </w:r>
          </w:p>
        </w:tc>
        <w:tc>
          <w:tcPr>
            <w:tcW w:w="850" w:type="dxa"/>
            <w:gridSpan w:val="2"/>
            <w:tcBorders>
              <w:top w:val="single" w:sz="4" w:space="0" w:color="auto"/>
            </w:tcBorders>
          </w:tcPr>
          <w:p w14:paraId="5FC84E20" w14:textId="77777777" w:rsidR="007E1D13" w:rsidRDefault="007E1D13" w:rsidP="007E1D13">
            <w:pPr>
              <w:spacing w:before="120" w:after="0" w:line="360" w:lineRule="auto"/>
              <w:jc w:val="right"/>
              <w:rPr>
                <w:color w:val="000000"/>
                <w:lang w:eastAsia="en-GB"/>
              </w:rPr>
            </w:pPr>
            <w:r>
              <w:rPr>
                <w:color w:val="000000"/>
                <w:lang w:eastAsia="en-GB"/>
              </w:rPr>
              <w:t>8</w:t>
            </w:r>
          </w:p>
        </w:tc>
        <w:tc>
          <w:tcPr>
            <w:tcW w:w="851" w:type="dxa"/>
            <w:tcBorders>
              <w:top w:val="single" w:sz="4" w:space="0" w:color="auto"/>
            </w:tcBorders>
          </w:tcPr>
          <w:p w14:paraId="2269FB9E" w14:textId="77777777" w:rsidR="007E1D13" w:rsidRDefault="007E1D13" w:rsidP="007E1D13">
            <w:pPr>
              <w:spacing w:before="120" w:after="0" w:line="360" w:lineRule="auto"/>
              <w:jc w:val="right"/>
              <w:rPr>
                <w:color w:val="000000"/>
                <w:lang w:eastAsia="en-GB"/>
              </w:rPr>
            </w:pPr>
            <w:r>
              <w:rPr>
                <w:color w:val="000000"/>
                <w:lang w:eastAsia="en-GB"/>
              </w:rPr>
              <w:t>+ 5</w:t>
            </w:r>
          </w:p>
        </w:tc>
      </w:tr>
      <w:tr w:rsidR="007E1D13" w:rsidRPr="00B2469D" w14:paraId="17415EBC" w14:textId="77777777" w:rsidTr="007E1D13">
        <w:trPr>
          <w:trHeight w:val="290"/>
        </w:trPr>
        <w:tc>
          <w:tcPr>
            <w:tcW w:w="1951" w:type="dxa"/>
            <w:shd w:val="clear" w:color="auto" w:fill="auto"/>
            <w:noWrap/>
            <w:vAlign w:val="bottom"/>
          </w:tcPr>
          <w:p w14:paraId="6707AC16" w14:textId="77777777" w:rsidR="007E1D13" w:rsidRDefault="007E1D13" w:rsidP="007E1D13">
            <w:pPr>
              <w:spacing w:after="0" w:line="360" w:lineRule="auto"/>
              <w:rPr>
                <w:b/>
                <w:color w:val="000000"/>
                <w:szCs w:val="24"/>
                <w:lang w:eastAsia="en-GB"/>
              </w:rPr>
            </w:pPr>
          </w:p>
        </w:tc>
        <w:tc>
          <w:tcPr>
            <w:tcW w:w="709" w:type="dxa"/>
            <w:shd w:val="clear" w:color="auto" w:fill="auto"/>
            <w:vAlign w:val="center"/>
          </w:tcPr>
          <w:p w14:paraId="2C61BD55" w14:textId="77777777" w:rsidR="007E1D13" w:rsidRDefault="007E1D13" w:rsidP="007E1D13">
            <w:pPr>
              <w:spacing w:after="0" w:line="360" w:lineRule="auto"/>
              <w:jc w:val="right"/>
              <w:rPr>
                <w:b/>
                <w:szCs w:val="24"/>
                <w:lang w:eastAsia="en-GB"/>
              </w:rPr>
            </w:pPr>
          </w:p>
        </w:tc>
        <w:tc>
          <w:tcPr>
            <w:tcW w:w="3685" w:type="dxa"/>
            <w:shd w:val="clear" w:color="auto" w:fill="auto"/>
            <w:noWrap/>
            <w:vAlign w:val="bottom"/>
          </w:tcPr>
          <w:p w14:paraId="3CA92A97" w14:textId="77777777" w:rsidR="007E1D13" w:rsidRDefault="007E1D13" w:rsidP="007E1D13">
            <w:pPr>
              <w:spacing w:after="0" w:line="360" w:lineRule="auto"/>
              <w:rPr>
                <w:color w:val="000000"/>
                <w:lang w:eastAsia="en-GB"/>
              </w:rPr>
            </w:pPr>
            <w:r>
              <w:rPr>
                <w:color w:val="000000"/>
                <w:lang w:eastAsia="en-GB"/>
              </w:rPr>
              <w:t>Friends disapprove of use</w:t>
            </w:r>
            <w:r w:rsidRPr="00AC4533">
              <w:rPr>
                <w:color w:val="000000"/>
                <w:sz w:val="28"/>
                <w:vertAlign w:val="superscript"/>
                <w:lang w:eastAsia="en-GB"/>
              </w:rPr>
              <w:sym w:font="Wingdings 2" w:char="F085"/>
            </w:r>
          </w:p>
        </w:tc>
        <w:tc>
          <w:tcPr>
            <w:tcW w:w="709" w:type="dxa"/>
            <w:vAlign w:val="bottom"/>
          </w:tcPr>
          <w:p w14:paraId="40D3ABFC" w14:textId="77777777" w:rsidR="007E1D13" w:rsidRDefault="007E1D13" w:rsidP="007E1D13">
            <w:pPr>
              <w:spacing w:after="0" w:line="360" w:lineRule="auto"/>
              <w:jc w:val="center"/>
              <w:rPr>
                <w:color w:val="000000"/>
                <w:lang w:eastAsia="en-GB"/>
              </w:rPr>
            </w:pPr>
            <w:r>
              <w:rPr>
                <w:color w:val="000000"/>
                <w:lang w:eastAsia="en-GB"/>
              </w:rPr>
              <w:t>0</w:t>
            </w:r>
          </w:p>
        </w:tc>
        <w:tc>
          <w:tcPr>
            <w:tcW w:w="709" w:type="dxa"/>
            <w:shd w:val="clear" w:color="auto" w:fill="auto"/>
            <w:vAlign w:val="bottom"/>
          </w:tcPr>
          <w:p w14:paraId="1379C72E" w14:textId="77777777" w:rsidR="007E1D13" w:rsidRDefault="007E1D13" w:rsidP="007E1D13">
            <w:pPr>
              <w:spacing w:after="0" w:line="360" w:lineRule="auto"/>
              <w:jc w:val="right"/>
              <w:rPr>
                <w:color w:val="000000"/>
                <w:lang w:eastAsia="en-GB"/>
              </w:rPr>
            </w:pPr>
            <w:r>
              <w:rPr>
                <w:color w:val="000000"/>
                <w:lang w:eastAsia="en-GB"/>
              </w:rPr>
              <w:t>0</w:t>
            </w:r>
          </w:p>
        </w:tc>
        <w:tc>
          <w:tcPr>
            <w:tcW w:w="850" w:type="dxa"/>
            <w:gridSpan w:val="2"/>
          </w:tcPr>
          <w:p w14:paraId="41DAE104" w14:textId="77777777" w:rsidR="007E1D13" w:rsidRDefault="007E1D13" w:rsidP="007E1D13">
            <w:pPr>
              <w:spacing w:after="0" w:line="360" w:lineRule="auto"/>
              <w:jc w:val="right"/>
              <w:rPr>
                <w:color w:val="000000"/>
                <w:lang w:eastAsia="en-GB"/>
              </w:rPr>
            </w:pPr>
            <w:r>
              <w:rPr>
                <w:color w:val="000000"/>
                <w:lang w:eastAsia="en-GB"/>
              </w:rPr>
              <w:t>0</w:t>
            </w:r>
          </w:p>
        </w:tc>
        <w:tc>
          <w:tcPr>
            <w:tcW w:w="851" w:type="dxa"/>
          </w:tcPr>
          <w:p w14:paraId="04F71DDD" w14:textId="77777777" w:rsidR="007E1D13" w:rsidRDefault="007E1D13" w:rsidP="007E1D13">
            <w:pPr>
              <w:spacing w:after="0" w:line="360" w:lineRule="auto"/>
              <w:jc w:val="right"/>
              <w:rPr>
                <w:color w:val="000000"/>
                <w:lang w:eastAsia="en-GB"/>
              </w:rPr>
            </w:pPr>
            <w:r>
              <w:rPr>
                <w:color w:val="000000"/>
                <w:lang w:eastAsia="en-GB"/>
              </w:rPr>
              <w:t>- 3</w:t>
            </w:r>
          </w:p>
        </w:tc>
      </w:tr>
      <w:tr w:rsidR="007E1D13" w:rsidRPr="00B2469D" w14:paraId="68BFF458" w14:textId="77777777" w:rsidTr="007E1D13">
        <w:trPr>
          <w:trHeight w:val="290"/>
        </w:trPr>
        <w:tc>
          <w:tcPr>
            <w:tcW w:w="1951" w:type="dxa"/>
            <w:tcBorders>
              <w:bottom w:val="single" w:sz="4" w:space="0" w:color="auto"/>
            </w:tcBorders>
            <w:shd w:val="clear" w:color="auto" w:fill="auto"/>
            <w:noWrap/>
            <w:vAlign w:val="bottom"/>
          </w:tcPr>
          <w:p w14:paraId="41DC15A8" w14:textId="77777777" w:rsidR="007E1D13" w:rsidRDefault="007E1D13" w:rsidP="007E1D13">
            <w:pPr>
              <w:spacing w:after="0" w:line="360" w:lineRule="auto"/>
              <w:rPr>
                <w:b/>
                <w:color w:val="000000"/>
                <w:szCs w:val="24"/>
                <w:lang w:eastAsia="en-GB"/>
              </w:rPr>
            </w:pPr>
          </w:p>
        </w:tc>
        <w:tc>
          <w:tcPr>
            <w:tcW w:w="709" w:type="dxa"/>
            <w:tcBorders>
              <w:bottom w:val="single" w:sz="4" w:space="0" w:color="auto"/>
            </w:tcBorders>
            <w:shd w:val="clear" w:color="auto" w:fill="auto"/>
            <w:vAlign w:val="center"/>
          </w:tcPr>
          <w:p w14:paraId="3337B330" w14:textId="77777777" w:rsidR="007E1D13" w:rsidRDefault="007E1D13" w:rsidP="007E1D13">
            <w:pPr>
              <w:spacing w:after="0" w:line="360" w:lineRule="auto"/>
              <w:jc w:val="right"/>
              <w:rPr>
                <w:b/>
                <w:szCs w:val="24"/>
                <w:lang w:eastAsia="en-GB"/>
              </w:rPr>
            </w:pPr>
          </w:p>
        </w:tc>
        <w:tc>
          <w:tcPr>
            <w:tcW w:w="3685" w:type="dxa"/>
            <w:tcBorders>
              <w:bottom w:val="single" w:sz="4" w:space="0" w:color="auto"/>
            </w:tcBorders>
            <w:shd w:val="clear" w:color="auto" w:fill="auto"/>
            <w:noWrap/>
            <w:vAlign w:val="bottom"/>
          </w:tcPr>
          <w:p w14:paraId="7AE1F427" w14:textId="77777777" w:rsidR="007E1D13" w:rsidRDefault="007E1D13" w:rsidP="007E1D13">
            <w:pPr>
              <w:spacing w:after="0" w:line="360" w:lineRule="auto"/>
              <w:rPr>
                <w:color w:val="000000"/>
                <w:lang w:eastAsia="en-GB"/>
              </w:rPr>
            </w:pPr>
            <w:r>
              <w:rPr>
                <w:color w:val="000000"/>
                <w:lang w:eastAsia="en-GB"/>
              </w:rPr>
              <w:t>Resist social pressure</w:t>
            </w:r>
            <w:r w:rsidRPr="00AC4533">
              <w:rPr>
                <w:color w:val="000000"/>
                <w:sz w:val="28"/>
                <w:vertAlign w:val="superscript"/>
                <w:lang w:eastAsia="en-GB"/>
              </w:rPr>
              <w:sym w:font="Wingdings 2" w:char="F085"/>
            </w:r>
            <w:r>
              <w:rPr>
                <w:color w:val="000000"/>
                <w:lang w:eastAsia="en-GB"/>
              </w:rPr>
              <w:t xml:space="preserve"> </w:t>
            </w:r>
          </w:p>
        </w:tc>
        <w:tc>
          <w:tcPr>
            <w:tcW w:w="709" w:type="dxa"/>
            <w:tcBorders>
              <w:bottom w:val="single" w:sz="4" w:space="0" w:color="auto"/>
            </w:tcBorders>
            <w:vAlign w:val="bottom"/>
          </w:tcPr>
          <w:p w14:paraId="49607374" w14:textId="77777777" w:rsidR="007E1D13" w:rsidRDefault="007E1D13" w:rsidP="007E1D13">
            <w:pPr>
              <w:spacing w:after="0" w:line="360" w:lineRule="auto"/>
              <w:jc w:val="center"/>
              <w:rPr>
                <w:color w:val="000000"/>
                <w:lang w:eastAsia="en-GB"/>
              </w:rPr>
            </w:pPr>
            <w:r>
              <w:rPr>
                <w:color w:val="000000"/>
                <w:lang w:eastAsia="en-GB"/>
              </w:rPr>
              <w:t>0</w:t>
            </w:r>
          </w:p>
        </w:tc>
        <w:tc>
          <w:tcPr>
            <w:tcW w:w="709" w:type="dxa"/>
            <w:tcBorders>
              <w:bottom w:val="single" w:sz="4" w:space="0" w:color="auto"/>
            </w:tcBorders>
            <w:shd w:val="clear" w:color="auto" w:fill="auto"/>
            <w:vAlign w:val="bottom"/>
          </w:tcPr>
          <w:p w14:paraId="143A0994" w14:textId="77777777" w:rsidR="007E1D13" w:rsidRDefault="007E1D13" w:rsidP="007E1D13">
            <w:pPr>
              <w:spacing w:after="0" w:line="360" w:lineRule="auto"/>
              <w:jc w:val="right"/>
              <w:rPr>
                <w:color w:val="000000"/>
                <w:lang w:eastAsia="en-GB"/>
              </w:rPr>
            </w:pPr>
            <w:r>
              <w:rPr>
                <w:color w:val="000000"/>
                <w:lang w:eastAsia="en-GB"/>
              </w:rPr>
              <w:t>0</w:t>
            </w:r>
          </w:p>
        </w:tc>
        <w:tc>
          <w:tcPr>
            <w:tcW w:w="850" w:type="dxa"/>
            <w:gridSpan w:val="2"/>
            <w:tcBorders>
              <w:bottom w:val="single" w:sz="4" w:space="0" w:color="auto"/>
            </w:tcBorders>
          </w:tcPr>
          <w:p w14:paraId="118E1D7A" w14:textId="77777777" w:rsidR="007E1D13" w:rsidRDefault="007E1D13" w:rsidP="007E1D13">
            <w:pPr>
              <w:spacing w:after="0" w:line="360" w:lineRule="auto"/>
              <w:jc w:val="right"/>
              <w:rPr>
                <w:color w:val="000000"/>
                <w:lang w:eastAsia="en-GB"/>
              </w:rPr>
            </w:pPr>
            <w:r>
              <w:rPr>
                <w:color w:val="000000"/>
                <w:lang w:eastAsia="en-GB"/>
              </w:rPr>
              <w:t>0</w:t>
            </w:r>
          </w:p>
        </w:tc>
        <w:tc>
          <w:tcPr>
            <w:tcW w:w="851" w:type="dxa"/>
            <w:tcBorders>
              <w:bottom w:val="single" w:sz="4" w:space="0" w:color="auto"/>
            </w:tcBorders>
          </w:tcPr>
          <w:p w14:paraId="140D9954" w14:textId="77777777" w:rsidR="007E1D13" w:rsidRDefault="007E1D13" w:rsidP="007E1D13">
            <w:pPr>
              <w:spacing w:after="0" w:line="360" w:lineRule="auto"/>
              <w:jc w:val="right"/>
              <w:rPr>
                <w:color w:val="000000"/>
                <w:lang w:eastAsia="en-GB"/>
              </w:rPr>
            </w:pPr>
            <w:r>
              <w:rPr>
                <w:color w:val="000000"/>
                <w:lang w:eastAsia="en-GB"/>
              </w:rPr>
              <w:t>- 2</w:t>
            </w:r>
          </w:p>
        </w:tc>
      </w:tr>
    </w:tbl>
    <w:p w14:paraId="270DC317" w14:textId="77777777" w:rsidR="007E1D13" w:rsidRDefault="007E1D13" w:rsidP="007E1D13">
      <w:r>
        <w:t xml:space="preserve">* Novel coding category </w:t>
      </w:r>
      <w:r w:rsidRPr="00AC4533">
        <w:rPr>
          <w:color w:val="000000"/>
          <w:sz w:val="28"/>
          <w:vertAlign w:val="superscript"/>
          <w:lang w:eastAsia="en-GB"/>
        </w:rPr>
        <w:sym w:font="Wingdings 2" w:char="F085"/>
      </w:r>
      <w:r w:rsidRPr="00AC4533">
        <w:t xml:space="preserve"> </w:t>
      </w:r>
      <w:r>
        <w:t>Coding category absent</w:t>
      </w:r>
    </w:p>
    <w:p w14:paraId="56020B24" w14:textId="77777777" w:rsidR="007E1D13" w:rsidRDefault="007E1D13" w:rsidP="007E1D13">
      <w:pPr>
        <w:rPr>
          <w:b/>
        </w:rPr>
      </w:pPr>
    </w:p>
    <w:p w14:paraId="2772505A" w14:textId="77777777" w:rsidR="007E1D13" w:rsidRPr="008A6C99" w:rsidRDefault="007E1D13" w:rsidP="008A6C99">
      <w:pPr>
        <w:pStyle w:val="Heading3"/>
        <w:rPr>
          <w:rStyle w:val="Heading3Char"/>
          <w:b/>
          <w:bCs/>
        </w:rPr>
      </w:pPr>
      <w:r>
        <w:br w:type="page"/>
      </w:r>
      <w:bookmarkStart w:id="478" w:name="_Toc35892717"/>
      <w:bookmarkStart w:id="479" w:name="_Hlk2605289"/>
      <w:r w:rsidRPr="008A6C99">
        <w:t>Differences in global themes</w:t>
      </w:r>
      <w:bookmarkEnd w:id="478"/>
      <w:r w:rsidRPr="008A6C99">
        <w:t xml:space="preserve"> </w:t>
      </w:r>
    </w:p>
    <w:p w14:paraId="6781523A" w14:textId="32A0660D" w:rsidR="007E1D13" w:rsidRPr="008A6C99" w:rsidRDefault="007E1D13" w:rsidP="008A6C99">
      <w:pPr>
        <w:spacing w:line="480" w:lineRule="auto"/>
        <w:rPr>
          <w:bCs/>
        </w:rPr>
      </w:pPr>
      <w:r w:rsidRPr="008A6C99">
        <w:rPr>
          <w:bCs/>
        </w:rPr>
        <w:t xml:space="preserve">The following sections </w:t>
      </w:r>
      <w:r w:rsidR="00630416">
        <w:rPr>
          <w:bCs/>
        </w:rPr>
        <w:t>describe</w:t>
      </w:r>
      <w:r w:rsidRPr="008A6C99">
        <w:rPr>
          <w:bCs/>
        </w:rPr>
        <w:t xml:space="preserve"> each theme, presented in rank order according to the extent of the differences observed between the pre- and post-ban data (see Table </w:t>
      </w:r>
      <w:r w:rsidR="008A6C99" w:rsidRPr="008A6C99">
        <w:rPr>
          <w:bCs/>
        </w:rPr>
        <w:t>7-7</w:t>
      </w:r>
      <w:r w:rsidRPr="008A6C99">
        <w:rPr>
          <w:bCs/>
        </w:rPr>
        <w:t>).</w:t>
      </w:r>
    </w:p>
    <w:p w14:paraId="673C6A7D" w14:textId="77777777" w:rsidR="007E1D13" w:rsidRPr="008A6C99" w:rsidRDefault="007E1D13" w:rsidP="008A6C99">
      <w:pPr>
        <w:pStyle w:val="Heading4"/>
      </w:pPr>
      <w:r w:rsidRPr="008A6C99">
        <w:t>Identity</w:t>
      </w:r>
    </w:p>
    <w:p w14:paraId="13CE1B13" w14:textId="3AD5FD5C" w:rsidR="007E1D13" w:rsidRDefault="007E1D13" w:rsidP="007E1D13">
      <w:pPr>
        <w:spacing w:line="480" w:lineRule="auto"/>
      </w:pPr>
      <w:r w:rsidRPr="00E408BC">
        <w:t>The</w:t>
      </w:r>
      <w:r>
        <w:t xml:space="preserve"> </w:t>
      </w:r>
      <w:r w:rsidRPr="00E408BC">
        <w:t xml:space="preserve">identity theme centred on descriptions of users and </w:t>
      </w:r>
      <w:r>
        <w:t>n</w:t>
      </w:r>
      <w:r w:rsidRPr="00E408BC">
        <w:t>on</w:t>
      </w:r>
      <w:r>
        <w:t>-</w:t>
      </w:r>
      <w:r w:rsidRPr="00E408BC">
        <w:t>users</w:t>
      </w:r>
      <w:r>
        <w:t xml:space="preserve"> </w:t>
      </w:r>
      <w:r w:rsidRPr="00E408BC">
        <w:t>of NPS</w:t>
      </w:r>
      <w:r>
        <w:t>. A</w:t>
      </w:r>
      <w:r w:rsidRPr="00E408BC">
        <w:t>lthough this theme was not especially prominent in either the pre</w:t>
      </w:r>
      <w:r>
        <w:t>-</w:t>
      </w:r>
      <w:r w:rsidRPr="00E408BC">
        <w:t>ban or the pos</w:t>
      </w:r>
      <w:r>
        <w:t>t-b</w:t>
      </w:r>
      <w:r w:rsidRPr="00E408BC">
        <w:t>an focus group</w:t>
      </w:r>
      <w:r>
        <w:t xml:space="preserve">s, referred to in </w:t>
      </w:r>
      <w:r w:rsidRPr="00E408BC">
        <w:t xml:space="preserve">5% and 6% of </w:t>
      </w:r>
      <w:r>
        <w:t xml:space="preserve">the </w:t>
      </w:r>
      <w:r w:rsidRPr="00E408BC">
        <w:t>total</w:t>
      </w:r>
      <w:r>
        <w:t xml:space="preserve"> coded</w:t>
      </w:r>
      <w:r w:rsidRPr="00E408BC">
        <w:t xml:space="preserve"> state</w:t>
      </w:r>
      <w:r>
        <w:t>ments</w:t>
      </w:r>
      <w:r w:rsidRPr="00E408BC">
        <w:t xml:space="preserve"> respectively</w:t>
      </w:r>
      <w:r>
        <w:t xml:space="preserve">, young people’s conversations about user and non-user types nevertheless demonstrated the greatest differences pre- and post-ban. The types of users and non-users described in the two sets of focus groups were strikingly different, and to illustrate these differences a stacked column chart has been used to show relative proportions of each prototype described pre-ban and post-ban in Studies 1 and 2 (see Figure </w:t>
      </w:r>
      <w:r w:rsidR="00BB0973">
        <w:t>7-</w:t>
      </w:r>
      <w:r>
        <w:t xml:space="preserve">4). </w:t>
      </w:r>
    </w:p>
    <w:p w14:paraId="64F15D53" w14:textId="6C247FB3" w:rsidR="007E1D13" w:rsidRDefault="007E1D13" w:rsidP="007E1D13">
      <w:pPr>
        <w:spacing w:line="480" w:lineRule="auto"/>
      </w:pPr>
      <w:r>
        <w:t>While a few participants still commented on a lack of recognisable user types, there was as a notable absence of two user prototypes described in the pre-ban groups. In particular, what had previously been the most commonly described user type, namely young people from affluent backgrounds, was not referred to in the post-ban conversations. According to young people in the focus groups, young people from more affluent and middle</w:t>
      </w:r>
      <w:r w:rsidR="00630416">
        <w:t>-</w:t>
      </w:r>
      <w:r>
        <w:t>class backgrounds were more likely to use what were described as better quality drugs such as ecstasy and cocaine. These young recreational drug users from affluent areas were reasoned to be using traditional drugs instead of NPS since they can afford what w</w:t>
      </w:r>
      <w:r w:rsidR="00630416">
        <w:t>ere</w:t>
      </w:r>
      <w:r>
        <w:t xml:space="preserve"> viewed by several participants as ‘safer’ drugs. </w:t>
      </w:r>
    </w:p>
    <w:p w14:paraId="1A96268D" w14:textId="39ED6B99" w:rsidR="007E1D13" w:rsidRPr="00B25910" w:rsidRDefault="007E1D13" w:rsidP="00B25910">
      <w:pPr>
        <w:pStyle w:val="FigureHeading"/>
        <w:rPr>
          <w:b w:val="0"/>
        </w:rPr>
      </w:pPr>
      <w:bookmarkStart w:id="480" w:name="_Toc9509140"/>
      <w:r w:rsidRPr="00B25910">
        <w:rPr>
          <w:rStyle w:val="FigureHeadingChar"/>
          <w:b/>
        </w:rPr>
        <w:drawing>
          <wp:anchor distT="0" distB="0" distL="114300" distR="114300" simplePos="0" relativeHeight="253729792" behindDoc="0" locked="0" layoutInCell="1" allowOverlap="1" wp14:anchorId="171280DF" wp14:editId="3BE6A4A2">
            <wp:simplePos x="0" y="0"/>
            <wp:positionH relativeFrom="column">
              <wp:posOffset>-81886</wp:posOffset>
            </wp:positionH>
            <wp:positionV relativeFrom="paragraph">
              <wp:posOffset>777249</wp:posOffset>
            </wp:positionV>
            <wp:extent cx="6073140" cy="4500245"/>
            <wp:effectExtent l="0" t="0" r="3810" b="0"/>
            <wp:wrapTopAndBottom/>
            <wp:docPr id="766" name="Chart 766">
              <a:extLst xmlns:a="http://schemas.openxmlformats.org/drawingml/2006/main">
                <a:ext uri="{FF2B5EF4-FFF2-40B4-BE49-F238E27FC236}">
                  <a16:creationId xmlns:a16="http://schemas.microsoft.com/office/drawing/2014/main" id="{235FC412-EF97-4195-B360-824945B9C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B25910">
        <w:rPr>
          <w:rStyle w:val="FigureHeadingChar"/>
          <w:b/>
        </w:rPr>
        <w:t xml:space="preserve">Figure </w:t>
      </w:r>
      <w:r w:rsidR="00BB0973" w:rsidRPr="00B25910">
        <w:rPr>
          <w:rStyle w:val="FigureHeadingChar"/>
          <w:b/>
        </w:rPr>
        <w:t>7-</w:t>
      </w:r>
      <w:r w:rsidRPr="00B25910">
        <w:rPr>
          <w:rStyle w:val="FigureHeadingChar"/>
          <w:b/>
        </w:rPr>
        <w:t>4. Stacked bar chart showing the number of references to various NPS user and non-user prototypes in the pre-ban and post-ban focus groups</w:t>
      </w:r>
      <w:r w:rsidRPr="00B25910">
        <w:rPr>
          <w:b w:val="0"/>
        </w:rPr>
        <w:t>.</w:t>
      </w:r>
      <w:bookmarkEnd w:id="480"/>
    </w:p>
    <w:p w14:paraId="0D51AA32" w14:textId="77777777" w:rsidR="007E1D13" w:rsidRDefault="007E1D13" w:rsidP="007E1D13">
      <w:pPr>
        <w:spacing w:line="480" w:lineRule="auto"/>
      </w:pPr>
    </w:p>
    <w:p w14:paraId="04EE50F9" w14:textId="77777777" w:rsidR="00461C9A" w:rsidRDefault="00461C9A" w:rsidP="007E1D13">
      <w:pPr>
        <w:spacing w:line="480" w:lineRule="auto"/>
      </w:pPr>
    </w:p>
    <w:p w14:paraId="10FAF1C5" w14:textId="60DFC777" w:rsidR="007E1D13" w:rsidRPr="009E3746" w:rsidRDefault="007E1D13" w:rsidP="007E1D13">
      <w:pPr>
        <w:spacing w:line="480" w:lineRule="auto"/>
      </w:pPr>
      <w:r>
        <w:t>The use of traditional illicit drugs by those who are more well-off was contrasted with poorer users in less affluent areas of the city who were presented as having fewer options available to them, and less able to control the quality of what they buy. Within this context</w:t>
      </w:r>
      <w:r w:rsidR="00630416">
        <w:t>,</w:t>
      </w:r>
      <w:r>
        <w:t xml:space="preserve"> participants described NPS as ‘cheap crap’, low quality and ‘a poor man’s drug’ for people who can’t afford anything better. Accordingly, the number of references to users who were homeless, vulnerable or living in poverty were three times greater in the post-ban focus groups than the pre-ban groups, making this the most prominent user prototype expressed in this study. Within participants’ conversations</w:t>
      </w:r>
      <w:r w:rsidR="00630416">
        <w:t>,</w:t>
      </w:r>
      <w:r>
        <w:t xml:space="preserve"> the homeless user prototype was associated with </w:t>
      </w:r>
      <w:r w:rsidR="00630416">
        <w:t xml:space="preserve">the </w:t>
      </w:r>
      <w:r>
        <w:t>use of NPS as a coping mechanism for dealing with the challenges and vulnerabilities faced in their lives. While several participants described seeing homeless street users first-hand in town, the homeless user prototype was also linked to media sources, with several participants describing documentaries and Facebook videos depicting users of NPS as homeless people. In a similar vein, social media videos appeared to be associated with the reputation of spice as ‘the zombie drug’ due to the zombie-like state of street users seen and videoed in town centres.</w:t>
      </w:r>
    </w:p>
    <w:p w14:paraId="0619CF7D" w14:textId="03F3F7FA" w:rsidR="007E1D13" w:rsidRPr="00FB430B" w:rsidRDefault="007E1D13" w:rsidP="007E1D13">
      <w:pPr>
        <w:spacing w:line="480" w:lineRule="auto"/>
      </w:pPr>
      <w:r>
        <w:t>Also absent from participants’ discussions were references to the underage users described by several participants in the pre-ban groups. Previously these young users, aged as young as 12 according to participants in Study 1, were linked with shop sales; however, in the post-ban groups</w:t>
      </w:r>
      <w:r w:rsidR="00630416">
        <w:t>,</w:t>
      </w:r>
      <w:r>
        <w:t xml:space="preserve"> young people noted that shops no longer sell NPS and they did not express the same concern about children seen purchasing NPS as the pre-ban participants had expressed.  </w:t>
      </w:r>
    </w:p>
    <w:p w14:paraId="27399560" w14:textId="77777777" w:rsidR="007E1D13" w:rsidRDefault="007E1D13" w:rsidP="00E31E26">
      <w:pPr>
        <w:pStyle w:val="Heading4"/>
        <w:rPr>
          <w:rStyle w:val="Heading3Char"/>
          <w:b/>
        </w:rPr>
      </w:pPr>
      <w:bookmarkStart w:id="481" w:name="_Toc35892718"/>
      <w:r w:rsidRPr="00AA42B8">
        <w:rPr>
          <w:rStyle w:val="Heading3Char"/>
          <w:b/>
        </w:rPr>
        <w:t>Accessibility</w:t>
      </w:r>
      <w:bookmarkEnd w:id="481"/>
    </w:p>
    <w:p w14:paraId="672448BB" w14:textId="45C92710" w:rsidR="007E1D13" w:rsidRDefault="007E1D13" w:rsidP="007E1D13">
      <w:pPr>
        <w:spacing w:line="480" w:lineRule="auto"/>
      </w:pPr>
      <w:r>
        <w:t>The accessibility theme brought together statements about availability and cost, and it was within this theme that some of the greatest differences between the pre- and post-ban focus groups were observed. While overall, the emphasis on accessibility in young people’s discussions was less than half that of the pre-ban groups, the extent to which accessibility was presented as a barrier to use of NPS more than doubled. Consequently, what had been the highest</w:t>
      </w:r>
      <w:r w:rsidR="00630416">
        <w:t>-</w:t>
      </w:r>
      <w:r>
        <w:t>ranked theme linked with NPS use in the pre-ban group was ranked 5</w:t>
      </w:r>
      <w:r w:rsidRPr="003E7DE7">
        <w:rPr>
          <w:vertAlign w:val="superscript"/>
        </w:rPr>
        <w:t>th</w:t>
      </w:r>
      <w:r>
        <w:t xml:space="preserve"> for emphasis in post-ban discussions, while what had been the lowest</w:t>
      </w:r>
      <w:r w:rsidR="00630416">
        <w:t>-</w:t>
      </w:r>
      <w:r>
        <w:t xml:space="preserve">ranked theme in relation to non-use was ranked three places higher in the post-ban groups. </w:t>
      </w:r>
    </w:p>
    <w:p w14:paraId="76072B5C" w14:textId="77777777" w:rsidR="007E1D13" w:rsidRDefault="007E1D13" w:rsidP="007E1D13">
      <w:pPr>
        <w:spacing w:line="480" w:lineRule="auto"/>
      </w:pPr>
      <w:r>
        <w:t>As a reason for use, easy accessibility was still associated with the low cost of NPS, but the number of observations about their availability was noticeably lower. Although NPS were still commonly described as easy to access via friends and dealers, the extent to which participants highlighted the easy availability of NPS was considerably less, particularly in relation to access via shops. The reduced availability of NPS as a result of the ban was clearly apparent within participants’ discussions, with many young people observing that shops no longer sold NPS. This was in marked contrast to pre-ban discussions in which the sale of NPS in shops, typically synthetic cannabinoids, was given much attention.</w:t>
      </w:r>
    </w:p>
    <w:p w14:paraId="0C176B2D" w14:textId="77777777" w:rsidR="007E1D13" w:rsidRDefault="007E1D13" w:rsidP="007E1D13">
      <w:pPr>
        <w:spacing w:line="480" w:lineRule="auto"/>
      </w:pPr>
      <w:r>
        <w:t xml:space="preserve">The reduced availability of NPS led to the emergence of the new coding category ‘hard to get’, a sentiment which had not been expressed in the pre-ban groups but was referenced in the post-ban groups several times. Participants noted that, particularly for young people without connections to drug dealers, NPS had become much harder to access, with a few participants admitting they no longer knew how to get hold of legal highs despite having easy access to traditional illicit drugs. </w:t>
      </w:r>
    </w:p>
    <w:p w14:paraId="79774F79" w14:textId="77777777" w:rsidR="007E1D13" w:rsidRPr="001A2951" w:rsidRDefault="007E1D13" w:rsidP="00E31E26">
      <w:pPr>
        <w:pStyle w:val="Heading4"/>
        <w:rPr>
          <w:rStyle w:val="Heading3Char"/>
          <w:b/>
          <w:bCs/>
        </w:rPr>
      </w:pPr>
      <w:bookmarkStart w:id="482" w:name="_Toc35892719"/>
      <w:r w:rsidRPr="001A2951">
        <w:rPr>
          <w:rStyle w:val="Heading3Char"/>
          <w:b/>
          <w:bCs/>
        </w:rPr>
        <w:t>Coping</w:t>
      </w:r>
      <w:bookmarkEnd w:id="482"/>
    </w:p>
    <w:p w14:paraId="7130C2A6" w14:textId="77777777" w:rsidR="007E1D13" w:rsidRDefault="007E1D13" w:rsidP="007E1D13">
      <w:pPr>
        <w:spacing w:line="480" w:lineRule="auto"/>
      </w:pPr>
      <w:r>
        <w:t xml:space="preserve">The coping theme, which focused on the use of NPS as a coping mechanism and tough lives and vulnerability of users, demonstrated the greatest relative increase in emphasis of all topics discussed by participants in the post-ban focus groups. </w:t>
      </w:r>
    </w:p>
    <w:p w14:paraId="76A85782" w14:textId="50EC5E4A" w:rsidR="007E1D13" w:rsidRPr="006F2B14" w:rsidRDefault="007E1D13" w:rsidP="007E1D13">
      <w:pPr>
        <w:spacing w:line="480" w:lineRule="auto"/>
      </w:pPr>
      <w:r>
        <w:t>In the pre-ban group discussions, coping related comments were mentioned fairly infrequently, making up only 4% of statements and ranked last for overall emphasis. In the post-ban groups</w:t>
      </w:r>
      <w:r w:rsidR="00630416">
        <w:t>,</w:t>
      </w:r>
      <w:r>
        <w:t xml:space="preserve"> however, comments related to coping and the need to cope were far more prominent, associated with 12% of all coded statements which made coping theme the second most frequently expressed topic overall, and the single most frequently expressed topic associated with the use of NPS. Although coping motives received more attention in the post-ban groups, the content of participants’ comments remained largely similar to the pre-ban groups, with participants describing NPS use as a way of coping with stress, loneliness, boredom and difficult circumstances. While in the pre-ban groups, participants particularly highlighted the use of NPS for stress relief and escapism, participants in the post-ban groups also highlighted the challenging lives of vulnerable people to a greater extent. In-line with the greater emphasis placed on street users, participants highlighted the relationship between NPS use and the need to forget problems caused by poverty, mental health issues, homelessness and addiction.  As in the pre-ban focus groups, addiction was presented as both a cause and a consequence of NPS use but was referred to at almost twice the frequency as seen in the pre-ban discussions.</w:t>
      </w:r>
    </w:p>
    <w:p w14:paraId="33320426" w14:textId="77777777" w:rsidR="007E1D13" w:rsidRDefault="007E1D13" w:rsidP="007E1D13">
      <w:pPr>
        <w:spacing w:line="480" w:lineRule="auto"/>
      </w:pPr>
      <w:r>
        <w:t xml:space="preserve">Although the coping theme was strongly influenced by what appeared to be a greater awareness of homeless users, coping motives were not limited to discussion of street users, and NPS continued to be linked with stress relief due to the pressures faced by young people such as academic expectations and social isolation. </w:t>
      </w:r>
    </w:p>
    <w:p w14:paraId="20D5EB44" w14:textId="77777777" w:rsidR="007E1D13" w:rsidRPr="00274AB3" w:rsidRDefault="007E1D13" w:rsidP="00E31E26">
      <w:pPr>
        <w:pStyle w:val="Heading4"/>
      </w:pPr>
      <w:bookmarkStart w:id="483" w:name="_Toc35892720"/>
      <w:r>
        <w:rPr>
          <w:rStyle w:val="Heading3Char"/>
          <w:b/>
        </w:rPr>
        <w:t>Pleasure</w:t>
      </w:r>
      <w:bookmarkEnd w:id="483"/>
    </w:p>
    <w:p w14:paraId="49AF51CA" w14:textId="5AF5C227" w:rsidR="007E1D13" w:rsidRDefault="007E1D13" w:rsidP="007E1D13">
      <w:pPr>
        <w:spacing w:line="480" w:lineRule="auto"/>
      </w:pPr>
      <w:r>
        <w:t>While discussion</w:t>
      </w:r>
      <w:r w:rsidR="00630416">
        <w:t>s</w:t>
      </w:r>
      <w:r>
        <w:t xml:space="preserve"> of the pleasant and unpleasant effects of NPS were quite prominent in the pre-ban focus groups, in the post-ban groups the experiential effects associated NPS use received less than a third of the attention they had in the pre-ban groups making it one of the lowest</w:t>
      </w:r>
      <w:r w:rsidR="00630416">
        <w:t>-</w:t>
      </w:r>
      <w:r>
        <w:t>ranked themes for emphasis. The pleasure theme was the only theme which was reduced in emphasis relation to both use and non-use, in other words, a reduced emphasis on the pleasurable effects of NPS was not counteracted by increased attention on the unpleasant effects, but rather, participants talked about the effects of NPS less in general.</w:t>
      </w:r>
    </w:p>
    <w:p w14:paraId="65E1942A" w14:textId="77777777" w:rsidR="007E1D13" w:rsidRDefault="007E1D13" w:rsidP="007E1D13">
      <w:pPr>
        <w:spacing w:line="480" w:lineRule="auto"/>
      </w:pPr>
      <w:r>
        <w:t xml:space="preserve">Much of this difference was accounted for by a reduced emphasis on the use of NPS to get high, meaning this was no longer one of the most frequently mentioned beliefs as it has been within the pre-ban groups. Other notable differences were the lower prominence of references to the unpleasant effects and bad trips associated with use of legal highs, which had been one of the most emphasised themes associated with non-use in the pre-ban discussions but was rarely mentioned in the post-ban groups. </w:t>
      </w:r>
    </w:p>
    <w:p w14:paraId="19FDEAAC" w14:textId="77777777" w:rsidR="007E1D13" w:rsidRDefault="007E1D13" w:rsidP="00E31E26">
      <w:pPr>
        <w:pStyle w:val="Heading4"/>
        <w:rPr>
          <w:rStyle w:val="Heading3Char"/>
          <w:b/>
        </w:rPr>
      </w:pPr>
      <w:bookmarkStart w:id="484" w:name="_Toc35892721"/>
      <w:r w:rsidRPr="00560097">
        <w:rPr>
          <w:rStyle w:val="Heading3Char"/>
          <w:b/>
        </w:rPr>
        <w:t>Legal status</w:t>
      </w:r>
      <w:bookmarkEnd w:id="484"/>
    </w:p>
    <w:p w14:paraId="3D20930A" w14:textId="51F44911" w:rsidR="007E1D13" w:rsidRDefault="007E1D13" w:rsidP="007E1D13">
      <w:pPr>
        <w:spacing w:line="480" w:lineRule="auto"/>
      </w:pPr>
      <w:r>
        <w:t>Prior to the ban, comments linked with legal status were one of the most prominent themes within participants’ discussions of factors that encouraged the use of NPS, and this theme had previously been ranked second in relation to NPS use. However, within the post-ban groups</w:t>
      </w:r>
      <w:r w:rsidR="00630416">
        <w:t>,</w:t>
      </w:r>
      <w:r>
        <w:t xml:space="preserve"> the number of comments related to legal status were considerably fewer, with a frequency of expression half that of the pre-ban groups. In addition, where legal status had previously been presented as only encouraging use, the change in </w:t>
      </w:r>
      <w:r w:rsidR="00630416">
        <w:t xml:space="preserve">the </w:t>
      </w:r>
      <w:r>
        <w:t xml:space="preserve">status of NPS was, in the post-ban groups, also presented as a barrier to use. </w:t>
      </w:r>
    </w:p>
    <w:p w14:paraId="25B5B635" w14:textId="77777777" w:rsidR="007E1D13" w:rsidRDefault="007E1D13" w:rsidP="007E1D13">
      <w:pPr>
        <w:spacing w:line="480" w:lineRule="auto"/>
      </w:pPr>
      <w:r>
        <w:t>The legal status theme not only differed in emphasis, but also content, with two organising themes no longer present, and two novel themes arising. While the sentiments that NPS offered a way to take drugs without getting in trouble, and a way to have fun with friends without engaging in an illicit activity were not expressed in the post-ban groups, the perceived illicit status of NPS emerged as both a perceived barrier to use and an enticement. While perceptions of illicit status associated with NPS was quite frequently presented as off-putting for young people, a few participants felt that for some people, the perceived illicit status of NPS may be enticing as NPS seem cooler, with their perceived illicit status providing an added rush of excitement.</w:t>
      </w:r>
    </w:p>
    <w:p w14:paraId="471BE559" w14:textId="77777777" w:rsidR="007E1D13" w:rsidRDefault="007E1D13" w:rsidP="007E1D13">
      <w:pPr>
        <w:spacing w:line="480" w:lineRule="auto"/>
      </w:pPr>
      <w:r>
        <w:t xml:space="preserve">With regard to what made perceived illicit status unappealing, participants associated illicit status with a greater perception of health risks, with several participants commenting that they had revised their own opinion, and whereas they had not considered the risks before, the change in legal status made them take the dangers of NPS use more seriously. Participants did not, however, refer to the risks of getting in trouble, despite NPS no longer being viewed as a way to avoid getting in trouble.   </w:t>
      </w:r>
    </w:p>
    <w:p w14:paraId="143A55DC" w14:textId="77777777" w:rsidR="007E1D13" w:rsidRDefault="007E1D13" w:rsidP="007E1D13">
      <w:pPr>
        <w:spacing w:line="480" w:lineRule="auto"/>
      </w:pPr>
      <w:r>
        <w:t>Interestingly, despite the change in legal status of NPS, participants nevertheless believed that for young people unaware of the ban, the belief that NPS are legal continues to encourage their use. In this respect, participants commented on the confusion caused by use of the term ‘legal highs’ expressing concern that people may wrongly assume that substances described as legal highs are still legal. As found in the pre-ban focus groups the belief that legal status encourages use was related to beliefs of safety and the perception that being legal means they must be safe to use.</w:t>
      </w:r>
    </w:p>
    <w:p w14:paraId="1CFC9A30" w14:textId="77777777" w:rsidR="007E1D13" w:rsidRPr="00274AB3" w:rsidRDefault="007E1D13" w:rsidP="00E31E26">
      <w:pPr>
        <w:pStyle w:val="Heading4"/>
      </w:pPr>
      <w:bookmarkStart w:id="485" w:name="_Toc35892722"/>
      <w:r w:rsidRPr="00AA42B8">
        <w:rPr>
          <w:rStyle w:val="Heading3Char"/>
          <w:b/>
        </w:rPr>
        <w:t xml:space="preserve">Social </w:t>
      </w:r>
      <w:r>
        <w:rPr>
          <w:rStyle w:val="Heading3Char"/>
          <w:b/>
        </w:rPr>
        <w:t>influences</w:t>
      </w:r>
      <w:bookmarkEnd w:id="485"/>
      <w:r w:rsidRPr="00AA42B8">
        <w:rPr>
          <w:rStyle w:val="Heading3Char"/>
          <w:b/>
        </w:rPr>
        <w:t xml:space="preserve"> </w:t>
      </w:r>
    </w:p>
    <w:p w14:paraId="21B3DEEF" w14:textId="23A401CC" w:rsidR="007E1D13" w:rsidRDefault="007E1D13" w:rsidP="007E1D13">
      <w:pPr>
        <w:spacing w:line="480" w:lineRule="auto"/>
      </w:pPr>
      <w:r>
        <w:t xml:space="preserve">The social influences theme centred on peer approval and the social acceptability of NPS use. Compared to the pre-ban focus groups, social influences received notably more attention within the post-ban groups, with a frequency of expression greater by about a third. As a result, this theme was ranked 5 places higher for emphasis and was the second most frequently expressed theme in relation to NPS use. </w:t>
      </w:r>
    </w:p>
    <w:p w14:paraId="0C7C32D8" w14:textId="4E358923" w:rsidR="007E1D13" w:rsidRDefault="007E1D13" w:rsidP="007E1D13">
      <w:pPr>
        <w:spacing w:line="480" w:lineRule="auto"/>
      </w:pPr>
      <w:r>
        <w:t>As in the earlier groups, social influences were more commonly associated with reasons for using NPS than reasons for not using NPS, with NPS use frequently linked to the approval of friends and peers, social norms and perceived social acceptability. In the post-ban focus groups, the increased emphasis on social influences as a reason for use appeared to be related to the framing of NPS as part of the normal culture of drug</w:t>
      </w:r>
      <w:r w:rsidR="00630416">
        <w:t>-</w:t>
      </w:r>
      <w:r>
        <w:t>taking which participants typically described as something ‘everyone does’. Compared to the pre-ban groups where NPS use was presented as a discrete activity that was contrasted with ‘normal’ drug use, in the post-ban groups there seemed to be less of a distinction being made between NPS and illicit drugs and consequently</w:t>
      </w:r>
      <w:r w:rsidR="00630416">
        <w:t>,</w:t>
      </w:r>
      <w:r>
        <w:t xml:space="preserve"> participants tended to refer more frequently to general social pressure to engage in drug use. </w:t>
      </w:r>
    </w:p>
    <w:p w14:paraId="13B74EE8" w14:textId="77777777" w:rsidR="007E1D13" w:rsidRDefault="007E1D13" w:rsidP="00E31E26">
      <w:pPr>
        <w:pStyle w:val="Heading4"/>
        <w:rPr>
          <w:rStyle w:val="Heading3Char"/>
          <w:b/>
        </w:rPr>
      </w:pPr>
      <w:bookmarkStart w:id="486" w:name="_Toc35892723"/>
      <w:r w:rsidRPr="00AA42B8">
        <w:rPr>
          <w:rStyle w:val="Heading3Char"/>
          <w:b/>
        </w:rPr>
        <w:t>Substitution</w:t>
      </w:r>
      <w:bookmarkEnd w:id="486"/>
      <w:r w:rsidRPr="00AA42B8">
        <w:rPr>
          <w:rStyle w:val="Heading3Char"/>
          <w:b/>
        </w:rPr>
        <w:t xml:space="preserve"> </w:t>
      </w:r>
    </w:p>
    <w:p w14:paraId="7A5AC3DD" w14:textId="47806A97" w:rsidR="007E1D13" w:rsidRDefault="007E1D13" w:rsidP="007E1D13">
      <w:pPr>
        <w:spacing w:line="480" w:lineRule="auto"/>
      </w:pPr>
      <w:r>
        <w:t xml:space="preserve">The substitution theme brought together comments which presented NPS within the context of </w:t>
      </w:r>
      <w:r w:rsidR="00630416">
        <w:t>choosing</w:t>
      </w:r>
      <w:r>
        <w:t xml:space="preserve"> between use of legal highs or traditional drugs. In total, the number of comments associated with this theme in the post-ban groups was equivalent to the number pre-ban. However, within the theme, the types and emphasis of the constituent beliefs differed noticeably, with the absence of two previous organising themes and the emergence of three novel themes. </w:t>
      </w:r>
    </w:p>
    <w:p w14:paraId="0718EE39" w14:textId="4524B45A" w:rsidR="007E1D13" w:rsidRDefault="007E1D13" w:rsidP="007E1D13">
      <w:pPr>
        <w:spacing w:line="480" w:lineRule="auto"/>
      </w:pPr>
      <w:r>
        <w:t>In terms of statements encouraging use, in the post-ban discussions</w:t>
      </w:r>
      <w:r w:rsidR="00630416">
        <w:t>,</w:t>
      </w:r>
      <w:r>
        <w:t xml:space="preserve"> the relative ease of obtaining NPS compared to traditional drugs was emphasised somewhat less, while their lower price and relative safety were highlighted more. In addition, a couple of participants also expressed the novel belief that people will use NPS if they think the effects are better than those of traditional drugs. However, following the ban, participants no longer considered NPS as a viable alternative to illicit drugs based on their perceptions of their legal status.  </w:t>
      </w:r>
    </w:p>
    <w:p w14:paraId="6277BAC6" w14:textId="767AEFE2" w:rsidR="007E1D13" w:rsidRDefault="007E1D13" w:rsidP="007E1D13">
      <w:pPr>
        <w:spacing w:line="480" w:lineRule="auto"/>
      </w:pPr>
      <w:r>
        <w:t xml:space="preserve">For statements assessed as discouraging the use of NPS, while participants in both the pre- and post-ban groups frequently presented NPS as more dangerous than traditional drugs, the relative harmfulness of NPS was less strongly emphasised in the post-ban groups. Despite this de-emphasis on the relative dangers of NPS use, several participants expressed the belief that NPS had become more dangerous than traditional drugs following </w:t>
      </w:r>
      <w:r w:rsidR="00630416">
        <w:t xml:space="preserve">the </w:t>
      </w:r>
      <w:r>
        <w:t>implementation of the ban, owing to increased potency and adulteration with other substances. Participants also expressed two novel beliefs supporting the use of traditional drugs over</w:t>
      </w:r>
      <w:r w:rsidR="00630416">
        <w:t xml:space="preserve"> the</w:t>
      </w:r>
      <w:r>
        <w:t xml:space="preserve"> use of NPS; that people who are able to afford better drugs are less likely to use them; and that traditional drugs are easier to get hold of than NPS. </w:t>
      </w:r>
    </w:p>
    <w:p w14:paraId="2645355E" w14:textId="77777777" w:rsidR="007E1D13" w:rsidRDefault="007E1D13" w:rsidP="007E1D13">
      <w:pPr>
        <w:spacing w:line="480" w:lineRule="auto"/>
      </w:pPr>
    </w:p>
    <w:p w14:paraId="481D1F28" w14:textId="77777777" w:rsidR="007E1D13" w:rsidRDefault="007E1D13" w:rsidP="007E1D13">
      <w:pPr>
        <w:spacing w:line="480" w:lineRule="auto"/>
      </w:pPr>
    </w:p>
    <w:p w14:paraId="20410A5D" w14:textId="77777777" w:rsidR="007E1D13" w:rsidRDefault="007E1D13" w:rsidP="00E31E26">
      <w:pPr>
        <w:pStyle w:val="Heading4"/>
        <w:rPr>
          <w:rStyle w:val="Heading3Char"/>
          <w:b/>
        </w:rPr>
      </w:pPr>
      <w:bookmarkStart w:id="487" w:name="_Toc35892724"/>
      <w:r>
        <w:rPr>
          <w:rStyle w:val="Heading3Char"/>
          <w:b/>
        </w:rPr>
        <w:t>Authority</w:t>
      </w:r>
      <w:bookmarkEnd w:id="487"/>
    </w:p>
    <w:p w14:paraId="7A375A8A" w14:textId="6551AAEF" w:rsidR="007E1D13" w:rsidRDefault="007E1D13" w:rsidP="007E1D13">
      <w:pPr>
        <w:spacing w:line="480" w:lineRule="auto"/>
      </w:pPr>
      <w:r>
        <w:t>The authority theme, which centred on comments related to authority</w:t>
      </w:r>
      <w:r w:rsidRPr="00381D2C">
        <w:t xml:space="preserve"> </w:t>
      </w:r>
      <w:r>
        <w:t xml:space="preserve">and autonomy, was associated with fewer comments in the post-ban groups, with nearly half the number of references compared to the pre-ban groups. </w:t>
      </w:r>
    </w:p>
    <w:p w14:paraId="38994849" w14:textId="64B5F026" w:rsidR="007E1D13" w:rsidRDefault="007E1D13" w:rsidP="007E1D13">
      <w:pPr>
        <w:spacing w:line="480" w:lineRule="auto"/>
      </w:pPr>
      <w:r>
        <w:t>The change in emphasis was largely driven by a notable de-emphasis on authority related factors in explanations for the use of NPS. In particular, while the belief that people use NPS to avoid getting in trouble was frequently noted in the pre-ban focus groups it was not mentioned in the post</w:t>
      </w:r>
      <w:r w:rsidR="00630416">
        <w:t>-</w:t>
      </w:r>
      <w:r>
        <w:t xml:space="preserve">ban groups. Participants still referred to the desire to avoid getting in trouble and the fear of getting caught, but in the post-ban groups this motive was associated with non-use of NPS, and consequently was assessed as discouraging use of NPS. </w:t>
      </w:r>
    </w:p>
    <w:p w14:paraId="6B76DE93" w14:textId="77777777" w:rsidR="007E1D13" w:rsidRDefault="007E1D13" w:rsidP="00E31E26">
      <w:pPr>
        <w:pStyle w:val="Heading4"/>
        <w:rPr>
          <w:rStyle w:val="Heading3Char"/>
          <w:b/>
        </w:rPr>
      </w:pPr>
      <w:bookmarkStart w:id="488" w:name="_Toc35892725"/>
      <w:r w:rsidRPr="008669ED">
        <w:rPr>
          <w:rStyle w:val="Heading3Char"/>
          <w:b/>
        </w:rPr>
        <w:t>Curiosity</w:t>
      </w:r>
      <w:bookmarkEnd w:id="488"/>
    </w:p>
    <w:p w14:paraId="4A45A73C" w14:textId="694B718B" w:rsidR="007E1D13" w:rsidRDefault="007E1D13" w:rsidP="007E1D13">
      <w:pPr>
        <w:spacing w:line="480" w:lineRule="auto"/>
      </w:pPr>
      <w:r>
        <w:t>As with the pre-ban groups, curiosity motives were only presented as encouraging the use of NPS. While participants in the post-ban groups described and emphasised the appealing branding of NPS, in much the same way as the pre-ban groups, they only made about half the number of references to curiosity as a motive for use. Curiosity was nevertheless mentioned a moderate number of times and its ranking relative to other themes remained the same in relation to</w:t>
      </w:r>
      <w:r w:rsidR="00630416">
        <w:t xml:space="preserve"> the</w:t>
      </w:r>
      <w:r>
        <w:t xml:space="preserve"> reasons for use both pre- and post-ban.</w:t>
      </w:r>
    </w:p>
    <w:p w14:paraId="6D2D901F" w14:textId="77777777" w:rsidR="007E1D13" w:rsidRPr="00DF66DE" w:rsidRDefault="007E1D13" w:rsidP="00E31E26">
      <w:pPr>
        <w:pStyle w:val="Heading4"/>
        <w:rPr>
          <w:rStyle w:val="Heading3Char"/>
          <w:b/>
          <w:bCs/>
        </w:rPr>
      </w:pPr>
      <w:bookmarkStart w:id="489" w:name="_Toc35892726"/>
      <w:r w:rsidRPr="00DF66DE">
        <w:rPr>
          <w:rStyle w:val="Heading3Char"/>
          <w:b/>
          <w:bCs/>
        </w:rPr>
        <w:t>Risk perception</w:t>
      </w:r>
      <w:bookmarkEnd w:id="489"/>
    </w:p>
    <w:p w14:paraId="07FEE19D" w14:textId="296FE341" w:rsidR="007E1D13" w:rsidRDefault="007E1D13" w:rsidP="007E1D13">
      <w:pPr>
        <w:spacing w:line="480" w:lineRule="auto"/>
      </w:pPr>
      <w:r>
        <w:t>In both the pre- and post-ban focus groups, comments about the harmfulness and safety of NPS received the greatest emphasis during participants’ discussions, with this theme making up about a third of the total number of coded statements for both sets of focus groups. Despite being the most prominent theme, in general, young people’s discussions of risk and safety appeared not to be strongly affected by the ban. As found in the pre-ban groups, beliefs about the harm potential of legal highs appeared to both support and undermine NPS use, depending on whether NPS were presented as safe to use or harmful to health. Once again, references to the harmfulness of NPS were noticeably more prevalent than references to safety, with health risks mentioned at about 5 times the frequency of perceptions of safety or denial of risk. Both pre- and post-ban, this placed risk perception as the highest</w:t>
      </w:r>
      <w:r w:rsidR="00630416">
        <w:t>-</w:t>
      </w:r>
      <w:r>
        <w:t xml:space="preserve">ranked theme associated with non-use of NPS, with the negative harm potential of NPS referred to about three times as often as the next most commonly expressed theme. </w:t>
      </w:r>
    </w:p>
    <w:p w14:paraId="5821EA53" w14:textId="77777777" w:rsidR="007E1D13" w:rsidRDefault="007E1D13" w:rsidP="007E1D13">
      <w:pPr>
        <w:spacing w:line="480" w:lineRule="auto"/>
      </w:pPr>
      <w:r>
        <w:t xml:space="preserve">While no novel beliefs relating to risk perception emerged in the post-ban focus group discussions, the emphasis placed on each sub-theme differed. In both the pre- and post-ban groups the belief that NPS are harmful or potentially deadly was the most prominent health risk belief; however, references to the harmfulness of NPS were noticeably more pronounced in the post-ban group with a stronger emphasis on the risk of death relative to the risk of harm in comparison to pre-ban discussions. While participants placed a similar level of emphasis on dangerous, inconsistent ingredients and the possibility of adulteration, there was somewhat less emphasis on the unknown risks associated with NPS use.  </w:t>
      </w:r>
    </w:p>
    <w:p w14:paraId="28274506" w14:textId="77777777" w:rsidR="007E1D13" w:rsidRDefault="007E1D13" w:rsidP="007E1D13">
      <w:pPr>
        <w:spacing w:line="480" w:lineRule="auto"/>
      </w:pPr>
      <w:r>
        <w:t>As with the pre-ban focus groups,</w:t>
      </w:r>
      <w:r w:rsidRPr="00502196">
        <w:t xml:space="preserve"> </w:t>
      </w:r>
      <w:r>
        <w:t>participants believed that increased awareness of health risks would discourage use of NPS. Although participants highlighted the importance of education and noted the current lack of education around legal highs, young people in the post-ban groups focused less on the need for informed choice and more on the importance of harm-reduction approaches and teaching users how to take drugs more safely. In line with pre-ban participants, the young people in the post-ban groups revealed that their own awareness of the health risks of NPS use were largely gained through media sources. Media awareness was more strongly emphasised in the post-ban discussions, with a larger number of references made about media representations of NPS users and an increased number of references to online videos and social media sources.</w:t>
      </w:r>
    </w:p>
    <w:p w14:paraId="058FCCFA" w14:textId="21004ADC" w:rsidR="007E1D13" w:rsidRPr="001151D7" w:rsidRDefault="007E1D13" w:rsidP="007E1D13">
      <w:pPr>
        <w:spacing w:line="480" w:lineRule="auto"/>
      </w:pPr>
      <w:r>
        <w:t xml:space="preserve">Regarding perceptions of safety thought to encourage NPS use, there was little difference in either the emphasis or content of comments made by young people in the pre- and post-ban focus groups. Several participants felt many young people were still likely to see NPS as a safe option, with perceptions of safety thought to be linked to legal status for those young people unaware of the ban. </w:t>
      </w:r>
      <w:bookmarkEnd w:id="479"/>
    </w:p>
    <w:p w14:paraId="78B74578" w14:textId="260FB767" w:rsidR="007E1D13" w:rsidRDefault="007E1D13" w:rsidP="007E1D13">
      <w:pPr>
        <w:pStyle w:val="Heading3"/>
      </w:pPr>
      <w:bookmarkStart w:id="490" w:name="_Toc35892727"/>
      <w:r w:rsidRPr="0033479F">
        <w:t>Principal findings</w:t>
      </w:r>
      <w:bookmarkEnd w:id="490"/>
    </w:p>
    <w:p w14:paraId="29F104B5" w14:textId="77777777" w:rsidR="007E1D13" w:rsidRDefault="007E1D13" w:rsidP="007E1D13">
      <w:pPr>
        <w:spacing w:before="200" w:line="480" w:lineRule="auto"/>
      </w:pPr>
      <w:r>
        <w:t xml:space="preserve">In general, the young people who took part in this study felt the ban appeared to be having little effect, with sales and use of NPS being largely driven underground. Although most participants were aware of the ban themselves, they believed that other young people might not be. Consequently, participants indicated that for many young people the misconception that NPS are legally produced and distributed continues to encourage their use, largely due to perceptions of safety associated with their perceived legal status.  </w:t>
      </w:r>
    </w:p>
    <w:p w14:paraId="1E4E4DD3" w14:textId="446DF2BB" w:rsidR="007E1D13" w:rsidRDefault="007E1D13" w:rsidP="007E1D13">
      <w:pPr>
        <w:spacing w:line="480" w:lineRule="auto"/>
      </w:pPr>
      <w:r>
        <w:t>Overall, the impact of the PS Act was most apparent in participants’ descriptions of the types of people who do and do not use NPS. The most common group of users described pre-ban, namely young people from affluent backgrounds (i.e. recreational users), were notably absent in post-ban descriptions, while an emphasis on homeless users was conspicuously greater. Affluent recreational drug users were described as shifting to better quality drugs such as ecstasy and cocaine, and in the post-ban discussions</w:t>
      </w:r>
      <w:r w:rsidR="00630416">
        <w:t>,</w:t>
      </w:r>
      <w:r>
        <w:t xml:space="preserve"> NPS were more obviously associated with poverty, drug dependency and the non-recreational use of drugs as a coping mechanism. </w:t>
      </w:r>
    </w:p>
    <w:p w14:paraId="3D0C68BA" w14:textId="77777777" w:rsidR="007E1D13" w:rsidRDefault="007E1D13" w:rsidP="007E1D13">
      <w:pPr>
        <w:spacing w:line="480" w:lineRule="auto"/>
      </w:pPr>
      <w:r>
        <w:t xml:space="preserve">Although NPS continued to be described as easily obtainable, the cessation of open high street sales was very apparent within participants’ conversations. The very young users associated with shop sales in the pre-ban focus groups were not referred to in post-ban discussions of NPS. While young people thought that accessibility had become harder for those without connections to drug networks, the low cost of NPS was still presented as a driver of use, particularly for people whose choices are limited by poverty and financial pressures. </w:t>
      </w:r>
    </w:p>
    <w:p w14:paraId="201A6F94" w14:textId="77777777" w:rsidR="007E1D13" w:rsidRDefault="007E1D13" w:rsidP="007E1D13">
      <w:pPr>
        <w:spacing w:line="480" w:lineRule="auto"/>
      </w:pPr>
      <w:r>
        <w:t xml:space="preserve">The greater emphasis on the use of NPS as a coping mechanism within participants’ conversations appeared to be accompanied by a de-emphasis of NPS use as a recreational activity. Accordingly, there was a corresponding lack of emphasis on the experiential effects of NPS, particularly pleasurable and hedonic effects.   </w:t>
      </w:r>
    </w:p>
    <w:p w14:paraId="31374999" w14:textId="77777777" w:rsidR="007E1D13" w:rsidRDefault="007E1D13" w:rsidP="007E1D13">
      <w:pPr>
        <w:spacing w:line="480" w:lineRule="auto"/>
      </w:pPr>
      <w:r>
        <w:t xml:space="preserve">The salience of legal status within young people’s discussions pre-and post-ban was lower, particularly in relation to factors encouraging use. While in the pre-ban focus groups, legal status was largely presented as facilitating use of NPS due to a perceived lack of risk of getting in trouble, this belief was no longer expressed in the post-ban groups. Although to some extent, the perceived illicit status of NPS was presented as a constraining factor due to fear of punitive consequences, perceptions of illicit status appeared to be more commonly linked to health risk implications.  </w:t>
      </w:r>
    </w:p>
    <w:p w14:paraId="310F3B57" w14:textId="478C1833" w:rsidR="007E1D13" w:rsidRDefault="007E1D13" w:rsidP="007E1D13">
      <w:pPr>
        <w:spacing w:line="480" w:lineRule="auto"/>
      </w:pPr>
      <w:r>
        <w:t>In the focus groups conducted prior to the ban, the legal status of NPS appeared to serve as an important differentiator between NPS and traditional illicit drugs. However, in the post-ban groups, young people tended to frame NPS within a more general context of drug use, which on the one hand appeared to be linked with greater risk perceptions, but on the other hand, also appeared to normalise use. Within this broader context of drug use, NPS appeared to be most commonly distinguished from other drugs by user</w:t>
      </w:r>
      <w:r w:rsidR="003A0F49">
        <w:t>-</w:t>
      </w:r>
      <w:r>
        <w:t xml:space="preserve">profiles and price. </w:t>
      </w:r>
    </w:p>
    <w:p w14:paraId="30643A65" w14:textId="2BDD46BB" w:rsidR="007E1D13" w:rsidRDefault="007E1D13" w:rsidP="007E1D13">
      <w:pPr>
        <w:spacing w:line="480" w:lineRule="auto"/>
      </w:pPr>
      <w:r>
        <w:t>Although, in general, risk perceptions around NPS appeared fairly unaffected by the ban, NPS were more strongly associated with danger and harm, which appeared to be related to a greater emphasis on the role of the media as a source of information. In particular, media sources and social media videos appeared to highlight an association between NPS use and homelessness, as well as propagating the reputation of NPS as cheap, low</w:t>
      </w:r>
      <w:r w:rsidR="003A0F49">
        <w:t>-</w:t>
      </w:r>
      <w:r>
        <w:t>quality drugs that turn users into ‘zombies’.</w:t>
      </w:r>
    </w:p>
    <w:p w14:paraId="1020FA9A" w14:textId="0761E750" w:rsidR="007E1D13" w:rsidRPr="00E31E26" w:rsidRDefault="007E1D13" w:rsidP="00E31E26">
      <w:pPr>
        <w:pStyle w:val="Heading2"/>
      </w:pPr>
      <w:bookmarkStart w:id="491" w:name="_Toc35892728"/>
      <w:r w:rsidRPr="00E31E26">
        <w:t>Discussion</w:t>
      </w:r>
      <w:bookmarkEnd w:id="491"/>
    </w:p>
    <w:p w14:paraId="5C3AAB7A" w14:textId="62EF3DE3" w:rsidR="007E1D13" w:rsidRDefault="007E1D13" w:rsidP="007E1D13">
      <w:pPr>
        <w:spacing w:line="480" w:lineRule="auto"/>
      </w:pPr>
      <w:r>
        <w:t>According to the UK Government</w:t>
      </w:r>
      <w:r w:rsidR="003A0F49">
        <w:t>,</w:t>
      </w:r>
      <w:r>
        <w:t xml:space="preserve"> the PS Act was intended to eliminate the open sales of NPS and send a clear health message that NPS are not safe to use. A 2018 Government review of the PS Act (HM Government, 2018) concluded that the primary purpose of the Act (i.e. the prevention of open sales) had been achieved. Furthermore, with early indications from the Crime Survey for England and Wales (CSEW, 2018) that NPS use by young people in the UK may have halved in the year following implementation of the Act, the Government review attributed this decrease in use to the reduction in availability of NPS on the high street and the deterrent effect of the change in legal status of NPS.</w:t>
      </w:r>
    </w:p>
    <w:p w14:paraId="51D156BD" w14:textId="77777777" w:rsidR="007E1D13" w:rsidRDefault="007E1D13" w:rsidP="007E1D13">
      <w:pPr>
        <w:spacing w:line="480" w:lineRule="auto"/>
      </w:pPr>
      <w:r>
        <w:t xml:space="preserve">Although the young people taking part in the study generally thought the ban had little effect, the picture presented by their discussions is one broadly in line with the claims of the Government review. Across the sample, participants’ own use of NPS and perceptions of their peers’ NPS use more than halved, and the changes in availability of NPS were clearly reflected in participants’ discussions. Participants not only commented on the end of sales via shops, but they generally placed far less emphasis on the easy accessibility of NPS than was apparent in the pre-ban focus groups. </w:t>
      </w:r>
    </w:p>
    <w:p w14:paraId="66F96E52" w14:textId="77777777" w:rsidR="007E1D13" w:rsidRDefault="007E1D13" w:rsidP="007E1D13">
      <w:pPr>
        <w:spacing w:line="480" w:lineRule="auto"/>
      </w:pPr>
      <w:r>
        <w:t xml:space="preserve">It should be noted, however, that the apparent reduction in use of NPS captured by the data collected in this study is not a robust measure of actual or intended NPS use as it effectively compares lifetime prevalence (any use of NPS pre-ban) with last year use (use of NPS in the 14-16 months between the ban and data collection) and participants’ intentions were not reported. Nevertheless, the overall impression is one in which young recreational users have moved away from using NPS, either through displacement or abstinence, since introduction of the Act. Also, they now generally seem to view NPS and NPS users more negatively than before the ban.  </w:t>
      </w:r>
    </w:p>
    <w:p w14:paraId="0A0A1B94" w14:textId="01B19899" w:rsidR="007E1D13" w:rsidRDefault="007E1D13" w:rsidP="00BB0973">
      <w:pPr>
        <w:pStyle w:val="Heading3"/>
      </w:pPr>
      <w:bookmarkStart w:id="492" w:name="_Toc35892729"/>
      <w:r>
        <w:t>The impact of the PS Act on health risk perceptions</w:t>
      </w:r>
      <w:bookmarkEnd w:id="492"/>
      <w:r>
        <w:t xml:space="preserve"> </w:t>
      </w:r>
    </w:p>
    <w:p w14:paraId="40D0C3CC" w14:textId="0F261206" w:rsidR="007E1D13" w:rsidRDefault="007E1D13" w:rsidP="007E1D13">
      <w:pPr>
        <w:spacing w:line="480" w:lineRule="auto"/>
      </w:pPr>
      <w:r>
        <w:t xml:space="preserve">With regard to the proposed ‘health message’ mechanism of change targeted by the Government via the PS Act, the findings of this study confirmed a tendency for young people to associate perceived legal status with safety and perceived illicit status with health risk. This suggests that, to some extent, the mechanism of change proposed by the Government is plausible, that is, changing the legal status of NPS may act as a health warning. </w:t>
      </w:r>
    </w:p>
    <w:p w14:paraId="23F44A71" w14:textId="609C057B" w:rsidR="007E1D13" w:rsidRPr="006F409E" w:rsidRDefault="007E1D13" w:rsidP="007E1D13">
      <w:pPr>
        <w:spacing w:line="480" w:lineRule="auto"/>
        <w:rPr>
          <w:strike/>
        </w:rPr>
      </w:pPr>
      <w:r>
        <w:t>However, it is unclear to what extent NPS were already associated with health risks in the target population, as risk awareness appeared to be relatively high in all groups, both pre- and post-ban, and the risk perceptions expressed within the pre-ban groups and the post-ban groups remained reasonably comparable. Whether the health warning implied by the change in legal status influenced the decision making processes of potential users or simply reinforced the pre-existing beliefs of non-users remains unclear. It is also unclear to what extent perceptions of health risk actually influenced drug</w:t>
      </w:r>
      <w:r w:rsidR="003A0F49">
        <w:t>-</w:t>
      </w:r>
      <w:r>
        <w:t xml:space="preserve">taking behaviour. While most of the young people taking part in the study appeared to perceive drug use as risky, a significant proportion of participants admitted to using drugs anyway, and several participants commented on the tendency of their peers to deny or ignore the risks associated with drug use. </w:t>
      </w:r>
    </w:p>
    <w:p w14:paraId="6DD8A904" w14:textId="5C8B1D1E" w:rsidR="007E1D13" w:rsidRDefault="007E1D13" w:rsidP="007E1D13">
      <w:pPr>
        <w:spacing w:line="480" w:lineRule="auto"/>
      </w:pPr>
      <w:r>
        <w:t>Nevertheless, health risks and safety perceptions were central concerns within participants’ discussions, and they expressed concern that other young people might continue to believe NPS were safe to use if they were unaware of the ban. Although the majority of the participants taking part in the study were aware of the ban, they generally thought that many young people were not, as publicity around the ban was low, and continued use of the name ‘legal highs’ was said to cause confusion. As any impact of the change in legal status of NPS is moderated by young people’s awareness of the ban, this suggest</w:t>
      </w:r>
      <w:r w:rsidR="003A0F49">
        <w:t>s</w:t>
      </w:r>
      <w:r>
        <w:t xml:space="preserve"> that the proposed health message pathway may not be a sufficient explanation for the apparent changes in NPS use. </w:t>
      </w:r>
    </w:p>
    <w:p w14:paraId="2BD8E1BC" w14:textId="5FE8F524" w:rsidR="007E1D13" w:rsidRDefault="007E1D13" w:rsidP="007E1D13">
      <w:pPr>
        <w:spacing w:line="480" w:lineRule="auto"/>
      </w:pPr>
      <w:r>
        <w:t>What the findings of the study did highlight</w:t>
      </w:r>
      <w:r w:rsidR="003A0F49">
        <w:t>,</w:t>
      </w:r>
      <w:r>
        <w:t xml:space="preserve"> however, are the potential risks associated with a heath warning approach, as there were indications that heightened perceptions of risk associated with NPS use have the potential to trigger displacement onto other substances. Young people frequently referred to factors influencing the substitution between substances, and of these, the relative harms of NPS compared to other substances was the most salient both pre-ban and post-ban. Furthermore, numerous participants noted that affluent recreational users were no longer using NPS, favouring instead traditional illicit drugs which they perceived as less dangerous than NPS. </w:t>
      </w:r>
    </w:p>
    <w:p w14:paraId="3A58B6B3" w14:textId="5BAAF2BF" w:rsidR="007E1D13" w:rsidRDefault="007E1D13" w:rsidP="00BB0973">
      <w:pPr>
        <w:pStyle w:val="Heading3"/>
      </w:pPr>
      <w:bookmarkStart w:id="493" w:name="_Toc35892730"/>
      <w:r>
        <w:t>The shift from recreational use of NPS to problematic use</w:t>
      </w:r>
      <w:bookmarkEnd w:id="493"/>
      <w:r>
        <w:t xml:space="preserve"> </w:t>
      </w:r>
    </w:p>
    <w:p w14:paraId="7865BCDA" w14:textId="409674F3" w:rsidR="007E1D13" w:rsidRDefault="007E1D13" w:rsidP="007E1D13">
      <w:pPr>
        <w:spacing w:line="480" w:lineRule="auto"/>
      </w:pPr>
      <w:r>
        <w:t>Of three distinct NPS user types described in the pre-ban focus groups, the most salient was affluent users. However, the picture presented by young people more than a year after the Act was a much stronger association between NPS and homeless users. Although prior to the ban young people did associate NPS use with homeless drug users, the street user identity was not the only, nor the most salient, perceived identity for NPS users whereas after the ban this was the only user type described by participants.</w:t>
      </w:r>
    </w:p>
    <w:p w14:paraId="720AF080" w14:textId="77777777" w:rsidR="007E1D13" w:rsidRDefault="007E1D13" w:rsidP="007E1D13">
      <w:pPr>
        <w:spacing w:line="480" w:lineRule="auto"/>
      </w:pPr>
      <w:r>
        <w:t xml:space="preserve">While the differences in user type could reflect differences in participants’ level of contact with NPS users and their insight into drug-taking cultures, the groups were reasonably well matched for NPS and drug experience and the general level of illicit drug use appeared to be higher than general estimates for their age group. From analysis of participants’ discussions, it appears that the increased association between NPS and homeless drug users was related to first-hand observation in the town centre and media sources such as documentaries, social media and the news.    </w:t>
      </w:r>
    </w:p>
    <w:p w14:paraId="28B961B4" w14:textId="23218992" w:rsidR="007E1D13" w:rsidRDefault="007E1D13" w:rsidP="007E1D13">
      <w:pPr>
        <w:spacing w:line="480" w:lineRule="auto"/>
      </w:pPr>
      <w:r>
        <w:t>Participants’ description of a shift away from NPS use by young affluent and middle</w:t>
      </w:r>
      <w:r w:rsidR="003A0F49">
        <w:t>-</w:t>
      </w:r>
      <w:r>
        <w:t>class drug users and their increased references to homeless and vulnerable users is in line with the findings of other studies. The DrugScope Street Drugs Survey (2014) highlighted a rapid shift in NPS use with a decrease in use by niche recreational populations (e.g. ???) and a rise in use by vulnerable stigmatised groups including the homeless, socially excluded teenagers and prison populations. Evidence from other studies also confirms a concentration of NPS use in marginalised and less affluent populations (</w:t>
      </w:r>
      <w:r w:rsidRPr="00806488">
        <w:t>Bonar, Ashrafioun, &amp; Ilgen</w:t>
      </w:r>
      <w:r>
        <w:t xml:space="preserve">, </w:t>
      </w:r>
      <w:r w:rsidRPr="00806488">
        <w:t xml:space="preserve">2014; </w:t>
      </w:r>
      <w:r w:rsidRPr="003876F7">
        <w:t>Ralphs Gray &amp; Norton, 2017</w:t>
      </w:r>
      <w:r>
        <w:t xml:space="preserve">; </w:t>
      </w:r>
      <w:r w:rsidRPr="00806488">
        <w:t>Scottish Prisoner Survey, 2017</w:t>
      </w:r>
      <w:r>
        <w:t xml:space="preserve">; </w:t>
      </w:r>
      <w:r w:rsidRPr="00806488">
        <w:t>User Voice, 2016</w:t>
      </w:r>
      <w:r>
        <w:t>).</w:t>
      </w:r>
      <w:r w:rsidRPr="00670A29">
        <w:t xml:space="preserve"> </w:t>
      </w:r>
    </w:p>
    <w:p w14:paraId="6AE5EBF6" w14:textId="2A0FF7FF" w:rsidR="007E1D13" w:rsidRDefault="007E1D13" w:rsidP="007E1D13">
      <w:pPr>
        <w:spacing w:line="480" w:lineRule="auto"/>
      </w:pPr>
      <w:r>
        <w:t>The shift in user types was also apparent in an exploration of NPS use in Kent by Blackman and Bradley (2017) who found evidence of a move away from NPS use by middle</w:t>
      </w:r>
      <w:r w:rsidR="003A0F49">
        <w:t>-</w:t>
      </w:r>
      <w:r>
        <w:t>class recreational users, typically students, and increasing</w:t>
      </w:r>
      <w:r w:rsidR="003A0F49">
        <w:t>ly</w:t>
      </w:r>
      <w:r>
        <w:t xml:space="preserve"> problematic use associated with vulnerable stigmatised groups including homeless users. In exploring this shift, Blackman and Bradley drew attention to the role of the media in highlighting and perpetuating the changing perception of users via news stories and influential documentaries. Their analysis of documentaries noted depictions of two contrasting groups of users; recreational users searching for new pleasures and vulnerable young adults experiencing poverty and stigma. In this study, the influence of documentaries was evident within participants’ discussions whose descriptions of programs and user depictions closely match the descriptions of Blackman and Bradley. </w:t>
      </w:r>
    </w:p>
    <w:p w14:paraId="119A37B4" w14:textId="261BA518" w:rsidR="007E1D13" w:rsidRDefault="007E1D13" w:rsidP="007E1D13">
      <w:pPr>
        <w:spacing w:line="480" w:lineRule="auto"/>
      </w:pPr>
      <w:r>
        <w:t>The role of the UK media in the framing of NPS issues was also examined by Alexandrescu (2018) in a qualitative analysis of hundreds of NPS related news items spanning a period from 2009 to 2017. Like Blackman and Bradley, Alexandrescu identified two contrasting depictions of users: middle</w:t>
      </w:r>
      <w:r w:rsidR="003A0F49">
        <w:t>-</w:t>
      </w:r>
      <w:r>
        <w:t>class fun-loving youth and homeless users dubbed ‘spice zombies’. Within his analysis, the move from depictions of naïve recreational users to threatening, socially disadvantaged, users is made clear. Alexandrescu identifies two distinct peaks of media attention, the first corresponding with interest in the emergence and banning of mephedrone around 2009 to 2011, also noted by other authors (</w:t>
      </w:r>
      <w:r w:rsidRPr="001D5280">
        <w:rPr>
          <w:szCs w:val="28"/>
          <w:lang w:val="en-US"/>
        </w:rPr>
        <w:t>Carhart Harris &amp; Nutt 2011</w:t>
      </w:r>
      <w:r>
        <w:rPr>
          <w:szCs w:val="28"/>
          <w:lang w:val="en-US"/>
        </w:rPr>
        <w:t xml:space="preserve">; </w:t>
      </w:r>
      <w:r w:rsidRPr="001D5280">
        <w:rPr>
          <w:szCs w:val="28"/>
        </w:rPr>
        <w:t>Measham et al</w:t>
      </w:r>
      <w:r w:rsidR="004C4795">
        <w:rPr>
          <w:szCs w:val="28"/>
        </w:rPr>
        <w:t>.</w:t>
      </w:r>
      <w:r w:rsidRPr="001D5280">
        <w:rPr>
          <w:szCs w:val="28"/>
        </w:rPr>
        <w:t>, 2010;</w:t>
      </w:r>
      <w:r w:rsidRPr="001D5280">
        <w:rPr>
          <w:szCs w:val="28"/>
          <w:lang w:val="en-US"/>
        </w:rPr>
        <w:t xml:space="preserve"> </w:t>
      </w:r>
      <w:r w:rsidRPr="001D5280">
        <w:rPr>
          <w:szCs w:val="28"/>
        </w:rPr>
        <w:t>Winstock et al., 2010</w:t>
      </w:r>
      <w:r>
        <w:t xml:space="preserve">), and the second around 2016 and 2017, focusing on the prevalence of synthetic cannabinoids particularly in disadvantaged populations. The timing of this comparative study straddles this second peak, with Study 1 conducted in its ascendance and Study 2 around its height. Accordingly, we see participants referencing some of the same media stories highlighted by Alexandrescu, such as those in the Manchester Evening News as well as use of language perpetuated by media sources such as the references to spice </w:t>
      </w:r>
      <w:r w:rsidRPr="00574062">
        <w:t xml:space="preserve">‘zombies’ </w:t>
      </w:r>
      <w:bookmarkStart w:id="494" w:name="_Hlk8757608"/>
      <w:r w:rsidRPr="00574062">
        <w:t>(e.g. ‘chaos wreaked by the 'zombie' drug Spice’ M.E.N.</w:t>
      </w:r>
      <w:r>
        <w:t xml:space="preserve"> 9/4/17)</w:t>
      </w:r>
      <w:bookmarkEnd w:id="494"/>
      <w:r>
        <w:t>. Alexandrescu (2010) and other authors also draw a connection between media stories and national policy, explaining the lack of consideration of scientific evidence by the Government in the development of drug legislation as a result of ‘knee jerk’ reactions to media pressure (</w:t>
      </w:r>
      <w:r w:rsidRPr="00D548D3">
        <w:t>Measham et al., 2011</w:t>
      </w:r>
      <w:r>
        <w:t xml:space="preserve">).  </w:t>
      </w:r>
    </w:p>
    <w:p w14:paraId="6457A744" w14:textId="688FB0D3" w:rsidR="007E1D13" w:rsidRDefault="007E1D13" w:rsidP="00BB0973">
      <w:pPr>
        <w:pStyle w:val="Heading3"/>
      </w:pPr>
      <w:bookmarkStart w:id="495" w:name="_Toc35892731"/>
      <w:r>
        <w:t>From unpleasant to harmful</w:t>
      </w:r>
      <w:bookmarkEnd w:id="495"/>
      <w:r>
        <w:t xml:space="preserve"> </w:t>
      </w:r>
    </w:p>
    <w:p w14:paraId="11B8C25C" w14:textId="77777777" w:rsidR="007E1D13" w:rsidRDefault="007E1D13" w:rsidP="007E1D13">
      <w:pPr>
        <w:spacing w:line="480" w:lineRule="auto"/>
      </w:pPr>
      <w:r>
        <w:t xml:space="preserve">The shift in media attention from recreational users to problem-drug users may have interacted with and influenced drug-market dynamics, but the original driver of the shift appears to be changes in the quality of NPS products themselves. As the legislative changes known as the cat-and-mouse game (see Chapter 2 Section 2.2.4) catalysed the production of successive generations of chemically altered NPS the quality of NPS products became variable, often more potent and increasingly associated with unpleasant effects (Bilgre, 2016; </w:t>
      </w:r>
      <w:r w:rsidRPr="00806488">
        <w:rPr>
          <w:szCs w:val="28"/>
        </w:rPr>
        <w:t>DrugWise, 2017</w:t>
      </w:r>
      <w:r>
        <w:rPr>
          <w:szCs w:val="28"/>
        </w:rPr>
        <w:t xml:space="preserve">; </w:t>
      </w:r>
      <w:r w:rsidRPr="00806488">
        <w:rPr>
          <w:szCs w:val="28"/>
        </w:rPr>
        <w:t>EMCDDA, 2018; Ralphs Gray &amp; Norton, 2017</w:t>
      </w:r>
      <w:r>
        <w:t>). For recreational users seeking pleasurable experiences, interest in NPS products was observed to wane (Blackman and Bradley, 2017).</w:t>
      </w:r>
    </w:p>
    <w:p w14:paraId="7804F10D" w14:textId="4E5CAFD7" w:rsidR="007E1D13" w:rsidRDefault="007E1D13" w:rsidP="007E1D13">
      <w:pPr>
        <w:spacing w:line="480" w:lineRule="auto"/>
      </w:pPr>
      <w:r>
        <w:t>Conversely, the increasing potency of NPS products, along with their low cost and the suspected targeting of vulnerable users by black market traders, was connected with increasing use by marginalised and disadvantaged groups (</w:t>
      </w:r>
      <w:r w:rsidRPr="003876F7">
        <w:t>Ralphs Gray &amp; Norton</w:t>
      </w:r>
      <w:r>
        <w:t xml:space="preserve">, 2017). As critics of the PS Act warned prior to its introduction, </w:t>
      </w:r>
      <w:r w:rsidRPr="003741CA">
        <w:t>sales of NPS</w:t>
      </w:r>
      <w:r>
        <w:t xml:space="preserve"> appear to have been driven underground, where products have become</w:t>
      </w:r>
      <w:r w:rsidRPr="003741CA">
        <w:t xml:space="preserve"> more dangerous </w:t>
      </w:r>
      <w:r>
        <w:t xml:space="preserve">owing to the unscrupulous practices of </w:t>
      </w:r>
      <w:r w:rsidRPr="003741CA">
        <w:t>black market traders</w:t>
      </w:r>
      <w:r>
        <w:t xml:space="preserve"> (</w:t>
      </w:r>
      <w:r>
        <w:rPr>
          <w:szCs w:val="24"/>
          <w:lang w:val="en-US"/>
        </w:rPr>
        <w:t xml:space="preserve">DrugsWatch, 2018; EMCDDA, 2018; </w:t>
      </w:r>
      <w:r w:rsidRPr="00FF432F">
        <w:t>Measham &amp; Newcombe, 2017; Stevens et al., 2015</w:t>
      </w:r>
      <w:r>
        <w:rPr>
          <w:szCs w:val="24"/>
          <w:lang w:val="en-US"/>
        </w:rPr>
        <w:t>)</w:t>
      </w:r>
      <w:r>
        <w:t>. This black market trade was noted by participants, who claimed that NPS remain easily accessible for those with connections to dealers and drug</w:t>
      </w:r>
      <w:r w:rsidR="003A0F49">
        <w:t>-</w:t>
      </w:r>
      <w:r>
        <w:t xml:space="preserve">using friend networks.   </w:t>
      </w:r>
    </w:p>
    <w:p w14:paraId="70A07150" w14:textId="2FAFCDDB" w:rsidR="007E1D13" w:rsidRDefault="007E1D13" w:rsidP="007E1D13">
      <w:pPr>
        <w:spacing w:line="480" w:lineRule="auto"/>
      </w:pPr>
      <w:r>
        <w:t>As the dangers and visibility of problematic NPS use increased, news sources increasingly depicted NPS as harmful and deadly and this seems to have influenced the risk perceptions of middle</w:t>
      </w:r>
      <w:r w:rsidR="003A0F49">
        <w:t>-</w:t>
      </w:r>
      <w:r>
        <w:t>class users in particular (Blackman &amp; Bradley, 2017). Correspondingly, participants in this study largely connected their own risk awareness with media stories, documentaries and social media videos of vulnerable stigmatised users. We see also how discussions by participants in the post-ban focus groups focus less on descriptions of drug effects, both positive and negative, as well as showing fewer references to hedonistic motives and more references to coping motives and</w:t>
      </w:r>
      <w:r w:rsidRPr="00E35B95">
        <w:t xml:space="preserve"> </w:t>
      </w:r>
      <w:r>
        <w:t>NPS harms. The overall picture is one in which NPS appear to be associated less frequently with recreational use by peers and increasingly as something associated with marginalised ‘others’.</w:t>
      </w:r>
    </w:p>
    <w:p w14:paraId="5627F1FD" w14:textId="3C890CC2" w:rsidR="007E1D13" w:rsidRPr="00BB0973" w:rsidRDefault="007E1D13" w:rsidP="00BB0973">
      <w:pPr>
        <w:pStyle w:val="Heading3"/>
      </w:pPr>
      <w:bookmarkStart w:id="496" w:name="_Toc35892732"/>
      <w:r w:rsidRPr="00BB0973">
        <w:t>An alternative social pathway levered by legislation</w:t>
      </w:r>
      <w:bookmarkEnd w:id="496"/>
    </w:p>
    <w:p w14:paraId="557B4E5A" w14:textId="77777777" w:rsidR="007E1D13" w:rsidRDefault="007E1D13" w:rsidP="007E1D13">
      <w:pPr>
        <w:spacing w:line="480" w:lineRule="auto"/>
      </w:pPr>
      <w:r>
        <w:t xml:space="preserve">For young people in the study, their perceptions of the type of people who use NPS appeared to convey important information that may influence their attitudes toward NPS use. The apparent absence of recreational NPS user types and the increased salience of homeless, vulnerable and dependent NPS users appeared to offer important social cues about the safety and desirability of NPS use. For participants, the association between NPS use and homeless users went hand-in-hand with the reputation of NPS as ‘cheap crap’ for addicts and those living in poverty. </w:t>
      </w:r>
    </w:p>
    <w:p w14:paraId="7679AB8F" w14:textId="6DC72DA2" w:rsidR="007E1D13" w:rsidRDefault="007E1D13" w:rsidP="007E1D13">
      <w:pPr>
        <w:spacing w:line="480" w:lineRule="auto"/>
      </w:pPr>
      <w:r>
        <w:t>The implication of this relationship between increased salience of homeless users and the off-putting reputation of NPS as a cheap drug for poor people is the potential existence of an alternative ‘stigmatisation’ pathway to behaviour change levered by drug legislation and the PS Act.  In this pathway</w:t>
      </w:r>
      <w:r w:rsidR="003A0F49">
        <w:t>,</w:t>
      </w:r>
      <w:r>
        <w:t xml:space="preserve"> the visibility of the effects of NPS on vulnerable drug users increases as a result of the increased harm potential associated with black market sales of NPS. The increased media attention generated by legislation and the proliferation of social media videos and documentaries focusing on users raised young people’s awareness of the association between homelessness and NPS use. Young people then used these social cues to assess the potential harms and suitability of NPS, whereby a negative assessment encouraged abstinence from NPS use or displacement onto other substances. This possible mechanism is illustrated in Figure </w:t>
      </w:r>
      <w:r w:rsidR="00311FB4">
        <w:t>7-</w:t>
      </w:r>
      <w:r>
        <w:t xml:space="preserve">5. </w:t>
      </w:r>
    </w:p>
    <w:p w14:paraId="34B77720" w14:textId="0D2E9318" w:rsidR="007E1D13" w:rsidRDefault="007E1D13" w:rsidP="007E1D13">
      <w:pPr>
        <w:spacing w:line="480" w:lineRule="auto"/>
        <w:rPr>
          <w:szCs w:val="28"/>
        </w:rPr>
      </w:pPr>
      <w:r>
        <w:t>The link between media depictions of NPS and changes in NPS use has been noted previously when in 2009 media coverage of deaths thought to be related to mephedrone caused its</w:t>
      </w:r>
      <w:r w:rsidRPr="001D5280">
        <w:rPr>
          <w:szCs w:val="28"/>
        </w:rPr>
        <w:t xml:space="preserve"> popularity </w:t>
      </w:r>
      <w:r>
        <w:rPr>
          <w:szCs w:val="28"/>
        </w:rPr>
        <w:t>to</w:t>
      </w:r>
      <w:r w:rsidRPr="001D5280">
        <w:rPr>
          <w:szCs w:val="28"/>
        </w:rPr>
        <w:t xml:space="preserve"> r</w:t>
      </w:r>
      <w:r>
        <w:rPr>
          <w:szCs w:val="28"/>
        </w:rPr>
        <w:t>i</w:t>
      </w:r>
      <w:r w:rsidRPr="001D5280">
        <w:rPr>
          <w:szCs w:val="28"/>
        </w:rPr>
        <w:t>se sharply as it gained a reputation as a cheap, legal alternative to ecstasy (</w:t>
      </w:r>
      <w:r w:rsidR="000B2555" w:rsidRPr="001D5280">
        <w:rPr>
          <w:szCs w:val="28"/>
          <w:lang w:val="en-US"/>
        </w:rPr>
        <w:t xml:space="preserve">Carhart Harris &amp; Nutt 2011; </w:t>
      </w:r>
      <w:r w:rsidRPr="001D5280">
        <w:rPr>
          <w:szCs w:val="28"/>
        </w:rPr>
        <w:t>Measham et al</w:t>
      </w:r>
      <w:r w:rsidR="004C4795">
        <w:rPr>
          <w:szCs w:val="28"/>
        </w:rPr>
        <w:t>.</w:t>
      </w:r>
      <w:r w:rsidRPr="001D5280">
        <w:rPr>
          <w:szCs w:val="28"/>
        </w:rPr>
        <w:t>, 2010;</w:t>
      </w:r>
      <w:r w:rsidRPr="001D5280">
        <w:rPr>
          <w:szCs w:val="28"/>
          <w:lang w:val="en-US"/>
        </w:rPr>
        <w:t xml:space="preserve"> </w:t>
      </w:r>
      <w:r w:rsidRPr="001D5280">
        <w:rPr>
          <w:szCs w:val="28"/>
        </w:rPr>
        <w:t>Winstock et. al., 2010).</w:t>
      </w:r>
      <w:r>
        <w:rPr>
          <w:szCs w:val="28"/>
        </w:rPr>
        <w:t xml:space="preserve"> However, at that time NPS such as mephedrone were of comparatively greater purity and consistency than their traditional illicit counterparts (i.e. cocaine and ecstasy), the quality of which had dropped significantly as a result of notable drug seizures (</w:t>
      </w:r>
      <w:r w:rsidRPr="001D5280">
        <w:rPr>
          <w:szCs w:val="28"/>
        </w:rPr>
        <w:t>Ceyhan, 2008</w:t>
      </w:r>
      <w:r>
        <w:rPr>
          <w:szCs w:val="28"/>
        </w:rPr>
        <w:t>). In the current climate</w:t>
      </w:r>
      <w:r w:rsidR="003A0F49">
        <w:rPr>
          <w:szCs w:val="28"/>
        </w:rPr>
        <w:t>,</w:t>
      </w:r>
      <w:r>
        <w:rPr>
          <w:szCs w:val="28"/>
        </w:rPr>
        <w:t xml:space="preserve"> the situation has now reversed, with the quality of NPS declining (</w:t>
      </w:r>
      <w:r w:rsidRPr="00806488">
        <w:rPr>
          <w:szCs w:val="28"/>
        </w:rPr>
        <w:t>DrugWise, 2017</w:t>
      </w:r>
      <w:r>
        <w:rPr>
          <w:szCs w:val="28"/>
        </w:rPr>
        <w:t xml:space="preserve">; </w:t>
      </w:r>
      <w:r w:rsidRPr="00806488">
        <w:rPr>
          <w:szCs w:val="28"/>
        </w:rPr>
        <w:t xml:space="preserve">EMCDDA, </w:t>
      </w:r>
    </w:p>
    <w:bookmarkStart w:id="497" w:name="_Toc9509141"/>
    <w:p w14:paraId="7D61C8EF" w14:textId="5894541A" w:rsidR="007E1D13" w:rsidRPr="000929AD" w:rsidRDefault="007E1D13" w:rsidP="00BB0973">
      <w:pPr>
        <w:pStyle w:val="FigureHeading"/>
      </w:pPr>
      <w:r w:rsidRPr="000929AD">
        <mc:AlternateContent>
          <mc:Choice Requires="wpg">
            <w:drawing>
              <wp:anchor distT="0" distB="0" distL="114300" distR="114300" simplePos="0" relativeHeight="253731840" behindDoc="0" locked="0" layoutInCell="1" allowOverlap="1" wp14:anchorId="1A46A87B" wp14:editId="23BA310E">
                <wp:simplePos x="0" y="0"/>
                <wp:positionH relativeFrom="column">
                  <wp:posOffset>-212090</wp:posOffset>
                </wp:positionH>
                <wp:positionV relativeFrom="paragraph">
                  <wp:posOffset>554990</wp:posOffset>
                </wp:positionV>
                <wp:extent cx="6172835" cy="3223260"/>
                <wp:effectExtent l="0" t="19050" r="0" b="0"/>
                <wp:wrapTopAndBottom/>
                <wp:docPr id="696" name="Group 56"/>
                <wp:cNvGraphicFramePr/>
                <a:graphic xmlns:a="http://schemas.openxmlformats.org/drawingml/2006/main">
                  <a:graphicData uri="http://schemas.microsoft.com/office/word/2010/wordprocessingGroup">
                    <wpg:wgp>
                      <wpg:cNvGrpSpPr/>
                      <wpg:grpSpPr>
                        <a:xfrm>
                          <a:off x="0" y="0"/>
                          <a:ext cx="6172835" cy="3223260"/>
                          <a:chOff x="0" y="0"/>
                          <a:chExt cx="6173113" cy="3223464"/>
                        </a:xfrm>
                      </wpg:grpSpPr>
                      <wps:wsp>
                        <wps:cNvPr id="697" name="Straight Arrow Connector 697"/>
                        <wps:cNvCnPr>
                          <a:cxnSpLocks/>
                        </wps:cNvCnPr>
                        <wps:spPr>
                          <a:xfrm>
                            <a:off x="2559708" y="1820722"/>
                            <a:ext cx="329047" cy="4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8" name="Straight Arrow Connector 698"/>
                        <wps:cNvCnPr>
                          <a:cxnSpLocks/>
                        </wps:cNvCnPr>
                        <wps:spPr>
                          <a:xfrm>
                            <a:off x="3339908" y="1051841"/>
                            <a:ext cx="1089" cy="5443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99" name="Group 699"/>
                        <wpg:cNvGrpSpPr/>
                        <wpg:grpSpPr>
                          <a:xfrm>
                            <a:off x="1426198" y="588173"/>
                            <a:ext cx="1275080" cy="601584"/>
                            <a:chOff x="1426201" y="588173"/>
                            <a:chExt cx="1212216" cy="508871"/>
                          </a:xfrm>
                        </wpg:grpSpPr>
                        <wps:wsp>
                          <wps:cNvPr id="700" name="TextBox 440"/>
                          <wps:cNvSpPr txBox="1"/>
                          <wps:spPr>
                            <a:xfrm>
                              <a:off x="1426201" y="628123"/>
                              <a:ext cx="1212216" cy="468921"/>
                            </a:xfrm>
                            <a:prstGeom prst="rect">
                              <a:avLst/>
                            </a:prstGeom>
                            <a:noFill/>
                          </wps:spPr>
                          <wps:txbx>
                            <w:txbxContent>
                              <w:p w14:paraId="5C888ABA" w14:textId="77777777" w:rsidR="00777EE0" w:rsidRDefault="00777EE0" w:rsidP="007E1D13">
                                <w:pPr>
                                  <w:jc w:val="center"/>
                                  <w:rPr>
                                    <w:szCs w:val="24"/>
                                  </w:rPr>
                                </w:pPr>
                                <w:r>
                                  <w:rPr>
                                    <w:color w:val="000000" w:themeColor="text1"/>
                                    <w:kern w:val="24"/>
                                    <w:sz w:val="20"/>
                                    <w:szCs w:val="20"/>
                                  </w:rPr>
                                  <w:t xml:space="preserve">Visibility of vulnerable users </w:t>
                                </w:r>
                              </w:p>
                            </w:txbxContent>
                          </wps:txbx>
                          <wps:bodyPr wrap="square" rtlCol="0">
                            <a:spAutoFit/>
                          </wps:bodyPr>
                        </wps:wsp>
                        <wps:wsp>
                          <wps:cNvPr id="701" name="Rectangle: Rounded Corners 701"/>
                          <wps:cNvSpPr/>
                          <wps:spPr>
                            <a:xfrm>
                              <a:off x="1514933" y="588173"/>
                              <a:ext cx="1011583"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02" name="Straight Arrow Connector 702"/>
                        <wps:cNvCnPr>
                          <a:cxnSpLocks/>
                        </wps:cNvCnPr>
                        <wps:spPr>
                          <a:xfrm>
                            <a:off x="2583573" y="817587"/>
                            <a:ext cx="304095" cy="4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3" name="Straight Arrow Connector 703"/>
                        <wps:cNvCnPr>
                          <a:cxnSpLocks/>
                        </wps:cNvCnPr>
                        <wps:spPr>
                          <a:xfrm flipV="1">
                            <a:off x="1062762" y="1820722"/>
                            <a:ext cx="432904" cy="4886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4" name="Straight Arrow Connector 704"/>
                        <wps:cNvCnPr>
                          <a:cxnSpLocks/>
                        </wps:cNvCnPr>
                        <wps:spPr>
                          <a:xfrm>
                            <a:off x="1062762" y="2309373"/>
                            <a:ext cx="427693" cy="5408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05" name="Group 705"/>
                        <wpg:cNvGrpSpPr/>
                        <wpg:grpSpPr>
                          <a:xfrm>
                            <a:off x="1490455" y="2620812"/>
                            <a:ext cx="1064042" cy="590221"/>
                            <a:chOff x="1490455" y="2620811"/>
                            <a:chExt cx="1074290" cy="753669"/>
                          </a:xfrm>
                        </wpg:grpSpPr>
                        <wps:wsp>
                          <wps:cNvPr id="706" name="TextBox 438"/>
                          <wps:cNvSpPr txBox="1"/>
                          <wps:spPr>
                            <a:xfrm>
                              <a:off x="1499360" y="2666609"/>
                              <a:ext cx="1055277" cy="707871"/>
                            </a:xfrm>
                            <a:prstGeom prst="rect">
                              <a:avLst/>
                            </a:prstGeom>
                            <a:noFill/>
                          </wps:spPr>
                          <wps:txbx>
                            <w:txbxContent>
                              <w:p w14:paraId="713A4861" w14:textId="77777777" w:rsidR="00777EE0" w:rsidRDefault="00777EE0" w:rsidP="007E1D13">
                                <w:pPr>
                                  <w:jc w:val="center"/>
                                  <w:rPr>
                                    <w:szCs w:val="24"/>
                                  </w:rPr>
                                </w:pPr>
                                <w:r>
                                  <w:rPr>
                                    <w:color w:val="000000" w:themeColor="text1"/>
                                    <w:kern w:val="24"/>
                                    <w:sz w:val="20"/>
                                    <w:szCs w:val="20"/>
                                  </w:rPr>
                                  <w:t>Increased harm potential of NPS</w:t>
                                </w:r>
                              </w:p>
                            </w:txbxContent>
                          </wps:txbx>
                          <wps:bodyPr wrap="square" rtlCol="0">
                            <a:spAutoFit/>
                          </wps:bodyPr>
                        </wps:wsp>
                        <wps:wsp>
                          <wps:cNvPr id="707" name="Rectangle: Rounded Corners 707"/>
                          <wps:cNvSpPr/>
                          <wps:spPr>
                            <a:xfrm>
                              <a:off x="1490455" y="2620811"/>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8" name="Group 708"/>
                        <wpg:cNvGrpSpPr/>
                        <wpg:grpSpPr>
                          <a:xfrm>
                            <a:off x="2831882" y="1596188"/>
                            <a:ext cx="1029970" cy="592993"/>
                            <a:chOff x="2831858" y="1596188"/>
                            <a:chExt cx="1223335" cy="757209"/>
                          </a:xfrm>
                        </wpg:grpSpPr>
                        <wps:wsp>
                          <wps:cNvPr id="709" name="TextBox 434"/>
                          <wps:cNvSpPr txBox="1"/>
                          <wps:spPr>
                            <a:xfrm>
                              <a:off x="2831858" y="1645526"/>
                              <a:ext cx="1223335" cy="707871"/>
                            </a:xfrm>
                            <a:prstGeom prst="rect">
                              <a:avLst/>
                            </a:prstGeom>
                            <a:noFill/>
                          </wps:spPr>
                          <wps:txbx>
                            <w:txbxContent>
                              <w:p w14:paraId="30760CC4" w14:textId="77777777" w:rsidR="00777EE0" w:rsidRDefault="00777EE0" w:rsidP="007E1D13">
                                <w:pPr>
                                  <w:jc w:val="center"/>
                                  <w:rPr>
                                    <w:szCs w:val="24"/>
                                  </w:rPr>
                                </w:pPr>
                                <w:r>
                                  <w:rPr>
                                    <w:color w:val="000000" w:themeColor="text1"/>
                                    <w:kern w:val="24"/>
                                    <w:sz w:val="20"/>
                                    <w:szCs w:val="20"/>
                                  </w:rPr>
                                  <w:t xml:space="preserve">Psycho-social factors </w:t>
                                </w:r>
                              </w:p>
                            </w:txbxContent>
                          </wps:txbx>
                          <wps:bodyPr wrap="square" rtlCol="0">
                            <a:spAutoFit/>
                          </wps:bodyPr>
                        </wps:wsp>
                        <wps:wsp>
                          <wps:cNvPr id="710" name="Rectangle: Rounded Corners 710"/>
                          <wps:cNvSpPr/>
                          <wps:spPr>
                            <a:xfrm>
                              <a:off x="2899408" y="1596188"/>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1" name="Group 711"/>
                        <wpg:cNvGrpSpPr/>
                        <wpg:grpSpPr>
                          <a:xfrm>
                            <a:off x="2887669" y="593013"/>
                            <a:ext cx="947384" cy="583420"/>
                            <a:chOff x="2887668" y="593013"/>
                            <a:chExt cx="1125243" cy="744985"/>
                          </a:xfrm>
                        </wpg:grpSpPr>
                        <wps:wsp>
                          <wps:cNvPr id="712" name="TextBox 432"/>
                          <wps:cNvSpPr txBox="1"/>
                          <wps:spPr>
                            <a:xfrm>
                              <a:off x="2915531" y="630127"/>
                              <a:ext cx="1097380" cy="707871"/>
                            </a:xfrm>
                            <a:prstGeom prst="rect">
                              <a:avLst/>
                            </a:prstGeom>
                            <a:noFill/>
                          </wps:spPr>
                          <wps:txbx>
                            <w:txbxContent>
                              <w:p w14:paraId="616FE651" w14:textId="77777777" w:rsidR="00777EE0" w:rsidRDefault="00777EE0" w:rsidP="007E1D13">
                                <w:pPr>
                                  <w:jc w:val="center"/>
                                  <w:rPr>
                                    <w:szCs w:val="24"/>
                                  </w:rPr>
                                </w:pPr>
                                <w:r>
                                  <w:rPr>
                                    <w:color w:val="000000" w:themeColor="text1"/>
                                    <w:kern w:val="24"/>
                                    <w:sz w:val="20"/>
                                    <w:szCs w:val="20"/>
                                  </w:rPr>
                                  <w:t xml:space="preserve">Stigmatisation of NPS users </w:t>
                                </w:r>
                              </w:p>
                            </w:txbxContent>
                          </wps:txbx>
                          <wps:bodyPr wrap="square" rtlCol="0">
                            <a:spAutoFit/>
                          </wps:bodyPr>
                        </wps:wsp>
                        <wps:wsp>
                          <wps:cNvPr id="713" name="Rectangle: Rounded Corners 713"/>
                          <wps:cNvSpPr/>
                          <wps:spPr>
                            <a:xfrm>
                              <a:off x="2887668" y="593013"/>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4" name="Rectangle: Rounded Corners 714"/>
                        <wps:cNvSpPr/>
                        <wps:spPr>
                          <a:xfrm>
                            <a:off x="4155961" y="2226133"/>
                            <a:ext cx="818855" cy="458828"/>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15" name="Group 715"/>
                        <wpg:cNvGrpSpPr/>
                        <wpg:grpSpPr>
                          <a:xfrm>
                            <a:off x="4141871" y="1596457"/>
                            <a:ext cx="818855" cy="607024"/>
                            <a:chOff x="4141871" y="1596456"/>
                            <a:chExt cx="1074290" cy="775125"/>
                          </a:xfrm>
                        </wpg:grpSpPr>
                        <wps:wsp>
                          <wps:cNvPr id="716" name="TextBox 430"/>
                          <wps:cNvSpPr txBox="1"/>
                          <wps:spPr>
                            <a:xfrm>
                              <a:off x="4265241" y="1663710"/>
                              <a:ext cx="801426" cy="707871"/>
                            </a:xfrm>
                            <a:prstGeom prst="rect">
                              <a:avLst/>
                            </a:prstGeom>
                            <a:noFill/>
                          </wps:spPr>
                          <wps:txbx>
                            <w:txbxContent>
                              <w:p w14:paraId="659B253D" w14:textId="77777777" w:rsidR="00777EE0" w:rsidRDefault="00777EE0" w:rsidP="007E1D13">
                                <w:pPr>
                                  <w:jc w:val="center"/>
                                  <w:rPr>
                                    <w:szCs w:val="24"/>
                                  </w:rPr>
                                </w:pPr>
                                <w:r>
                                  <w:rPr>
                                    <w:color w:val="000000" w:themeColor="text1"/>
                                    <w:kern w:val="24"/>
                                    <w:sz w:val="20"/>
                                    <w:szCs w:val="20"/>
                                  </w:rPr>
                                  <w:t>NPS use</w:t>
                                </w:r>
                              </w:p>
                            </w:txbxContent>
                          </wps:txbx>
                          <wps:bodyPr wrap="square" rtlCol="0">
                            <a:spAutoFit/>
                          </wps:bodyPr>
                        </wps:wsp>
                        <wps:wsp>
                          <wps:cNvPr id="717" name="Rectangle: Rounded Corners 717"/>
                          <wps:cNvSpPr/>
                          <wps:spPr>
                            <a:xfrm>
                              <a:off x="4141871" y="1596456"/>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8" name="Group 718"/>
                        <wpg:cNvGrpSpPr/>
                        <wpg:grpSpPr>
                          <a:xfrm>
                            <a:off x="1363574" y="1591307"/>
                            <a:ext cx="1318260" cy="480966"/>
                            <a:chOff x="1363574" y="1591308"/>
                            <a:chExt cx="1330957" cy="614159"/>
                          </a:xfrm>
                        </wpg:grpSpPr>
                        <wps:wsp>
                          <wps:cNvPr id="719" name="TextBox 428"/>
                          <wps:cNvSpPr txBox="1"/>
                          <wps:spPr>
                            <a:xfrm>
                              <a:off x="1363574" y="1712471"/>
                              <a:ext cx="1330957" cy="492996"/>
                            </a:xfrm>
                            <a:prstGeom prst="rect">
                              <a:avLst/>
                            </a:prstGeom>
                            <a:noFill/>
                          </wps:spPr>
                          <wps:txbx>
                            <w:txbxContent>
                              <w:p w14:paraId="2215C238" w14:textId="77777777" w:rsidR="00777EE0" w:rsidRDefault="00777EE0" w:rsidP="007E1D13">
                                <w:pPr>
                                  <w:jc w:val="center"/>
                                  <w:rPr>
                                    <w:szCs w:val="24"/>
                                  </w:rPr>
                                </w:pPr>
                                <w:r>
                                  <w:rPr>
                                    <w:color w:val="000000" w:themeColor="text1"/>
                                    <w:kern w:val="24"/>
                                    <w:sz w:val="20"/>
                                    <w:szCs w:val="20"/>
                                  </w:rPr>
                                  <w:t>Risk messages</w:t>
                                </w:r>
                              </w:p>
                            </w:txbxContent>
                          </wps:txbx>
                          <wps:bodyPr wrap="square" rtlCol="0">
                            <a:spAutoFit/>
                          </wps:bodyPr>
                        </wps:wsp>
                        <wps:wsp>
                          <wps:cNvPr id="720" name="Rectangle: Rounded Corners 720"/>
                          <wps:cNvSpPr/>
                          <wps:spPr>
                            <a:xfrm>
                              <a:off x="1496938" y="1591308"/>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21" name="TextBox 402"/>
                        <wps:cNvSpPr txBox="1"/>
                        <wps:spPr>
                          <a:xfrm>
                            <a:off x="4193399" y="2249321"/>
                            <a:ext cx="767080" cy="554355"/>
                          </a:xfrm>
                          <a:prstGeom prst="rect">
                            <a:avLst/>
                          </a:prstGeom>
                          <a:noFill/>
                        </wps:spPr>
                        <wps:txbx>
                          <w:txbxContent>
                            <w:p w14:paraId="24415A74" w14:textId="77777777" w:rsidR="00777EE0" w:rsidRDefault="00777EE0" w:rsidP="007E1D13">
                              <w:pPr>
                                <w:jc w:val="center"/>
                                <w:rPr>
                                  <w:szCs w:val="24"/>
                                </w:rPr>
                              </w:pPr>
                              <w:r>
                                <w:rPr>
                                  <w:color w:val="000000" w:themeColor="text1"/>
                                  <w:kern w:val="24"/>
                                  <w:sz w:val="20"/>
                                  <w:szCs w:val="20"/>
                                </w:rPr>
                                <w:t xml:space="preserve">Use of other drugs </w:t>
                              </w:r>
                            </w:p>
                          </w:txbxContent>
                        </wps:txbx>
                        <wps:bodyPr wrap="square" rtlCol="0">
                          <a:spAutoFit/>
                        </wps:bodyPr>
                      </wps:wsp>
                      <wpg:grpSp>
                        <wpg:cNvPr id="722" name="Group 722"/>
                        <wpg:cNvGrpSpPr/>
                        <wpg:grpSpPr>
                          <a:xfrm>
                            <a:off x="0" y="2079958"/>
                            <a:ext cx="1062762" cy="591247"/>
                            <a:chOff x="0" y="2079959"/>
                            <a:chExt cx="752738" cy="574141"/>
                          </a:xfrm>
                        </wpg:grpSpPr>
                        <wps:wsp>
                          <wps:cNvPr id="723" name="Rectangle 723"/>
                          <wps:cNvSpPr/>
                          <wps:spPr>
                            <a:xfrm>
                              <a:off x="0" y="2079959"/>
                              <a:ext cx="75273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24" name="TextBox 427"/>
                          <wps:cNvSpPr txBox="1"/>
                          <wps:spPr>
                            <a:xfrm>
                              <a:off x="21931" y="2115784"/>
                              <a:ext cx="709273" cy="538316"/>
                            </a:xfrm>
                            <a:prstGeom prst="rect">
                              <a:avLst/>
                            </a:prstGeom>
                            <a:noFill/>
                          </wps:spPr>
                          <wps:txbx>
                            <w:txbxContent>
                              <w:p w14:paraId="4E0DAF3A" w14:textId="77777777" w:rsidR="00777EE0" w:rsidRDefault="00777EE0" w:rsidP="007E1D13">
                                <w:pPr>
                                  <w:jc w:val="center"/>
                                  <w:rPr>
                                    <w:szCs w:val="24"/>
                                  </w:rPr>
                                </w:pPr>
                                <w:r>
                                  <w:rPr>
                                    <w:color w:val="000000" w:themeColor="text1"/>
                                    <w:kern w:val="24"/>
                                    <w:sz w:val="20"/>
                                    <w:szCs w:val="20"/>
                                  </w:rPr>
                                  <w:t>Legislative actions</w:t>
                                </w:r>
                              </w:p>
                            </w:txbxContent>
                          </wps:txbx>
                          <wps:bodyPr wrap="square" rtlCol="0">
                            <a:spAutoFit/>
                          </wps:bodyPr>
                        </wps:wsp>
                      </wpg:grpSp>
                      <wps:wsp>
                        <wps:cNvPr id="725" name="Straight Arrow Connector 725"/>
                        <wps:cNvCnPr>
                          <a:cxnSpLocks/>
                        </wps:cNvCnPr>
                        <wps:spPr>
                          <a:xfrm>
                            <a:off x="3793239" y="1825602"/>
                            <a:ext cx="348632" cy="2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6" name="Group 726"/>
                        <wpg:cNvGrpSpPr/>
                        <wpg:grpSpPr>
                          <a:xfrm>
                            <a:off x="5357138" y="1597127"/>
                            <a:ext cx="815975" cy="518330"/>
                            <a:chOff x="5357140" y="1597125"/>
                            <a:chExt cx="797240" cy="503333"/>
                          </a:xfrm>
                        </wpg:grpSpPr>
                        <wps:wsp>
                          <wps:cNvPr id="727" name="Rectangle 727"/>
                          <wps:cNvSpPr/>
                          <wps:spPr>
                            <a:xfrm>
                              <a:off x="5360491" y="1597125"/>
                              <a:ext cx="75273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28" name="TextBox 425"/>
                          <wps:cNvSpPr txBox="1"/>
                          <wps:spPr>
                            <a:xfrm>
                              <a:off x="5357140" y="1725548"/>
                              <a:ext cx="797240" cy="374910"/>
                            </a:xfrm>
                            <a:prstGeom prst="rect">
                              <a:avLst/>
                            </a:prstGeom>
                            <a:noFill/>
                          </wps:spPr>
                          <wps:txbx>
                            <w:txbxContent>
                              <w:p w14:paraId="1916FDD1" w14:textId="77777777" w:rsidR="00777EE0" w:rsidRDefault="00777EE0" w:rsidP="007E1D13">
                                <w:pPr>
                                  <w:jc w:val="center"/>
                                  <w:rPr>
                                    <w:szCs w:val="24"/>
                                  </w:rPr>
                                </w:pPr>
                                <w:r>
                                  <w:rPr>
                                    <w:color w:val="000000" w:themeColor="text1"/>
                                    <w:kern w:val="24"/>
                                    <w:sz w:val="20"/>
                                    <w:szCs w:val="20"/>
                                  </w:rPr>
                                  <w:t>Drug harms</w:t>
                                </w:r>
                              </w:p>
                            </w:txbxContent>
                          </wps:txbx>
                          <wps:bodyPr wrap="square" rtlCol="0">
                            <a:spAutoFit/>
                          </wps:bodyPr>
                        </wps:wsp>
                      </wpg:grpSp>
                      <wps:wsp>
                        <wps:cNvPr id="729" name="Connector: Elbow 729"/>
                        <wps:cNvCnPr>
                          <a:cxnSpLocks/>
                        </wps:cNvCnPr>
                        <wps:spPr>
                          <a:xfrm flipV="1">
                            <a:off x="4974816" y="2056622"/>
                            <a:ext cx="566339" cy="398925"/>
                          </a:xfrm>
                          <a:prstGeom prst="bentConnector3">
                            <a:avLst>
                              <a:gd name="adj1" fmla="val 988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0" name="Straight Arrow Connector 730"/>
                        <wps:cNvCnPr>
                          <a:cxnSpLocks/>
                        </wps:cNvCnPr>
                        <wps:spPr>
                          <a:xfrm>
                            <a:off x="3793239" y="1825602"/>
                            <a:ext cx="370510" cy="4238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1" name="Straight Arrow Connector 731"/>
                        <wps:cNvCnPr>
                          <a:cxnSpLocks/>
                        </wps:cNvCnPr>
                        <wps:spPr>
                          <a:xfrm>
                            <a:off x="4960726" y="1825870"/>
                            <a:ext cx="396595" cy="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2" name="Connector: Elbow 732"/>
                        <wps:cNvCnPr>
                          <a:cxnSpLocks/>
                        </wps:cNvCnPr>
                        <wps:spPr>
                          <a:xfrm flipV="1">
                            <a:off x="2554497" y="2055953"/>
                            <a:ext cx="3191282" cy="794272"/>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3" name="Connector: Elbow 733"/>
                        <wps:cNvCnPr>
                          <a:cxnSpLocks/>
                        </wps:cNvCnPr>
                        <wps:spPr>
                          <a:xfrm rot="16200000" flipV="1">
                            <a:off x="2871413" y="-1277241"/>
                            <a:ext cx="538162" cy="5210570"/>
                          </a:xfrm>
                          <a:prstGeom prst="bentConnector3">
                            <a:avLst>
                              <a:gd name="adj1" fmla="val 2985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4" name="TextBox 413"/>
                        <wps:cNvSpPr txBox="1"/>
                        <wps:spPr>
                          <a:xfrm>
                            <a:off x="3876188" y="1628452"/>
                            <a:ext cx="332740" cy="539115"/>
                          </a:xfrm>
                          <a:prstGeom prst="rect">
                            <a:avLst/>
                          </a:prstGeom>
                          <a:noFill/>
                          <a:ln>
                            <a:noFill/>
                          </a:ln>
                        </wps:spPr>
                        <wps:txbx>
                          <w:txbxContent>
                            <w:p w14:paraId="760904E9"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wps:txbx>
                        <wps:bodyPr wrap="square" rtlCol="0">
                          <a:spAutoFit/>
                        </wps:bodyPr>
                      </wps:wsp>
                      <wps:wsp>
                        <wps:cNvPr id="735" name="TextBox 414"/>
                        <wps:cNvSpPr txBox="1"/>
                        <wps:spPr>
                          <a:xfrm>
                            <a:off x="1282626" y="1892020"/>
                            <a:ext cx="432435" cy="467995"/>
                          </a:xfrm>
                          <a:prstGeom prst="rect">
                            <a:avLst/>
                          </a:prstGeom>
                          <a:noFill/>
                          <a:ln>
                            <a:noFill/>
                          </a:ln>
                        </wps:spPr>
                        <wps:txbx>
                          <w:txbxContent>
                            <w:p w14:paraId="655FEA5C"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36" name="TextBox 415"/>
                        <wps:cNvSpPr txBox="1"/>
                        <wps:spPr>
                          <a:xfrm>
                            <a:off x="1185409" y="1595021"/>
                            <a:ext cx="431800" cy="467995"/>
                          </a:xfrm>
                          <a:prstGeom prst="rect">
                            <a:avLst/>
                          </a:prstGeom>
                          <a:noFill/>
                          <a:ln>
                            <a:noFill/>
                          </a:ln>
                        </wps:spPr>
                        <wps:txbx>
                          <w:txbxContent>
                            <w:p w14:paraId="67291FF3"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37" name="TextBox 416"/>
                        <wps:cNvSpPr txBox="1"/>
                        <wps:spPr>
                          <a:xfrm>
                            <a:off x="2661238" y="748070"/>
                            <a:ext cx="304165" cy="467995"/>
                          </a:xfrm>
                          <a:prstGeom prst="rect">
                            <a:avLst/>
                          </a:prstGeom>
                          <a:noFill/>
                          <a:ln>
                            <a:noFill/>
                          </a:ln>
                        </wps:spPr>
                        <wps:txbx>
                          <w:txbxContent>
                            <w:p w14:paraId="49077263"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38" name="TextBox 417"/>
                        <wps:cNvSpPr txBox="1"/>
                        <wps:spPr>
                          <a:xfrm>
                            <a:off x="5699099" y="2039142"/>
                            <a:ext cx="431800" cy="467995"/>
                          </a:xfrm>
                          <a:prstGeom prst="rect">
                            <a:avLst/>
                          </a:prstGeom>
                          <a:noFill/>
                          <a:ln>
                            <a:noFill/>
                          </a:ln>
                        </wps:spPr>
                        <wps:txbx>
                          <w:txbxContent>
                            <w:p w14:paraId="764A8D94"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39" name="TextBox 418"/>
                        <wps:cNvSpPr txBox="1"/>
                        <wps:spPr>
                          <a:xfrm>
                            <a:off x="5134056" y="1809096"/>
                            <a:ext cx="309880" cy="467995"/>
                          </a:xfrm>
                          <a:prstGeom prst="rect">
                            <a:avLst/>
                          </a:prstGeom>
                          <a:noFill/>
                          <a:ln>
                            <a:noFill/>
                          </a:ln>
                        </wps:spPr>
                        <wps:txbx>
                          <w:txbxContent>
                            <w:p w14:paraId="4DF2A249"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40" name="TextBox 419"/>
                        <wps:cNvSpPr txBox="1"/>
                        <wps:spPr>
                          <a:xfrm>
                            <a:off x="5289498" y="2004773"/>
                            <a:ext cx="431800" cy="467995"/>
                          </a:xfrm>
                          <a:prstGeom prst="rect">
                            <a:avLst/>
                          </a:prstGeom>
                          <a:noFill/>
                          <a:ln>
                            <a:noFill/>
                          </a:ln>
                        </wps:spPr>
                        <wps:txbx>
                          <w:txbxContent>
                            <w:p w14:paraId="2DEA4E31"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41" name="TextBox 420"/>
                        <wps:cNvSpPr txBox="1"/>
                        <wps:spPr>
                          <a:xfrm>
                            <a:off x="3901330" y="2163014"/>
                            <a:ext cx="182880" cy="467995"/>
                          </a:xfrm>
                          <a:prstGeom prst="rect">
                            <a:avLst/>
                          </a:prstGeom>
                          <a:noFill/>
                          <a:ln>
                            <a:noFill/>
                          </a:ln>
                        </wps:spPr>
                        <wps:txbx>
                          <w:txbxContent>
                            <w:p w14:paraId="26ED62B0"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42" name="TextBox 422"/>
                        <wps:cNvSpPr txBox="1"/>
                        <wps:spPr>
                          <a:xfrm>
                            <a:off x="1230717" y="2755469"/>
                            <a:ext cx="391160" cy="467995"/>
                          </a:xfrm>
                          <a:prstGeom prst="rect">
                            <a:avLst/>
                          </a:prstGeom>
                          <a:noFill/>
                          <a:ln>
                            <a:noFill/>
                          </a:ln>
                        </wps:spPr>
                        <wps:txbx>
                          <w:txbxContent>
                            <w:p w14:paraId="39EFD2BA"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g:grpSp>
                        <wpg:cNvPr id="743" name="Group 743"/>
                        <wpg:cNvGrpSpPr/>
                        <wpg:grpSpPr>
                          <a:xfrm>
                            <a:off x="3828" y="1058963"/>
                            <a:ext cx="1062762" cy="458828"/>
                            <a:chOff x="3828" y="1058963"/>
                            <a:chExt cx="752738" cy="445553"/>
                          </a:xfrm>
                        </wpg:grpSpPr>
                        <wps:wsp>
                          <wps:cNvPr id="744" name="Rectangle 744"/>
                          <wps:cNvSpPr/>
                          <wps:spPr>
                            <a:xfrm>
                              <a:off x="3828" y="1058963"/>
                              <a:ext cx="752738"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45" name="TextBox 221"/>
                          <wps:cNvSpPr txBox="1"/>
                          <wps:spPr>
                            <a:xfrm>
                              <a:off x="19207" y="1088977"/>
                              <a:ext cx="709722" cy="374910"/>
                            </a:xfrm>
                            <a:prstGeom prst="rect">
                              <a:avLst/>
                            </a:prstGeom>
                            <a:noFill/>
                          </wps:spPr>
                          <wps:txbx>
                            <w:txbxContent>
                              <w:p w14:paraId="3A77CA10" w14:textId="77777777" w:rsidR="00777EE0" w:rsidRDefault="00777EE0" w:rsidP="007E1D13">
                                <w:pPr>
                                  <w:jc w:val="center"/>
                                  <w:rPr>
                                    <w:szCs w:val="24"/>
                                  </w:rPr>
                                </w:pPr>
                                <w:r>
                                  <w:rPr>
                                    <w:color w:val="000000" w:themeColor="text1"/>
                                    <w:kern w:val="24"/>
                                    <w:sz w:val="20"/>
                                    <w:szCs w:val="20"/>
                                  </w:rPr>
                                  <w:t xml:space="preserve">Media coverage </w:t>
                                </w:r>
                              </w:p>
                            </w:txbxContent>
                          </wps:txbx>
                          <wps:bodyPr wrap="square" rtlCol="0">
                            <a:spAutoFit/>
                          </wps:bodyPr>
                        </wps:wsp>
                      </wpg:grpSp>
                      <wps:wsp>
                        <wps:cNvPr id="746" name="Straight Arrow Connector 746"/>
                        <wps:cNvCnPr>
                          <a:cxnSpLocks/>
                        </wps:cNvCnPr>
                        <wps:spPr>
                          <a:xfrm>
                            <a:off x="2084849" y="0"/>
                            <a:ext cx="0" cy="5469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Straight Arrow Connector 747"/>
                        <wps:cNvCnPr>
                          <a:cxnSpLocks/>
                        </wps:cNvCnPr>
                        <wps:spPr>
                          <a:xfrm flipV="1">
                            <a:off x="531381" y="1517791"/>
                            <a:ext cx="3828" cy="56216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48" name="Straight Arrow Connector 748"/>
                        <wps:cNvCnPr>
                          <a:cxnSpLocks/>
                        </wps:cNvCnPr>
                        <wps:spPr>
                          <a:xfrm flipV="1">
                            <a:off x="1066590" y="817587"/>
                            <a:ext cx="452941" cy="470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49" name="Group 749"/>
                        <wpg:cNvGrpSpPr/>
                        <wpg:grpSpPr>
                          <a:xfrm>
                            <a:off x="4019602" y="592610"/>
                            <a:ext cx="1174803" cy="591878"/>
                            <a:chOff x="4001623" y="602263"/>
                            <a:chExt cx="1395356" cy="755787"/>
                          </a:xfrm>
                        </wpg:grpSpPr>
                        <wps:wsp>
                          <wps:cNvPr id="750" name="TextBox 246"/>
                          <wps:cNvSpPr txBox="1"/>
                          <wps:spPr>
                            <a:xfrm>
                              <a:off x="4001623" y="650133"/>
                              <a:ext cx="1395356" cy="707917"/>
                            </a:xfrm>
                            <a:prstGeom prst="rect">
                              <a:avLst/>
                            </a:prstGeom>
                            <a:noFill/>
                          </wps:spPr>
                          <wps:txbx>
                            <w:txbxContent>
                              <w:p w14:paraId="40CC1A41" w14:textId="77777777" w:rsidR="00777EE0" w:rsidRDefault="00777EE0" w:rsidP="007E1D13">
                                <w:pPr>
                                  <w:jc w:val="center"/>
                                  <w:rPr>
                                    <w:szCs w:val="24"/>
                                  </w:rPr>
                                </w:pPr>
                                <w:r>
                                  <w:rPr>
                                    <w:color w:val="000000" w:themeColor="text1"/>
                                    <w:kern w:val="24"/>
                                    <w:sz w:val="20"/>
                                    <w:szCs w:val="20"/>
                                  </w:rPr>
                                  <w:t xml:space="preserve">Socio-structural adversity </w:t>
                                </w:r>
                              </w:p>
                            </w:txbxContent>
                          </wps:txbx>
                          <wps:bodyPr wrap="square" rtlCol="0">
                            <a:spAutoFit/>
                          </wps:bodyPr>
                        </wps:wsp>
                        <wps:wsp>
                          <wps:cNvPr id="751" name="Rectangle: Rounded Corners 751"/>
                          <wps:cNvSpPr/>
                          <wps:spPr>
                            <a:xfrm>
                              <a:off x="4139515" y="602263"/>
                              <a:ext cx="1074290" cy="5858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2" name="Straight Arrow Connector 752"/>
                        <wps:cNvCnPr>
                          <a:cxnSpLocks/>
                        </wps:cNvCnPr>
                        <wps:spPr>
                          <a:xfrm flipV="1">
                            <a:off x="3792152" y="820627"/>
                            <a:ext cx="356184" cy="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3" name="Straight Arrow Connector 753"/>
                        <wps:cNvCnPr>
                          <a:cxnSpLocks/>
                        </wps:cNvCnPr>
                        <wps:spPr>
                          <a:xfrm>
                            <a:off x="4555341" y="1046046"/>
                            <a:ext cx="1089" cy="5443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TextBox 250"/>
                        <wps:cNvSpPr txBox="1"/>
                        <wps:spPr>
                          <a:xfrm>
                            <a:off x="3906370" y="755079"/>
                            <a:ext cx="431800" cy="467995"/>
                          </a:xfrm>
                          <a:prstGeom prst="rect">
                            <a:avLst/>
                          </a:prstGeom>
                          <a:noFill/>
                          <a:ln>
                            <a:noFill/>
                          </a:ln>
                        </wps:spPr>
                        <wps:txbx>
                          <w:txbxContent>
                            <w:p w14:paraId="4296F428"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55" name="TextBox 254"/>
                        <wps:cNvSpPr txBox="1"/>
                        <wps:spPr>
                          <a:xfrm>
                            <a:off x="4313050" y="1312596"/>
                            <a:ext cx="431800" cy="467995"/>
                          </a:xfrm>
                          <a:prstGeom prst="rect">
                            <a:avLst/>
                          </a:prstGeom>
                          <a:noFill/>
                          <a:ln>
                            <a:noFill/>
                          </a:ln>
                        </wps:spPr>
                        <wps:txbx>
                          <w:txbxContent>
                            <w:p w14:paraId="046511E9"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56" name="TextBox 257"/>
                        <wps:cNvSpPr txBox="1"/>
                        <wps:spPr>
                          <a:xfrm>
                            <a:off x="1835361" y="270806"/>
                            <a:ext cx="432435" cy="467995"/>
                          </a:xfrm>
                          <a:prstGeom prst="rect">
                            <a:avLst/>
                          </a:prstGeom>
                          <a:noFill/>
                          <a:ln>
                            <a:noFill/>
                          </a:ln>
                        </wps:spPr>
                        <wps:txbx>
                          <w:txbxContent>
                            <w:p w14:paraId="4D5FEE6F"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s:wsp>
                        <wps:cNvPr id="757" name="Straight Arrow Connector 757"/>
                        <wps:cNvCnPr>
                          <a:cxnSpLocks/>
                        </wps:cNvCnPr>
                        <wps:spPr>
                          <a:xfrm>
                            <a:off x="1066232" y="1269417"/>
                            <a:ext cx="427693" cy="5408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TextBox 261"/>
                        <wps:cNvSpPr txBox="1"/>
                        <wps:spPr>
                          <a:xfrm>
                            <a:off x="1315529" y="843949"/>
                            <a:ext cx="431800" cy="467995"/>
                          </a:xfrm>
                          <a:prstGeom prst="rect">
                            <a:avLst/>
                          </a:prstGeom>
                          <a:noFill/>
                          <a:ln>
                            <a:noFill/>
                          </a:ln>
                        </wps:spPr>
                        <wps:txbx>
                          <w:txbxContent>
                            <w:p w14:paraId="78D496F7"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wps:txbx>
                        <wps:bodyPr wrap="square" rtlCol="0">
                          <a:spAutoFit/>
                        </wps:bodyPr>
                      </wps:wsp>
                    </wpg:wgp>
                  </a:graphicData>
                </a:graphic>
              </wp:anchor>
            </w:drawing>
          </mc:Choice>
          <mc:Fallback>
            <w:pict>
              <v:group w14:anchorId="1A46A87B" id="Group 56" o:spid="_x0000_s1396" style="position:absolute;margin-left:-16.7pt;margin-top:43.7pt;width:486.05pt;height:253.8pt;z-index:253731840" coordsize="61731,3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BnOxAAAGyMAAAOAAAAZHJzL2Uyb0RvYy54bWzsXVuT2sgVfk9V/oOK9/V0t+6Ux1uO7d1K&#10;lWvjWm+yzxoQDAlIRMiecX59vtM3XUCAmDEDZe2DdwCpJXWfPud837no9c+Pq6XzNS02izy7HfFX&#10;bOSk2SSfLrL57eiff/zyUzRyNmWSTZNlnqW3o2/pZvTzm7/+5fXDepyK/D5fTtPCwSDZZvywvh3d&#10;l+V6fHOzmdynq2TzKl+nGX6c5cUqKfGxmN9Mi+QBo6+WN4Kx4OYhL6brIp+kmw2+fa9+HL2R489m&#10;6aT8x2y2SUtneTvCvZXy30L+e0f/3rx5nYznRbK+X0z0bSQn3MUqWWS4qB3qfVImzpdisTXUajEp&#10;8k0+K19N8tVNPpstJql8BjwNZ62n+bXIv6zls8zHD/O1nSZMbWueTh528tvXT4WzmN6OgjgYOVmy&#10;wiLJ6zp+QLPzsJ6PcdCvxfrz+lOhv5irT/TAj7NiRf/HoziPcl6/2XlNH0tngi8DHorI9UfOBL+5&#10;Qrgi0DM/ucfybJ03uf9Qnely7lZneoFHd3VjLnxD92dv52ENKdpUE7V52kR9vk/WqZz/Dc2BnajQ&#10;TNTnskgW8/vSeVsU+YPzLs8ySFxeOEEcqsmTJ77LPhU0R5PH7PP6Yz75z4YegW4Wo6of6cMGE7xj&#10;SoXvxyHDPsLk8UiwUAgaOxmb6XVFzDzcE82uF0Vyau0EJeN1sSl/TfOVQ3/cjjb6nu3NcjxhMk6+&#10;ftyUambNCfT1MqN/N/lyMf1lsVzKD7Q303fLwvmaYFeVj1yvSOOoMlksP2RTp/y2hkSVxSLJ5stU&#10;H0mjyudXjywfvvy2TNUVf09nkEjIjbozqQuq6yWTSZqV5prLDEfTaTPcnT2RyUfae6I+nk5NpZ7o&#10;c7I9Q145z0p78mqR5cWuq1fTNFPHmxlQz01TcJdPv8ktJqcGcky77ywCDeFSO3+PQEfPJtCu68ax&#10;EWjm88iTq1kJNGdRrMTZ9zwXol3f8YNAm53X3AnXItBaXVvLYrUqlrxufoI4VhLXy/5wTwQ8VsrS&#10;jyIeujRITbRE6DOoSKksA8b9SNoT6GZjiWgE2GKpbusjVEaJCy4Eh7UkhYvRotBoI2UMX8AmhQyP&#10;pGbvD5iFv+WPjudJQ0AaBFaGjLdTPuIHUquYEqlzdxuc+gwEIuJiaw5rz+8FUSyaz7+1QwsYxX1G&#10;JsvJttAmr+6K/iof7x6lb8KFlgWjJJ0HuGywZf/9khTpyCnK5btceni01pv12y8lhpTmjMZRilUP&#10;fz69GpIUqUX5HTMgDeDY+T3/kk3TKZyFIoPf7NBRej30Oh1YHZ97sQuXiIRvl4QzDqk2LhMOgKTS&#10;1BqPaXt16IboBo9aInIJnIfbUewLX9m5vr4B7uRI+y92GVKj9eRK3yfTVLkhPsN/+kGt4ZePvdtF&#10;OMK3OLdGXVqv5oCL4BS5AjKb9eSXBby6j8mm/JQUQC5QA0Bj+PU+L/43am2T5d8zeMQxJ9XglPKD&#10;54cCH4r6L3f1X7IvK7m1IMq4mt5ltQ3nzIp89SdA2Fu6KoZKsgmufTualIX58K5UiAswbpK+fSsP&#10;A/xZJ+VHOMQT4+iR3/nH459JsdauaglV9ltuvPAtH1UdS3KQ5bTjZ/t2fKWUz+RVhUyY3d/pVdEx&#10;1d5/KkwAxIK5I70Au+dH0m2qLJ/LPBZrDOZFyjh0K4XNgBJIZZ5bBVwwSggZZOsASqBjniTPzmy5&#10;WP/LKATNKXAWiDDAboJk7wTAnkTAFgAH/gF/ZBBuaRgH4bacTsi8I4RbQgVyKC1tcyqnUxdp4bLY&#10;beMUDxIfayfO91jkS0Mx6Gt49036ybiDysW9FpHuAMEhg4Gug2D6QirUniAYhKCPoaAwCcwCwtEo&#10;lS8A8fOYB40qEWzMAGfVATUU3B7CHmG4Wc5CD8yjGiT03SCQIM3KaOVxEa1J2+a7U7Mhsxy2hcFu&#10;nbjqB4Pj2AVRrWYxCAImn68+i74vQk28hixs8wDbSOtYkNWJg12L6RWmbTn4l4qDLWG+FwfXKXNa&#10;KO1JKI64gq/GK/A6JNTQ4g359CM/gqwqLWFiFobo1nAD0ZYBCCs0/bJadQDCZwPCnYbIhgRUMJAC&#10;UP0NEaJ+PIq05+7HAT4oO1PtUREjuGUMET5ortEaIjmEr6Nf9SHqfKxASEFD25AIjQswRJbNrgxR&#10;3X3sY4gaUxDAsAvJ6NUMEUKq1QScxxBZ0vKaDBGHpB0mZHGUNj1HEbIiimN46Aqe1iW0EvKaozQY&#10;IqJ/dwVtB0a2zrv+aIxslyHiNoaiDRG+OMUQRSHhE/Ll/dhlSCnBIJUGjb3QRSRQ4aHI9cCJy99r&#10;ZogG0HHF2gA1K8SFLzwN2UPPiyMJ3V4UDgH3aX1XWaE649zLCsXc910VFw0wg6LFL3MWYw4NHDyP&#10;EbLPclVGyPKo+9CQklBNNh1GQwJR6F3yOdigISo4RAV16H87D6DiqM7FUHFLNO/d/W2soB3SDi7E&#10;g2oGulJUlUAGDPIDGvYtAvIiQlCmCCJrQEgcZm3TNlM1UCGXkWU1UCHfkQqxucO0+SXDrpPRQt7m&#10;4fGF3IK9eHiPe5xIYRm4xAZFskX3tgwYsgHayWjbI2joX/M7GzR86MMNpYvYvV2puPPR8JQcp3B2&#10;5Xe2QfWx2WhIx4NfrScxCNxQwfPKd48YJazpMMR5/E4b5b4qv/MoFp73Y+E7BXRwPAfHc3A8j3Q8&#10;O8mPNgvPT2HhuRsgMwx+J+XP+DF3WcsMcbD0VJKj3MOIxYG1Mro8Z3sITeTX7JCLPAYYODlIAMvn&#10;vzwLz7dZeOX51nD1sXaoMQUhF57K+q7sEJzuagK8GLGMQ4m3Tw8HW5hwTYaIEk4Ps/CKgqst1H4I&#10;hKRoJMxYFh5CvhVqGlh4kzoj3cOBhTflA0NeNNVznosBQa5RGxw00qCJ7DxWKXscpRAoFJI5OgJ1&#10;ESaRybifYYDItbZsvu+5IEHq4Gib+Hi6TtZI0ZSdPD1Fp8s7QB2onkgdGlGFoSdV7KKsNI4RZsfk&#10;1CyaSbxVaWJk89QBNiyCmaUcM3myzo6qPIIQ2VGkkeXZISGFxty/BDBFKVPb9Dihqm862tLseGYr&#10;bbUn9hCo9yVQtFC8t7Q1KmpbiY93czOdjaNOLNjFPaozVWmrrgWmOVGUo/zrOUt03X21PWqLdidz&#10;7i0MUiefUKLbg2uz9WaNche6Mk3UGUvMwBi1lakKzNXE+VhlKqBMNYeMErLQVEZa4WYx9rPezi4y&#10;e76/eyuvQE/yPO5tpXHOZussj9hdA6T4Or1eT6sBckNYQFeZQ0A6P1CGtdLorhcFrs77FQhnq73S&#10;kQ85lElIP7lbDR3RZuAENXRqDVCnm2DJWOMm6G3Vi8v2QSHwCl8BALdIhAiAP9QhJtT0Awy3fAU5&#10;AlUeKhoCI0hPiUqvP+h2H2EcCjpCegwMOW1N+1nt3/NR2XjMHR5DP5IUufHMi20coHpyq1oHv4Fa&#10;iTSzjnfj08FveNWr2Y+pntX2xQS4QINt+Q0WuPTsF9DY2CHa1XgtHFHf1m6InSBVw+lu8eF+Aa7d&#10;oFfrOVjq0jbqGTsflndoMxRW3RBOK0TbWWXpxaEXUeBOAjo/CNpthvAVsLZSzm6Mrg8HoPQd2vTY&#10;e1fbVjYZIoQ5n2rpS6b/hl6crZaoXUc7ISdGwwKj9PXRkBNTqEGnnghwkvHQkcjQf+3GTQfaDbwA&#10;rIHzoAWk22+uaqFO2wUkTLqW6LDfjEI8Sh6X+TPCjZBrM7jOT0Hwl+U6n6M0kaC1inrsEWmd2/wM&#10;FcYIh6BTnFLnBAUjVNlAZGtQMA580w/ikCofkOBVIcGziLMln62Nt/4JGAaI2umMxk7/hPxK+CjG&#10;P4HsSj+hJtA85oKKzUhJhzEq6OVtdLuZDQdFUYpDF0TTe/EHVNA2NrBDoqWsPUGiZccmjlp82aZq&#10;t4AjVdCjXqcQ359Ar4AKkeagknDfhYOuBdwXnPlKpx8p4ce64AKVKzZ3Y/DBdS/SH3A/bIcWtopS&#10;jg0tuKhOoeJfyf2hp6Cn+plUou26IrTMnxsj/rDfwS6OjdMawFhxBuobGaipYltVq0FwnNp4PQ91&#10;QErj+ze+oPLnVsYtKg0qK9wnqE5WNLCuYyyYqYYzdCX6LSGSrtFQQIHjF1ssGXSmKb6qxbKMvE2P&#10;Nvnl/Zt18gj9gXTIB04Ra2dAeEjuo+6gErq+6GKpnnNXt1g2AFAtlo1L9mRKRRCgm6pSg2DbkPFP&#10;G6emBZnHg4vYWMr1uLq12ma1t/LZjzVZPhoQM5NaxGCS0C+psVgXtLEs3roqLWgZ7mpjWdvbc2P5&#10;3PUYXlgg/QskMCOFublYSM2lzviXoAUtlLimxSLfrO1fWNvbd7HQMQPl8RrJ49UFW83vLsdkWR/q&#10;qhbLUo12Z21lUx+rBt0YzRKIjqewEKfCf12jZpxBkIuXsrNsAPOqFssSadViWX3ec2fBuWAhLJ5c&#10;rBCEmWrJV3MwgKxsocfLOoPWh3quxerKf6GeHEp16fwXfCGBUa/8F5dqpqV5YegkF7S4R9vPU3rZ&#10;tsC69lqB3efXUl/2p4C8ROqLZwkAW6ruoLGJmjwLVDTGVFA6ab8PaPdjG91RzxAe8mVpYsHlDXkv&#10;8l1g3+XdTaG3xZPo3qcEdfpqW1AjStfihTVRjE6gDXwQoiEOpeiTSjhP1otKz38+0FYpnXPly3qW&#10;GekOkuIYrXOwXk/Ll0VrXLTCV+RJC4prrEAmVCUTdbPsQ3R0iI5q9WHS6+h1bIeC/dVuPU2OdwaR&#10;0KELQSLlqPg8DJF12lBKyh6TSvIDuPOXkQF+nybT3e+KG7K22v3OT80OP0cQAnmfh6W+TvGcoL13&#10;Sj3cbySzKJC6690nCDfF1EJEeufo1H2oE/Sg0a9Ko3ciP8swGuSnKateyM9jHLlUcORIacZortXy&#10;FDgnKt8URsXo+CNFvIb9PMYQt1eRfYwkDHqs0B93kc5C/CVJKIA7eslrNPByr5Tztyg/0XC9+oQU&#10;GzPgE6PUNEvN58cGVbR9t891dPy3M86rktSfz1mmkb5/nBevttEq1mLyHa+UUy/A0T4JrZN2mDtA&#10;OrJOYp9aXkH46vJpYPrQSb+ywnsg+tDA+EduYHyW3W+54m54rDJr9N5/LgcLCfKCY2TSEHgFNd7H&#10;1dTfsF14ja8yXzLdAAqnW3kP7tVVuVdnkWxL0u+RbBs5PQ0w1wo+ZG8GQgSQZ848lGe24sXDK6iR&#10;lqIrn9XL2I9IgLyWSumzCLQNnpiwnoBDXRGXfbxnxGDR91LBW4ADuMdN7XtBmSg2J+C5onpnWavt&#10;oIDfDnMdGy/HWriMoBNpFhc17u1MlMtZrEoer2qxbIig2li22rdvBAevzHVN32xqFNWyApeT6Foh&#10;uqtaqyNocNUT+XR/tWbViQYU1N6E9p4IQPm13NThrZozmq7BruPt4zeo/V1M0psHvLv8RjDO5F/r&#10;Ip+km80im3c0TqBXkTUT4cAInmjXYR/wMi8Vfow8F0lxl2rXK1D5POpHRpYf5ug5CJQ4L5L1/WLy&#10;PimT+mf8/bAepyK/z5fTtHjzfwAAAP//AwBQSwMEFAAGAAgAAAAhAI+rSwbiAAAACgEAAA8AAABk&#10;cnMvZG93bnJldi54bWxMj8Fqg0AQhu+FvsMyhd6S1VobYxxDCG1PodCkUHKb6EQl7q64GzVv3+2p&#10;PQ3DfPzz/dl6Uq0YuLeN0QjhPADBujBloyuEr8PbLAFhHemSWqMZ4cYW1vn9XUZpaUb9ycPeVcKH&#10;aJsSQu1cl0ppi5oV2bnpWPvb2fSKnF/7SpY9jT5ctfIpCF6kokb7DzV1vK25uOyvCuF9pHETha/D&#10;7nLe3o6H+ON7FzLi48O0WYFwPLk/GH71vTrk3ulkrrq0okWYRdGzRxGShZ8eWEbJAsQJIV7GAcg8&#10;k/8r5D8AAAD//wMAUEsBAi0AFAAGAAgAAAAhALaDOJL+AAAA4QEAABMAAAAAAAAAAAAAAAAAAAAA&#10;AFtDb250ZW50X1R5cGVzXS54bWxQSwECLQAUAAYACAAAACEAOP0h/9YAAACUAQAACwAAAAAAAAAA&#10;AAAAAAAvAQAAX3JlbHMvLnJlbHNQSwECLQAUAAYACAAAACEAjYSgZzsQAABsjAAADgAAAAAAAAAA&#10;AAAAAAAuAgAAZHJzL2Uyb0RvYy54bWxQSwECLQAUAAYACAAAACEAj6tLBuIAAAAKAQAADwAAAAAA&#10;AAAAAAAAAACVEgAAZHJzL2Rvd25yZXYueG1sUEsFBgAAAAAEAAQA8wAAAKQTAAAAAA==&#10;">
                <v:shape id="Straight Arrow Connector 697" o:spid="_x0000_s1397" type="#_x0000_t32" style="position:absolute;left:25597;top:18207;width:3290;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xgAAANwAAAAPAAAAZHJzL2Rvd25yZXYueG1sRI9BTwIx&#10;FITvJvyH5pF4k64cUFcKEYyJ8YSLhnB72T63q9vXpS27y7+nJCQeJzPzTWa+HGwjOvKhdqzgfpKB&#10;IC6drrlS8LV9u3sEESKyxsYxKThRgOVidDPHXLueP6krYiUShEOOCkyMbS5lKA1ZDBPXEifvx3mL&#10;MUlfSe2xT3DbyGmWzaTFmtOCwZbWhsq/4mgVNN1Hf/g+/h7M66bbFuvd3qx8q9TteHh5BhFpiP/h&#10;a/tdK5g9PcDlTDoCcnEGAAD//wMAUEsBAi0AFAAGAAgAAAAhANvh9svuAAAAhQEAABMAAAAAAAAA&#10;AAAAAAAAAAAAAFtDb250ZW50X1R5cGVzXS54bWxQSwECLQAUAAYACAAAACEAWvQsW78AAAAVAQAA&#10;CwAAAAAAAAAAAAAAAAAfAQAAX3JlbHMvLnJlbHNQSwECLQAUAAYACAAAACEAfmncfsYAAADcAAAA&#10;DwAAAAAAAAAAAAAAAAAHAgAAZHJzL2Rvd25yZXYueG1sUEsFBgAAAAADAAMAtwAAAPoCAAAAAA==&#10;" strokecolor="black [3213]">
                  <v:stroke endarrow="block"/>
                  <o:lock v:ext="edit" shapetype="f"/>
                </v:shape>
                <v:shape id="Straight Arrow Connector 698" o:spid="_x0000_s1398" type="#_x0000_t32" style="position:absolute;left:33399;top:10518;width:10;height:5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MwwAAANwAAAAPAAAAZHJzL2Rvd25yZXYueG1sRE/Pa8Iw&#10;FL4P/B/CE7zN1B1kq0aZykB22qoiuz2at6azealJbLv/fjkMPH58v5frwTaiIx9qxwpm0wwEcel0&#10;zZWC4+Ht8RlEiMgaG8ek4JcCrFejhyXm2vX8SV0RK5FCOOSowMTY5lKG0pDFMHUtceK+nbcYE/SV&#10;1B77FG4b+ZRlc2mx5tRgsKWtofJS3KyCpnvvr6fbz9XsPrpDsT1/mY1vlZqMh9cFiEhDvIv/3Xut&#10;YP6S1qYz6QjI1R8AAAD//wMAUEsBAi0AFAAGAAgAAAAhANvh9svuAAAAhQEAABMAAAAAAAAAAAAA&#10;AAAAAAAAAFtDb250ZW50X1R5cGVzXS54bWxQSwECLQAUAAYACAAAACEAWvQsW78AAAAVAQAACwAA&#10;AAAAAAAAAAAAAAAfAQAAX3JlbHMvLnJlbHNQSwECLQAUAAYACAAAACEAD/ZIDMMAAADcAAAADwAA&#10;AAAAAAAAAAAAAAAHAgAAZHJzL2Rvd25yZXYueG1sUEsFBgAAAAADAAMAtwAAAPcCAAAAAA==&#10;" strokecolor="black [3213]">
                  <v:stroke endarrow="block"/>
                  <o:lock v:ext="edit" shapetype="f"/>
                </v:shape>
                <v:group id="Group 699" o:spid="_x0000_s1399" style="position:absolute;left:14261;top:5881;width:12751;height:6016" coordorigin="14262,5881" coordsize="12122,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TextBox 440" o:spid="_x0000_s1400" type="#_x0000_t202" style="position:absolute;left:14262;top:6281;width:12122;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14:paraId="5C888ABA" w14:textId="77777777" w:rsidR="00777EE0" w:rsidRDefault="00777EE0" w:rsidP="007E1D13">
                          <w:pPr>
                            <w:jc w:val="center"/>
                            <w:rPr>
                              <w:szCs w:val="24"/>
                            </w:rPr>
                          </w:pPr>
                          <w:r>
                            <w:rPr>
                              <w:color w:val="000000" w:themeColor="text1"/>
                              <w:kern w:val="24"/>
                              <w:sz w:val="20"/>
                              <w:szCs w:val="20"/>
                            </w:rPr>
                            <w:t xml:space="preserve">Visibility of vulnerable users </w:t>
                          </w:r>
                        </w:p>
                      </w:txbxContent>
                    </v:textbox>
                  </v:shape>
                  <v:roundrect id="Rectangle: Rounded Corners 701" o:spid="_x0000_s1401" style="position:absolute;left:15149;top:5881;width:10116;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FexgAAANwAAAAPAAAAZHJzL2Rvd25yZXYueG1sRI9Ba8JA&#10;FITvQv/D8gq9SN3EQ5XoGrQgiIdCbQ7t7Zl9JsHs23R3jem/7wqCx2Hmm2GW+WBa0ZPzjWUF6SQB&#10;QVxa3XCloPjavs5B+ICssbVMCv7IQ756Gi0x0/bKn9QfQiViCfsMFdQhdJmUvqzJoJ/Yjjh6J+sM&#10;hihdJbXDayw3rZwmyZs02HBcqLGj95rK8+FiFMw+NsfN96zY/8zdGNO13VdF96vUy/OwXoAINIRH&#10;+E7vdOSSFG5n4hGQq38AAAD//wMAUEsBAi0AFAAGAAgAAAAhANvh9svuAAAAhQEAABMAAAAAAAAA&#10;AAAAAAAAAAAAAFtDb250ZW50X1R5cGVzXS54bWxQSwECLQAUAAYACAAAACEAWvQsW78AAAAVAQAA&#10;CwAAAAAAAAAAAAAAAAAfAQAAX3JlbHMvLnJlbHNQSwECLQAUAAYACAAAACEAJAxxXsYAAADcAAAA&#10;DwAAAAAAAAAAAAAAAAAHAgAAZHJzL2Rvd25yZXYueG1sUEsFBgAAAAADAAMAtwAAAPoCAAAAAA==&#10;" filled="f" strokecolor="black [3213]"/>
                </v:group>
                <v:shape id="Straight Arrow Connector 702" o:spid="_x0000_s1402" type="#_x0000_t32" style="position:absolute;left:25835;top:8175;width:3041;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X8xgAAANwAAAAPAAAAZHJzL2Rvd25yZXYueG1sRI/NasMw&#10;EITvhbyD2EBujZwc2uJGCfkhUHJqnYbQ22JtLTfWypEU2337qlDocZiZb5jFarCN6MiH2rGC2TQD&#10;QVw6XXOl4P24v38CESKyxsYxKfimAKvl6G6BuXY9v1FXxEokCIccFZgY21zKUBqyGKauJU7ep/MW&#10;Y5K+ktpjn+C2kfMse5AWa04LBlvaGiovxc0qaLpDfz3dvq5m99odi+35w2x8q9RkPKyfQUQa4n/4&#10;r/2iFTxmc/g9k46AXP4AAAD//wMAUEsBAi0AFAAGAAgAAAAhANvh9svuAAAAhQEAABMAAAAAAAAA&#10;AAAAAAAAAAAAAFtDb250ZW50X1R5cGVzXS54bWxQSwECLQAUAAYACAAAACEAWvQsW78AAAAVAQAA&#10;CwAAAAAAAAAAAAAAAAAfAQAAX3JlbHMvLnJlbHNQSwECLQAUAAYACAAAACEA8PXl/MYAAADcAAAA&#10;DwAAAAAAAAAAAAAAAAAHAgAAZHJzL2Rvd25yZXYueG1sUEsFBgAAAAADAAMAtwAAAPoCAAAAAA==&#10;" strokecolor="black [3213]">
                  <v:stroke endarrow="block"/>
                  <o:lock v:ext="edit" shapetype="f"/>
                </v:shape>
                <v:shape id="Straight Arrow Connector 703" o:spid="_x0000_s1403" type="#_x0000_t32" style="position:absolute;left:10627;top:18207;width:4329;height:4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rBxAAAANwAAAAPAAAAZHJzL2Rvd25yZXYueG1sRI9Ba8JA&#10;FITvBf/D8oTe6q4K1aZugghW7a2poL09ss8kmH0bsqum/94tCD0OM98Ms8h624grdb52rGE8UiCI&#10;C2dqLjXsv9cvcxA+IBtsHJOGX/KQpYOnBSbG3fiLrnkoRSxhn6CGKoQ2kdIXFVn0I9cSR+/kOosh&#10;yq6UpsNbLLeNnCj1Ki3WHBcqbGlVUXHOL1bDTB42al5sJ+O36f74s8rd7vPDaf087JfvIAL14T/8&#10;oLcmcmoKf2fiEZDpHQAA//8DAFBLAQItABQABgAIAAAAIQDb4fbL7gAAAIUBAAATAAAAAAAAAAAA&#10;AAAAAAAAAABbQ29udGVudF9UeXBlc10ueG1sUEsBAi0AFAAGAAgAAAAhAFr0LFu/AAAAFQEAAAsA&#10;AAAAAAAAAAAAAAAAHwEAAF9yZWxzLy5yZWxzUEsBAi0AFAAGAAgAAAAhAEo3GsHEAAAA3AAAAA8A&#10;AAAAAAAAAAAAAAAABwIAAGRycy9kb3ducmV2LnhtbFBLBQYAAAAAAwADALcAAAD4AgAAAAA=&#10;" strokecolor="black [3213]">
                  <v:stroke endarrow="block"/>
                  <o:lock v:ext="edit" shapetype="f"/>
                </v:shape>
                <v:shape id="Straight Arrow Connector 704" o:spid="_x0000_s1404" type="#_x0000_t32" style="position:absolute;left:10627;top:23093;width:4277;height:5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gTxgAAANwAAAAPAAAAZHJzL2Rvd25yZXYueG1sRI9BSwMx&#10;FITvQv9DeIXebLYiVdamxVaE0lPdKuLtsXluVjcv2yTd3f77piB4HGbmG2axGmwjOvKhdqxgNs1A&#10;EJdO11wpeD+83j6CCBFZY+OYFJwpwGo5ullgrl3Pb9QVsRIJwiFHBSbGNpcylIYshqlriZP37bzF&#10;mKSvpPbYJ7ht5F2WzaXFmtOCwZY2hsrf4mQVNN2uP36cfo7mZd8dis3nl1n7VqnJeHh+AhFpiP/h&#10;v/ZWK3jI7uF6Jh0BubwAAAD//wMAUEsBAi0AFAAGAAgAAAAhANvh9svuAAAAhQEAABMAAAAAAAAA&#10;AAAAAAAAAAAAAFtDb250ZW50X1R5cGVzXS54bWxQSwECLQAUAAYACAAAACEAWvQsW78AAAAVAQAA&#10;CwAAAAAAAAAAAAAAAAAfAQAAX3JlbHMvLnJlbHNQSwECLQAUAAYACAAAACEAEFDYE8YAAADcAAAA&#10;DwAAAAAAAAAAAAAAAAAHAgAAZHJzL2Rvd25yZXYueG1sUEsFBgAAAAADAAMAtwAAAPoCAAAAAA==&#10;" strokecolor="black [3213]">
                  <v:stroke endarrow="block"/>
                  <o:lock v:ext="edit" shapetype="f"/>
                </v:shape>
                <v:group id="Group 705" o:spid="_x0000_s1405" style="position:absolute;left:14904;top:26208;width:10640;height:5902" coordorigin="14904,26208" coordsize="10742,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TextBox 438" o:spid="_x0000_s1406" type="#_x0000_t202" style="position:absolute;left:14993;top:26666;width:10553;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3uwwAAANwAAAAPAAAAZHJzL2Rvd25yZXYueG1sRI9PawIx&#10;FMTvQr9DeEJvmlioLatRpH/AQy/V7f2xeW4WNy/L5tVdv31TEDwOM/MbZr0dQ6su1KcmsoXF3IAi&#10;rqJruLZQHj9nr6CSIDtsI5OFKyXYbh4mayxcHPibLgepVYZwKtCCF+kKrVPlKWCax444e6fYB5Qs&#10;+1q7HocMD61+MmapAzacFzx29OapOh9+gwURt1tcy4+Q9j/j1/vgTfWMpbWP03G3AiU0yj18a++d&#10;hRezhP8z+QjozR8AAAD//wMAUEsBAi0AFAAGAAgAAAAhANvh9svuAAAAhQEAABMAAAAAAAAAAAAA&#10;AAAAAAAAAFtDb250ZW50X1R5cGVzXS54bWxQSwECLQAUAAYACAAAACEAWvQsW78AAAAVAQAACwAA&#10;AAAAAAAAAAAAAAAfAQAAX3JlbHMvLnJlbHNQSwECLQAUAAYACAAAACEAyDpN7sMAAADcAAAADwAA&#10;AAAAAAAAAAAAAAAHAgAAZHJzL2Rvd25yZXYueG1sUEsFBgAAAAADAAMAtwAAAPcCAAAAAA==&#10;" filled="f" stroked="f">
                    <v:textbox style="mso-fit-shape-to-text:t">
                      <w:txbxContent>
                        <w:p w14:paraId="713A4861" w14:textId="77777777" w:rsidR="00777EE0" w:rsidRDefault="00777EE0" w:rsidP="007E1D13">
                          <w:pPr>
                            <w:jc w:val="center"/>
                            <w:rPr>
                              <w:szCs w:val="24"/>
                            </w:rPr>
                          </w:pPr>
                          <w:r>
                            <w:rPr>
                              <w:color w:val="000000" w:themeColor="text1"/>
                              <w:kern w:val="24"/>
                              <w:sz w:val="20"/>
                              <w:szCs w:val="20"/>
                            </w:rPr>
                            <w:t>Increased harm potential of NPS</w:t>
                          </w:r>
                        </w:p>
                      </w:txbxContent>
                    </v:textbox>
                  </v:shape>
                  <v:roundrect id="Rectangle: Rounded Corners 707" o:spid="_x0000_s1407" style="position:absolute;left:14904;top:26208;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yxxQAAANwAAAAPAAAAZHJzL2Rvd25yZXYueG1sRI9Ba8JA&#10;FITvQv/D8gpepG70YCS6ihYE8SDU5tDentlnEsy+TXdXjf++Kwgeh5lvhpkvO9OIKzlfW1YwGiYg&#10;iAuray4V5N+bjykIH5A1NpZJwZ08LBdvvTlm2t74i66HUIpYwj5DBVUIbSalLyoy6Ie2JY7eyTqD&#10;IUpXSu3wFstNI8dJMpEGa44LFbb0WVFxPlyMgnS/Pq5/0nz3O3UDHK3srszbP6X6791qBiJQF17h&#10;J73VkUtSeJyJR0Au/gEAAP//AwBQSwECLQAUAAYACAAAACEA2+H2y+4AAACFAQAAEwAAAAAAAAAA&#10;AAAAAAAAAAAAW0NvbnRlbnRfVHlwZXNdLnhtbFBLAQItABQABgAIAAAAIQBa9CxbvwAAABUBAAAL&#10;AAAAAAAAAAAAAAAAAB8BAABfcmVscy8ucmVsc1BLAQItABQABgAIAAAAIQDEqUyxxQAAANwAAAAP&#10;AAAAAAAAAAAAAAAAAAcCAABkcnMvZG93bnJldi54bWxQSwUGAAAAAAMAAwC3AAAA+QIAAAAA&#10;" filled="f" strokecolor="black [3213]"/>
                </v:group>
                <v:group id="Group 708" o:spid="_x0000_s1408" style="position:absolute;left:28318;top:15961;width:10300;height:5930" coordorigin="28318,15961" coordsize="12233,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TextBox 434" o:spid="_x0000_s1409" type="#_x0000_t202" style="position:absolute;left:28318;top:16455;width:12233;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14:paraId="30760CC4" w14:textId="77777777" w:rsidR="00777EE0" w:rsidRDefault="00777EE0" w:rsidP="007E1D13">
                          <w:pPr>
                            <w:jc w:val="center"/>
                            <w:rPr>
                              <w:szCs w:val="24"/>
                            </w:rPr>
                          </w:pPr>
                          <w:r>
                            <w:rPr>
                              <w:color w:val="000000" w:themeColor="text1"/>
                              <w:kern w:val="24"/>
                              <w:sz w:val="20"/>
                              <w:szCs w:val="20"/>
                            </w:rPr>
                            <w:t xml:space="preserve">Psycho-social factors </w:t>
                          </w:r>
                        </w:p>
                      </w:txbxContent>
                    </v:textbox>
                  </v:shape>
                  <v:roundrect id="Rectangle: Rounded Corners 710" o:spid="_x0000_s1410" style="position:absolute;left:28994;top:15961;width:10742;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IYwwAAANwAAAAPAAAAZHJzL2Rvd25yZXYueG1sRE9Na8JA&#10;EL0X+h+WKfRSdJMeVKKraKFQPAi1OdTbmB2TYHY23d1q+u87B8Hj430vVoPr1IVCbD0byMcZKOLK&#10;25ZrA+XX+2gGKiZki51nMvBHEVbLx4cFFtZf+ZMu+1QrCeFYoIEmpb7QOlYNOYxj3xMLd/LBYRIY&#10;am0DXiXcdfo1yybaYcvS0GBPbw1V5/2vMzDdbY6b72m5PczCC+Zrv63L/seY56dhPQeVaEh38c39&#10;YcWXy3w5I0dAL/8BAAD//wMAUEsBAi0AFAAGAAgAAAAhANvh9svuAAAAhQEAABMAAAAAAAAAAAAA&#10;AAAAAAAAAFtDb250ZW50X1R5cGVzXS54bWxQSwECLQAUAAYACAAAACEAWvQsW78AAAAVAQAACwAA&#10;AAAAAAAAAAAAAAAfAQAAX3JlbHMvLnJlbHNQSwECLQAUAAYACAAAACEAzplCGMMAAADcAAAADwAA&#10;AAAAAAAAAAAAAAAHAgAAZHJzL2Rvd25yZXYueG1sUEsFBgAAAAADAAMAtwAAAPcCAAAAAA==&#10;" filled="f" strokecolor="black [3213]"/>
                </v:group>
                <v:group id="Group 711" o:spid="_x0000_s1411" style="position:absolute;left:28876;top:5930;width:9474;height:5834" coordorigin="28876,5930" coordsize="11252,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TextBox 432" o:spid="_x0000_s1412" type="#_x0000_t202" style="position:absolute;left:29155;top:6301;width:10974;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14:paraId="616FE651" w14:textId="77777777" w:rsidR="00777EE0" w:rsidRDefault="00777EE0" w:rsidP="007E1D13">
                          <w:pPr>
                            <w:jc w:val="center"/>
                            <w:rPr>
                              <w:szCs w:val="24"/>
                            </w:rPr>
                          </w:pPr>
                          <w:r>
                            <w:rPr>
                              <w:color w:val="000000" w:themeColor="text1"/>
                              <w:kern w:val="24"/>
                              <w:sz w:val="20"/>
                              <w:szCs w:val="20"/>
                            </w:rPr>
                            <w:t xml:space="preserve">Stigmatisation of NPS users </w:t>
                          </w:r>
                        </w:p>
                      </w:txbxContent>
                    </v:textbox>
                  </v:shape>
                  <v:roundrect id="Rectangle: Rounded Corners 713" o:spid="_x0000_s1413" style="position:absolute;left:28876;top:5930;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vxQAAANwAAAAPAAAAZHJzL2Rvd25yZXYueG1sRI9Ba8JA&#10;FITvQv/D8gpepG6ioJK6igqCeCioObS31+xrEpp9m+6uGv99VxA8DjPfDDNfdqYRF3K+tqwgHSYg&#10;iAuray4V5Kft2wyED8gaG8uk4EYelouX3hwzba98oMsxlCKWsM9QQRVCm0npi4oM+qFtiaP3Y53B&#10;EKUrpXZ4jeWmkaMkmUiDNceFClvaVFT8Hs9GwfRj/b3+nOb7r5kbYLqy+zJv/5Tqv3ardxCBuvAM&#10;P+idjlw6hvuZeATk4h8AAP//AwBQSwECLQAUAAYACAAAACEA2+H2y+4AAACFAQAAEwAAAAAAAAAA&#10;AAAAAAAAAAAAW0NvbnRlbnRfVHlwZXNdLnhtbFBLAQItABQABgAIAAAAIQBa9CxbvwAAABUBAAAL&#10;AAAAAAAAAAAAAAAAAB8BAABfcmVscy8ucmVsc1BLAQItABQABgAIAAAAIQA+S9xvxQAAANwAAAAP&#10;AAAAAAAAAAAAAAAAAAcCAABkcnMvZG93bnJldi54bWxQSwUGAAAAAAMAAwC3AAAA+QIAAAAA&#10;" filled="f" strokecolor="black [3213]"/>
                </v:group>
                <v:roundrect id="Rectangle: Rounded Corners 714" o:spid="_x0000_s1414" style="position:absolute;left:41559;top:22261;width:8189;height:4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QbxQAAANwAAAAPAAAAZHJzL2Rvd25yZXYueG1sRI9Ba8JA&#10;FITvQv/D8gpepG4iopK6igqCeCioObS31+xrEpp9m+6uGv99VxA8DjPfDDNfdqYRF3K+tqwgHSYg&#10;iAuray4V5Kft2wyED8gaG8uk4EYelouX3hwzba98oMsxlCKWsM9QQRVCm0npi4oM+qFtiaP3Y53B&#10;EKUrpXZ4jeWmkaMkmUiDNceFClvaVFT8Hs9GwfRj/b3+nOb7r5kbYLqy+zJv/5Tqv3ardxCBuvAM&#10;P+idjlw6hvuZeATk4h8AAP//AwBQSwECLQAUAAYACAAAACEA2+H2y+4AAACFAQAAEwAAAAAAAAAA&#10;AAAAAAAAAAAAW0NvbnRlbnRfVHlwZXNdLnhtbFBLAQItABQABgAIAAAAIQBa9CxbvwAAABUBAAAL&#10;AAAAAAAAAAAAAAAAAB8BAABfcmVscy8ucmVsc1BLAQItABQABgAIAAAAIQCxokQbxQAAANwAAAAP&#10;AAAAAAAAAAAAAAAAAAcCAABkcnMvZG93bnJldi54bWxQSwUGAAAAAAMAAwC3AAAA+QIAAAAA&#10;" filled="f" strokecolor="black [3213]"/>
                <v:group id="Group 715" o:spid="_x0000_s1415" style="position:absolute;left:41418;top:15964;width:8189;height:6070" coordorigin="41418,15964" coordsize="10742,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TextBox 430" o:spid="_x0000_s1416" type="#_x0000_t202" style="position:absolute;left:42652;top:16637;width:8014;height:7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14:paraId="659B253D" w14:textId="77777777" w:rsidR="00777EE0" w:rsidRDefault="00777EE0" w:rsidP="007E1D13">
                          <w:pPr>
                            <w:jc w:val="center"/>
                            <w:rPr>
                              <w:szCs w:val="24"/>
                            </w:rPr>
                          </w:pPr>
                          <w:r>
                            <w:rPr>
                              <w:color w:val="000000" w:themeColor="text1"/>
                              <w:kern w:val="24"/>
                              <w:sz w:val="20"/>
                              <w:szCs w:val="20"/>
                            </w:rPr>
                            <w:t>NPS use</w:t>
                          </w:r>
                        </w:p>
                      </w:txbxContent>
                    </v:textbox>
                  </v:shape>
                  <v:roundrect id="Rectangle: Rounded Corners 717" o:spid="_x0000_s1417" style="position:absolute;left:41418;top:15964;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psxgAAANwAAAAPAAAAZHJzL2Rvd25yZXYueG1sRI9Ba8JA&#10;FITvBf/D8gQvpW7SQyPRjaggFA+F2hza2zP7moRm38bdNcZ/3y0UPA4z3wyzWo+mEwM531pWkM4T&#10;EMSV1S3XCsqP/dMChA/IGjvLpOBGHtbF5GGFubZXfqfhGGoRS9jnqKAJoc+l9FVDBv3c9sTR+7bO&#10;YIjS1VI7vMZy08nnJHmRBluOCw32tGuo+jlejILsbXvafmbl4WvhHjHd2ENd9melZtNxswQRaAz3&#10;8D/9qiOXZvB3Jh4BWfwCAAD//wMAUEsBAi0AFAAGAAgAAAAhANvh9svuAAAAhQEAABMAAAAAAAAA&#10;AAAAAAAAAAAAAFtDb250ZW50X1R5cGVzXS54bWxQSwECLQAUAAYACAAAACEAWvQsW78AAAAVAQAA&#10;CwAAAAAAAAAAAAAAAAAfAQAAX3JlbHMvLnJlbHNQSwECLQAUAAYACAAAACEAQXDabMYAAADcAAAA&#10;DwAAAAAAAAAAAAAAAAAHAgAAZHJzL2Rvd25yZXYueG1sUEsFBgAAAAADAAMAtwAAAPoCAAAAAA==&#10;" filled="f" strokecolor="black [3213]"/>
                </v:group>
                <v:group id="Group 718" o:spid="_x0000_s1418" style="position:absolute;left:13635;top:15913;width:13183;height:4809" coordorigin="13635,15913" coordsize="13309,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TextBox 428" o:spid="_x0000_s1419" type="#_x0000_t202" style="position:absolute;left:13635;top:17124;width:13310;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14:paraId="2215C238" w14:textId="77777777" w:rsidR="00777EE0" w:rsidRDefault="00777EE0" w:rsidP="007E1D13">
                          <w:pPr>
                            <w:jc w:val="center"/>
                            <w:rPr>
                              <w:szCs w:val="24"/>
                            </w:rPr>
                          </w:pPr>
                          <w:r>
                            <w:rPr>
                              <w:color w:val="000000" w:themeColor="text1"/>
                              <w:kern w:val="24"/>
                              <w:sz w:val="20"/>
                              <w:szCs w:val="20"/>
                            </w:rPr>
                            <w:t>Risk messages</w:t>
                          </w:r>
                        </w:p>
                      </w:txbxContent>
                    </v:textbox>
                  </v:shape>
                  <v:roundrect id="Rectangle: Rounded Corners 720" o:spid="_x0000_s1420" style="position:absolute;left:14969;top:15913;width:10743;height:5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ilwwAAANwAAAAPAAAAZHJzL2Rvd25yZXYueG1sRE9Na8JA&#10;EL0L/Q/LCL2IbvRQJbqKFgrFQ6GaQ3sbs2MSzM6mu1tN/33nIHh8vO/VpnetulKIjWcD00kGirj0&#10;tuHKQHF8Gy9AxYRssfVMBv4owmb9NFhhbv2NP+l6SJWSEI45GqhT6nKtY1mTwzjxHbFwZx8cJoGh&#10;0jbgTcJdq2dZ9qIdNiwNNXb0WlN5Ofw6A/OP3Wn3NS/234swwunW76ui+zHmedhvl6AS9ekhvrvf&#10;rfhmMl/OyBHQ638AAAD//wMAUEsBAi0AFAAGAAgAAAAhANvh9svuAAAAhQEAABMAAAAAAAAAAAAA&#10;AAAAAAAAAFtDb250ZW50X1R5cGVzXS54bWxQSwECLQAUAAYACAAAACEAWvQsW78AAAAVAQAACwAA&#10;AAAAAAAAAAAAAAAfAQAAX3JlbHMvLnJlbHNQSwECLQAUAAYACAAAACEAAPWIpcMAAADcAAAADwAA&#10;AAAAAAAAAAAAAAAHAgAAZHJzL2Rvd25yZXYueG1sUEsFBgAAAAADAAMAtwAAAPcCAAAAAA==&#10;" filled="f" strokecolor="black [3213]"/>
                </v:group>
                <v:shape id="TextBox 402" o:spid="_x0000_s1421" type="#_x0000_t202" style="position:absolute;left:41933;top:22493;width:7671;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14:paraId="24415A74" w14:textId="77777777" w:rsidR="00777EE0" w:rsidRDefault="00777EE0" w:rsidP="007E1D13">
                        <w:pPr>
                          <w:jc w:val="center"/>
                          <w:rPr>
                            <w:szCs w:val="24"/>
                          </w:rPr>
                        </w:pPr>
                        <w:r>
                          <w:rPr>
                            <w:color w:val="000000" w:themeColor="text1"/>
                            <w:kern w:val="24"/>
                            <w:sz w:val="20"/>
                            <w:szCs w:val="20"/>
                          </w:rPr>
                          <w:t xml:space="preserve">Use of other drugs </w:t>
                        </w:r>
                      </w:p>
                    </w:txbxContent>
                  </v:textbox>
                </v:shape>
                <v:group id="Group 722" o:spid="_x0000_s1422" style="position:absolute;top:20799;width:10627;height:5913" coordorigin=",20799" coordsize="7527,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rect id="Rectangle 723" o:spid="_x0000_s1423" style="position:absolute;top:20799;width:752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Q+xgAAANwAAAAPAAAAZHJzL2Rvd25yZXYueG1sRI9Ba8JA&#10;FITvBf/D8oReim4aIZHUVUQIFXqKevD4mn1NYrNv4+5W03/fLRR6HGbmG2a1GU0vbuR8Z1nB8zwB&#10;QVxb3XGj4HQsZ0sQPiBr7C2Tgm/ysFlPHlZYaHvnim6H0IgIYV+ggjaEoZDS1y0Z9HM7EEfvwzqD&#10;IUrXSO3wHuGml2mSZNJgx3GhxYF2LdWfhy+j4Mma3FXZ5b28vG6vZxveFvshV+pxOm5fQAQaw3/4&#10;r73XCvJ0Ab9n4hGQ6x8AAAD//wMAUEsBAi0AFAAGAAgAAAAhANvh9svuAAAAhQEAABMAAAAAAAAA&#10;AAAAAAAAAAAAAFtDb250ZW50X1R5cGVzXS54bWxQSwECLQAUAAYACAAAACEAWvQsW78AAAAVAQAA&#10;CwAAAAAAAAAAAAAAAAAfAQAAX3JlbHMvLnJlbHNQSwECLQAUAAYACAAAACEARO50PsYAAADcAAAA&#10;DwAAAAAAAAAAAAAAAAAHAgAAZHJzL2Rvd25yZXYueG1sUEsFBgAAAAADAAMAtwAAAPoCAAAAAA==&#10;" fillcolor="white [3212]" strokecolor="black [3213]"/>
                  <v:shape id="TextBox 427" o:spid="_x0000_s1424" type="#_x0000_t202" style="position:absolute;left:219;top:21157;width:7093;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14:paraId="4E0DAF3A" w14:textId="77777777" w:rsidR="00777EE0" w:rsidRDefault="00777EE0" w:rsidP="007E1D13">
                          <w:pPr>
                            <w:jc w:val="center"/>
                            <w:rPr>
                              <w:szCs w:val="24"/>
                            </w:rPr>
                          </w:pPr>
                          <w:r>
                            <w:rPr>
                              <w:color w:val="000000" w:themeColor="text1"/>
                              <w:kern w:val="24"/>
                              <w:sz w:val="20"/>
                              <w:szCs w:val="20"/>
                            </w:rPr>
                            <w:t>Legislative actions</w:t>
                          </w:r>
                        </w:p>
                      </w:txbxContent>
                    </v:textbox>
                  </v:shape>
                </v:group>
                <v:shape id="Straight Arrow Connector 725" o:spid="_x0000_s1425" type="#_x0000_t32" style="position:absolute;left:37932;top:18256;width:348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HoxgAAANwAAAAPAAAAZHJzL2Rvd25yZXYueG1sRI9PawIx&#10;FMTvBb9DeIK3mq3QP6xGaS0F6aldFfH22Dw3225e1iTubr99UxB6HGbmN8xiNdhGdORD7VjB3TQD&#10;QVw6XXOlYLd9u30CESKyxsYxKfihAKvl6GaBuXY9f1JXxEokCIccFZgY21zKUBqyGKauJU7eyXmL&#10;MUlfSe2xT3DbyFmWPUiLNacFgy2tDZXfxcUqaLr3/ry/fJ3N60e3LdaHo3nxrVKT8fA8BxFpiP/h&#10;a3ujFTzO7uHvTDoCcvkLAAD//wMAUEsBAi0AFAAGAAgAAAAhANvh9svuAAAAhQEAABMAAAAAAAAA&#10;AAAAAAAAAAAAAFtDb250ZW50X1R5cGVzXS54bWxQSwECLQAUAAYACAAAACEAWvQsW78AAAAVAQAA&#10;CwAAAAAAAAAAAAAAAAAfAQAAX3JlbHMvLnJlbHNQSwECLQAUAAYACAAAACEANKkh6MYAAADcAAAA&#10;DwAAAAAAAAAAAAAAAAAHAgAAZHJzL2Rvd25yZXYueG1sUEsFBgAAAAADAAMAtwAAAPoCAAAAAA==&#10;" strokecolor="black [3213]">
                  <v:stroke endarrow="block"/>
                  <o:lock v:ext="edit" shapetype="f"/>
                </v:shape>
                <v:group id="Group 726" o:spid="_x0000_s1426" style="position:absolute;left:53571;top:15971;width:8160;height:5183" coordorigin="53571,15971" coordsize="7972,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727" o:spid="_x0000_s1427" style="position:absolute;left:53604;top:15971;width:7528;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XI9xgAAANwAAAAPAAAAZHJzL2Rvd25yZXYueG1sRI9Ba8JA&#10;FITvBf/D8oReim6agpHUVaQgDfQU24PHZ/Y1iWbfxt2tSf+9KxR6HGbmG2a1GU0nruR8a1nB8zwB&#10;QVxZ3XKt4OtzN1uC8AFZY2eZFPySh8168rDCXNuBS7ruQy0ihH2OCpoQ+lxKXzVk0M9tTxy9b+sM&#10;hihdLbXDIcJNJ9MkWUiDLceFBnt6a6g673+MgidrMlcuTsfd6X17Odjw8VL0mVKP03H7CiLQGP7D&#10;f+1CK8jSDO5n4hGQ6xsAAAD//wMAUEsBAi0AFAAGAAgAAAAhANvh9svuAAAAhQEAABMAAAAAAAAA&#10;AAAAAAAAAAAAAFtDb250ZW50X1R5cGVzXS54bWxQSwECLQAUAAYACAAAACEAWvQsW78AAAAVAQAA&#10;CwAAAAAAAAAAAAAAAAAfAQAAX3JlbHMvLnJlbHNQSwECLQAUAAYACAAAACEAO9VyPcYAAADcAAAA&#10;DwAAAAAAAAAAAAAAAAAHAgAAZHJzL2Rvd25yZXYueG1sUEsFBgAAAAADAAMAtwAAAPoCAAAAAA==&#10;" fillcolor="white [3212]" strokecolor="black [3213]"/>
                  <v:shape id="TextBox 425" o:spid="_x0000_s1428" type="#_x0000_t202" style="position:absolute;left:53571;top:17255;width:7972;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14:paraId="1916FDD1" w14:textId="77777777" w:rsidR="00777EE0" w:rsidRDefault="00777EE0" w:rsidP="007E1D13">
                          <w:pPr>
                            <w:jc w:val="center"/>
                            <w:rPr>
                              <w:szCs w:val="24"/>
                            </w:rPr>
                          </w:pPr>
                          <w:r>
                            <w:rPr>
                              <w:color w:val="000000" w:themeColor="text1"/>
                              <w:kern w:val="24"/>
                              <w:sz w:val="20"/>
                              <w:szCs w:val="20"/>
                            </w:rPr>
                            <w:t>Drug harms</w:t>
                          </w:r>
                        </w:p>
                      </w:txbxContent>
                    </v:textbox>
                  </v:shape>
                </v:group>
                <v:shape id="Connector: Elbow 729" o:spid="_x0000_s1429" type="#_x0000_t34" style="position:absolute;left:49748;top:20566;width:5663;height:39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MpwwAAANwAAAAPAAAAZHJzL2Rvd25yZXYueG1sRI/BasMw&#10;EETvgfyD2EBusZwYWteNEkIhECgUkvgDFmtrm0orI6mx/fdVodDjMDNvmP1xskY8yIfesYJtloMg&#10;bpzuuVVQ38+bEkSIyBqNY1IwU4DjYbnYY6XdyFd63GIrEoRDhQq6GIdKytB0ZDFkbiBO3qfzFmOS&#10;vpXa45jg1shdnj9Jiz2nhQ4Heuuo+bp9WwXD1bn63Y/zuc7vptCm/GiLRqn1ajq9gog0xf/wX/ui&#10;FTzvXuD3TDoC8vADAAD//wMAUEsBAi0AFAAGAAgAAAAhANvh9svuAAAAhQEAABMAAAAAAAAAAAAA&#10;AAAAAAAAAFtDb250ZW50X1R5cGVzXS54bWxQSwECLQAUAAYACAAAACEAWvQsW78AAAAVAQAACwAA&#10;AAAAAAAAAAAAAAAfAQAAX3JlbHMvLnJlbHNQSwECLQAUAAYACAAAACEARtyTKcMAAADcAAAADwAA&#10;AAAAAAAAAAAAAAAHAgAAZHJzL2Rvd25yZXYueG1sUEsFBgAAAAADAAMAtwAAAPcCAAAAAA==&#10;" adj="21344" strokecolor="black [3213]">
                  <v:stroke endarrow="block"/>
                  <o:lock v:ext="edit" shapetype="f"/>
                </v:shape>
                <v:shape id="Straight Arrow Connector 730" o:spid="_x0000_s1430" type="#_x0000_t32" style="position:absolute;left:37932;top:18256;width:3705;height:4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StwwAAANwAAAAPAAAAZHJzL2Rvd25yZXYueG1sRE/PS8Mw&#10;FL4L+x/CG3hz6Sao1GXDbQjiaWsV8fZonk21eemSrO3+++Ug7Pjx/V6uR9uKnnxoHCuYzzIQxJXT&#10;DdcKPsrXuycQISJrbB2TgjMFWK8mN0vMtRv4QH0Ra5FCOOSowMTY5VKGypDFMHMdceJ+nLcYE/S1&#10;1B6HFG5buciyB2mx4dRgsKOtoeqvOFkFbf8+HD9Pv0ez2/dlsf36NhvfKXU7HV+eQUQa41X8737T&#10;Ch7v0/x0Jh0BuboAAAD//wMAUEsBAi0AFAAGAAgAAAAhANvh9svuAAAAhQEAABMAAAAAAAAAAAAA&#10;AAAAAAAAAFtDb250ZW50X1R5cGVzXS54bWxQSwECLQAUAAYACAAAACEAWvQsW78AAAAVAQAACwAA&#10;AAAAAAAAAAAAAAAfAQAAX3JlbHMvLnJlbHNQSwECLQAUAAYACAAAACEAoQcUrcMAAADcAAAADwAA&#10;AAAAAAAAAAAAAAAHAgAAZHJzL2Rvd25yZXYueG1sUEsFBgAAAAADAAMAtwAAAPcCAAAAAA==&#10;" strokecolor="black [3213]">
                  <v:stroke endarrow="block"/>
                  <o:lock v:ext="edit" shapetype="f"/>
                </v:shape>
                <v:shape id="Straight Arrow Connector 731" o:spid="_x0000_s1431" type="#_x0000_t32" style="position:absolute;left:49607;top:18258;width:3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E2xgAAANwAAAAPAAAAZHJzL2Rvd25yZXYueG1sRI9BSwMx&#10;FITvgv8hPKE3m60FlW3TopVC8aTbltLbY/O6Wd28bJN0d/33Rih4HGbmG2a+HGwjOvKhdqxgMs5A&#10;EJdO11wp2G3X988gQkTW2DgmBT8UYLm4vZljrl3Pn9QVsRIJwiFHBSbGNpcylIYshrFriZN3ct5i&#10;TNJXUnvsE9w28iHLHqXFmtOCwZZWhsrv4mIVNN17f95fvs7m7aPbFqvD0bz6VqnR3fAyAxFpiP/h&#10;a3ujFTxNJ/B3Jh0BufgFAAD//wMAUEsBAi0AFAAGAAgAAAAhANvh9svuAAAAhQEAABMAAAAAAAAA&#10;AAAAAAAAAAAAAFtDb250ZW50X1R5cGVzXS54bWxQSwECLQAUAAYACAAAACEAWvQsW78AAAAVAQAA&#10;CwAAAAAAAAAAAAAAAAAfAQAAX3JlbHMvLnJlbHNQSwECLQAUAAYACAAAACEAzkuxNsYAAADcAAAA&#10;DwAAAAAAAAAAAAAAAAAHAgAAZHJzL2Rvd25yZXYueG1sUEsFBgAAAAADAAMAtwAAAPoCAAAAAA==&#10;" strokecolor="black [3213]">
                  <v:stroke endarrow="block"/>
                  <o:lock v:ext="edit" shapetype="f"/>
                </v:shape>
                <v:shape id="Connector: Elbow 732" o:spid="_x0000_s1432" type="#_x0000_t33" style="position:absolute;left:25544;top:20559;width:31913;height:79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rxAAAANwAAAAPAAAAZHJzL2Rvd25yZXYueG1sRI9Ba8JA&#10;FITvQv/D8grezCZaq6ZupAhCTwXTQq+P7GsSkn27ZLcm+uvdQqHHYWa+YfaHyfTiQoNvLSvIkhQE&#10;cWV1y7WCz4/TYgvCB2SNvWVScCUPh+Jhtsdc25HPdClDLSKEfY4KmhBcLqWvGjLoE+uIo/dtB4Mh&#10;yqGWesAxwk0vl2n6LA22HBcadHRsqOrKH6MAt22H1br/su9dGMvsye1uR6fU/HF6fQERaAr/4b/2&#10;m1awWS3h90w8ArK4AwAA//8DAFBLAQItABQABgAIAAAAIQDb4fbL7gAAAIUBAAATAAAAAAAAAAAA&#10;AAAAAAAAAABbQ29udGVudF9UeXBlc10ueG1sUEsBAi0AFAAGAAgAAAAhAFr0LFu/AAAAFQEAAAsA&#10;AAAAAAAAAAAAAAAAHwEAAF9yZWxzLy5yZWxzUEsBAi0AFAAGAAgAAAAhAA3+v2vEAAAA3AAAAA8A&#10;AAAAAAAAAAAAAAAABwIAAGRycy9kb3ducmV2LnhtbFBLBQYAAAAAAwADALcAAAD4AgAAAAA=&#10;" strokecolor="black [3213]">
                  <v:stroke endarrow="block"/>
                  <o:lock v:ext="edit" shapetype="f"/>
                </v:shape>
                <v:shape id="Connector: Elbow 733" o:spid="_x0000_s1433" type="#_x0000_t34" style="position:absolute;left:28714;top:-12773;width:5382;height:5210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kCwwAAANwAAAAPAAAAZHJzL2Rvd25yZXYueG1sRI/NqsIw&#10;FIT3F3yHcIS7u6YqqFSjSLHgwo3VjbtDc/qDzUlpYu19eyMILoeZ+YbZ7AbTiJ46V1tWMJ1EIIhz&#10;q2suFVwv6d8KhPPIGhvLpOCfHOy2o58Nxto++Ux95ksRIOxiVFB538ZSurwig25iW+LgFbYz6IPs&#10;Sqk7fAa4aeQsihbSYM1hocKWkorye/YwCpLkeLhaefPnU5Gm/WN/KKbZXanf8bBfg/A0+G/40z5q&#10;Bcv5HN5nwhGQ2xcAAAD//wMAUEsBAi0AFAAGAAgAAAAhANvh9svuAAAAhQEAABMAAAAAAAAAAAAA&#10;AAAAAAAAAFtDb250ZW50X1R5cGVzXS54bWxQSwECLQAUAAYACAAAACEAWvQsW78AAAAVAQAACwAA&#10;AAAAAAAAAAAAAAAfAQAAX3JlbHMvLnJlbHNQSwECLQAUAAYACAAAACEAykw5AsMAAADcAAAADwAA&#10;AAAAAAAAAAAAAAAHAgAAZHJzL2Rvd25yZXYueG1sUEsFBgAAAAADAAMAtwAAAPcCAAAAAA==&#10;" adj="64489" strokecolor="black [3213]">
                  <v:stroke endarrow="block"/>
                  <o:lock v:ext="edit" shapetype="f"/>
                </v:shape>
                <v:shape id="TextBox 413" o:spid="_x0000_s1434" type="#_x0000_t202" style="position:absolute;left:38761;top:16284;width:3328;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14:paraId="760904E9" w14:textId="77777777" w:rsidR="00777EE0" w:rsidRDefault="00777EE0" w:rsidP="007E1D13">
                        <w:pPr>
                          <w:rPr>
                            <w:szCs w:val="24"/>
                          </w:rPr>
                        </w:pPr>
                        <w:r>
                          <w:rPr>
                            <w:rFonts w:asciiTheme="minorHAnsi" w:hAnsi="Calibri" w:cstheme="minorBidi"/>
                            <w:b/>
                            <w:bCs/>
                            <w:color w:val="000000" w:themeColor="text1"/>
                            <w:kern w:val="24"/>
                            <w:sz w:val="36"/>
                            <w:szCs w:val="36"/>
                          </w:rPr>
                          <w:t>_</w:t>
                        </w:r>
                      </w:p>
                    </w:txbxContent>
                  </v:textbox>
                </v:shape>
                <v:shape id="TextBox 414" o:spid="_x0000_s1435" type="#_x0000_t202" style="position:absolute;left:12826;top:18920;width:432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14:paraId="655FEA5C"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15" o:spid="_x0000_s1436" type="#_x0000_t202" style="position:absolute;left:11854;top:15950;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14:paraId="67291FF3"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16" o:spid="_x0000_s1437" type="#_x0000_t202" style="position:absolute;left:26612;top:7480;width:304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14:paraId="49077263"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17" o:spid="_x0000_s1438" type="#_x0000_t202" style="position:absolute;left:56990;top:20391;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14:paraId="764A8D94"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18" o:spid="_x0000_s1439" type="#_x0000_t202" style="position:absolute;left:51340;top:18090;width:309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14:paraId="4DF2A249"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19" o:spid="_x0000_s1440" type="#_x0000_t202" style="position:absolute;left:52894;top:20047;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14:paraId="2DEA4E31"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20" o:spid="_x0000_s1441" type="#_x0000_t202" style="position:absolute;left:39013;top:21630;width:1829;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14:paraId="26ED62B0"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422" o:spid="_x0000_s1442" type="#_x0000_t202" style="position:absolute;left:12307;top:27554;width:391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14:paraId="39EFD2BA"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group id="Group 743" o:spid="_x0000_s1443" style="position:absolute;left:38;top:10589;width:10627;height:4588" coordorigin="38,10589" coordsize="7527,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ect id="Rectangle 744" o:spid="_x0000_s1444" style="position:absolute;left:38;top:10589;width:752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nqxQAAANwAAAAPAAAAZHJzL2Rvd25yZXYueG1sRI9PawIx&#10;FMTvBb9DeAUvRbNacWVrVqQgCp60PXh8bl73Tzcv2yTq9tubQsHjMDO/YZar3rTiSs7XlhVMxgkI&#10;4sLqmksFnx+b0QKED8gaW8uk4Jc8rPLB0xIzbW98oOsxlCJC2GeooAqhy6T0RUUG/dh2xNH7ss5g&#10;iNKVUju8Rbhp5TRJ5tJgzXGhwo7eKyq+jxej4MWa1B3mzXnTbNc/Jxv2r7suVWr43K/fQATqwyP8&#10;395pBelsBn9n4hGQ+R0AAP//AwBQSwECLQAUAAYACAAAACEA2+H2y+4AAACFAQAAEwAAAAAAAAAA&#10;AAAAAAAAAAAAW0NvbnRlbnRfVHlwZXNdLnhtbFBLAQItABQABgAIAAAAIQBa9CxbvwAAABUBAAAL&#10;AAAAAAAAAAAAAAAAAB8BAABfcmVscy8ucmVsc1BLAQItABQABgAIAAAAIQAW2AnqxQAAANwAAAAP&#10;AAAAAAAAAAAAAAAAAAcCAABkcnMvZG93bnJldi54bWxQSwUGAAAAAAMAAwC3AAAA+QIAAAAA&#10;" fillcolor="white [3212]" strokecolor="black [3213]"/>
                  <v:shape id="TextBox 221" o:spid="_x0000_s1445" type="#_x0000_t202" style="position:absolute;left:192;top:10889;width:709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14:paraId="3A77CA10" w14:textId="77777777" w:rsidR="00777EE0" w:rsidRDefault="00777EE0" w:rsidP="007E1D13">
                          <w:pPr>
                            <w:jc w:val="center"/>
                            <w:rPr>
                              <w:szCs w:val="24"/>
                            </w:rPr>
                          </w:pPr>
                          <w:r>
                            <w:rPr>
                              <w:color w:val="000000" w:themeColor="text1"/>
                              <w:kern w:val="24"/>
                              <w:sz w:val="20"/>
                              <w:szCs w:val="20"/>
                            </w:rPr>
                            <w:t xml:space="preserve">Media coverage </w:t>
                          </w:r>
                        </w:p>
                      </w:txbxContent>
                    </v:textbox>
                  </v:shape>
                </v:group>
                <v:shape id="Straight Arrow Connector 746" o:spid="_x0000_s1446" type="#_x0000_t32" style="position:absolute;left:20848;width:0;height:5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o/xgAAANwAAAAPAAAAZHJzL2Rvd25yZXYueG1sRI9BSwMx&#10;FITvQv9DeIXebFYpVbZNi1YE8aTbltLbY/O6Wd28bJN0d/33Rih4HGbmG2a5HmwjOvKhdqzgbpqB&#10;IC6drrlSsNu+3j6CCBFZY+OYFPxQgPVqdLPEXLueP6krYiUShEOOCkyMbS5lKA1ZDFPXEifv5LzF&#10;mKSvpPbYJ7ht5H2WzaXFmtOCwZY2hsrv4mIVNN17f95fvs7m5aPbFpvD0Tz7VqnJeHhagIg0xP/w&#10;tf2mFTzM5vB3Jh0BufoFAAD//wMAUEsBAi0AFAAGAAgAAAAhANvh9svuAAAAhQEAABMAAAAAAAAA&#10;AAAAAAAAAAAAAFtDb250ZW50X1R5cGVzXS54bWxQSwECLQAUAAYACAAAACEAWvQsW78AAAAVAQAA&#10;CwAAAAAAAAAAAAAAAAAfAQAAX3JlbHMvLnJlbHNQSwECLQAUAAYACAAAACEAGaRaP8YAAADcAAAA&#10;DwAAAAAAAAAAAAAAAAAHAgAAZHJzL2Rvd25yZXYueG1sUEsFBgAAAAADAAMAtwAAAPoCAAAAAA==&#10;" strokecolor="black [3213]">
                  <v:stroke endarrow="block"/>
                  <o:lock v:ext="edit" shapetype="f"/>
                </v:shape>
                <v:shape id="Straight Arrow Connector 747" o:spid="_x0000_s1447" type="#_x0000_t32" style="position:absolute;left:5313;top:15177;width:39;height:56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QTxgAAANwAAAAPAAAAZHJzL2Rvd25yZXYueG1sRI9bawIx&#10;FITfC/6HcAq+1WzFelmNokKxIApeHnw8bI6bxc3Jsom67a9vBMHHYWa+YSazxpbiRrUvHCv47CQg&#10;iDOnC84VHA/fH0MQPiBrLB2Tgl/yMJu23iaYanfnHd32IRcRwj5FBSaEKpXSZ4Ys+o6riKN3drXF&#10;EGWdS13jPcJtKbtJ0pcWC44LBitaGsou+6tVsFknYbtanMrlV7Uzf3jyo+tqqFT7vZmPQQRqwiv8&#10;bP9oBYPeAB5n4hGQ038AAAD//wMAUEsBAi0AFAAGAAgAAAAhANvh9svuAAAAhQEAABMAAAAAAAAA&#10;AAAAAAAAAAAAAFtDb250ZW50X1R5cGVzXS54bWxQSwECLQAUAAYACAAAACEAWvQsW78AAAAVAQAA&#10;CwAAAAAAAAAAAAAAAAAfAQAAX3JlbHMvLnJlbHNQSwECLQAUAAYACAAAACEADNmkE8YAAADcAAAA&#10;DwAAAAAAAAAAAAAAAAAHAgAAZHJzL2Rvd25yZXYueG1sUEsFBgAAAAADAAMAtwAAAPoCAAAAAA==&#10;" strokecolor="black [3213]">
                  <v:stroke startarrow="block" endarrow="block"/>
                  <o:lock v:ext="edit" shapetype="f"/>
                </v:shape>
                <v:shape id="Straight Arrow Connector 748" o:spid="_x0000_s1448" type="#_x0000_t32" style="position:absolute;left:10665;top:8175;width:4530;height:47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wwgAAANwAAAAPAAAAZHJzL2Rvd25yZXYueG1sRE9Na8JA&#10;EL0X/A/LFLzVjVpaja4igtZ6aypUb0N2mgSzsyG7avz3zqHQ4+N9z5edq9WV2lB5NjAcJKCIc28r&#10;LgwcvjcvE1AhIlusPZOBOwVYLnpPc0ytv/EXXbNYKAnhkKKBMsYm1TrkJTkMA98QC/frW4dRYFto&#10;2+JNwl2tR0nyph1WLA0lNrQuKT9nF2fgXf98JJN8NxpOx4fjaZ35z/3WG9N/7lYzUJG6+C/+c++s&#10;+F5lrZyRI6AXDwAAAP//AwBQSwECLQAUAAYACAAAACEA2+H2y+4AAACFAQAAEwAAAAAAAAAAAAAA&#10;AAAAAAAAW0NvbnRlbnRfVHlwZXNdLnhtbFBLAQItABQABgAIAAAAIQBa9CxbvwAAABUBAAALAAAA&#10;AAAAAAAAAAAAAB8BAABfcmVscy8ucmVsc1BLAQItABQABgAIAAAAIQDS+TFwwgAAANwAAAAPAAAA&#10;AAAAAAAAAAAAAAcCAABkcnMvZG93bnJldi54bWxQSwUGAAAAAAMAAwC3AAAA9gIAAAAA&#10;" strokecolor="black [3213]">
                  <v:stroke endarrow="block"/>
                  <o:lock v:ext="edit" shapetype="f"/>
                </v:shape>
                <v:group id="Group 749" o:spid="_x0000_s1449" style="position:absolute;left:40196;top:5926;width:11748;height:5918" coordorigin="40016,6022" coordsize="1395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TextBox 246" o:spid="_x0000_s1450" type="#_x0000_t202" style="position:absolute;left:40016;top:6501;width:13953;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8cwAAAANwAAAAPAAAAZHJzL2Rvd25yZXYueG1sRE89a8Mw&#10;EN0D/Q/iCt1iOYWkxY1iTNJChixN3f2wLpaJdTLWNXb+fTUUOj7e97acfa9uNMYusIFVloMiboLt&#10;uDVQf30sX0FFQbbYByYDd4pQ7h4WWyxsmPiTbmdpVQrhWKABJzIUWsfGkceYhYE4cZcwepQEx1bb&#10;EacU7nv9nOcb7bHj1OBwoL2j5nr+8QZEbLW61+8+Hr/n02FyebPG2pinx7l6AyU0y7/4z320Bl7W&#10;aX46k46A3v0CAAD//wMAUEsBAi0AFAAGAAgAAAAhANvh9svuAAAAhQEAABMAAAAAAAAAAAAAAAAA&#10;AAAAAFtDb250ZW50X1R5cGVzXS54bWxQSwECLQAUAAYACAAAACEAWvQsW78AAAAVAQAACwAAAAAA&#10;AAAAAAAAAAAfAQAAX3JlbHMvLnJlbHNQSwECLQAUAAYACAAAACEAOyxfHMAAAADcAAAADwAAAAAA&#10;AAAAAAAAAAAHAgAAZHJzL2Rvd25yZXYueG1sUEsFBgAAAAADAAMAtwAAAPQCAAAAAA==&#10;" filled="f" stroked="f">
                    <v:textbox style="mso-fit-shape-to-text:t">
                      <w:txbxContent>
                        <w:p w14:paraId="40CC1A41" w14:textId="77777777" w:rsidR="00777EE0" w:rsidRDefault="00777EE0" w:rsidP="007E1D13">
                          <w:pPr>
                            <w:jc w:val="center"/>
                            <w:rPr>
                              <w:szCs w:val="24"/>
                            </w:rPr>
                          </w:pPr>
                          <w:r>
                            <w:rPr>
                              <w:color w:val="000000" w:themeColor="text1"/>
                              <w:kern w:val="24"/>
                              <w:sz w:val="20"/>
                              <w:szCs w:val="20"/>
                            </w:rPr>
                            <w:t xml:space="preserve">Socio-structural adversity </w:t>
                          </w:r>
                        </w:p>
                      </w:txbxContent>
                    </v:textbox>
                  </v:shape>
                  <v:roundrect id="Rectangle: Rounded Corners 751" o:spid="_x0000_s1451" style="position:absolute;left:41395;top:6022;width:10743;height:5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5DxgAAANwAAAAPAAAAZHJzL2Rvd25yZXYueG1sRI9Pa8JA&#10;FMTvQr/D8gpepG4i+IfUVVQQxENBzaG9vWZfk9Ds23R31fjtu4LgcZj5zTDzZWcacSHna8sK0mEC&#10;griwuuZSQX7avs1A+ICssbFMCm7kYbl46c0x0/bKB7ocQyliCfsMFVQhtJmUvqjIoB/aljh6P9YZ&#10;DFG6UmqH11huGjlKkok0WHNcqLClTUXF7/FsFEw/1t/rz2m+/5q5AaYruy/z9k+p/mu3egcRqAvP&#10;8IPe6ciNU7ifiUdALv4BAAD//wMAUEsBAi0AFAAGAAgAAAAhANvh9svuAAAAhQEAABMAAAAAAAAA&#10;AAAAAAAAAAAAAFtDb250ZW50X1R5cGVzXS54bWxQSwECLQAUAAYACAAAACEAWvQsW78AAAAVAQAA&#10;CwAAAAAAAAAAAAAAAAAfAQAAX3JlbHMvLnJlbHNQSwECLQAUAAYACAAAACEAN79eQ8YAAADcAAAA&#10;DwAAAAAAAAAAAAAAAAAHAgAAZHJzL2Rvd25yZXYueG1sUEsFBgAAAAADAAMAtwAAAPoCAAAAAA==&#10;" filled="f" strokecolor="black [3213]"/>
                </v:group>
                <v:shape id="Straight Arrow Connector 752" o:spid="_x0000_s1452" type="#_x0000_t32" style="position:absolute;left:37921;top:8206;width:3562;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BHxQAAANwAAAAPAAAAZHJzL2Rvd25yZXYueG1sRI9Ba8JA&#10;FITvBf/D8oTedJMU25hmFRHaWm+mgnp7ZF+TYPZtyG41/vtuQehxmPlmmHw5mFZcqHeNZQXxNAJB&#10;XFrdcKVg//U2SUE4j6yxtUwKbuRguRg95Jhpe+UdXQpfiVDCLkMFtfddJqUrazLoprYjDt637Q36&#10;IPtK6h6vody0MomiZ2mw4bBQY0frmspz8WMUvMjDR5SWmySeP+2Pp3VhP7fvVqnH8bB6BeFp8P/h&#10;O73RgZsl8HcmHAG5+AUAAP//AwBQSwECLQAUAAYACAAAACEA2+H2y+4AAACFAQAAEwAAAAAAAAAA&#10;AAAAAAAAAAAAW0NvbnRlbnRfVHlwZXNdLnhtbFBLAQItABQABgAIAAAAIQBa9CxbvwAAABUBAAAL&#10;AAAAAAAAAAAAAAAAAB8BAABfcmVscy8ucmVsc1BLAQItABQABgAIAAAAIQA2yJBHxQAAANwAAAAP&#10;AAAAAAAAAAAAAAAAAAcCAABkcnMvZG93bnJldi54bWxQSwUGAAAAAAMAAwC3AAAA+QIAAAAA&#10;" strokecolor="black [3213]">
                  <v:stroke endarrow="block"/>
                  <o:lock v:ext="edit" shapetype="f"/>
                </v:shape>
                <v:shape id="Straight Arrow Connector 753" o:spid="_x0000_s1453" type="#_x0000_t32" style="position:absolute;left:45553;top:10460;width:11;height:5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96xgAAANwAAAAPAAAAZHJzL2Rvd25yZXYueG1sRI9BSwMx&#10;FITvgv8hPKE3m7VFLdumRVsE8WS3LaW3x+a5Wd28bJN0d/33RhA8DjPzDbNYDbYRHflQO1ZwN85A&#10;EJdO11wp2O9ebmcgQkTW2DgmBd8UYLW8vlpgrl3PW+qKWIkE4ZCjAhNjm0sZSkMWw9i1xMn7cN5i&#10;TNJXUnvsE9w2cpJlD9JizWnBYEtrQ+VXcbEKmu6tPx8un2ezee92xfp4Ms++VWp0MzzNQUQa4n/4&#10;r/2qFTzeT+H3TDoCcvkDAAD//wMAUEsBAi0AFAAGAAgAAAAhANvh9svuAAAAhQEAABMAAAAAAAAA&#10;AAAAAAAAAAAAAFtDb250ZW50X1R5cGVzXS54bWxQSwECLQAUAAYACAAAACEAWvQsW78AAAAVAQAA&#10;CwAAAAAAAAAAAAAAAAAfAQAAX3JlbHMvLnJlbHNQSwECLQAUAAYACAAAACEAjApvesYAAADcAAAA&#10;DwAAAAAAAAAAAAAAAAAHAgAAZHJzL2Rvd25yZXYueG1sUEsFBgAAAAADAAMAtwAAAPoCAAAAAA==&#10;" strokecolor="black [3213]">
                  <v:stroke endarrow="block"/>
                  <o:lock v:ext="edit" shapetype="f"/>
                </v:shape>
                <v:shape id="TextBox 250" o:spid="_x0000_s1454" type="#_x0000_t202" style="position:absolute;left:39063;top:7550;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kfwwAAANwAAAAPAAAAZHJzL2Rvd25yZXYueG1sRI9Pa8JA&#10;FMTvhX6H5RW81Y3FPyV1FakKHryo6f2Rfc2GZt+G7KuJ394tFDwOM/MbZrkefKOu1MU6sIHJOANF&#10;XAZbc2WguOxf30FFQbbYBCYDN4qwXj0/LTG3oecTXc9SqQThmKMBJ9LmWsfSkcc4Di1x8r5D51GS&#10;7CptO+wT3Df6Lcvm2mPNacFhS5+Oyp/zrzcgYjeTW7Hz8fA1HLe9y8oZFsaMXobNByihQR7h//bB&#10;GljMpvB3Jh0BvboDAAD//wMAUEsBAi0AFAAGAAgAAAAhANvh9svuAAAAhQEAABMAAAAAAAAAAAAA&#10;AAAAAAAAAFtDb250ZW50X1R5cGVzXS54bWxQSwECLQAUAAYACAAAACEAWvQsW78AAAAVAQAACwAA&#10;AAAAAAAAAAAAAAAfAQAAX3JlbHMvLnJlbHNQSwECLQAUAAYACAAAACEARBdZH8MAAADcAAAADwAA&#10;AAAAAAAAAAAAAAAHAgAAZHJzL2Rvd25yZXYueG1sUEsFBgAAAAADAAMAtwAAAPcCAAAAAA==&#10;" filled="f" stroked="f">
                  <v:textbox style="mso-fit-shape-to-text:t">
                    <w:txbxContent>
                      <w:p w14:paraId="4296F428"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254" o:spid="_x0000_s1455" type="#_x0000_t202" style="position:absolute;left:43130;top:13125;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EwgAAANwAAAAPAAAAZHJzL2Rvd25yZXYueG1sRI9Ba8JA&#10;FITvhf6H5Qm91Y1C2pK6ilQLHnqppvdH9jUbzL4N2aeJ/94VBI/DzHzDLFajb9WZ+tgENjCbZqCI&#10;q2Abrg2Uh+/XD1BRkC22gcnAhSKsls9PCyxsGPiXznupVYJwLNCAE+kKrWPlyGOcho44ef+h9yhJ&#10;9rW2PQ4J7ls9z7I37bHhtOCwoy9H1XF/8gZE7Hp2Kbc+7v7Gn83gsirH0piXybj+BCU0yiN8b++s&#10;gfc8h9uZdAT08goAAP//AwBQSwECLQAUAAYACAAAACEA2+H2y+4AAACFAQAAEwAAAAAAAAAAAAAA&#10;AAAAAAAAW0NvbnRlbnRfVHlwZXNdLnhtbFBLAQItABQABgAIAAAAIQBa9CxbvwAAABUBAAALAAAA&#10;AAAAAAAAAAAAAB8BAABfcmVscy8ucmVsc1BLAQItABQABgAIAAAAIQArW/yEwgAAANwAAAAPAAAA&#10;AAAAAAAAAAAAAAcCAABkcnMvZG93bnJldi54bWxQSwUGAAAAAAMAAwC3AAAA9gIAAAAA&#10;" filled="f" stroked="f">
                  <v:textbox style="mso-fit-shape-to-text:t">
                    <w:txbxContent>
                      <w:p w14:paraId="046511E9"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TextBox 257" o:spid="_x0000_s1456" type="#_x0000_t202" style="position:absolute;left:18353;top:2708;width:432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14:paraId="4D5FEE6F"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v:shape id="Straight Arrow Connector 757" o:spid="_x0000_s1457" type="#_x0000_t32" style="position:absolute;left:10662;top:12694;width:4277;height:5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l5xgAAANwAAAAPAAAAZHJzL2Rvd25yZXYueG1sRI9BSwMx&#10;FITvQv9DeAVvNmtBK2vTYlsK4qluldLbY/PcrG5etkm6u/57Uyh4HGbmG2a+HGwjOvKhdqzgfpKB&#10;IC6drrlS8LHf3j2BCBFZY+OYFPxSgOVidDPHXLue36krYiUShEOOCkyMbS5lKA1ZDBPXEifvy3mL&#10;MUlfSe2xT3DbyGmWPUqLNacFgy2tDZU/xdkqaLq3/vR5/j6Zza7bF+vD0ax8q9TteHh5BhFpiP/h&#10;a/tVK5g9zOByJh0BufgDAAD//wMAUEsBAi0AFAAGAAgAAAAhANvh9svuAAAAhQEAABMAAAAAAAAA&#10;AAAAAAAAAAAAAFtDb250ZW50X1R5cGVzXS54bWxQSwECLQAUAAYACAAAACEAWvQsW78AAAAVAQAA&#10;CwAAAAAAAAAAAAAAAAAfAQAAX3JlbHMvLnJlbHNQSwECLQAUAAYACAAAACEA8zFpecYAAADcAAAA&#10;DwAAAAAAAAAAAAAAAAAHAgAAZHJzL2Rvd25yZXYueG1sUEsFBgAAAAADAAMAtwAAAPoCAAAAAA==&#10;" strokecolor="black [3213]">
                  <v:stroke endarrow="block"/>
                  <o:lock v:ext="edit" shapetype="f"/>
                </v:shape>
                <v:shape id="TextBox 261" o:spid="_x0000_s1458" type="#_x0000_t202" style="position:absolute;left:13155;top:8439;width:4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14:paraId="78D496F7" w14:textId="77777777" w:rsidR="00777EE0" w:rsidRDefault="00777EE0" w:rsidP="007E1D13">
                        <w:pPr>
                          <w:rPr>
                            <w:szCs w:val="24"/>
                          </w:rPr>
                        </w:pPr>
                        <w:r>
                          <w:rPr>
                            <w:rFonts w:asciiTheme="minorHAnsi" w:hAnsi="Calibri" w:cstheme="minorBidi"/>
                            <w:b/>
                            <w:bCs/>
                            <w:color w:val="000000" w:themeColor="text1"/>
                            <w:kern w:val="24"/>
                            <w:sz w:val="28"/>
                            <w:szCs w:val="28"/>
                          </w:rPr>
                          <w:t>+</w:t>
                        </w:r>
                      </w:p>
                    </w:txbxContent>
                  </v:textbox>
                </v:shape>
                <w10:wrap type="topAndBottom"/>
              </v:group>
            </w:pict>
          </mc:Fallback>
        </mc:AlternateContent>
      </w:r>
      <w:r w:rsidRPr="006C6203">
        <w:t xml:space="preserve">Figure </w:t>
      </w:r>
      <w:r w:rsidR="00BB0973">
        <w:t>7-</w:t>
      </w:r>
      <w:r>
        <w:t>5</w:t>
      </w:r>
      <w:r w:rsidR="00311FB4">
        <w:t>.</w:t>
      </w:r>
      <w:r w:rsidRPr="006C6203">
        <w:t xml:space="preserve"> A potential alternative stigmatisation pathway levered by </w:t>
      </w:r>
      <w:r>
        <w:t>legislative action</w:t>
      </w:r>
      <w:bookmarkEnd w:id="497"/>
    </w:p>
    <w:p w14:paraId="2B666F83" w14:textId="77777777" w:rsidR="007E1D13" w:rsidRDefault="007E1D13" w:rsidP="007E1D13">
      <w:pPr>
        <w:spacing w:line="480" w:lineRule="auto"/>
        <w:rPr>
          <w:szCs w:val="28"/>
        </w:rPr>
      </w:pPr>
    </w:p>
    <w:p w14:paraId="6922C7AF" w14:textId="77777777" w:rsidR="00461C9A" w:rsidRDefault="00461C9A" w:rsidP="007E1D13">
      <w:pPr>
        <w:spacing w:line="480" w:lineRule="auto"/>
        <w:rPr>
          <w:szCs w:val="28"/>
        </w:rPr>
      </w:pPr>
    </w:p>
    <w:p w14:paraId="13D0C3A4" w14:textId="45A514FB" w:rsidR="007E1D13" w:rsidRDefault="007E1D13" w:rsidP="007E1D13">
      <w:pPr>
        <w:spacing w:line="480" w:lineRule="auto"/>
        <w:rPr>
          <w:szCs w:val="28"/>
        </w:rPr>
      </w:pPr>
      <w:r w:rsidRPr="00806488">
        <w:rPr>
          <w:szCs w:val="28"/>
        </w:rPr>
        <w:t>2018; Ralphs Gray &amp; Norton, 2017</w:t>
      </w:r>
      <w:r>
        <w:rPr>
          <w:szCs w:val="28"/>
        </w:rPr>
        <w:t xml:space="preserve">) while the quality of cocaine and ecstasy has improved (EMCDDA, 2018). While this emphasises the potential significance of social cues and user images as a source of information about the quality of drugs, it also highlights the importance of considering psychoactive substances within the context of the wider drug market. To understand users’ decision making around substance use it is important to be aware of the relative quality, purity and availability of substances and the processes that interact to determine these attributes.  </w:t>
      </w:r>
    </w:p>
    <w:p w14:paraId="4AEE3641" w14:textId="36003ED8" w:rsidR="007E1D13" w:rsidRDefault="007E1D13" w:rsidP="00E31E26">
      <w:pPr>
        <w:pStyle w:val="Heading2"/>
      </w:pPr>
      <w:bookmarkStart w:id="498" w:name="_Toc35892733"/>
      <w:r w:rsidRPr="0033479F">
        <w:t>Implications</w:t>
      </w:r>
      <w:bookmarkEnd w:id="498"/>
      <w:r w:rsidRPr="0033479F">
        <w:t xml:space="preserve"> </w:t>
      </w:r>
    </w:p>
    <w:p w14:paraId="2FA446FD" w14:textId="0A95B78E" w:rsidR="007E1D13" w:rsidRDefault="007E1D13" w:rsidP="007E1D13">
      <w:pPr>
        <w:spacing w:line="480" w:lineRule="auto"/>
      </w:pPr>
      <w:r>
        <w:t>The findings of this comparative study have numerous implications for NPS interventions</w:t>
      </w:r>
      <w:r w:rsidR="00F5719F">
        <w:t xml:space="preserve">. </w:t>
      </w:r>
      <w:r>
        <w:t>While young people in the general population seem to be moving away from NPS use, it appears that this comes at the cost of disadvantaged users who are disproportionally affected by the increased harms associated with black market sales of NPS. NPS interventions must pay close attention to social inequalities and consider the potential impact of any intervention on marginalised and low SES users even if they are not the primary target population. In particular, interventions need to consider how they interact with processes of stigmatisation.</w:t>
      </w:r>
    </w:p>
    <w:p w14:paraId="4C44168D" w14:textId="77777777" w:rsidR="007E1D13" w:rsidRDefault="007E1D13" w:rsidP="007E1D13">
      <w:pPr>
        <w:spacing w:line="480" w:lineRule="auto"/>
      </w:pPr>
      <w:r>
        <w:t xml:space="preserve">From a safety perspective, the potential for unintended negative consequences appears to be high. The negative unintended consequences of the PS Act are the increased harm potential of NPS (due to strength/purity) which now pose a greater threat to user’s health, and the displacement of NPS use onto other potentially harmful substances. The suspected migration by more affluent NPS users onto traditional illicit drugs, potentially in response to increased perceptions of health risks, suggests that interventions targeting recreational users may be particularly at risk of displacement effects in response to heightened risk perceptions associated with specific substances. </w:t>
      </w:r>
    </w:p>
    <w:p w14:paraId="6B21F35D" w14:textId="77777777" w:rsidR="007E1D13" w:rsidRDefault="007E1D13" w:rsidP="007E1D13">
      <w:pPr>
        <w:spacing w:line="480" w:lineRule="auto"/>
      </w:pPr>
      <w:r>
        <w:t xml:space="preserve">Regarding the relevance of NPS interventions, the convergence of the NPS market with the market for traditional illicit drugs brought about by the PS Act raises questions about the most appropriate populations to target in interventions. While the greatest need appears to be that of low SES users and marginalised populations this project set out with the explicit intention of addressing recreational use in the general population. </w:t>
      </w:r>
    </w:p>
    <w:p w14:paraId="10823651" w14:textId="77777777" w:rsidR="007E1D13" w:rsidRDefault="007E1D13" w:rsidP="007E1D13">
      <w:pPr>
        <w:spacing w:line="480" w:lineRule="auto"/>
      </w:pPr>
      <w:r>
        <w:t>The indications are that with the end of open sales of NPS, use of these substances may be generally limited to people involved with existing drug networks. Although it is unclear to what extent users of traditional drugs use NPS following the ban, the proliferation of NPS within drug markets nevertheless means that recreational drug users are likely to encounter NPS, and there is a potential risk that other substances will be adulterated with cheap and readily available NPS. Consequently, recreational drug users would appear to be an appropriate population to target.</w:t>
      </w:r>
    </w:p>
    <w:p w14:paraId="6E6A7AE5" w14:textId="46BAE1E4" w:rsidR="007E1D13" w:rsidRPr="00CB66FA" w:rsidRDefault="007E1D13" w:rsidP="007E1D13">
      <w:pPr>
        <w:spacing w:line="480" w:lineRule="auto"/>
      </w:pPr>
      <w:r>
        <w:t xml:space="preserve">With regard to appropriate theory for use in NPS interventions, the stigmatisation pathway proposed here is very much in line with the propositions of the prototype willingness model (PWM; Gibbons, Gerrard &amp; Lane, 2003; Gibbons &amp; Gerrard, 1995; see Chapter 4 Section 4.5.5). The social reaction pathway described by the PWM is based on the assumption that young people’s perceptions of prototypical people associated with the risk behaviour (i.e. typical NPS users) influence their willingness to engage with the behaviour should the opportunity arise. The PWM presents a validated theoretical account of the processes highlighted within participants’ discussions in this study and therefore presents a suitable theory for use in NPS intervention. Prior to </w:t>
      </w:r>
      <w:r w:rsidR="003A0F49">
        <w:t xml:space="preserve">the </w:t>
      </w:r>
      <w:r>
        <w:t xml:space="preserve">introduction of the act, the suitability of the PWM was not as apparent, as participants had emphasised the lack of NPS user prototypes. However, in this study the potential significance of user and non-user prototypes has come to the fore, and what initially appeared to be a fairly inconsequential theme (i.e. identity) appears to have greater importance than previously appreciated. This also indicates that the prominence of a topic in young people’s conversations might not necessarily be an indicator of its significance for understanding young people’s behaviour. </w:t>
      </w:r>
    </w:p>
    <w:p w14:paraId="05F9893F" w14:textId="0AEFBEA8" w:rsidR="007E1D13" w:rsidRDefault="007E1D13" w:rsidP="00E31E26">
      <w:pPr>
        <w:pStyle w:val="Heading2"/>
      </w:pPr>
      <w:bookmarkStart w:id="499" w:name="_Toc35892734"/>
      <w:r w:rsidRPr="0033479F">
        <w:t>Strengths and limitations</w:t>
      </w:r>
      <w:bookmarkEnd w:id="499"/>
    </w:p>
    <w:p w14:paraId="5112F8A6" w14:textId="53B9452A" w:rsidR="007E1D13" w:rsidRPr="00226E48" w:rsidRDefault="007E1D13" w:rsidP="007E1D13">
      <w:pPr>
        <w:spacing w:line="480" w:lineRule="auto"/>
      </w:pPr>
      <w:r>
        <w:t>In addition to the strengths and limitations discussed in relation to Study 1 (see Chapter 5 Section 5.5.4) this study has several limitations. The design on which this study is based (i.e. Study 1) was developed prior to the introduction of the PS Act and was not originally intended as a comparative study. Consequently, data was not collected using methods that would have provided a more robust measure of changes in attitude and behaviour. For example, the focus group format prevents the connection of individuals’ specific beliefs with their behavioural outcomes and/ intentions.</w:t>
      </w:r>
      <w:r w:rsidR="00F5719F">
        <w:t xml:space="preserve"> Although some participants attended the focus groups of both studies</w:t>
      </w:r>
      <w:r w:rsidR="00AC09F3">
        <w:t>,</w:t>
      </w:r>
      <w:r w:rsidR="00F5719F">
        <w:t xml:space="preserve"> most of the participants were different</w:t>
      </w:r>
      <w:r w:rsidR="00AC09F3">
        <w:t>. T</w:t>
      </w:r>
      <w:r w:rsidR="00F5719F">
        <w:t>herefore</w:t>
      </w:r>
      <w:r w:rsidR="00AC09F3">
        <w:t>,</w:t>
      </w:r>
      <w:r w:rsidR="00F5719F">
        <w:t xml:space="preserve"> some of the </w:t>
      </w:r>
      <w:r w:rsidR="00AC09F3">
        <w:t>differences between the groups may be attributable to sampling differences.</w:t>
      </w:r>
      <w:r>
        <w:t xml:space="preserve"> In addition, the sample included both users and users and non-users of NPS and participants’ intentions were not measured. Therefore, the extent to which inferences can be made about the likely outcome of any apparent changes in young people’s perceptions remains limited and ma</w:t>
      </w:r>
      <w:r w:rsidR="003A0F49">
        <w:t>y</w:t>
      </w:r>
      <w:r>
        <w:t xml:space="preserve"> not be generalisable to specific populations of young people. </w:t>
      </w:r>
    </w:p>
    <w:p w14:paraId="5FD9CC13" w14:textId="71F8DD64" w:rsidR="007E1D13" w:rsidRDefault="007E1D13" w:rsidP="007E1D13">
      <w:pPr>
        <w:pStyle w:val="Heading2"/>
      </w:pPr>
      <w:bookmarkStart w:id="500" w:name="_Toc35892735"/>
      <w:r w:rsidRPr="0033479F">
        <w:t>Conclusion</w:t>
      </w:r>
      <w:bookmarkEnd w:id="500"/>
    </w:p>
    <w:p w14:paraId="4176D197" w14:textId="77777777" w:rsidR="007E1D13" w:rsidRDefault="007E1D13" w:rsidP="007E1D13">
      <w:pPr>
        <w:spacing w:line="480" w:lineRule="auto"/>
      </w:pPr>
      <w:r>
        <w:t xml:space="preserve">Although the impact of the changing legal status of NPS is clearly apparent in young people’s beliefs and opinions about NPS, it is not clear if knowledge of the Act has directly influenced their cognitions or whether any apparent shifts in their beliefs reflect indirect influences such as perceptions of changing user populations. Certainly, there is a good case to support the proposition that young people’s beliefs about NPS are heavily shaped by their perceptions of users, as observed both first-hand and via the media. In the absence of the formal regulation of NPS, young people appear to rely on these social cues and perceptions of user and non-user identities to provide important information about drug quality, risk perceptions and the acceptability of NPS use. This ‘social pathway’ for influences on behaviour is well described by the prototype willingness model which may therefore provide a useful resource for intervention design. </w:t>
      </w:r>
    </w:p>
    <w:p w14:paraId="06535BC9" w14:textId="77777777" w:rsidR="007E1D13" w:rsidRDefault="007E1D13" w:rsidP="007E1D13">
      <w:pPr>
        <w:spacing w:line="480" w:lineRule="auto"/>
      </w:pPr>
      <w:r>
        <w:t>In so far as young people’s perceptions of NPS users appear to have been strongly influenced by increased problematic use of NPS by disadvantaged groups, and this increase is linked with the changes in legislation, there are significant inequalities issues around NPS that interventions will need to pay careful attention to. In particular, interventionists will need to consider how they engage with processes of stigmatisation, as well as the potential for differential effects in populations with differing socio-economic circumstances</w:t>
      </w:r>
    </w:p>
    <w:p w14:paraId="46F4DDE6" w14:textId="30730B92" w:rsidR="007E1D13" w:rsidRDefault="007E1D13" w:rsidP="007E1D13">
      <w:pPr>
        <w:spacing w:line="480" w:lineRule="auto"/>
      </w:pPr>
    </w:p>
    <w:p w14:paraId="3AF19D04" w14:textId="77777777" w:rsidR="007E1D13" w:rsidRPr="0071392B" w:rsidRDefault="007E1D13" w:rsidP="007E1D13">
      <w:pPr>
        <w:spacing w:line="480" w:lineRule="auto"/>
        <w:sectPr w:rsidR="007E1D13" w:rsidRPr="0071392B" w:rsidSect="007E1D13">
          <w:headerReference w:type="default" r:id="rId72"/>
          <w:pgSz w:w="11900" w:h="16840"/>
          <w:pgMar w:top="1418" w:right="1418" w:bottom="1560" w:left="1418" w:header="709" w:footer="709" w:gutter="0"/>
          <w:cols w:space="708"/>
          <w:docGrid w:linePitch="360"/>
        </w:sectPr>
      </w:pPr>
    </w:p>
    <w:p w14:paraId="717536A9" w14:textId="5039DF7F" w:rsidR="00EB21C3" w:rsidRPr="00241FE7" w:rsidRDefault="00EB21C3" w:rsidP="00EB21C3">
      <w:pPr>
        <w:keepNext/>
        <w:keepLines/>
        <w:numPr>
          <w:ilvl w:val="0"/>
          <w:numId w:val="2"/>
        </w:numPr>
        <w:spacing w:before="480" w:after="0"/>
        <w:ind w:left="432"/>
        <w:jc w:val="center"/>
        <w:outlineLvl w:val="0"/>
        <w:rPr>
          <w:b/>
          <w:bCs/>
          <w:sz w:val="28"/>
          <w:szCs w:val="28"/>
        </w:rPr>
      </w:pPr>
      <w:bookmarkStart w:id="501" w:name="_Toc35892736"/>
      <w:r w:rsidRPr="00241FE7">
        <w:rPr>
          <w:b/>
          <w:bCs/>
          <w:sz w:val="28"/>
          <w:szCs w:val="28"/>
        </w:rPr>
        <w:t xml:space="preserve">Study 3: </w:t>
      </w:r>
      <w:r w:rsidR="008A55CB">
        <w:rPr>
          <w:b/>
          <w:bCs/>
          <w:sz w:val="28"/>
          <w:szCs w:val="28"/>
        </w:rPr>
        <w:t>Identifying intervention targets and intervention components to reduce NPS use by young people</w:t>
      </w:r>
      <w:bookmarkEnd w:id="501"/>
    </w:p>
    <w:p w14:paraId="38BEDA4B" w14:textId="77777777" w:rsidR="00EB21C3" w:rsidRPr="00EB21C3" w:rsidRDefault="00EB21C3" w:rsidP="00EB21C3">
      <w:pPr>
        <w:keepNext/>
        <w:keepLines/>
        <w:numPr>
          <w:ilvl w:val="1"/>
          <w:numId w:val="2"/>
        </w:numPr>
        <w:spacing w:before="480" w:after="100" w:afterAutospacing="1" w:line="240" w:lineRule="auto"/>
        <w:ind w:left="576"/>
        <w:outlineLvl w:val="1"/>
        <w:rPr>
          <w:b/>
          <w:bCs/>
          <w:szCs w:val="26"/>
        </w:rPr>
      </w:pPr>
      <w:bookmarkStart w:id="502" w:name="_Toc35892737"/>
      <w:r w:rsidRPr="00EB21C3">
        <w:rPr>
          <w:b/>
          <w:bCs/>
          <w:szCs w:val="26"/>
        </w:rPr>
        <w:t>Introduction</w:t>
      </w:r>
      <w:bookmarkEnd w:id="502"/>
    </w:p>
    <w:p w14:paraId="0CC9547A" w14:textId="183A7C25" w:rsidR="00EB21C3" w:rsidRPr="00EB21C3" w:rsidRDefault="00EB21C3" w:rsidP="00EB21C3">
      <w:pPr>
        <w:spacing w:line="480" w:lineRule="auto"/>
        <w:rPr>
          <w:color w:val="000000" w:themeColor="text1"/>
        </w:rPr>
      </w:pPr>
      <w:r w:rsidRPr="00EB21C3">
        <w:rPr>
          <w:color w:val="000000" w:themeColor="text1"/>
        </w:rPr>
        <w:t xml:space="preserve">This chapter reports the method and findings of </w:t>
      </w:r>
      <w:r w:rsidR="008A55CB">
        <w:rPr>
          <w:color w:val="000000" w:themeColor="text1"/>
        </w:rPr>
        <w:t>S</w:t>
      </w:r>
      <w:r w:rsidRPr="00EB21C3">
        <w:rPr>
          <w:color w:val="000000" w:themeColor="text1"/>
        </w:rPr>
        <w:t>tudy</w:t>
      </w:r>
      <w:r w:rsidR="008A55CB">
        <w:rPr>
          <w:color w:val="000000" w:themeColor="text1"/>
        </w:rPr>
        <w:t>3</w:t>
      </w:r>
      <w:r w:rsidRPr="00EB21C3">
        <w:rPr>
          <w:color w:val="000000" w:themeColor="text1"/>
        </w:rPr>
        <w:t xml:space="preserve">. The purpose of this study was to build on the findings of the two earlier studies by further clarifying the relationships between the motivations identified </w:t>
      </w:r>
      <w:r w:rsidR="008A55CB">
        <w:rPr>
          <w:color w:val="000000" w:themeColor="text1"/>
        </w:rPr>
        <w:t>in the earlier studies</w:t>
      </w:r>
      <w:r w:rsidRPr="00EB21C3">
        <w:rPr>
          <w:color w:val="000000" w:themeColor="text1"/>
        </w:rPr>
        <w:t xml:space="preserve">, as well as situating the research within the context of interventions that are acceptable to the target population. </w:t>
      </w:r>
    </w:p>
    <w:p w14:paraId="22BA8F02" w14:textId="2F088FCE" w:rsidR="00EB21C3" w:rsidRPr="00EB21C3" w:rsidRDefault="00EB21C3" w:rsidP="00EB21C3">
      <w:pPr>
        <w:spacing w:line="480" w:lineRule="auto"/>
        <w:rPr>
          <w:color w:val="000000" w:themeColor="text1"/>
        </w:rPr>
      </w:pPr>
      <w:r w:rsidRPr="00EB21C3">
        <w:rPr>
          <w:color w:val="000000" w:themeColor="text1"/>
        </w:rPr>
        <w:t>Study 1 and Study 2 reported on young people’s motives for NPS use and non-use</w:t>
      </w:r>
      <w:r w:rsidR="008A55CB">
        <w:rPr>
          <w:color w:val="000000" w:themeColor="text1"/>
        </w:rPr>
        <w:t>.</w:t>
      </w:r>
      <w:r w:rsidRPr="00EB21C3">
        <w:rPr>
          <w:color w:val="000000" w:themeColor="text1"/>
        </w:rPr>
        <w:t xml:space="preserve"> </w:t>
      </w:r>
      <w:r w:rsidR="008A55CB">
        <w:rPr>
          <w:color w:val="000000" w:themeColor="text1"/>
        </w:rPr>
        <w:t xml:space="preserve">However, </w:t>
      </w:r>
      <w:r w:rsidRPr="00EB21C3">
        <w:rPr>
          <w:color w:val="000000" w:themeColor="text1"/>
        </w:rPr>
        <w:t>the</w:t>
      </w:r>
      <w:r w:rsidR="008A55CB">
        <w:rPr>
          <w:color w:val="000000" w:themeColor="text1"/>
        </w:rPr>
        <w:t xml:space="preserve"> assumed</w:t>
      </w:r>
      <w:r w:rsidRPr="00EB21C3">
        <w:rPr>
          <w:color w:val="000000" w:themeColor="text1"/>
        </w:rPr>
        <w:t xml:space="preserve"> importance of each motive </w:t>
      </w:r>
      <w:r w:rsidR="008A55CB">
        <w:rPr>
          <w:color w:val="000000" w:themeColor="text1"/>
        </w:rPr>
        <w:t xml:space="preserve">was based on </w:t>
      </w:r>
      <w:r w:rsidRPr="00EB21C3">
        <w:rPr>
          <w:color w:val="000000" w:themeColor="text1"/>
        </w:rPr>
        <w:t>the extent to which participants emphasised each motivational domain within their discussions. As interventionists, the value of understanding young people’s motives is the opportunities they offer as targets for intervention. However, motivations are not static variables, but interactive elements of motivational systems which balance various needs and goals (Grouzet, Kasser, Ahuvia, et al., 2005; Schwartz, 1996). Therefore, to better understand the influence of the various motivations we need to know how they relate to each other, that is, which motives are congruent, which are in opposition, and which are orthogonal to each other. (Grouzet et al., 2005; Maio, Pakizeh, Che</w:t>
      </w:r>
      <w:r w:rsidR="00D97719">
        <w:rPr>
          <w:color w:val="000000" w:themeColor="text1"/>
        </w:rPr>
        <w:t>u</w:t>
      </w:r>
      <w:r w:rsidRPr="00EB21C3">
        <w:rPr>
          <w:color w:val="000000" w:themeColor="text1"/>
        </w:rPr>
        <w:t>n</w:t>
      </w:r>
      <w:r w:rsidR="00D97719">
        <w:rPr>
          <w:color w:val="000000" w:themeColor="text1"/>
        </w:rPr>
        <w:t>g,</w:t>
      </w:r>
      <w:r w:rsidRPr="00EB21C3">
        <w:rPr>
          <w:color w:val="000000" w:themeColor="text1"/>
        </w:rPr>
        <w:t xml:space="preserve"> et al., 2009; Schwartz, 1992). In developing an understanding of the synergies and conflicts between motivations, and the priority placed on different motives, interventions can aim to shift the balance of the motivational system in favour of positive health outcomes (e.g. a reduction in NPS use). In addition, by identifying conflicts within motivational systems, important barriers to change can be highlighted which can then be addressed. </w:t>
      </w:r>
    </w:p>
    <w:p w14:paraId="6A0D0C87" w14:textId="4B3568DC" w:rsidR="00EB21C3" w:rsidRPr="00EB21C3" w:rsidRDefault="00EB21C3" w:rsidP="00EB21C3">
      <w:pPr>
        <w:spacing w:line="480" w:lineRule="auto"/>
        <w:rPr>
          <w:color w:val="000000" w:themeColor="text1"/>
        </w:rPr>
      </w:pPr>
      <w:r w:rsidRPr="00EB21C3">
        <w:rPr>
          <w:color w:val="000000" w:themeColor="text1"/>
        </w:rPr>
        <w:t xml:space="preserve">However, a successful intervention requires more than finding the best target, it also needs to be acceptable to the target population. </w:t>
      </w:r>
      <w:r w:rsidRPr="00EB21C3">
        <w:rPr>
          <w:rFonts w:asciiTheme="majorBidi" w:hAnsiTheme="majorBidi" w:cstheme="majorBidi"/>
          <w:szCs w:val="24"/>
        </w:rPr>
        <w:t xml:space="preserve">Acceptability is a key factor in the uptake of </w:t>
      </w:r>
      <w:r w:rsidRPr="00EB21C3">
        <w:rPr>
          <w:rFonts w:asciiTheme="majorBidi" w:hAnsiTheme="majorBidi" w:cstheme="majorBidi"/>
          <w:color w:val="000000" w:themeColor="text1"/>
          <w:szCs w:val="24"/>
        </w:rPr>
        <w:t>interventions (</w:t>
      </w:r>
      <w:r w:rsidRPr="00EB21C3">
        <w:rPr>
          <w:color w:val="000000" w:themeColor="text1"/>
        </w:rPr>
        <w:t>Bak, van Dam</w:t>
      </w:r>
      <w:r w:rsidR="00D97719">
        <w:rPr>
          <w:color w:val="000000" w:themeColor="text1"/>
        </w:rPr>
        <w:t>,</w:t>
      </w:r>
      <w:r w:rsidRPr="00EB21C3">
        <w:rPr>
          <w:color w:val="000000" w:themeColor="text1"/>
        </w:rPr>
        <w:t xml:space="preserve"> &amp; Janssens, 2018; Diepeveen, Ling, Suhrcke, Roland, &amp; Marteau, 2013</w:t>
      </w:r>
      <w:r w:rsidRPr="00EB21C3">
        <w:rPr>
          <w:rFonts w:asciiTheme="majorBidi" w:hAnsiTheme="majorBidi" w:cstheme="majorBidi"/>
          <w:color w:val="000000" w:themeColor="text1"/>
          <w:szCs w:val="24"/>
        </w:rPr>
        <w:t xml:space="preserve">) and effective interventions will be compromised by poor implementation and adoption if </w:t>
      </w:r>
      <w:r w:rsidRPr="00EB21C3">
        <w:rPr>
          <w:color w:val="000000" w:themeColor="text1"/>
        </w:rPr>
        <w:t>acceptability is low (Proctor, Silmere, Raghavan, et al., 2011; Stok, de Ridder, de Vet, et al., 2016). It is important that interventions are seen as appropriate, fair and consistent with people’s beliefs about how they should be treated</w:t>
      </w:r>
      <w:r w:rsidRPr="00EB21C3">
        <w:rPr>
          <w:color w:val="17365D" w:themeColor="text2" w:themeShade="BF"/>
        </w:rPr>
        <w:t xml:space="preserve"> </w:t>
      </w:r>
      <w:r w:rsidRPr="00EB21C3">
        <w:rPr>
          <w:szCs w:val="24"/>
        </w:rPr>
        <w:t>(Milosevic, Levy, Alcolado</w:t>
      </w:r>
      <w:r w:rsidR="00D97719">
        <w:rPr>
          <w:szCs w:val="24"/>
        </w:rPr>
        <w:t>,</w:t>
      </w:r>
      <w:r w:rsidRPr="00EB21C3">
        <w:rPr>
          <w:szCs w:val="24"/>
        </w:rPr>
        <w:t xml:space="preserve"> &amp; Radomsky, 2015; Sekhon, Cartwright &amp; Francis, 2017). While key guidelines for drug prevention and behaviour change interventions emphasise the importance of considering the </w:t>
      </w:r>
      <w:r w:rsidRPr="00EB21C3">
        <w:rPr>
          <w:color w:val="000000" w:themeColor="text1"/>
          <w:szCs w:val="24"/>
        </w:rPr>
        <w:t>acceptability of interventions, t</w:t>
      </w:r>
      <w:r w:rsidRPr="00EB21C3">
        <w:rPr>
          <w:color w:val="000000" w:themeColor="text1"/>
        </w:rPr>
        <w:t>he lack of attention given to acceptability has been highlighted in recent reviews of drug interventions (Bautista, James</w:t>
      </w:r>
      <w:r w:rsidR="00D97719">
        <w:rPr>
          <w:color w:val="000000" w:themeColor="text1"/>
        </w:rPr>
        <w:t>,</w:t>
      </w:r>
      <w:r w:rsidRPr="00EB21C3">
        <w:rPr>
          <w:color w:val="000000" w:themeColor="text1"/>
        </w:rPr>
        <w:t xml:space="preserve"> &amp; Amaro, 2019; NICE 2017). This study</w:t>
      </w:r>
      <w:r w:rsidR="003A0F49">
        <w:rPr>
          <w:color w:val="000000" w:themeColor="text1"/>
        </w:rPr>
        <w:t>, therefore,</w:t>
      </w:r>
      <w:r w:rsidRPr="00EB21C3">
        <w:rPr>
          <w:color w:val="000000" w:themeColor="text1"/>
        </w:rPr>
        <w:t xml:space="preserve"> sets out to identify suitable motivational targets for NPS interventions, as well as suitable and acceptable approaches for targeting them.</w:t>
      </w:r>
    </w:p>
    <w:p w14:paraId="11A677DA"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03" w:name="_Toc35892738"/>
      <w:r w:rsidRPr="00EB21C3">
        <w:rPr>
          <w:b/>
          <w:bCs/>
          <w:color w:val="000000"/>
          <w:sz w:val="22"/>
        </w:rPr>
        <w:t>Research aims and objectives:</w:t>
      </w:r>
      <w:bookmarkEnd w:id="503"/>
    </w:p>
    <w:p w14:paraId="3A50B3BF" w14:textId="77777777" w:rsidR="00EB21C3" w:rsidRPr="00EB21C3" w:rsidRDefault="00EB21C3" w:rsidP="00EB21C3">
      <w:pPr>
        <w:spacing w:line="480" w:lineRule="auto"/>
      </w:pPr>
      <w:r w:rsidRPr="00EB21C3">
        <w:rPr>
          <w:szCs w:val="24"/>
        </w:rPr>
        <w:t>With a target population of young people aged 15 to 25,</w:t>
      </w:r>
      <w:r w:rsidRPr="00EB21C3">
        <w:rPr>
          <w:b/>
          <w:szCs w:val="24"/>
        </w:rPr>
        <w:t xml:space="preserve"> </w:t>
      </w:r>
      <w:r w:rsidRPr="00EB21C3">
        <w:rPr>
          <w:szCs w:val="24"/>
        </w:rPr>
        <w:t xml:space="preserve">the specific aims of this study were </w:t>
      </w:r>
      <w:r w:rsidRPr="00EB21C3">
        <w:t>to explore the conflicts between motives underlying the use and non-use of NPS and identify which motivations are most important for influencing NPS use and non-use. In addition, the study aimed to establish which approaches would be considered acceptable to young people, and what they felt would not work. T</w:t>
      </w:r>
      <w:r w:rsidRPr="00EB21C3">
        <w:rPr>
          <w:szCs w:val="24"/>
        </w:rPr>
        <w:t xml:space="preserve">he findings were considered in the light of their implications for intervention development. Consequently, the </w:t>
      </w:r>
      <w:r w:rsidRPr="00EB21C3">
        <w:t>objectives of the study were to:</w:t>
      </w:r>
    </w:p>
    <w:p w14:paraId="450C8027" w14:textId="77777777" w:rsidR="00EB21C3" w:rsidRPr="00EB21C3" w:rsidRDefault="00EB21C3" w:rsidP="00EB21C3">
      <w:pPr>
        <w:numPr>
          <w:ilvl w:val="0"/>
          <w:numId w:val="4"/>
        </w:numPr>
        <w:spacing w:line="480" w:lineRule="auto"/>
        <w:ind w:hanging="357"/>
        <w:contextualSpacing/>
      </w:pPr>
      <w:r w:rsidRPr="00EB21C3">
        <w:t>Explore the conflicts between different motivations</w:t>
      </w:r>
    </w:p>
    <w:p w14:paraId="0B9D22E0" w14:textId="77777777" w:rsidR="00EB21C3" w:rsidRPr="00EB21C3" w:rsidRDefault="00EB21C3" w:rsidP="00EB21C3">
      <w:pPr>
        <w:numPr>
          <w:ilvl w:val="1"/>
          <w:numId w:val="4"/>
        </w:numPr>
        <w:spacing w:line="480" w:lineRule="auto"/>
        <w:contextualSpacing/>
      </w:pPr>
      <w:r w:rsidRPr="00EB21C3">
        <w:t>Identify internal barriers to behaviour change</w:t>
      </w:r>
    </w:p>
    <w:p w14:paraId="264FA286" w14:textId="77777777" w:rsidR="00EB21C3" w:rsidRPr="00EB21C3" w:rsidRDefault="00EB21C3" w:rsidP="00EB21C3">
      <w:pPr>
        <w:numPr>
          <w:ilvl w:val="1"/>
          <w:numId w:val="4"/>
        </w:numPr>
        <w:spacing w:line="480" w:lineRule="auto"/>
        <w:contextualSpacing/>
      </w:pPr>
      <w:r w:rsidRPr="00EB21C3">
        <w:t>Identify internal facilitators of behaviour change</w:t>
      </w:r>
    </w:p>
    <w:p w14:paraId="581ABC87" w14:textId="77777777" w:rsidR="00EB21C3" w:rsidRPr="00EB21C3" w:rsidRDefault="00EB21C3" w:rsidP="00EB21C3">
      <w:pPr>
        <w:numPr>
          <w:ilvl w:val="0"/>
          <w:numId w:val="4"/>
        </w:numPr>
        <w:spacing w:line="480" w:lineRule="auto"/>
        <w:ind w:hanging="357"/>
        <w:contextualSpacing/>
      </w:pPr>
      <w:r w:rsidRPr="00EB21C3">
        <w:t xml:space="preserve">Explore priorities of different motivations </w:t>
      </w:r>
    </w:p>
    <w:p w14:paraId="14BF7CAF" w14:textId="12DAD0B7" w:rsidR="00EB21C3" w:rsidRPr="00EB21C3" w:rsidRDefault="00EB21C3" w:rsidP="00EB21C3">
      <w:pPr>
        <w:numPr>
          <w:ilvl w:val="1"/>
          <w:numId w:val="4"/>
        </w:numPr>
        <w:spacing w:line="480" w:lineRule="auto"/>
        <w:contextualSpacing/>
      </w:pPr>
      <w:r w:rsidRPr="00EB21C3">
        <w:t xml:space="preserve">Identify which motivations are most important </w:t>
      </w:r>
      <w:r w:rsidR="00D97719">
        <w:t>for</w:t>
      </w:r>
      <w:r w:rsidRPr="00EB21C3">
        <w:t xml:space="preserve"> use of NPS </w:t>
      </w:r>
    </w:p>
    <w:p w14:paraId="111EFFCC" w14:textId="55FA415B" w:rsidR="00EB21C3" w:rsidRPr="00EB21C3" w:rsidRDefault="00EB21C3" w:rsidP="00EB21C3">
      <w:pPr>
        <w:numPr>
          <w:ilvl w:val="1"/>
          <w:numId w:val="4"/>
        </w:numPr>
        <w:spacing w:line="480" w:lineRule="auto"/>
        <w:contextualSpacing/>
      </w:pPr>
      <w:r w:rsidRPr="00EB21C3">
        <w:t xml:space="preserve">Identify which motivations are most important </w:t>
      </w:r>
      <w:r w:rsidR="00D97719">
        <w:t>for</w:t>
      </w:r>
      <w:r w:rsidRPr="00EB21C3">
        <w:t xml:space="preserve"> non-use of NPS  </w:t>
      </w:r>
    </w:p>
    <w:p w14:paraId="6D47EDC1" w14:textId="77777777" w:rsidR="00EB21C3" w:rsidRPr="00EB21C3" w:rsidRDefault="00EB21C3" w:rsidP="00EB21C3">
      <w:pPr>
        <w:numPr>
          <w:ilvl w:val="0"/>
          <w:numId w:val="4"/>
        </w:numPr>
        <w:spacing w:line="480" w:lineRule="auto"/>
        <w:ind w:hanging="357"/>
        <w:contextualSpacing/>
      </w:pPr>
      <w:r w:rsidRPr="00EB21C3">
        <w:rPr>
          <w:szCs w:val="24"/>
        </w:rPr>
        <w:t xml:space="preserve">Explore the acceptability of intervention approaches </w:t>
      </w:r>
    </w:p>
    <w:p w14:paraId="7B78EB3D" w14:textId="77777777" w:rsidR="00EB21C3" w:rsidRPr="00EB21C3" w:rsidRDefault="00EB21C3" w:rsidP="00EB21C3">
      <w:pPr>
        <w:numPr>
          <w:ilvl w:val="1"/>
          <w:numId w:val="4"/>
        </w:numPr>
        <w:spacing w:line="480" w:lineRule="auto"/>
        <w:contextualSpacing/>
      </w:pPr>
      <w:r w:rsidRPr="00EB21C3">
        <w:rPr>
          <w:szCs w:val="24"/>
        </w:rPr>
        <w:t>Identify what is acceptable to young people</w:t>
      </w:r>
    </w:p>
    <w:p w14:paraId="68E5732D" w14:textId="77777777" w:rsidR="00EB21C3" w:rsidRPr="00EB21C3" w:rsidRDefault="00EB21C3" w:rsidP="00EB21C3">
      <w:pPr>
        <w:numPr>
          <w:ilvl w:val="1"/>
          <w:numId w:val="4"/>
        </w:numPr>
        <w:spacing w:line="480" w:lineRule="auto"/>
        <w:contextualSpacing/>
      </w:pPr>
      <w:r w:rsidRPr="00EB21C3">
        <w:rPr>
          <w:szCs w:val="24"/>
        </w:rPr>
        <w:t xml:space="preserve">Identify what is unacceptable to young people </w:t>
      </w:r>
    </w:p>
    <w:p w14:paraId="45807477" w14:textId="77777777" w:rsidR="00EB21C3" w:rsidRPr="00EB21C3" w:rsidRDefault="00EB21C3" w:rsidP="00EB21C3">
      <w:pPr>
        <w:keepNext/>
        <w:keepLines/>
        <w:numPr>
          <w:ilvl w:val="1"/>
          <w:numId w:val="2"/>
        </w:numPr>
        <w:spacing w:before="480" w:after="100" w:afterAutospacing="1" w:line="240" w:lineRule="auto"/>
        <w:ind w:left="576"/>
        <w:outlineLvl w:val="1"/>
        <w:rPr>
          <w:b/>
          <w:bCs/>
          <w:szCs w:val="26"/>
        </w:rPr>
      </w:pPr>
      <w:bookmarkStart w:id="504" w:name="_Toc35892739"/>
      <w:r w:rsidRPr="00EB21C3">
        <w:rPr>
          <w:b/>
          <w:bCs/>
          <w:szCs w:val="26"/>
        </w:rPr>
        <w:t>Method</w:t>
      </w:r>
      <w:bookmarkEnd w:id="504"/>
    </w:p>
    <w:p w14:paraId="6C00E161" w14:textId="77777777" w:rsidR="00EB21C3" w:rsidRPr="00EB21C3" w:rsidRDefault="00EB21C3" w:rsidP="00EB21C3">
      <w:pPr>
        <w:spacing w:line="480" w:lineRule="auto"/>
        <w:rPr>
          <w:color w:val="000000"/>
          <w:szCs w:val="24"/>
        </w:rPr>
      </w:pPr>
      <w:r w:rsidRPr="00EB21C3">
        <w:t xml:space="preserve">The study used a focus group methodology, collecting data from a diverse sample of young people in collaboration with community groups in Sheffield, Leeds and Doncaster. The focus groups were undertaken around two and a half years (29 to 32 months) after the introduction of the PS Act. </w:t>
      </w:r>
      <w:r w:rsidRPr="00EB21C3">
        <w:rPr>
          <w:color w:val="000000"/>
          <w:szCs w:val="24"/>
        </w:rPr>
        <w:t xml:space="preserve">The qualitative data collected was analysed using framework analysis techniques as described in more detail in Chapter 4, Section 4.9. </w:t>
      </w:r>
      <w:r w:rsidRPr="00EB21C3">
        <w:t xml:space="preserve">Ethical approval </w:t>
      </w:r>
      <w:r w:rsidRPr="00EB21C3">
        <w:rPr>
          <w:szCs w:val="24"/>
        </w:rPr>
        <w:t xml:space="preserve">was granted by the </w:t>
      </w:r>
      <w:r w:rsidRPr="00EB21C3">
        <w:rPr>
          <w:color w:val="000000"/>
          <w:szCs w:val="24"/>
          <w:lang w:val="en-US"/>
        </w:rPr>
        <w:t>Department of Psychology Research Ethics Committee at the University of Sheffield.</w:t>
      </w:r>
      <w:r w:rsidRPr="00EB21C3">
        <w:rPr>
          <w:color w:val="000000"/>
          <w:szCs w:val="24"/>
        </w:rPr>
        <w:t xml:space="preserve"> </w:t>
      </w:r>
    </w:p>
    <w:p w14:paraId="78D33282" w14:textId="77777777" w:rsidR="00EB21C3" w:rsidRPr="00EB21C3" w:rsidRDefault="00EB21C3" w:rsidP="00EB21C3">
      <w:pPr>
        <w:keepNext/>
        <w:keepLines/>
        <w:numPr>
          <w:ilvl w:val="2"/>
          <w:numId w:val="2"/>
        </w:numPr>
        <w:spacing w:before="480" w:after="100" w:afterAutospacing="1" w:line="240" w:lineRule="auto"/>
        <w:outlineLvl w:val="2"/>
        <w:rPr>
          <w:b/>
          <w:bCs/>
          <w:sz w:val="22"/>
        </w:rPr>
      </w:pPr>
      <w:bookmarkStart w:id="505" w:name="_Toc35892740"/>
      <w:r w:rsidRPr="00EB21C3">
        <w:rPr>
          <w:b/>
          <w:bCs/>
          <w:sz w:val="22"/>
        </w:rPr>
        <w:t>Participants and procedure</w:t>
      </w:r>
      <w:bookmarkEnd w:id="505"/>
      <w:r w:rsidRPr="00EB21C3">
        <w:rPr>
          <w:b/>
          <w:bCs/>
          <w:sz w:val="22"/>
        </w:rPr>
        <w:br/>
      </w:r>
    </w:p>
    <w:p w14:paraId="59459132" w14:textId="68223F13" w:rsidR="00EB21C3" w:rsidRPr="00EB21C3" w:rsidRDefault="00EB21C3" w:rsidP="00EB21C3">
      <w:pPr>
        <w:widowControl w:val="0"/>
        <w:autoSpaceDE w:val="0"/>
        <w:autoSpaceDN w:val="0"/>
        <w:adjustRightInd w:val="0"/>
        <w:spacing w:line="480" w:lineRule="auto"/>
        <w:rPr>
          <w:color w:val="000000"/>
          <w:szCs w:val="24"/>
        </w:rPr>
      </w:pPr>
      <w:r w:rsidRPr="00EB21C3">
        <w:t xml:space="preserve">The focus groups were conducted between October 2018 and January 2019. </w:t>
      </w:r>
      <w:r w:rsidRPr="00EB21C3">
        <w:rPr>
          <w:color w:val="000000"/>
          <w:szCs w:val="24"/>
        </w:rPr>
        <w:t>Thirty</w:t>
      </w:r>
      <w:r w:rsidR="003A0F49">
        <w:rPr>
          <w:color w:val="000000"/>
          <w:szCs w:val="24"/>
        </w:rPr>
        <w:t>-</w:t>
      </w:r>
      <w:r w:rsidRPr="00EB21C3">
        <w:rPr>
          <w:color w:val="000000"/>
          <w:szCs w:val="24"/>
        </w:rPr>
        <w:t xml:space="preserve">one participants were recruited from three community groups based in Yorkshire: Sheffield Young Advisors (SYA), Young Healthwatch Leeds (YHL) and </w:t>
      </w:r>
      <w:r w:rsidRPr="00EB21C3">
        <w:rPr>
          <w:szCs w:val="24"/>
        </w:rPr>
        <w:t xml:space="preserve">Doncaster Housing for Young </w:t>
      </w:r>
      <w:r w:rsidR="003A0F49">
        <w:rPr>
          <w:szCs w:val="24"/>
        </w:rPr>
        <w:t>P</w:t>
      </w:r>
      <w:r w:rsidRPr="00EB21C3">
        <w:rPr>
          <w:szCs w:val="24"/>
        </w:rPr>
        <w:t>eople</w:t>
      </w:r>
      <w:r w:rsidRPr="00EB21C3">
        <w:rPr>
          <w:color w:val="000000"/>
          <w:szCs w:val="24"/>
        </w:rPr>
        <w:t xml:space="preserve"> (DHY).  A more in-depth description of the community groups, their role in the research and the focus group methodology is provided in Chapter 4 Section 4.6.1. </w:t>
      </w:r>
      <w:r w:rsidRPr="00EB21C3">
        <w:t xml:space="preserve">Participants were recruited working closely with community group facilitators, to ensure appropriate health and safety procedures were followed and young people were not inadvertently coerced into taking part. </w:t>
      </w:r>
      <w:r w:rsidRPr="00EB21C3">
        <w:rPr>
          <w:szCs w:val="24"/>
        </w:rPr>
        <w:t xml:space="preserve"> </w:t>
      </w:r>
      <w:r w:rsidRPr="00EB21C3">
        <w:rPr>
          <w:color w:val="000000"/>
          <w:szCs w:val="24"/>
        </w:rPr>
        <w:t>Participants aged 15 to 24 were recruited in collaboration with community group facilitators and asked if they (and the community group manager if they were under 16) would consent to tak</w:t>
      </w:r>
      <w:r w:rsidR="003A0F49">
        <w:rPr>
          <w:color w:val="000000"/>
          <w:szCs w:val="24"/>
        </w:rPr>
        <w:t>e</w:t>
      </w:r>
      <w:r w:rsidRPr="00EB21C3">
        <w:rPr>
          <w:color w:val="000000"/>
          <w:szCs w:val="24"/>
        </w:rPr>
        <w:t xml:space="preserve"> part. After deciding to take part, participants filled in the consent</w:t>
      </w:r>
      <w:r w:rsidR="00D97719">
        <w:rPr>
          <w:color w:val="000000"/>
          <w:szCs w:val="24"/>
        </w:rPr>
        <w:t xml:space="preserve"> form</w:t>
      </w:r>
      <w:r w:rsidRPr="00EB21C3">
        <w:rPr>
          <w:color w:val="000000"/>
          <w:szCs w:val="24"/>
        </w:rPr>
        <w:t xml:space="preserve"> and a background information questionnaire and were provided with a participant information sheet (</w:t>
      </w:r>
      <w:r w:rsidR="00603E9F">
        <w:rPr>
          <w:color w:val="000000"/>
          <w:szCs w:val="24"/>
        </w:rPr>
        <w:t>see Appendices B, C and D for Studies 1, 2 and 3 respectively</w:t>
      </w:r>
      <w:r w:rsidRPr="00EB21C3">
        <w:rPr>
          <w:color w:val="000000"/>
          <w:szCs w:val="24"/>
        </w:rPr>
        <w:t>). Participants were then asked a series of semi-structured questions with prompts. Group discussion</w:t>
      </w:r>
      <w:r w:rsidR="00D97719">
        <w:rPr>
          <w:color w:val="000000"/>
          <w:szCs w:val="24"/>
        </w:rPr>
        <w:t>s</w:t>
      </w:r>
      <w:r w:rsidRPr="00EB21C3">
        <w:rPr>
          <w:color w:val="000000"/>
          <w:szCs w:val="24"/>
        </w:rPr>
        <w:t xml:space="preserve"> took about 40 to 60 minutes and </w:t>
      </w:r>
      <w:r w:rsidR="00D97719">
        <w:rPr>
          <w:color w:val="000000"/>
          <w:szCs w:val="24"/>
        </w:rPr>
        <w:t>were</w:t>
      </w:r>
      <w:r w:rsidRPr="00EB21C3">
        <w:rPr>
          <w:color w:val="000000"/>
          <w:szCs w:val="24"/>
        </w:rPr>
        <w:t xml:space="preserve"> recorded using a digital voice recorder. </w:t>
      </w:r>
    </w:p>
    <w:p w14:paraId="5CE021A0" w14:textId="77777777" w:rsidR="00EB21C3" w:rsidRPr="00EB21C3" w:rsidRDefault="00EB21C3" w:rsidP="00EB21C3">
      <w:pPr>
        <w:keepNext/>
        <w:keepLines/>
        <w:numPr>
          <w:ilvl w:val="3"/>
          <w:numId w:val="2"/>
        </w:numPr>
        <w:spacing w:before="200" w:after="100" w:afterAutospacing="1"/>
        <w:outlineLvl w:val="3"/>
        <w:rPr>
          <w:b/>
          <w:bCs/>
          <w:iCs/>
          <w:sz w:val="22"/>
        </w:rPr>
      </w:pPr>
      <w:r w:rsidRPr="00EB21C3">
        <w:rPr>
          <w:b/>
          <w:bCs/>
          <w:iCs/>
          <w:sz w:val="22"/>
        </w:rPr>
        <w:t>Definitions</w:t>
      </w:r>
    </w:p>
    <w:p w14:paraId="1D76D7A3" w14:textId="77777777" w:rsidR="00EB21C3" w:rsidRPr="00EB21C3" w:rsidRDefault="00EB21C3" w:rsidP="00EB21C3">
      <w:pPr>
        <w:spacing w:line="480" w:lineRule="auto"/>
        <w:rPr>
          <w:szCs w:val="24"/>
        </w:rPr>
      </w:pPr>
      <w:r w:rsidRPr="00EB21C3">
        <w:rPr>
          <w:szCs w:val="24"/>
        </w:rPr>
        <w:t xml:space="preserve">Throughout the focus group sessions NPS were referred to by their colloquial term 'legal highs' which was defined as: </w:t>
      </w:r>
    </w:p>
    <w:p w14:paraId="733B39E4" w14:textId="77777777" w:rsidR="00EB21C3" w:rsidRPr="00EB21C3" w:rsidRDefault="00EB21C3" w:rsidP="00EB21C3">
      <w:pPr>
        <w:spacing w:line="480" w:lineRule="auto"/>
        <w:rPr>
          <w:szCs w:val="24"/>
        </w:rPr>
      </w:pPr>
      <w:r w:rsidRPr="00EB21C3">
        <w:rPr>
          <w:szCs w:val="24"/>
        </w:rPr>
        <w:t xml:space="preserve">'the common name for Novel Psychoactive Substances. These are chemical substances that until recently were sold legally. They produce the same, or similar effects, to traditional illegal drugs such as cannabis, cocaine, ecstasy and heroin. They are psychoactive which means they have mood-altering properties and can act as stimulants, sedatives, hallucinogens and psychedelics. Since May 2016 they have been banned, which means it is now illegal to sell them, but apart from a few exceptions it is not illegal to possess them for personal use.' </w:t>
      </w:r>
    </w:p>
    <w:p w14:paraId="4228CA14" w14:textId="77777777" w:rsidR="00EB21C3" w:rsidRPr="00EB21C3" w:rsidRDefault="00EB21C3" w:rsidP="00EB21C3">
      <w:pPr>
        <w:spacing w:line="480" w:lineRule="auto"/>
      </w:pPr>
      <w:r w:rsidRPr="00EB21C3">
        <w:rPr>
          <w:szCs w:val="24"/>
        </w:rPr>
        <w:t>Performance of the target behaviour was defined as 'taking legal highs' while non-performance was defined as 'not taking legal highs'.</w:t>
      </w:r>
    </w:p>
    <w:p w14:paraId="31DD2A9F" w14:textId="77777777" w:rsidR="00EB21C3" w:rsidRPr="00EB21C3" w:rsidRDefault="00EB21C3" w:rsidP="00EB21C3">
      <w:pPr>
        <w:keepNext/>
        <w:keepLines/>
        <w:numPr>
          <w:ilvl w:val="2"/>
          <w:numId w:val="2"/>
        </w:numPr>
        <w:spacing w:before="480" w:after="100" w:afterAutospacing="1" w:line="240" w:lineRule="auto"/>
        <w:outlineLvl w:val="2"/>
        <w:rPr>
          <w:b/>
          <w:bCs/>
          <w:sz w:val="22"/>
        </w:rPr>
      </w:pPr>
      <w:bookmarkStart w:id="506" w:name="_Toc35892741"/>
      <w:r w:rsidRPr="00EB21C3">
        <w:rPr>
          <w:b/>
          <w:bCs/>
          <w:sz w:val="22"/>
        </w:rPr>
        <w:t>Measures</w:t>
      </w:r>
      <w:bookmarkEnd w:id="506"/>
      <w:r w:rsidRPr="00EB21C3">
        <w:rPr>
          <w:b/>
          <w:bCs/>
          <w:sz w:val="22"/>
        </w:rPr>
        <w:t xml:space="preserve"> </w:t>
      </w:r>
    </w:p>
    <w:p w14:paraId="0CB8E8F0" w14:textId="77777777" w:rsidR="00EB21C3" w:rsidRPr="00EB21C3" w:rsidRDefault="00EB21C3" w:rsidP="00EB21C3">
      <w:pPr>
        <w:spacing w:line="480" w:lineRule="auto"/>
      </w:pPr>
      <w:r w:rsidRPr="00EB21C3">
        <w:t xml:space="preserve">The background questionnaire collected socio-demographic information and information about participants use of NPS both before and after the introduction of the PS Act in addition to their use of traditional illicit drugs. The questionnaire also asked about their friends’ use of NPS and illicit drugs, including whether or not they believed their friends had used NPS before and after the ban. </w:t>
      </w:r>
    </w:p>
    <w:p w14:paraId="2CCCE421" w14:textId="77777777" w:rsidR="00EB21C3" w:rsidRPr="00EB21C3" w:rsidRDefault="00EB21C3" w:rsidP="00EB21C3">
      <w:pPr>
        <w:keepNext/>
        <w:keepLines/>
        <w:numPr>
          <w:ilvl w:val="3"/>
          <w:numId w:val="2"/>
        </w:numPr>
        <w:spacing w:before="200" w:after="100" w:afterAutospacing="1"/>
        <w:outlineLvl w:val="3"/>
        <w:rPr>
          <w:b/>
          <w:bCs/>
          <w:iCs/>
          <w:sz w:val="22"/>
        </w:rPr>
      </w:pPr>
      <w:r w:rsidRPr="00EB21C3">
        <w:rPr>
          <w:b/>
          <w:bCs/>
          <w:iCs/>
          <w:sz w:val="22"/>
        </w:rPr>
        <w:t>Focus group questions</w:t>
      </w:r>
    </w:p>
    <w:p w14:paraId="4B588E85" w14:textId="1973D03F" w:rsidR="00EB21C3" w:rsidRPr="00EB21C3" w:rsidRDefault="00EB21C3" w:rsidP="00EB21C3">
      <w:pPr>
        <w:spacing w:line="480" w:lineRule="auto"/>
      </w:pPr>
      <w:r w:rsidRPr="00EB21C3">
        <w:t>The focus group session involved a series of open-ended questions with prompts to elicit participants’ beliefs about young people’s motivational conflicts and priorities in relation to NPS use and non-use. Additional questions were used to probe participants</w:t>
      </w:r>
      <w:r w:rsidR="00D97719">
        <w:t>’</w:t>
      </w:r>
      <w:r w:rsidRPr="00EB21C3">
        <w:t xml:space="preserve"> opinions about what they think would make a good intervention addressing young people’s use of NPS (See Table </w:t>
      </w:r>
      <w:r>
        <w:t>8-</w:t>
      </w:r>
      <w:r w:rsidRPr="00EB21C3">
        <w:t>1).</w:t>
      </w:r>
    </w:p>
    <w:p w14:paraId="1F605790" w14:textId="4BA02EA0" w:rsidR="00EB21C3" w:rsidRPr="00241FE7" w:rsidRDefault="00EB21C3" w:rsidP="00461C9A">
      <w:pPr>
        <w:pStyle w:val="TableHeader"/>
        <w:spacing w:line="240" w:lineRule="auto"/>
        <w:rPr>
          <w:b/>
          <w:bCs/>
          <w:color w:val="4F81BD" w:themeColor="accent1"/>
          <w:sz w:val="22"/>
        </w:rPr>
      </w:pPr>
      <w:bookmarkStart w:id="507" w:name="_Toc9509086"/>
      <w:r w:rsidRPr="00241FE7">
        <w:rPr>
          <w:b/>
        </w:rPr>
        <w:t>Table 8-1. Focus group questions for motivational targets and intervention acceptability</w:t>
      </w:r>
      <w:bookmarkEnd w:id="50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tblCellMar>
        <w:tblLook w:val="04A0" w:firstRow="1" w:lastRow="0" w:firstColumn="1" w:lastColumn="0" w:noHBand="0" w:noVBand="1"/>
      </w:tblPr>
      <w:tblGrid>
        <w:gridCol w:w="817"/>
        <w:gridCol w:w="8363"/>
      </w:tblGrid>
      <w:tr w:rsidR="00EB21C3" w:rsidRPr="00EB21C3" w14:paraId="155AC08A" w14:textId="77777777" w:rsidTr="00EB21C3">
        <w:trPr>
          <w:trHeight w:val="431"/>
        </w:trPr>
        <w:tc>
          <w:tcPr>
            <w:tcW w:w="9180" w:type="dxa"/>
            <w:gridSpan w:val="2"/>
            <w:tcBorders>
              <w:top w:val="single" w:sz="4" w:space="0" w:color="auto"/>
              <w:bottom w:val="single" w:sz="4" w:space="0" w:color="auto"/>
            </w:tcBorders>
            <w:hideMark/>
          </w:tcPr>
          <w:p w14:paraId="4E0C0195" w14:textId="77777777" w:rsidR="00EB21C3" w:rsidRPr="00EB21C3" w:rsidRDefault="00EB21C3" w:rsidP="00EB21C3">
            <w:pPr>
              <w:spacing w:before="60" w:after="120"/>
              <w:rPr>
                <w:rFonts w:cs="Arial"/>
                <w:b/>
              </w:rPr>
            </w:pPr>
            <w:r w:rsidRPr="00EB21C3">
              <w:rPr>
                <w:rFonts w:cs="Arial"/>
                <w:b/>
              </w:rPr>
              <w:t>Theme</w:t>
            </w:r>
          </w:p>
          <w:p w14:paraId="3DA59BE7" w14:textId="77777777" w:rsidR="00EB21C3" w:rsidRPr="00EB21C3" w:rsidRDefault="00EB21C3" w:rsidP="00EB21C3">
            <w:pPr>
              <w:spacing w:before="60" w:after="120"/>
              <w:rPr>
                <w:rFonts w:cs="Arial"/>
              </w:rPr>
            </w:pPr>
            <w:r w:rsidRPr="00EB21C3">
              <w:rPr>
                <w:rFonts w:cs="Arial"/>
              </w:rPr>
              <w:t xml:space="preserve">     Questions and prompt</w:t>
            </w:r>
          </w:p>
        </w:tc>
      </w:tr>
      <w:tr w:rsidR="00EB21C3" w:rsidRPr="00EB21C3" w14:paraId="72C18044" w14:textId="77777777" w:rsidTr="00EB21C3">
        <w:trPr>
          <w:trHeight w:val="327"/>
        </w:trPr>
        <w:tc>
          <w:tcPr>
            <w:tcW w:w="9180" w:type="dxa"/>
            <w:gridSpan w:val="2"/>
            <w:tcBorders>
              <w:top w:val="single" w:sz="4" w:space="0" w:color="auto"/>
            </w:tcBorders>
          </w:tcPr>
          <w:p w14:paraId="55993CE2" w14:textId="77777777" w:rsidR="00EB21C3" w:rsidRPr="00EB21C3" w:rsidRDefault="00EB21C3" w:rsidP="00EB21C3">
            <w:pPr>
              <w:spacing w:before="60" w:after="120"/>
              <w:rPr>
                <w:rFonts w:cs="Arial"/>
              </w:rPr>
            </w:pPr>
            <w:r w:rsidRPr="00EB21C3">
              <w:rPr>
                <w:rFonts w:cs="Arial"/>
                <w:b/>
              </w:rPr>
              <w:t>Conflict</w:t>
            </w:r>
          </w:p>
        </w:tc>
      </w:tr>
      <w:tr w:rsidR="00EB21C3" w:rsidRPr="00EB21C3" w14:paraId="2D139D3E" w14:textId="77777777" w:rsidTr="00EB21C3">
        <w:trPr>
          <w:trHeight w:val="327"/>
        </w:trPr>
        <w:tc>
          <w:tcPr>
            <w:tcW w:w="9180" w:type="dxa"/>
            <w:gridSpan w:val="2"/>
            <w:shd w:val="clear" w:color="auto" w:fill="auto"/>
            <w:hideMark/>
          </w:tcPr>
          <w:p w14:paraId="0462AC90" w14:textId="77777777" w:rsidR="00EB21C3" w:rsidRPr="00D97719" w:rsidRDefault="00EB21C3" w:rsidP="00D97719">
            <w:pPr>
              <w:pStyle w:val="ListParagraph"/>
              <w:numPr>
                <w:ilvl w:val="0"/>
                <w:numId w:val="45"/>
              </w:numPr>
              <w:spacing w:before="60" w:after="120"/>
              <w:rPr>
                <w:rFonts w:cs="Arial"/>
              </w:rPr>
            </w:pPr>
            <w:r w:rsidRPr="00D97719">
              <w:rPr>
                <w:rFonts w:cs="Arial"/>
              </w:rPr>
              <w:t xml:space="preserve">What motivates young people to take Legal Highs? </w:t>
            </w:r>
          </w:p>
          <w:p w14:paraId="5882CD87" w14:textId="77777777" w:rsidR="00EB21C3" w:rsidRPr="00EB21C3" w:rsidRDefault="00EB21C3" w:rsidP="00D97719">
            <w:pPr>
              <w:spacing w:before="60" w:after="120"/>
              <w:rPr>
                <w:rFonts w:cs="Arial"/>
              </w:rPr>
            </w:pPr>
          </w:p>
        </w:tc>
      </w:tr>
      <w:tr w:rsidR="00EB21C3" w:rsidRPr="00EB21C3" w14:paraId="2BC9CA95" w14:textId="77777777" w:rsidTr="00EB21C3">
        <w:trPr>
          <w:trHeight w:val="327"/>
        </w:trPr>
        <w:tc>
          <w:tcPr>
            <w:tcW w:w="817" w:type="dxa"/>
            <w:shd w:val="clear" w:color="auto" w:fill="auto"/>
          </w:tcPr>
          <w:p w14:paraId="64842E42" w14:textId="77777777" w:rsidR="00EB21C3" w:rsidRPr="00EB21C3" w:rsidRDefault="00EB21C3" w:rsidP="00EB21C3">
            <w:pPr>
              <w:spacing w:before="60" w:after="120"/>
              <w:rPr>
                <w:rFonts w:cs="Arial"/>
                <w:sz w:val="22"/>
              </w:rPr>
            </w:pPr>
          </w:p>
        </w:tc>
        <w:tc>
          <w:tcPr>
            <w:tcW w:w="8363" w:type="dxa"/>
            <w:shd w:val="clear" w:color="auto" w:fill="auto"/>
          </w:tcPr>
          <w:p w14:paraId="3DEF98E8" w14:textId="77777777" w:rsidR="00EB21C3" w:rsidRPr="00EB21C3" w:rsidRDefault="00EB21C3" w:rsidP="00EB21C3">
            <w:pPr>
              <w:spacing w:before="60" w:after="120"/>
              <w:rPr>
                <w:rFonts w:cs="Arial"/>
                <w:sz w:val="22"/>
              </w:rPr>
            </w:pPr>
            <w:r w:rsidRPr="00EB21C3">
              <w:rPr>
                <w:rFonts w:cs="Arial"/>
                <w:sz w:val="22"/>
              </w:rPr>
              <w:t>What are the reasons they do it?</w:t>
            </w:r>
          </w:p>
        </w:tc>
      </w:tr>
      <w:tr w:rsidR="00EB21C3" w:rsidRPr="00EB21C3" w14:paraId="540B630E" w14:textId="77777777" w:rsidTr="00EB21C3">
        <w:trPr>
          <w:trHeight w:val="327"/>
        </w:trPr>
        <w:tc>
          <w:tcPr>
            <w:tcW w:w="9180" w:type="dxa"/>
            <w:gridSpan w:val="2"/>
            <w:shd w:val="clear" w:color="auto" w:fill="auto"/>
            <w:hideMark/>
          </w:tcPr>
          <w:p w14:paraId="776D88D9" w14:textId="77777777" w:rsidR="00EB21C3" w:rsidRPr="00D97719" w:rsidRDefault="00EB21C3" w:rsidP="00D97719">
            <w:pPr>
              <w:pStyle w:val="ListParagraph"/>
              <w:numPr>
                <w:ilvl w:val="0"/>
                <w:numId w:val="45"/>
              </w:numPr>
              <w:spacing w:before="60" w:after="120"/>
              <w:rPr>
                <w:rFonts w:cs="Arial"/>
              </w:rPr>
            </w:pPr>
            <w:r w:rsidRPr="00D97719">
              <w:rPr>
                <w:rFonts w:cs="Arial"/>
              </w:rPr>
              <w:t xml:space="preserve">What motivates young people not to take Legal Highs? </w:t>
            </w:r>
          </w:p>
          <w:p w14:paraId="4027DB0D" w14:textId="77777777" w:rsidR="00EB21C3" w:rsidRPr="00EB21C3" w:rsidRDefault="00EB21C3" w:rsidP="00D97719">
            <w:pPr>
              <w:spacing w:before="60" w:after="120"/>
              <w:rPr>
                <w:rFonts w:cs="Arial"/>
              </w:rPr>
            </w:pPr>
          </w:p>
        </w:tc>
      </w:tr>
      <w:tr w:rsidR="00EB21C3" w:rsidRPr="00EB21C3" w14:paraId="5B6DD9B0" w14:textId="77777777" w:rsidTr="00EB21C3">
        <w:trPr>
          <w:trHeight w:val="327"/>
        </w:trPr>
        <w:tc>
          <w:tcPr>
            <w:tcW w:w="817" w:type="dxa"/>
            <w:shd w:val="clear" w:color="auto" w:fill="auto"/>
          </w:tcPr>
          <w:p w14:paraId="53E3E80D" w14:textId="77777777" w:rsidR="00EB21C3" w:rsidRPr="00EB21C3" w:rsidRDefault="00EB21C3" w:rsidP="00EB21C3">
            <w:pPr>
              <w:spacing w:before="60" w:after="120"/>
              <w:rPr>
                <w:rFonts w:cs="Arial"/>
                <w:sz w:val="22"/>
              </w:rPr>
            </w:pPr>
          </w:p>
        </w:tc>
        <w:tc>
          <w:tcPr>
            <w:tcW w:w="8363" w:type="dxa"/>
            <w:shd w:val="clear" w:color="auto" w:fill="auto"/>
          </w:tcPr>
          <w:p w14:paraId="694A1E00" w14:textId="77777777" w:rsidR="00EB21C3" w:rsidRPr="00EB21C3" w:rsidRDefault="00EB21C3" w:rsidP="00EB21C3">
            <w:pPr>
              <w:spacing w:before="60" w:after="120"/>
              <w:rPr>
                <w:rFonts w:cs="Arial"/>
                <w:sz w:val="22"/>
              </w:rPr>
            </w:pPr>
            <w:r w:rsidRPr="00EB21C3">
              <w:rPr>
                <w:rFonts w:cs="Arial"/>
                <w:sz w:val="22"/>
              </w:rPr>
              <w:t>What are the reasons they don’t do it?</w:t>
            </w:r>
          </w:p>
        </w:tc>
      </w:tr>
      <w:tr w:rsidR="00EB21C3" w:rsidRPr="00EB21C3" w14:paraId="16EF9BF7" w14:textId="77777777" w:rsidTr="00EB21C3">
        <w:trPr>
          <w:trHeight w:val="327"/>
        </w:trPr>
        <w:tc>
          <w:tcPr>
            <w:tcW w:w="9180" w:type="dxa"/>
            <w:gridSpan w:val="2"/>
            <w:shd w:val="clear" w:color="auto" w:fill="auto"/>
          </w:tcPr>
          <w:p w14:paraId="2045202A" w14:textId="77777777" w:rsidR="00EB21C3" w:rsidRPr="001274B4" w:rsidRDefault="00EB21C3" w:rsidP="001274B4">
            <w:pPr>
              <w:pStyle w:val="ListParagraph"/>
              <w:numPr>
                <w:ilvl w:val="0"/>
                <w:numId w:val="45"/>
              </w:numPr>
              <w:spacing w:before="60" w:after="120"/>
              <w:rPr>
                <w:rFonts w:cs="Arial"/>
              </w:rPr>
            </w:pPr>
            <w:r w:rsidRPr="001274B4">
              <w:rPr>
                <w:rFonts w:cs="Arial"/>
              </w:rPr>
              <w:t>Do you think there might be conflict between any of these motivations?</w:t>
            </w:r>
          </w:p>
        </w:tc>
      </w:tr>
      <w:tr w:rsidR="00EB21C3" w:rsidRPr="00EB21C3" w14:paraId="27CA9DC6" w14:textId="77777777" w:rsidTr="00EB21C3">
        <w:trPr>
          <w:trHeight w:val="327"/>
        </w:trPr>
        <w:tc>
          <w:tcPr>
            <w:tcW w:w="817" w:type="dxa"/>
            <w:tcBorders>
              <w:bottom w:val="single" w:sz="4" w:space="0" w:color="auto"/>
            </w:tcBorders>
            <w:shd w:val="clear" w:color="auto" w:fill="auto"/>
          </w:tcPr>
          <w:p w14:paraId="013F08C2" w14:textId="77777777" w:rsidR="00EB21C3" w:rsidRPr="00EB21C3" w:rsidRDefault="00EB21C3" w:rsidP="00EB21C3">
            <w:pPr>
              <w:spacing w:before="60" w:after="240"/>
              <w:rPr>
                <w:rFonts w:cs="Arial"/>
                <w:sz w:val="22"/>
              </w:rPr>
            </w:pPr>
          </w:p>
        </w:tc>
        <w:tc>
          <w:tcPr>
            <w:tcW w:w="8363" w:type="dxa"/>
            <w:tcBorders>
              <w:bottom w:val="single" w:sz="4" w:space="0" w:color="auto"/>
            </w:tcBorders>
            <w:shd w:val="clear" w:color="auto" w:fill="auto"/>
          </w:tcPr>
          <w:p w14:paraId="6A3FAC87" w14:textId="77777777" w:rsidR="00EB21C3" w:rsidRPr="00EB21C3" w:rsidRDefault="00EB21C3" w:rsidP="00EB21C3">
            <w:pPr>
              <w:spacing w:before="60" w:after="240"/>
              <w:rPr>
                <w:rFonts w:cs="Arial"/>
                <w:sz w:val="22"/>
              </w:rPr>
            </w:pPr>
            <w:r w:rsidRPr="00EB21C3">
              <w:rPr>
                <w:rFonts w:cs="Arial"/>
                <w:sz w:val="22"/>
              </w:rPr>
              <w:t>Do they feel conflicted in what they want?</w:t>
            </w:r>
          </w:p>
        </w:tc>
      </w:tr>
      <w:tr w:rsidR="00EB21C3" w:rsidRPr="00EB21C3" w14:paraId="3C7C19BA" w14:textId="77777777" w:rsidTr="00EB21C3">
        <w:trPr>
          <w:trHeight w:val="327"/>
        </w:trPr>
        <w:tc>
          <w:tcPr>
            <w:tcW w:w="9180" w:type="dxa"/>
            <w:gridSpan w:val="2"/>
            <w:tcBorders>
              <w:top w:val="single" w:sz="4" w:space="0" w:color="auto"/>
            </w:tcBorders>
            <w:shd w:val="clear" w:color="auto" w:fill="auto"/>
          </w:tcPr>
          <w:p w14:paraId="231374FF" w14:textId="77777777" w:rsidR="00EB21C3" w:rsidRPr="00EB21C3" w:rsidRDefault="00EB21C3" w:rsidP="00EB21C3">
            <w:pPr>
              <w:spacing w:before="60" w:after="120"/>
              <w:rPr>
                <w:rFonts w:cs="Arial"/>
                <w:b/>
                <w:szCs w:val="24"/>
              </w:rPr>
            </w:pPr>
            <w:r w:rsidRPr="00EB21C3">
              <w:rPr>
                <w:rFonts w:cs="Arial"/>
                <w:b/>
              </w:rPr>
              <w:t xml:space="preserve">Priority  </w:t>
            </w:r>
          </w:p>
        </w:tc>
      </w:tr>
      <w:tr w:rsidR="00EB21C3" w:rsidRPr="00EB21C3" w14:paraId="46EC27B2" w14:textId="77777777" w:rsidTr="00EB21C3">
        <w:trPr>
          <w:trHeight w:val="327"/>
        </w:trPr>
        <w:tc>
          <w:tcPr>
            <w:tcW w:w="9180" w:type="dxa"/>
            <w:gridSpan w:val="2"/>
            <w:shd w:val="clear" w:color="auto" w:fill="auto"/>
          </w:tcPr>
          <w:p w14:paraId="7FF3CC28" w14:textId="77777777" w:rsidR="00EB21C3" w:rsidRPr="001274B4" w:rsidRDefault="00EB21C3" w:rsidP="001274B4">
            <w:pPr>
              <w:pStyle w:val="ListParagraph"/>
              <w:numPr>
                <w:ilvl w:val="0"/>
                <w:numId w:val="45"/>
              </w:numPr>
              <w:spacing w:before="60" w:after="120"/>
              <w:rPr>
                <w:rFonts w:cs="Arial"/>
                <w:b/>
              </w:rPr>
            </w:pPr>
            <w:r w:rsidRPr="001274B4">
              <w:rPr>
                <w:rFonts w:cs="Arial"/>
              </w:rPr>
              <w:t>What do you think is most important to young people taking Legal Highs?</w:t>
            </w:r>
          </w:p>
        </w:tc>
      </w:tr>
      <w:tr w:rsidR="00EB21C3" w:rsidRPr="00EB21C3" w14:paraId="4132D480" w14:textId="77777777" w:rsidTr="00EB21C3">
        <w:trPr>
          <w:trHeight w:val="327"/>
        </w:trPr>
        <w:tc>
          <w:tcPr>
            <w:tcW w:w="817" w:type="dxa"/>
            <w:shd w:val="clear" w:color="auto" w:fill="auto"/>
          </w:tcPr>
          <w:p w14:paraId="6CBBB998" w14:textId="77777777" w:rsidR="00EB21C3" w:rsidRPr="00EB21C3" w:rsidRDefault="00EB21C3" w:rsidP="00EB21C3">
            <w:pPr>
              <w:spacing w:before="60" w:after="120"/>
              <w:rPr>
                <w:rFonts w:cs="Arial"/>
                <w:sz w:val="22"/>
              </w:rPr>
            </w:pPr>
          </w:p>
        </w:tc>
        <w:tc>
          <w:tcPr>
            <w:tcW w:w="8363" w:type="dxa"/>
            <w:shd w:val="clear" w:color="auto" w:fill="auto"/>
          </w:tcPr>
          <w:p w14:paraId="78CBE591" w14:textId="77777777" w:rsidR="00EB21C3" w:rsidRPr="00EB21C3" w:rsidRDefault="00EB21C3" w:rsidP="00EB21C3">
            <w:pPr>
              <w:spacing w:before="60" w:after="120"/>
              <w:rPr>
                <w:rFonts w:cs="Arial"/>
                <w:sz w:val="22"/>
              </w:rPr>
            </w:pPr>
            <w:r w:rsidRPr="00EB21C3">
              <w:rPr>
                <w:rFonts w:cs="Arial"/>
                <w:sz w:val="22"/>
              </w:rPr>
              <w:t xml:space="preserve">What motivations are most important to them?  </w:t>
            </w:r>
          </w:p>
        </w:tc>
      </w:tr>
      <w:tr w:rsidR="00EB21C3" w:rsidRPr="00EB21C3" w14:paraId="1B05AF85" w14:textId="77777777" w:rsidTr="00EB21C3">
        <w:trPr>
          <w:trHeight w:val="327"/>
        </w:trPr>
        <w:tc>
          <w:tcPr>
            <w:tcW w:w="9180" w:type="dxa"/>
            <w:gridSpan w:val="2"/>
            <w:shd w:val="clear" w:color="auto" w:fill="auto"/>
          </w:tcPr>
          <w:p w14:paraId="560F10D5" w14:textId="77777777" w:rsidR="00EB21C3" w:rsidRPr="001274B4" w:rsidRDefault="00EB21C3" w:rsidP="001274B4">
            <w:pPr>
              <w:pStyle w:val="ListParagraph"/>
              <w:numPr>
                <w:ilvl w:val="0"/>
                <w:numId w:val="45"/>
              </w:numPr>
              <w:spacing w:before="60" w:after="120"/>
              <w:rPr>
                <w:rFonts w:cs="Arial"/>
              </w:rPr>
            </w:pPr>
            <w:r w:rsidRPr="001274B4">
              <w:rPr>
                <w:rFonts w:cs="Arial"/>
              </w:rPr>
              <w:t>What do you think is most important to young people who don’t take Legal Highs?</w:t>
            </w:r>
          </w:p>
        </w:tc>
      </w:tr>
      <w:tr w:rsidR="00EB21C3" w:rsidRPr="00EB21C3" w14:paraId="5CA6DCDD" w14:textId="77777777" w:rsidTr="00EB21C3">
        <w:trPr>
          <w:trHeight w:val="327"/>
        </w:trPr>
        <w:tc>
          <w:tcPr>
            <w:tcW w:w="817" w:type="dxa"/>
            <w:shd w:val="clear" w:color="auto" w:fill="auto"/>
          </w:tcPr>
          <w:p w14:paraId="442B499F" w14:textId="77777777" w:rsidR="00EB21C3" w:rsidRPr="00EB21C3" w:rsidRDefault="00EB21C3" w:rsidP="00EB21C3">
            <w:pPr>
              <w:spacing w:before="60" w:after="240"/>
              <w:rPr>
                <w:rFonts w:cs="Arial"/>
                <w:b/>
                <w:sz w:val="22"/>
              </w:rPr>
            </w:pPr>
          </w:p>
        </w:tc>
        <w:tc>
          <w:tcPr>
            <w:tcW w:w="8363" w:type="dxa"/>
            <w:shd w:val="clear" w:color="auto" w:fill="auto"/>
          </w:tcPr>
          <w:p w14:paraId="4BB43D77" w14:textId="77777777" w:rsidR="00EB21C3" w:rsidRPr="00EB21C3" w:rsidRDefault="00EB21C3" w:rsidP="00EB21C3">
            <w:pPr>
              <w:spacing w:before="60" w:after="240"/>
              <w:rPr>
                <w:rFonts w:cs="Arial"/>
                <w:sz w:val="22"/>
              </w:rPr>
            </w:pPr>
            <w:r w:rsidRPr="00EB21C3">
              <w:rPr>
                <w:rFonts w:cs="Arial"/>
                <w:sz w:val="22"/>
              </w:rPr>
              <w:t xml:space="preserve">What motivations are most important to them? </w:t>
            </w:r>
          </w:p>
        </w:tc>
      </w:tr>
      <w:tr w:rsidR="00EB21C3" w:rsidRPr="00EB21C3" w14:paraId="6361F602" w14:textId="77777777" w:rsidTr="00EB21C3">
        <w:trPr>
          <w:trHeight w:val="327"/>
        </w:trPr>
        <w:tc>
          <w:tcPr>
            <w:tcW w:w="9180" w:type="dxa"/>
            <w:gridSpan w:val="2"/>
            <w:tcBorders>
              <w:top w:val="single" w:sz="4" w:space="0" w:color="auto"/>
            </w:tcBorders>
            <w:shd w:val="clear" w:color="auto" w:fill="auto"/>
          </w:tcPr>
          <w:p w14:paraId="0873F3F0" w14:textId="77777777" w:rsidR="00EB21C3" w:rsidRPr="00EB21C3" w:rsidRDefault="00EB21C3" w:rsidP="00EB21C3">
            <w:pPr>
              <w:spacing w:before="60" w:after="120"/>
              <w:rPr>
                <w:rFonts w:cs="Arial"/>
              </w:rPr>
            </w:pPr>
            <w:r w:rsidRPr="00EB21C3">
              <w:rPr>
                <w:rFonts w:cs="Arial"/>
                <w:b/>
              </w:rPr>
              <w:t>Acceptability</w:t>
            </w:r>
          </w:p>
        </w:tc>
      </w:tr>
      <w:tr w:rsidR="00EB21C3" w:rsidRPr="00EB21C3" w14:paraId="324BEFAF" w14:textId="77777777" w:rsidTr="00EB21C3">
        <w:trPr>
          <w:trHeight w:val="327"/>
        </w:trPr>
        <w:tc>
          <w:tcPr>
            <w:tcW w:w="9180" w:type="dxa"/>
            <w:gridSpan w:val="2"/>
            <w:shd w:val="clear" w:color="auto" w:fill="auto"/>
            <w:hideMark/>
          </w:tcPr>
          <w:p w14:paraId="48EFCB02" w14:textId="6BF5141B" w:rsidR="00EB21C3" w:rsidRPr="00461C9A" w:rsidRDefault="00EB21C3" w:rsidP="001274B4">
            <w:pPr>
              <w:pStyle w:val="ListParagraph"/>
              <w:numPr>
                <w:ilvl w:val="0"/>
                <w:numId w:val="45"/>
              </w:numPr>
              <w:spacing w:before="60" w:after="120"/>
              <w:rPr>
                <w:rFonts w:cs="Arial"/>
              </w:rPr>
            </w:pPr>
            <w:r w:rsidRPr="001274B4">
              <w:rPr>
                <w:rFonts w:cs="Arial"/>
              </w:rPr>
              <w:t xml:space="preserve">What do you think is the best way to help support young people to not take legal highs? </w:t>
            </w:r>
          </w:p>
        </w:tc>
      </w:tr>
      <w:tr w:rsidR="00EB21C3" w:rsidRPr="00EB21C3" w14:paraId="31B1409D" w14:textId="77777777" w:rsidTr="00EB21C3">
        <w:trPr>
          <w:trHeight w:val="327"/>
        </w:trPr>
        <w:tc>
          <w:tcPr>
            <w:tcW w:w="817" w:type="dxa"/>
            <w:shd w:val="clear" w:color="auto" w:fill="auto"/>
          </w:tcPr>
          <w:p w14:paraId="2636CBE4" w14:textId="77777777" w:rsidR="00EB21C3" w:rsidRPr="00EB21C3" w:rsidRDefault="00EB21C3" w:rsidP="00EB21C3">
            <w:pPr>
              <w:spacing w:before="60" w:after="120"/>
              <w:rPr>
                <w:rFonts w:cs="Arial"/>
                <w:b/>
                <w:sz w:val="22"/>
                <w:szCs w:val="24"/>
              </w:rPr>
            </w:pPr>
          </w:p>
        </w:tc>
        <w:tc>
          <w:tcPr>
            <w:tcW w:w="8363" w:type="dxa"/>
            <w:shd w:val="clear" w:color="auto" w:fill="auto"/>
          </w:tcPr>
          <w:p w14:paraId="1F38AFF7" w14:textId="77777777" w:rsidR="00EB21C3" w:rsidRPr="00EB21C3" w:rsidRDefault="00EB21C3" w:rsidP="00EB21C3">
            <w:pPr>
              <w:spacing w:before="60" w:after="120"/>
              <w:rPr>
                <w:rFonts w:cs="Arial"/>
                <w:sz w:val="22"/>
              </w:rPr>
            </w:pPr>
            <w:r w:rsidRPr="00EB21C3">
              <w:rPr>
                <w:rFonts w:cs="Arial"/>
                <w:sz w:val="22"/>
              </w:rPr>
              <w:t>What do you think is a good idea? Why?</w:t>
            </w:r>
          </w:p>
          <w:p w14:paraId="5CC34ACE" w14:textId="77777777" w:rsidR="00EB21C3" w:rsidRPr="00EB21C3" w:rsidRDefault="00EB21C3" w:rsidP="00EB21C3">
            <w:pPr>
              <w:spacing w:before="60" w:after="120"/>
              <w:rPr>
                <w:rFonts w:cs="Arial"/>
                <w:sz w:val="22"/>
              </w:rPr>
            </w:pPr>
            <w:r w:rsidRPr="00EB21C3">
              <w:rPr>
                <w:rFonts w:cs="Arial"/>
                <w:sz w:val="22"/>
              </w:rPr>
              <w:t>What would be the best way to do that?</w:t>
            </w:r>
          </w:p>
          <w:p w14:paraId="4B19A3E4" w14:textId="77777777" w:rsidR="00EB21C3" w:rsidRPr="00EB21C3" w:rsidRDefault="00EB21C3" w:rsidP="00EB21C3">
            <w:pPr>
              <w:spacing w:before="60" w:after="120"/>
              <w:rPr>
                <w:rFonts w:cs="Arial"/>
                <w:sz w:val="22"/>
              </w:rPr>
            </w:pPr>
            <w:r w:rsidRPr="00EB21C3">
              <w:rPr>
                <w:rFonts w:cs="Arial"/>
                <w:sz w:val="22"/>
              </w:rPr>
              <w:t>Are there any other ways you can think of?</w:t>
            </w:r>
          </w:p>
        </w:tc>
      </w:tr>
      <w:tr w:rsidR="00EB21C3" w:rsidRPr="00EB21C3" w14:paraId="7CC5F1EA" w14:textId="77777777" w:rsidTr="00EB21C3">
        <w:trPr>
          <w:trHeight w:val="327"/>
        </w:trPr>
        <w:tc>
          <w:tcPr>
            <w:tcW w:w="9180" w:type="dxa"/>
            <w:gridSpan w:val="2"/>
            <w:shd w:val="clear" w:color="auto" w:fill="auto"/>
          </w:tcPr>
          <w:p w14:paraId="78089841" w14:textId="77777777" w:rsidR="00EB21C3" w:rsidRPr="00EB21C3" w:rsidRDefault="00EB21C3" w:rsidP="00470E53">
            <w:pPr>
              <w:numPr>
                <w:ilvl w:val="0"/>
                <w:numId w:val="44"/>
              </w:numPr>
              <w:spacing w:before="60" w:after="120"/>
              <w:contextualSpacing/>
              <w:rPr>
                <w:rFonts w:cs="Arial"/>
              </w:rPr>
            </w:pPr>
            <w:r w:rsidRPr="00EB21C3">
              <w:rPr>
                <w:rFonts w:cs="Arial"/>
              </w:rPr>
              <w:t xml:space="preserve">What do you think would not work? </w:t>
            </w:r>
          </w:p>
        </w:tc>
      </w:tr>
      <w:tr w:rsidR="00EB21C3" w:rsidRPr="00EB21C3" w14:paraId="18224FE7" w14:textId="77777777" w:rsidTr="00EB21C3">
        <w:trPr>
          <w:trHeight w:val="327"/>
        </w:trPr>
        <w:tc>
          <w:tcPr>
            <w:tcW w:w="817" w:type="dxa"/>
            <w:tcBorders>
              <w:bottom w:val="single" w:sz="4" w:space="0" w:color="auto"/>
            </w:tcBorders>
            <w:shd w:val="clear" w:color="auto" w:fill="auto"/>
          </w:tcPr>
          <w:p w14:paraId="50DEAB66" w14:textId="77777777" w:rsidR="00EB21C3" w:rsidRPr="00EB21C3" w:rsidRDefault="00EB21C3" w:rsidP="00EB21C3">
            <w:pPr>
              <w:spacing w:before="60" w:after="120"/>
              <w:rPr>
                <w:rFonts w:cs="Arial"/>
                <w:b/>
                <w:sz w:val="22"/>
                <w:szCs w:val="24"/>
              </w:rPr>
            </w:pPr>
          </w:p>
        </w:tc>
        <w:tc>
          <w:tcPr>
            <w:tcW w:w="8363" w:type="dxa"/>
            <w:tcBorders>
              <w:bottom w:val="single" w:sz="4" w:space="0" w:color="auto"/>
            </w:tcBorders>
            <w:shd w:val="clear" w:color="auto" w:fill="auto"/>
          </w:tcPr>
          <w:p w14:paraId="0962389B" w14:textId="77777777" w:rsidR="00EB21C3" w:rsidRPr="00EB21C3" w:rsidRDefault="00EB21C3" w:rsidP="00EB21C3">
            <w:pPr>
              <w:spacing w:before="60" w:after="120"/>
              <w:rPr>
                <w:rFonts w:cs="Arial"/>
                <w:sz w:val="22"/>
              </w:rPr>
            </w:pPr>
            <w:r w:rsidRPr="00EB21C3">
              <w:rPr>
                <w:rFonts w:cs="Arial"/>
                <w:sz w:val="22"/>
              </w:rPr>
              <w:t>What is a bad idea? Why?</w:t>
            </w:r>
          </w:p>
        </w:tc>
      </w:tr>
    </w:tbl>
    <w:p w14:paraId="3B5B93EE" w14:textId="77777777" w:rsidR="00EB21C3" w:rsidRPr="00EB21C3" w:rsidRDefault="00EB21C3" w:rsidP="00EB21C3">
      <w:pPr>
        <w:keepNext/>
        <w:keepLines/>
        <w:numPr>
          <w:ilvl w:val="1"/>
          <w:numId w:val="2"/>
        </w:numPr>
        <w:spacing w:before="480" w:after="100" w:afterAutospacing="1" w:line="240" w:lineRule="auto"/>
        <w:ind w:left="576"/>
        <w:outlineLvl w:val="1"/>
        <w:rPr>
          <w:b/>
          <w:bCs/>
          <w:color w:val="000000" w:themeColor="text1"/>
          <w:szCs w:val="26"/>
        </w:rPr>
      </w:pPr>
      <w:bookmarkStart w:id="508" w:name="_Toc35892742"/>
      <w:r w:rsidRPr="00EB21C3">
        <w:rPr>
          <w:b/>
          <w:bCs/>
          <w:color w:val="000000" w:themeColor="text1"/>
          <w:szCs w:val="26"/>
        </w:rPr>
        <w:t>Results</w:t>
      </w:r>
      <w:bookmarkEnd w:id="508"/>
      <w:r w:rsidRPr="00EB21C3">
        <w:rPr>
          <w:b/>
          <w:bCs/>
          <w:color w:val="000000" w:themeColor="text1"/>
          <w:szCs w:val="26"/>
        </w:rPr>
        <w:t xml:space="preserve"> </w:t>
      </w:r>
    </w:p>
    <w:p w14:paraId="4346EBE6" w14:textId="77777777" w:rsidR="00EB21C3" w:rsidRPr="00EB21C3" w:rsidRDefault="00EB21C3" w:rsidP="00EB21C3">
      <w:pPr>
        <w:keepNext/>
        <w:keepLines/>
        <w:numPr>
          <w:ilvl w:val="2"/>
          <w:numId w:val="2"/>
        </w:numPr>
        <w:spacing w:before="480" w:after="100" w:afterAutospacing="1" w:line="240" w:lineRule="auto"/>
        <w:outlineLvl w:val="2"/>
        <w:rPr>
          <w:b/>
          <w:bCs/>
          <w:sz w:val="22"/>
        </w:rPr>
      </w:pPr>
      <w:bookmarkStart w:id="509" w:name="_Toc35892743"/>
      <w:r w:rsidRPr="00EB21C3">
        <w:rPr>
          <w:b/>
          <w:bCs/>
          <w:sz w:val="22"/>
        </w:rPr>
        <w:t>Sample characteristics</w:t>
      </w:r>
      <w:bookmarkEnd w:id="509"/>
    </w:p>
    <w:p w14:paraId="12D4B99D" w14:textId="112AB67F" w:rsidR="00A25A10" w:rsidRDefault="00EB21C3" w:rsidP="00EB21C3">
      <w:pPr>
        <w:spacing w:line="480" w:lineRule="auto"/>
        <w:rPr>
          <w:szCs w:val="24"/>
          <w:shd w:val="clear" w:color="auto" w:fill="FFFFFF"/>
        </w:rPr>
      </w:pPr>
      <w:r w:rsidRPr="00EB21C3">
        <w:rPr>
          <w:szCs w:val="24"/>
          <w:shd w:val="clear" w:color="auto" w:fill="FFFFFF"/>
        </w:rPr>
        <w:t xml:space="preserve">The demographic information for the 31 young people who participated in the focus groups is shown in </w:t>
      </w:r>
      <w:r w:rsidR="001274B4">
        <w:rPr>
          <w:szCs w:val="24"/>
          <w:shd w:val="clear" w:color="auto" w:fill="FFFFFF"/>
        </w:rPr>
        <w:t>T</w:t>
      </w:r>
      <w:r w:rsidRPr="00EB21C3">
        <w:rPr>
          <w:szCs w:val="24"/>
          <w:shd w:val="clear" w:color="auto" w:fill="FFFFFF"/>
        </w:rPr>
        <w:t>able 8</w:t>
      </w:r>
      <w:r>
        <w:rPr>
          <w:szCs w:val="24"/>
          <w:shd w:val="clear" w:color="auto" w:fill="FFFFFF"/>
        </w:rPr>
        <w:t>-</w:t>
      </w:r>
      <w:r w:rsidRPr="00EB21C3">
        <w:rPr>
          <w:szCs w:val="24"/>
          <w:shd w:val="clear" w:color="auto" w:fill="FFFFFF"/>
        </w:rPr>
        <w:t>2. The participants were mostly female, with the greatest proportion employed or studying. Although the majority of participants were of white British ethnicity, the sample included participants from diverse ethnic backgrounds.</w:t>
      </w:r>
    </w:p>
    <w:p w14:paraId="2D4C536A" w14:textId="77777777" w:rsidR="00241FE7" w:rsidRDefault="00241FE7">
      <w:pPr>
        <w:rPr>
          <w:b/>
          <w:shd w:val="clear" w:color="auto" w:fill="FFFFFF"/>
        </w:rPr>
      </w:pPr>
      <w:r>
        <w:rPr>
          <w:b/>
          <w:shd w:val="clear" w:color="auto" w:fill="FFFFFF"/>
        </w:rPr>
        <w:br w:type="page"/>
      </w:r>
    </w:p>
    <w:p w14:paraId="1FBB0F75" w14:textId="78400E9C" w:rsidR="00A25A10" w:rsidRPr="0003549A" w:rsidRDefault="00A25A10" w:rsidP="00461C9A">
      <w:pPr>
        <w:pStyle w:val="TableHeader"/>
        <w:spacing w:line="240" w:lineRule="auto"/>
        <w:rPr>
          <w:b/>
          <w:shd w:val="clear" w:color="auto" w:fill="FFFFFF"/>
        </w:rPr>
      </w:pPr>
      <w:bookmarkStart w:id="510" w:name="_Toc9509087"/>
      <w:r w:rsidRPr="0003549A">
        <w:rPr>
          <w:b/>
          <w:shd w:val="clear" w:color="auto" w:fill="FFFFFF"/>
        </w:rPr>
        <w:t xml:space="preserve">Table 8-2. Study </w:t>
      </w:r>
      <w:r w:rsidR="001274B4">
        <w:rPr>
          <w:b/>
          <w:shd w:val="clear" w:color="auto" w:fill="FFFFFF"/>
        </w:rPr>
        <w:t>3</w:t>
      </w:r>
      <w:r w:rsidRPr="0003549A">
        <w:rPr>
          <w:b/>
          <w:shd w:val="clear" w:color="auto" w:fill="FFFFFF"/>
        </w:rPr>
        <w:t xml:space="preserve"> sample characteristics</w:t>
      </w:r>
      <w:bookmarkEnd w:id="510"/>
    </w:p>
    <w:tbl>
      <w:tblPr>
        <w:tblStyle w:val="TableGrid1"/>
        <w:tblW w:w="8330" w:type="dxa"/>
        <w:tblLook w:val="04A0" w:firstRow="1" w:lastRow="0" w:firstColumn="1" w:lastColumn="0" w:noHBand="0" w:noVBand="1"/>
      </w:tblPr>
      <w:tblGrid>
        <w:gridCol w:w="2625"/>
        <w:gridCol w:w="885"/>
        <w:gridCol w:w="256"/>
        <w:gridCol w:w="737"/>
        <w:gridCol w:w="404"/>
        <w:gridCol w:w="588"/>
        <w:gridCol w:w="553"/>
        <w:gridCol w:w="439"/>
        <w:gridCol w:w="702"/>
        <w:gridCol w:w="1141"/>
      </w:tblGrid>
      <w:tr w:rsidR="00A25A10" w:rsidRPr="00EB21C3" w14:paraId="1D40CD31" w14:textId="77777777" w:rsidTr="00BF1541">
        <w:trPr>
          <w:trHeight w:val="352"/>
        </w:trPr>
        <w:tc>
          <w:tcPr>
            <w:tcW w:w="2625" w:type="dxa"/>
            <w:tcBorders>
              <w:top w:val="single" w:sz="4" w:space="0" w:color="auto"/>
              <w:left w:val="nil"/>
              <w:bottom w:val="nil"/>
              <w:right w:val="nil"/>
            </w:tcBorders>
            <w:vAlign w:val="center"/>
          </w:tcPr>
          <w:p w14:paraId="664CAF21" w14:textId="77777777" w:rsidR="00A25A10" w:rsidRPr="00EB21C3" w:rsidRDefault="00A25A10" w:rsidP="00BF1541">
            <w:pPr>
              <w:spacing w:before="120" w:after="120"/>
              <w:rPr>
                <w:rFonts w:cs="Arial"/>
                <w:color w:val="000000" w:themeColor="text1"/>
                <w:shd w:val="clear" w:color="auto" w:fill="FFFFFF"/>
              </w:rPr>
            </w:pPr>
          </w:p>
        </w:tc>
        <w:tc>
          <w:tcPr>
            <w:tcW w:w="1878" w:type="dxa"/>
            <w:gridSpan w:val="3"/>
            <w:tcBorders>
              <w:top w:val="single" w:sz="4" w:space="0" w:color="auto"/>
              <w:left w:val="nil"/>
              <w:bottom w:val="single" w:sz="4" w:space="0" w:color="auto"/>
              <w:right w:val="nil"/>
            </w:tcBorders>
            <w:vAlign w:val="center"/>
          </w:tcPr>
          <w:p w14:paraId="26E76499" w14:textId="77777777" w:rsidR="00A25A10" w:rsidRPr="00EB21C3" w:rsidRDefault="00A25A10" w:rsidP="00BF1541">
            <w:pPr>
              <w:spacing w:before="120" w:after="120"/>
              <w:rPr>
                <w:rFonts w:cs="Arial"/>
                <w:color w:val="000000" w:themeColor="text1"/>
                <w:shd w:val="clear" w:color="auto" w:fill="FFFFFF"/>
              </w:rPr>
            </w:pPr>
            <w:r w:rsidRPr="00EB21C3">
              <w:rPr>
                <w:rFonts w:cs="Arial"/>
                <w:b/>
                <w:color w:val="000000" w:themeColor="text1"/>
                <w:shd w:val="clear" w:color="auto" w:fill="FFFFFF"/>
              </w:rPr>
              <w:t xml:space="preserve">Focus group </w:t>
            </w:r>
          </w:p>
        </w:tc>
        <w:tc>
          <w:tcPr>
            <w:tcW w:w="992" w:type="dxa"/>
            <w:gridSpan w:val="2"/>
            <w:tcBorders>
              <w:top w:val="single" w:sz="4" w:space="0" w:color="auto"/>
              <w:left w:val="nil"/>
              <w:bottom w:val="single" w:sz="4" w:space="0" w:color="auto"/>
              <w:right w:val="nil"/>
            </w:tcBorders>
            <w:vAlign w:val="center"/>
          </w:tcPr>
          <w:p w14:paraId="160B12BB" w14:textId="77777777" w:rsidR="00A25A10" w:rsidRPr="00EB21C3" w:rsidRDefault="00A25A10" w:rsidP="00BF1541">
            <w:pPr>
              <w:spacing w:before="120" w:after="120"/>
              <w:rPr>
                <w:rFonts w:cs="Arial"/>
                <w:color w:val="000000" w:themeColor="text1"/>
                <w:shd w:val="clear" w:color="auto" w:fill="FFFFFF"/>
              </w:rPr>
            </w:pPr>
          </w:p>
        </w:tc>
        <w:tc>
          <w:tcPr>
            <w:tcW w:w="992" w:type="dxa"/>
            <w:gridSpan w:val="2"/>
            <w:tcBorders>
              <w:top w:val="single" w:sz="4" w:space="0" w:color="auto"/>
              <w:left w:val="nil"/>
              <w:bottom w:val="single" w:sz="4" w:space="0" w:color="auto"/>
              <w:right w:val="nil"/>
            </w:tcBorders>
            <w:vAlign w:val="center"/>
          </w:tcPr>
          <w:p w14:paraId="41DA5EE9" w14:textId="77777777" w:rsidR="00A25A10" w:rsidRPr="00EB21C3" w:rsidRDefault="00A25A10" w:rsidP="00BF1541">
            <w:pPr>
              <w:spacing w:before="120" w:after="120"/>
              <w:rPr>
                <w:rFonts w:cs="Arial"/>
                <w:color w:val="000000" w:themeColor="text1"/>
                <w:shd w:val="clear" w:color="auto" w:fill="FFFFFF"/>
              </w:rPr>
            </w:pPr>
          </w:p>
        </w:tc>
        <w:tc>
          <w:tcPr>
            <w:tcW w:w="1843" w:type="dxa"/>
            <w:gridSpan w:val="2"/>
            <w:tcBorders>
              <w:top w:val="single" w:sz="4" w:space="0" w:color="auto"/>
              <w:left w:val="nil"/>
              <w:bottom w:val="single" w:sz="4" w:space="0" w:color="auto"/>
              <w:right w:val="nil"/>
            </w:tcBorders>
          </w:tcPr>
          <w:p w14:paraId="7177D55A" w14:textId="77777777" w:rsidR="00A25A10" w:rsidRPr="00EB21C3" w:rsidRDefault="00A25A10" w:rsidP="00BF1541">
            <w:pPr>
              <w:spacing w:before="120" w:after="120"/>
              <w:rPr>
                <w:rFonts w:cs="Arial"/>
                <w:color w:val="000000" w:themeColor="text1"/>
                <w:shd w:val="clear" w:color="auto" w:fill="FFFFFF"/>
              </w:rPr>
            </w:pPr>
          </w:p>
        </w:tc>
      </w:tr>
      <w:tr w:rsidR="00A25A10" w:rsidRPr="00EB21C3" w14:paraId="2B14B96C" w14:textId="77777777" w:rsidTr="00BF1541">
        <w:trPr>
          <w:trHeight w:val="511"/>
        </w:trPr>
        <w:tc>
          <w:tcPr>
            <w:tcW w:w="2625" w:type="dxa"/>
            <w:tcBorders>
              <w:top w:val="nil"/>
              <w:left w:val="nil"/>
              <w:bottom w:val="single" w:sz="4" w:space="0" w:color="auto"/>
              <w:right w:val="nil"/>
            </w:tcBorders>
            <w:vAlign w:val="center"/>
          </w:tcPr>
          <w:p w14:paraId="5A0C8F11"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Characteristic</w:t>
            </w:r>
          </w:p>
        </w:tc>
        <w:tc>
          <w:tcPr>
            <w:tcW w:w="1141" w:type="dxa"/>
            <w:gridSpan w:val="2"/>
            <w:tcBorders>
              <w:top w:val="single" w:sz="4" w:space="0" w:color="auto"/>
              <w:left w:val="nil"/>
              <w:bottom w:val="single" w:sz="4" w:space="0" w:color="auto"/>
              <w:right w:val="nil"/>
            </w:tcBorders>
            <w:vAlign w:val="center"/>
          </w:tcPr>
          <w:p w14:paraId="2ED956D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141" w:type="dxa"/>
            <w:gridSpan w:val="2"/>
            <w:tcBorders>
              <w:top w:val="single" w:sz="4" w:space="0" w:color="auto"/>
              <w:left w:val="nil"/>
              <w:bottom w:val="single" w:sz="4" w:space="0" w:color="auto"/>
              <w:right w:val="nil"/>
            </w:tcBorders>
            <w:vAlign w:val="center"/>
          </w:tcPr>
          <w:p w14:paraId="62E563E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141" w:type="dxa"/>
            <w:gridSpan w:val="2"/>
            <w:tcBorders>
              <w:top w:val="single" w:sz="4" w:space="0" w:color="auto"/>
              <w:left w:val="nil"/>
              <w:bottom w:val="single" w:sz="4" w:space="0" w:color="auto"/>
              <w:right w:val="nil"/>
            </w:tcBorders>
            <w:vAlign w:val="center"/>
          </w:tcPr>
          <w:p w14:paraId="1535663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141" w:type="dxa"/>
            <w:gridSpan w:val="2"/>
            <w:tcBorders>
              <w:top w:val="single" w:sz="4" w:space="0" w:color="auto"/>
              <w:left w:val="nil"/>
              <w:bottom w:val="single" w:sz="4" w:space="0" w:color="auto"/>
              <w:right w:val="nil"/>
            </w:tcBorders>
            <w:vAlign w:val="center"/>
          </w:tcPr>
          <w:p w14:paraId="3C9E02C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All</w:t>
            </w:r>
          </w:p>
        </w:tc>
        <w:tc>
          <w:tcPr>
            <w:tcW w:w="1141" w:type="dxa"/>
            <w:tcBorders>
              <w:top w:val="single" w:sz="4" w:space="0" w:color="auto"/>
              <w:left w:val="nil"/>
              <w:bottom w:val="single" w:sz="4" w:space="0" w:color="auto"/>
              <w:right w:val="nil"/>
            </w:tcBorders>
            <w:vAlign w:val="center"/>
          </w:tcPr>
          <w:p w14:paraId="14DE3144"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w:t>
            </w:r>
          </w:p>
        </w:tc>
      </w:tr>
      <w:tr w:rsidR="00A25A10" w:rsidRPr="00EB21C3" w14:paraId="69529F9C" w14:textId="77777777" w:rsidTr="00BF1541">
        <w:trPr>
          <w:trHeight w:val="323"/>
        </w:trPr>
        <w:tc>
          <w:tcPr>
            <w:tcW w:w="2625" w:type="dxa"/>
            <w:tcBorders>
              <w:top w:val="nil"/>
              <w:left w:val="nil"/>
              <w:bottom w:val="nil"/>
              <w:right w:val="nil"/>
            </w:tcBorders>
            <w:vAlign w:val="center"/>
          </w:tcPr>
          <w:p w14:paraId="551A3528"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Participants</w:t>
            </w:r>
          </w:p>
        </w:tc>
        <w:tc>
          <w:tcPr>
            <w:tcW w:w="1141" w:type="dxa"/>
            <w:gridSpan w:val="2"/>
            <w:tcBorders>
              <w:top w:val="nil"/>
              <w:left w:val="nil"/>
              <w:bottom w:val="nil"/>
              <w:right w:val="nil"/>
            </w:tcBorders>
            <w:vAlign w:val="center"/>
          </w:tcPr>
          <w:p w14:paraId="69761FF6"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73B517CD"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055F01D9"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28D68460" w14:textId="77777777" w:rsidR="00A25A10" w:rsidRPr="00EB21C3" w:rsidRDefault="00A25A10" w:rsidP="00BF1541">
            <w:pPr>
              <w:spacing w:before="120" w:after="120"/>
              <w:rPr>
                <w:rFonts w:cs="Arial"/>
                <w:color w:val="000000" w:themeColor="text1"/>
                <w:shd w:val="clear" w:color="auto" w:fill="FFFFFF"/>
              </w:rPr>
            </w:pPr>
          </w:p>
        </w:tc>
        <w:tc>
          <w:tcPr>
            <w:tcW w:w="1141" w:type="dxa"/>
            <w:tcBorders>
              <w:top w:val="nil"/>
              <w:left w:val="nil"/>
              <w:bottom w:val="nil"/>
              <w:right w:val="nil"/>
            </w:tcBorders>
          </w:tcPr>
          <w:p w14:paraId="48A12699" w14:textId="77777777" w:rsidR="00A25A10" w:rsidRPr="00EB21C3" w:rsidRDefault="00A25A10" w:rsidP="00BF1541">
            <w:pPr>
              <w:spacing w:before="120" w:after="120"/>
              <w:rPr>
                <w:rFonts w:cs="Arial"/>
                <w:color w:val="000000" w:themeColor="text1"/>
                <w:shd w:val="clear" w:color="auto" w:fill="FFFFFF"/>
              </w:rPr>
            </w:pPr>
          </w:p>
        </w:tc>
      </w:tr>
      <w:tr w:rsidR="00A25A10" w:rsidRPr="00EB21C3" w14:paraId="5C26A0E1" w14:textId="77777777" w:rsidTr="00BF1541">
        <w:trPr>
          <w:trHeight w:val="323"/>
        </w:trPr>
        <w:tc>
          <w:tcPr>
            <w:tcW w:w="2625" w:type="dxa"/>
            <w:tcBorders>
              <w:top w:val="nil"/>
              <w:left w:val="nil"/>
              <w:bottom w:val="nil"/>
              <w:right w:val="nil"/>
            </w:tcBorders>
            <w:vAlign w:val="center"/>
          </w:tcPr>
          <w:p w14:paraId="21C21052"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Number</w:t>
            </w:r>
          </w:p>
        </w:tc>
        <w:tc>
          <w:tcPr>
            <w:tcW w:w="1141" w:type="dxa"/>
            <w:gridSpan w:val="2"/>
            <w:tcBorders>
              <w:top w:val="nil"/>
              <w:left w:val="nil"/>
              <w:bottom w:val="nil"/>
              <w:right w:val="nil"/>
            </w:tcBorders>
            <w:vAlign w:val="center"/>
          </w:tcPr>
          <w:p w14:paraId="2CF8DBC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8</w:t>
            </w:r>
          </w:p>
        </w:tc>
        <w:tc>
          <w:tcPr>
            <w:tcW w:w="1141" w:type="dxa"/>
            <w:gridSpan w:val="2"/>
            <w:tcBorders>
              <w:top w:val="nil"/>
              <w:left w:val="nil"/>
              <w:bottom w:val="nil"/>
              <w:right w:val="nil"/>
            </w:tcBorders>
            <w:vAlign w:val="center"/>
          </w:tcPr>
          <w:p w14:paraId="6215224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8</w:t>
            </w:r>
          </w:p>
        </w:tc>
        <w:tc>
          <w:tcPr>
            <w:tcW w:w="1141" w:type="dxa"/>
            <w:gridSpan w:val="2"/>
            <w:tcBorders>
              <w:top w:val="nil"/>
              <w:left w:val="nil"/>
              <w:bottom w:val="nil"/>
              <w:right w:val="nil"/>
            </w:tcBorders>
            <w:vAlign w:val="center"/>
          </w:tcPr>
          <w:p w14:paraId="5FD12A0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15</w:t>
            </w:r>
          </w:p>
        </w:tc>
        <w:tc>
          <w:tcPr>
            <w:tcW w:w="1141" w:type="dxa"/>
            <w:gridSpan w:val="2"/>
            <w:tcBorders>
              <w:top w:val="nil"/>
              <w:left w:val="nil"/>
              <w:bottom w:val="nil"/>
              <w:right w:val="nil"/>
            </w:tcBorders>
            <w:vAlign w:val="center"/>
          </w:tcPr>
          <w:p w14:paraId="76472543"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31</w:t>
            </w:r>
          </w:p>
        </w:tc>
        <w:tc>
          <w:tcPr>
            <w:tcW w:w="1141" w:type="dxa"/>
            <w:tcBorders>
              <w:top w:val="nil"/>
              <w:left w:val="nil"/>
              <w:bottom w:val="nil"/>
              <w:right w:val="nil"/>
            </w:tcBorders>
          </w:tcPr>
          <w:p w14:paraId="226D74C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w:t>
            </w:r>
          </w:p>
        </w:tc>
      </w:tr>
      <w:tr w:rsidR="00A25A10" w:rsidRPr="00EB21C3" w14:paraId="77DCA208" w14:textId="77777777" w:rsidTr="00BF1541">
        <w:trPr>
          <w:trHeight w:val="323"/>
        </w:trPr>
        <w:tc>
          <w:tcPr>
            <w:tcW w:w="2625" w:type="dxa"/>
            <w:tcBorders>
              <w:top w:val="nil"/>
              <w:left w:val="nil"/>
              <w:bottom w:val="nil"/>
              <w:right w:val="nil"/>
            </w:tcBorders>
            <w:vAlign w:val="center"/>
          </w:tcPr>
          <w:p w14:paraId="50F6D1B9"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Gender identification</w:t>
            </w:r>
          </w:p>
        </w:tc>
        <w:tc>
          <w:tcPr>
            <w:tcW w:w="1141" w:type="dxa"/>
            <w:gridSpan w:val="2"/>
            <w:tcBorders>
              <w:top w:val="nil"/>
              <w:left w:val="nil"/>
              <w:bottom w:val="nil"/>
              <w:right w:val="nil"/>
            </w:tcBorders>
            <w:vAlign w:val="center"/>
          </w:tcPr>
          <w:p w14:paraId="27D874F5"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360BB12C"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7998BA79" w14:textId="77777777" w:rsidR="00A25A10" w:rsidRPr="00EB21C3" w:rsidRDefault="00A25A10" w:rsidP="00BF1541">
            <w:pPr>
              <w:spacing w:before="120" w:after="120"/>
              <w:rPr>
                <w:rFonts w:cs="Arial"/>
                <w:color w:val="000000" w:themeColor="text1"/>
                <w:shd w:val="clear" w:color="auto" w:fill="FFFFFF"/>
              </w:rPr>
            </w:pPr>
          </w:p>
        </w:tc>
        <w:tc>
          <w:tcPr>
            <w:tcW w:w="1141" w:type="dxa"/>
            <w:gridSpan w:val="2"/>
            <w:tcBorders>
              <w:top w:val="nil"/>
              <w:left w:val="nil"/>
              <w:bottom w:val="nil"/>
              <w:right w:val="nil"/>
            </w:tcBorders>
            <w:vAlign w:val="center"/>
          </w:tcPr>
          <w:p w14:paraId="7336BDD3" w14:textId="77777777" w:rsidR="00A25A10" w:rsidRPr="00EB21C3" w:rsidRDefault="00A25A10" w:rsidP="00BF1541">
            <w:pPr>
              <w:spacing w:before="120" w:after="120"/>
              <w:rPr>
                <w:rFonts w:cs="Arial"/>
                <w:color w:val="000000" w:themeColor="text1"/>
                <w:shd w:val="clear" w:color="auto" w:fill="FFFFFF"/>
              </w:rPr>
            </w:pPr>
          </w:p>
        </w:tc>
        <w:tc>
          <w:tcPr>
            <w:tcW w:w="1141" w:type="dxa"/>
            <w:tcBorders>
              <w:top w:val="nil"/>
              <w:left w:val="nil"/>
              <w:bottom w:val="nil"/>
              <w:right w:val="nil"/>
            </w:tcBorders>
          </w:tcPr>
          <w:p w14:paraId="161D29E3" w14:textId="77777777" w:rsidR="00A25A10" w:rsidRPr="00EB21C3" w:rsidRDefault="00A25A10" w:rsidP="00BF1541">
            <w:pPr>
              <w:spacing w:before="120" w:after="120"/>
              <w:rPr>
                <w:rFonts w:cs="Arial"/>
                <w:color w:val="000000" w:themeColor="text1"/>
                <w:shd w:val="clear" w:color="auto" w:fill="FFFFFF"/>
              </w:rPr>
            </w:pPr>
          </w:p>
        </w:tc>
      </w:tr>
      <w:tr w:rsidR="00A25A10" w:rsidRPr="00EB21C3" w14:paraId="55EDE0D5" w14:textId="77777777" w:rsidTr="00BF1541">
        <w:trPr>
          <w:trHeight w:val="323"/>
        </w:trPr>
        <w:tc>
          <w:tcPr>
            <w:tcW w:w="2625" w:type="dxa"/>
            <w:tcBorders>
              <w:top w:val="nil"/>
              <w:left w:val="nil"/>
              <w:bottom w:val="nil"/>
              <w:right w:val="nil"/>
            </w:tcBorders>
            <w:vAlign w:val="center"/>
          </w:tcPr>
          <w:p w14:paraId="6641126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Male </w:t>
            </w:r>
          </w:p>
        </w:tc>
        <w:tc>
          <w:tcPr>
            <w:tcW w:w="1141" w:type="dxa"/>
            <w:gridSpan w:val="2"/>
            <w:tcBorders>
              <w:top w:val="nil"/>
              <w:left w:val="nil"/>
              <w:bottom w:val="nil"/>
              <w:right w:val="nil"/>
            </w:tcBorders>
            <w:vAlign w:val="center"/>
          </w:tcPr>
          <w:p w14:paraId="696CD3C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141" w:type="dxa"/>
            <w:gridSpan w:val="2"/>
            <w:tcBorders>
              <w:top w:val="nil"/>
              <w:left w:val="nil"/>
              <w:bottom w:val="nil"/>
              <w:right w:val="nil"/>
            </w:tcBorders>
            <w:vAlign w:val="center"/>
          </w:tcPr>
          <w:p w14:paraId="0F06A1D7"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141" w:type="dxa"/>
            <w:gridSpan w:val="2"/>
            <w:tcBorders>
              <w:top w:val="nil"/>
              <w:left w:val="nil"/>
              <w:bottom w:val="nil"/>
              <w:right w:val="nil"/>
            </w:tcBorders>
            <w:vAlign w:val="center"/>
          </w:tcPr>
          <w:p w14:paraId="0C7B6F54"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141" w:type="dxa"/>
            <w:gridSpan w:val="2"/>
            <w:tcBorders>
              <w:top w:val="nil"/>
              <w:left w:val="nil"/>
              <w:bottom w:val="nil"/>
              <w:right w:val="nil"/>
            </w:tcBorders>
            <w:vAlign w:val="center"/>
          </w:tcPr>
          <w:p w14:paraId="766AA22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13</w:t>
            </w:r>
          </w:p>
        </w:tc>
        <w:tc>
          <w:tcPr>
            <w:tcW w:w="1141" w:type="dxa"/>
            <w:tcBorders>
              <w:top w:val="nil"/>
              <w:left w:val="nil"/>
              <w:bottom w:val="nil"/>
              <w:right w:val="nil"/>
            </w:tcBorders>
          </w:tcPr>
          <w:p w14:paraId="73DBE505"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42 </w:t>
            </w:r>
            <w:r w:rsidRPr="00EB21C3">
              <w:rPr>
                <w:rFonts w:cs="Arial"/>
                <w:color w:val="000000" w:themeColor="text1"/>
                <w:sz w:val="18"/>
                <w:shd w:val="clear" w:color="auto" w:fill="FFFFFF"/>
              </w:rPr>
              <w:t>%</w:t>
            </w:r>
          </w:p>
        </w:tc>
      </w:tr>
      <w:tr w:rsidR="00A25A10" w:rsidRPr="00EB21C3" w14:paraId="49305694" w14:textId="77777777" w:rsidTr="00BF1541">
        <w:trPr>
          <w:trHeight w:val="323"/>
        </w:trPr>
        <w:tc>
          <w:tcPr>
            <w:tcW w:w="2625" w:type="dxa"/>
            <w:tcBorders>
              <w:top w:val="nil"/>
              <w:left w:val="nil"/>
              <w:bottom w:val="nil"/>
              <w:right w:val="nil"/>
            </w:tcBorders>
            <w:vAlign w:val="center"/>
          </w:tcPr>
          <w:p w14:paraId="21D73A8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Female</w:t>
            </w:r>
          </w:p>
        </w:tc>
        <w:tc>
          <w:tcPr>
            <w:tcW w:w="1141" w:type="dxa"/>
            <w:gridSpan w:val="2"/>
            <w:tcBorders>
              <w:top w:val="nil"/>
              <w:left w:val="nil"/>
              <w:bottom w:val="nil"/>
              <w:right w:val="nil"/>
            </w:tcBorders>
            <w:vAlign w:val="center"/>
          </w:tcPr>
          <w:p w14:paraId="58EC024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141" w:type="dxa"/>
            <w:gridSpan w:val="2"/>
            <w:tcBorders>
              <w:top w:val="nil"/>
              <w:left w:val="nil"/>
              <w:bottom w:val="nil"/>
              <w:right w:val="nil"/>
            </w:tcBorders>
            <w:vAlign w:val="center"/>
          </w:tcPr>
          <w:p w14:paraId="712096C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141" w:type="dxa"/>
            <w:gridSpan w:val="2"/>
            <w:tcBorders>
              <w:top w:val="nil"/>
              <w:left w:val="nil"/>
              <w:bottom w:val="nil"/>
              <w:right w:val="nil"/>
            </w:tcBorders>
            <w:vAlign w:val="center"/>
          </w:tcPr>
          <w:p w14:paraId="0A45AF4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9</w:t>
            </w:r>
          </w:p>
        </w:tc>
        <w:tc>
          <w:tcPr>
            <w:tcW w:w="1141" w:type="dxa"/>
            <w:gridSpan w:val="2"/>
            <w:tcBorders>
              <w:top w:val="nil"/>
              <w:left w:val="nil"/>
              <w:bottom w:val="nil"/>
              <w:right w:val="nil"/>
            </w:tcBorders>
            <w:vAlign w:val="center"/>
          </w:tcPr>
          <w:p w14:paraId="2E622636"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18</w:t>
            </w:r>
          </w:p>
        </w:tc>
        <w:tc>
          <w:tcPr>
            <w:tcW w:w="1141" w:type="dxa"/>
            <w:tcBorders>
              <w:top w:val="nil"/>
              <w:left w:val="nil"/>
              <w:bottom w:val="nil"/>
              <w:right w:val="nil"/>
            </w:tcBorders>
          </w:tcPr>
          <w:p w14:paraId="0660C34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58 </w:t>
            </w:r>
            <w:r w:rsidRPr="00EB21C3">
              <w:rPr>
                <w:rFonts w:cs="Arial"/>
                <w:color w:val="000000" w:themeColor="text1"/>
                <w:sz w:val="18"/>
                <w:shd w:val="clear" w:color="auto" w:fill="FFFFFF"/>
              </w:rPr>
              <w:t>%</w:t>
            </w:r>
          </w:p>
        </w:tc>
      </w:tr>
      <w:tr w:rsidR="00A25A10" w:rsidRPr="00EB21C3" w14:paraId="2E354D1A" w14:textId="77777777" w:rsidTr="00BF1541">
        <w:trPr>
          <w:trHeight w:val="323"/>
        </w:trPr>
        <w:tc>
          <w:tcPr>
            <w:tcW w:w="2625" w:type="dxa"/>
            <w:tcBorders>
              <w:top w:val="nil"/>
              <w:left w:val="nil"/>
              <w:bottom w:val="nil"/>
              <w:right w:val="nil"/>
            </w:tcBorders>
            <w:vAlign w:val="center"/>
          </w:tcPr>
          <w:p w14:paraId="5E765929"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Age (years)</w:t>
            </w:r>
          </w:p>
        </w:tc>
        <w:tc>
          <w:tcPr>
            <w:tcW w:w="1141" w:type="dxa"/>
            <w:gridSpan w:val="2"/>
            <w:tcBorders>
              <w:top w:val="nil"/>
              <w:left w:val="nil"/>
              <w:bottom w:val="nil"/>
              <w:right w:val="nil"/>
            </w:tcBorders>
            <w:vAlign w:val="center"/>
          </w:tcPr>
          <w:p w14:paraId="7D475B39"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35839809"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146C74B4"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1FC5D24B" w14:textId="77777777" w:rsidR="00A25A10" w:rsidRPr="00EB21C3" w:rsidRDefault="00A25A10" w:rsidP="00BF1541">
            <w:pPr>
              <w:spacing w:before="120" w:after="120"/>
              <w:rPr>
                <w:rFonts w:cs="Arial"/>
                <w:b/>
                <w:color w:val="000000" w:themeColor="text1"/>
                <w:shd w:val="clear" w:color="auto" w:fill="FFFFFF"/>
              </w:rPr>
            </w:pPr>
          </w:p>
        </w:tc>
        <w:tc>
          <w:tcPr>
            <w:tcW w:w="1141" w:type="dxa"/>
            <w:tcBorders>
              <w:top w:val="nil"/>
              <w:left w:val="nil"/>
              <w:bottom w:val="nil"/>
              <w:right w:val="nil"/>
            </w:tcBorders>
          </w:tcPr>
          <w:p w14:paraId="032143DE" w14:textId="77777777" w:rsidR="00A25A10" w:rsidRPr="00EB21C3" w:rsidRDefault="00A25A10" w:rsidP="00BF1541">
            <w:pPr>
              <w:spacing w:before="120" w:after="120"/>
              <w:rPr>
                <w:rFonts w:cs="Arial"/>
                <w:b/>
                <w:color w:val="000000" w:themeColor="text1"/>
                <w:shd w:val="clear" w:color="auto" w:fill="FFFFFF"/>
              </w:rPr>
            </w:pPr>
          </w:p>
        </w:tc>
      </w:tr>
      <w:tr w:rsidR="00A25A10" w:rsidRPr="00EB21C3" w14:paraId="17CAD3A9" w14:textId="77777777" w:rsidTr="00BF1541">
        <w:trPr>
          <w:trHeight w:val="323"/>
        </w:trPr>
        <w:tc>
          <w:tcPr>
            <w:tcW w:w="2625" w:type="dxa"/>
            <w:tcBorders>
              <w:top w:val="nil"/>
              <w:left w:val="nil"/>
              <w:bottom w:val="nil"/>
              <w:right w:val="nil"/>
            </w:tcBorders>
            <w:vAlign w:val="center"/>
          </w:tcPr>
          <w:p w14:paraId="4DDBB3C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Youngest </w:t>
            </w:r>
          </w:p>
        </w:tc>
        <w:tc>
          <w:tcPr>
            <w:tcW w:w="1141" w:type="dxa"/>
            <w:gridSpan w:val="2"/>
            <w:tcBorders>
              <w:top w:val="nil"/>
              <w:left w:val="nil"/>
              <w:bottom w:val="nil"/>
              <w:right w:val="nil"/>
            </w:tcBorders>
            <w:vAlign w:val="center"/>
          </w:tcPr>
          <w:p w14:paraId="008D38F5"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17</w:t>
            </w:r>
          </w:p>
        </w:tc>
        <w:tc>
          <w:tcPr>
            <w:tcW w:w="1141" w:type="dxa"/>
            <w:gridSpan w:val="2"/>
            <w:tcBorders>
              <w:top w:val="nil"/>
              <w:left w:val="nil"/>
              <w:bottom w:val="nil"/>
              <w:right w:val="nil"/>
            </w:tcBorders>
            <w:vAlign w:val="center"/>
          </w:tcPr>
          <w:p w14:paraId="44CECA0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17</w:t>
            </w:r>
          </w:p>
        </w:tc>
        <w:tc>
          <w:tcPr>
            <w:tcW w:w="1141" w:type="dxa"/>
            <w:gridSpan w:val="2"/>
            <w:tcBorders>
              <w:top w:val="nil"/>
              <w:left w:val="nil"/>
              <w:bottom w:val="nil"/>
              <w:right w:val="nil"/>
            </w:tcBorders>
            <w:vAlign w:val="center"/>
          </w:tcPr>
          <w:p w14:paraId="4C2A0D4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15</w:t>
            </w:r>
          </w:p>
        </w:tc>
        <w:tc>
          <w:tcPr>
            <w:tcW w:w="1141" w:type="dxa"/>
            <w:gridSpan w:val="2"/>
            <w:tcBorders>
              <w:top w:val="nil"/>
              <w:left w:val="nil"/>
              <w:bottom w:val="nil"/>
              <w:right w:val="nil"/>
            </w:tcBorders>
            <w:vAlign w:val="center"/>
          </w:tcPr>
          <w:p w14:paraId="044CE0D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15</w:t>
            </w:r>
          </w:p>
        </w:tc>
        <w:tc>
          <w:tcPr>
            <w:tcW w:w="1141" w:type="dxa"/>
            <w:tcBorders>
              <w:top w:val="nil"/>
              <w:left w:val="nil"/>
              <w:bottom w:val="nil"/>
              <w:right w:val="nil"/>
            </w:tcBorders>
          </w:tcPr>
          <w:p w14:paraId="145B90B3"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w:t>
            </w:r>
          </w:p>
        </w:tc>
      </w:tr>
      <w:tr w:rsidR="00A25A10" w:rsidRPr="00EB21C3" w14:paraId="318A8A51" w14:textId="77777777" w:rsidTr="00BF1541">
        <w:trPr>
          <w:trHeight w:val="323"/>
        </w:trPr>
        <w:tc>
          <w:tcPr>
            <w:tcW w:w="2625" w:type="dxa"/>
            <w:tcBorders>
              <w:top w:val="nil"/>
              <w:left w:val="nil"/>
              <w:bottom w:val="nil"/>
              <w:right w:val="nil"/>
            </w:tcBorders>
            <w:vAlign w:val="center"/>
          </w:tcPr>
          <w:p w14:paraId="5B26A973"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Oldest</w:t>
            </w:r>
          </w:p>
        </w:tc>
        <w:tc>
          <w:tcPr>
            <w:tcW w:w="1141" w:type="dxa"/>
            <w:gridSpan w:val="2"/>
            <w:tcBorders>
              <w:top w:val="nil"/>
              <w:left w:val="nil"/>
              <w:bottom w:val="nil"/>
              <w:right w:val="nil"/>
            </w:tcBorders>
            <w:vAlign w:val="center"/>
          </w:tcPr>
          <w:p w14:paraId="753F7D5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23</w:t>
            </w:r>
          </w:p>
        </w:tc>
        <w:tc>
          <w:tcPr>
            <w:tcW w:w="1141" w:type="dxa"/>
            <w:gridSpan w:val="2"/>
            <w:tcBorders>
              <w:top w:val="nil"/>
              <w:left w:val="nil"/>
              <w:bottom w:val="nil"/>
              <w:right w:val="nil"/>
            </w:tcBorders>
            <w:vAlign w:val="center"/>
          </w:tcPr>
          <w:p w14:paraId="1FB74C6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24</w:t>
            </w:r>
          </w:p>
        </w:tc>
        <w:tc>
          <w:tcPr>
            <w:tcW w:w="1141" w:type="dxa"/>
            <w:gridSpan w:val="2"/>
            <w:tcBorders>
              <w:top w:val="nil"/>
              <w:left w:val="nil"/>
              <w:bottom w:val="nil"/>
              <w:right w:val="nil"/>
            </w:tcBorders>
            <w:vAlign w:val="center"/>
          </w:tcPr>
          <w:p w14:paraId="55FB5D24"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24</w:t>
            </w:r>
          </w:p>
        </w:tc>
        <w:tc>
          <w:tcPr>
            <w:tcW w:w="1141" w:type="dxa"/>
            <w:gridSpan w:val="2"/>
            <w:tcBorders>
              <w:top w:val="nil"/>
              <w:left w:val="nil"/>
              <w:bottom w:val="nil"/>
              <w:right w:val="nil"/>
            </w:tcBorders>
            <w:vAlign w:val="center"/>
          </w:tcPr>
          <w:p w14:paraId="273117B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24</w:t>
            </w:r>
          </w:p>
        </w:tc>
        <w:tc>
          <w:tcPr>
            <w:tcW w:w="1141" w:type="dxa"/>
            <w:tcBorders>
              <w:top w:val="nil"/>
              <w:left w:val="nil"/>
              <w:bottom w:val="nil"/>
              <w:right w:val="nil"/>
            </w:tcBorders>
          </w:tcPr>
          <w:p w14:paraId="216818C2"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w:t>
            </w:r>
          </w:p>
        </w:tc>
      </w:tr>
      <w:tr w:rsidR="00A25A10" w:rsidRPr="00EB21C3" w14:paraId="164542BD" w14:textId="77777777" w:rsidTr="00BF1541">
        <w:trPr>
          <w:trHeight w:val="323"/>
        </w:trPr>
        <w:tc>
          <w:tcPr>
            <w:tcW w:w="2625" w:type="dxa"/>
            <w:tcBorders>
              <w:top w:val="nil"/>
              <w:left w:val="nil"/>
              <w:bottom w:val="nil"/>
              <w:right w:val="nil"/>
            </w:tcBorders>
            <w:vAlign w:val="center"/>
          </w:tcPr>
          <w:p w14:paraId="2AE915F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Median</w:t>
            </w:r>
          </w:p>
        </w:tc>
        <w:tc>
          <w:tcPr>
            <w:tcW w:w="1141" w:type="dxa"/>
            <w:gridSpan w:val="2"/>
            <w:tcBorders>
              <w:top w:val="nil"/>
              <w:left w:val="nil"/>
              <w:bottom w:val="nil"/>
              <w:right w:val="nil"/>
            </w:tcBorders>
            <w:vAlign w:val="center"/>
          </w:tcPr>
          <w:p w14:paraId="4AFCD56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21</w:t>
            </w:r>
          </w:p>
        </w:tc>
        <w:tc>
          <w:tcPr>
            <w:tcW w:w="1141" w:type="dxa"/>
            <w:gridSpan w:val="2"/>
            <w:tcBorders>
              <w:top w:val="nil"/>
              <w:left w:val="nil"/>
              <w:bottom w:val="nil"/>
              <w:right w:val="nil"/>
            </w:tcBorders>
            <w:vAlign w:val="center"/>
          </w:tcPr>
          <w:p w14:paraId="609402D2"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20.5</w:t>
            </w:r>
          </w:p>
        </w:tc>
        <w:tc>
          <w:tcPr>
            <w:tcW w:w="1141" w:type="dxa"/>
            <w:gridSpan w:val="2"/>
            <w:tcBorders>
              <w:top w:val="nil"/>
              <w:left w:val="nil"/>
              <w:bottom w:val="nil"/>
              <w:right w:val="nil"/>
            </w:tcBorders>
            <w:vAlign w:val="center"/>
          </w:tcPr>
          <w:p w14:paraId="293D1EC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17</w:t>
            </w:r>
          </w:p>
        </w:tc>
        <w:tc>
          <w:tcPr>
            <w:tcW w:w="1141" w:type="dxa"/>
            <w:gridSpan w:val="2"/>
            <w:tcBorders>
              <w:top w:val="nil"/>
              <w:left w:val="nil"/>
              <w:bottom w:val="nil"/>
              <w:right w:val="nil"/>
            </w:tcBorders>
            <w:vAlign w:val="center"/>
          </w:tcPr>
          <w:p w14:paraId="28D2DF76"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18.5</w:t>
            </w:r>
          </w:p>
        </w:tc>
        <w:tc>
          <w:tcPr>
            <w:tcW w:w="1141" w:type="dxa"/>
            <w:tcBorders>
              <w:top w:val="nil"/>
              <w:left w:val="nil"/>
              <w:bottom w:val="nil"/>
              <w:right w:val="nil"/>
            </w:tcBorders>
          </w:tcPr>
          <w:p w14:paraId="3CD36E8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w:t>
            </w:r>
          </w:p>
        </w:tc>
      </w:tr>
      <w:tr w:rsidR="00A25A10" w:rsidRPr="00EB21C3" w14:paraId="2B5DE124" w14:textId="77777777" w:rsidTr="00BF1541">
        <w:trPr>
          <w:trHeight w:val="323"/>
        </w:trPr>
        <w:tc>
          <w:tcPr>
            <w:tcW w:w="2625" w:type="dxa"/>
            <w:tcBorders>
              <w:top w:val="nil"/>
              <w:left w:val="nil"/>
              <w:bottom w:val="nil"/>
              <w:right w:val="nil"/>
            </w:tcBorders>
            <w:vAlign w:val="center"/>
          </w:tcPr>
          <w:p w14:paraId="7A1DF784"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Occupation</w:t>
            </w:r>
          </w:p>
        </w:tc>
        <w:tc>
          <w:tcPr>
            <w:tcW w:w="1141" w:type="dxa"/>
            <w:gridSpan w:val="2"/>
            <w:tcBorders>
              <w:top w:val="nil"/>
              <w:left w:val="nil"/>
              <w:bottom w:val="nil"/>
              <w:right w:val="nil"/>
            </w:tcBorders>
            <w:vAlign w:val="center"/>
          </w:tcPr>
          <w:p w14:paraId="6AAD7F42"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1CF7EE01"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6E726CD5"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36C62ABB" w14:textId="77777777" w:rsidR="00A25A10" w:rsidRPr="00EB21C3" w:rsidRDefault="00A25A10" w:rsidP="00BF1541">
            <w:pPr>
              <w:spacing w:before="120" w:after="120"/>
              <w:rPr>
                <w:rFonts w:cs="Arial"/>
                <w:b/>
                <w:color w:val="000000" w:themeColor="text1"/>
                <w:shd w:val="clear" w:color="auto" w:fill="FFFFFF"/>
              </w:rPr>
            </w:pPr>
          </w:p>
        </w:tc>
        <w:tc>
          <w:tcPr>
            <w:tcW w:w="1141" w:type="dxa"/>
            <w:tcBorders>
              <w:top w:val="nil"/>
              <w:left w:val="nil"/>
              <w:bottom w:val="nil"/>
              <w:right w:val="nil"/>
            </w:tcBorders>
          </w:tcPr>
          <w:p w14:paraId="6B620B71" w14:textId="77777777" w:rsidR="00A25A10" w:rsidRPr="00EB21C3" w:rsidRDefault="00A25A10" w:rsidP="00BF1541">
            <w:pPr>
              <w:spacing w:before="120" w:after="120"/>
              <w:rPr>
                <w:rFonts w:cs="Arial"/>
                <w:b/>
                <w:color w:val="000000" w:themeColor="text1"/>
                <w:shd w:val="clear" w:color="auto" w:fill="FFFFFF"/>
              </w:rPr>
            </w:pPr>
          </w:p>
        </w:tc>
      </w:tr>
      <w:tr w:rsidR="00A25A10" w:rsidRPr="00EB21C3" w14:paraId="1EF39259" w14:textId="77777777" w:rsidTr="00BF1541">
        <w:trPr>
          <w:trHeight w:val="323"/>
        </w:trPr>
        <w:tc>
          <w:tcPr>
            <w:tcW w:w="2625" w:type="dxa"/>
            <w:tcBorders>
              <w:top w:val="nil"/>
              <w:left w:val="nil"/>
              <w:bottom w:val="nil"/>
              <w:right w:val="nil"/>
            </w:tcBorders>
            <w:vAlign w:val="center"/>
          </w:tcPr>
          <w:p w14:paraId="4B92FBE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Student</w:t>
            </w:r>
          </w:p>
        </w:tc>
        <w:tc>
          <w:tcPr>
            <w:tcW w:w="1141" w:type="dxa"/>
            <w:gridSpan w:val="2"/>
            <w:tcBorders>
              <w:top w:val="nil"/>
              <w:left w:val="nil"/>
              <w:bottom w:val="nil"/>
              <w:right w:val="nil"/>
            </w:tcBorders>
            <w:vAlign w:val="center"/>
          </w:tcPr>
          <w:p w14:paraId="60D7380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3B8DD763"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141" w:type="dxa"/>
            <w:gridSpan w:val="2"/>
            <w:tcBorders>
              <w:top w:val="nil"/>
              <w:left w:val="nil"/>
              <w:bottom w:val="nil"/>
              <w:right w:val="nil"/>
            </w:tcBorders>
            <w:vAlign w:val="center"/>
          </w:tcPr>
          <w:p w14:paraId="4B8CBF31"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10</w:t>
            </w:r>
          </w:p>
        </w:tc>
        <w:tc>
          <w:tcPr>
            <w:tcW w:w="1141" w:type="dxa"/>
            <w:gridSpan w:val="2"/>
            <w:tcBorders>
              <w:top w:val="nil"/>
              <w:left w:val="nil"/>
              <w:bottom w:val="nil"/>
              <w:right w:val="nil"/>
            </w:tcBorders>
            <w:vAlign w:val="center"/>
          </w:tcPr>
          <w:p w14:paraId="718F868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12</w:t>
            </w:r>
          </w:p>
        </w:tc>
        <w:tc>
          <w:tcPr>
            <w:tcW w:w="1141" w:type="dxa"/>
            <w:tcBorders>
              <w:top w:val="nil"/>
              <w:left w:val="nil"/>
              <w:bottom w:val="nil"/>
              <w:right w:val="nil"/>
            </w:tcBorders>
          </w:tcPr>
          <w:p w14:paraId="2A29C191"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39 </w:t>
            </w:r>
            <w:r w:rsidRPr="00EB21C3">
              <w:rPr>
                <w:rFonts w:cs="Arial"/>
                <w:color w:val="000000" w:themeColor="text1"/>
                <w:sz w:val="18"/>
                <w:shd w:val="clear" w:color="auto" w:fill="FFFFFF"/>
              </w:rPr>
              <w:t>%</w:t>
            </w:r>
          </w:p>
        </w:tc>
      </w:tr>
      <w:tr w:rsidR="00A25A10" w:rsidRPr="00EB21C3" w14:paraId="7CDB481E" w14:textId="77777777" w:rsidTr="00BF1541">
        <w:trPr>
          <w:trHeight w:val="323"/>
        </w:trPr>
        <w:tc>
          <w:tcPr>
            <w:tcW w:w="2625" w:type="dxa"/>
            <w:tcBorders>
              <w:top w:val="nil"/>
              <w:left w:val="nil"/>
              <w:bottom w:val="nil"/>
              <w:right w:val="nil"/>
            </w:tcBorders>
            <w:vAlign w:val="center"/>
          </w:tcPr>
          <w:p w14:paraId="01421C6E"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Employed</w:t>
            </w:r>
          </w:p>
        </w:tc>
        <w:tc>
          <w:tcPr>
            <w:tcW w:w="1141" w:type="dxa"/>
            <w:gridSpan w:val="2"/>
            <w:tcBorders>
              <w:top w:val="nil"/>
              <w:left w:val="nil"/>
              <w:bottom w:val="nil"/>
              <w:right w:val="nil"/>
            </w:tcBorders>
            <w:vAlign w:val="center"/>
          </w:tcPr>
          <w:p w14:paraId="60494EF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141" w:type="dxa"/>
            <w:gridSpan w:val="2"/>
            <w:tcBorders>
              <w:top w:val="nil"/>
              <w:left w:val="nil"/>
              <w:bottom w:val="nil"/>
              <w:right w:val="nil"/>
            </w:tcBorders>
            <w:vAlign w:val="center"/>
          </w:tcPr>
          <w:p w14:paraId="77687ED3"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141" w:type="dxa"/>
            <w:gridSpan w:val="2"/>
            <w:tcBorders>
              <w:top w:val="nil"/>
              <w:left w:val="nil"/>
              <w:bottom w:val="nil"/>
              <w:right w:val="nil"/>
            </w:tcBorders>
            <w:vAlign w:val="center"/>
          </w:tcPr>
          <w:p w14:paraId="7ED6696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141" w:type="dxa"/>
            <w:gridSpan w:val="2"/>
            <w:tcBorders>
              <w:top w:val="nil"/>
              <w:left w:val="nil"/>
              <w:bottom w:val="nil"/>
              <w:right w:val="nil"/>
            </w:tcBorders>
            <w:vAlign w:val="center"/>
          </w:tcPr>
          <w:p w14:paraId="02974F5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13</w:t>
            </w:r>
          </w:p>
        </w:tc>
        <w:tc>
          <w:tcPr>
            <w:tcW w:w="1141" w:type="dxa"/>
            <w:tcBorders>
              <w:top w:val="nil"/>
              <w:left w:val="nil"/>
              <w:bottom w:val="nil"/>
              <w:right w:val="nil"/>
            </w:tcBorders>
          </w:tcPr>
          <w:p w14:paraId="01CBA73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42 </w:t>
            </w:r>
            <w:r w:rsidRPr="00EB21C3">
              <w:rPr>
                <w:rFonts w:cs="Arial"/>
                <w:color w:val="000000" w:themeColor="text1"/>
                <w:sz w:val="18"/>
                <w:shd w:val="clear" w:color="auto" w:fill="FFFFFF"/>
              </w:rPr>
              <w:t>%</w:t>
            </w:r>
          </w:p>
        </w:tc>
      </w:tr>
      <w:tr w:rsidR="00A25A10" w:rsidRPr="00EB21C3" w14:paraId="485A2182" w14:textId="77777777" w:rsidTr="00BF1541">
        <w:trPr>
          <w:trHeight w:val="323"/>
        </w:trPr>
        <w:tc>
          <w:tcPr>
            <w:tcW w:w="2625" w:type="dxa"/>
            <w:tcBorders>
              <w:top w:val="nil"/>
              <w:left w:val="nil"/>
              <w:bottom w:val="nil"/>
              <w:right w:val="nil"/>
            </w:tcBorders>
            <w:vAlign w:val="center"/>
          </w:tcPr>
          <w:p w14:paraId="036A94E4"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Unemployed</w:t>
            </w:r>
          </w:p>
        </w:tc>
        <w:tc>
          <w:tcPr>
            <w:tcW w:w="1141" w:type="dxa"/>
            <w:gridSpan w:val="2"/>
            <w:tcBorders>
              <w:top w:val="nil"/>
              <w:left w:val="nil"/>
              <w:bottom w:val="nil"/>
              <w:right w:val="nil"/>
            </w:tcBorders>
            <w:vAlign w:val="center"/>
          </w:tcPr>
          <w:p w14:paraId="2ADEB3B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141" w:type="dxa"/>
            <w:gridSpan w:val="2"/>
            <w:tcBorders>
              <w:top w:val="nil"/>
              <w:left w:val="nil"/>
              <w:bottom w:val="nil"/>
              <w:right w:val="nil"/>
            </w:tcBorders>
            <w:vAlign w:val="center"/>
          </w:tcPr>
          <w:p w14:paraId="3CA03E01"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6A7788B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141" w:type="dxa"/>
            <w:gridSpan w:val="2"/>
            <w:tcBorders>
              <w:top w:val="nil"/>
              <w:left w:val="nil"/>
              <w:bottom w:val="nil"/>
              <w:right w:val="nil"/>
            </w:tcBorders>
            <w:vAlign w:val="center"/>
          </w:tcPr>
          <w:p w14:paraId="06C6062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141" w:type="dxa"/>
            <w:tcBorders>
              <w:top w:val="nil"/>
              <w:left w:val="nil"/>
              <w:bottom w:val="nil"/>
              <w:right w:val="nil"/>
            </w:tcBorders>
          </w:tcPr>
          <w:p w14:paraId="75E75FF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13 </w:t>
            </w:r>
            <w:r w:rsidRPr="00EB21C3">
              <w:rPr>
                <w:rFonts w:cs="Arial"/>
                <w:color w:val="000000" w:themeColor="text1"/>
                <w:sz w:val="18"/>
                <w:shd w:val="clear" w:color="auto" w:fill="FFFFFF"/>
              </w:rPr>
              <w:t>%</w:t>
            </w:r>
          </w:p>
        </w:tc>
      </w:tr>
      <w:tr w:rsidR="00A25A10" w:rsidRPr="00EB21C3" w14:paraId="01E804D6" w14:textId="77777777" w:rsidTr="00BF1541">
        <w:trPr>
          <w:trHeight w:val="323"/>
        </w:trPr>
        <w:tc>
          <w:tcPr>
            <w:tcW w:w="2625" w:type="dxa"/>
            <w:tcBorders>
              <w:top w:val="nil"/>
              <w:left w:val="nil"/>
              <w:bottom w:val="nil"/>
              <w:right w:val="nil"/>
            </w:tcBorders>
            <w:vAlign w:val="center"/>
          </w:tcPr>
          <w:p w14:paraId="44C465D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Other / training</w:t>
            </w:r>
          </w:p>
        </w:tc>
        <w:tc>
          <w:tcPr>
            <w:tcW w:w="1141" w:type="dxa"/>
            <w:gridSpan w:val="2"/>
            <w:tcBorders>
              <w:top w:val="nil"/>
              <w:left w:val="nil"/>
              <w:bottom w:val="nil"/>
              <w:right w:val="nil"/>
            </w:tcBorders>
            <w:vAlign w:val="center"/>
          </w:tcPr>
          <w:p w14:paraId="3D8405B5"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0CDBBC5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64D5D376"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141" w:type="dxa"/>
            <w:gridSpan w:val="2"/>
            <w:tcBorders>
              <w:top w:val="nil"/>
              <w:left w:val="nil"/>
              <w:bottom w:val="nil"/>
              <w:right w:val="nil"/>
            </w:tcBorders>
            <w:vAlign w:val="center"/>
          </w:tcPr>
          <w:p w14:paraId="7A1E3EF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141" w:type="dxa"/>
            <w:tcBorders>
              <w:top w:val="nil"/>
              <w:left w:val="nil"/>
              <w:bottom w:val="nil"/>
              <w:right w:val="nil"/>
            </w:tcBorders>
          </w:tcPr>
          <w:p w14:paraId="75636A0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3 </w:t>
            </w:r>
            <w:r w:rsidRPr="00EB21C3">
              <w:rPr>
                <w:rFonts w:cs="Arial"/>
                <w:color w:val="000000" w:themeColor="text1"/>
                <w:sz w:val="18"/>
                <w:shd w:val="clear" w:color="auto" w:fill="FFFFFF"/>
              </w:rPr>
              <w:t>%</w:t>
            </w:r>
          </w:p>
        </w:tc>
      </w:tr>
      <w:tr w:rsidR="00A25A10" w:rsidRPr="00EB21C3" w14:paraId="73F36951" w14:textId="77777777" w:rsidTr="00BF1541">
        <w:trPr>
          <w:trHeight w:val="323"/>
        </w:trPr>
        <w:tc>
          <w:tcPr>
            <w:tcW w:w="2625" w:type="dxa"/>
            <w:tcBorders>
              <w:top w:val="nil"/>
              <w:left w:val="nil"/>
              <w:bottom w:val="nil"/>
              <w:right w:val="nil"/>
            </w:tcBorders>
            <w:vAlign w:val="center"/>
          </w:tcPr>
          <w:p w14:paraId="3D0E3B51" w14:textId="77777777" w:rsidR="00A25A10" w:rsidRPr="00EB21C3" w:rsidRDefault="00A25A10" w:rsidP="00BF1541">
            <w:pPr>
              <w:spacing w:before="120" w:after="120"/>
              <w:rPr>
                <w:rFonts w:cs="Arial"/>
                <w:b/>
                <w:color w:val="000000" w:themeColor="text1"/>
                <w:shd w:val="clear" w:color="auto" w:fill="FFFFFF"/>
              </w:rPr>
            </w:pPr>
            <w:r w:rsidRPr="00EB21C3">
              <w:rPr>
                <w:rFonts w:cs="Arial"/>
                <w:b/>
                <w:color w:val="000000" w:themeColor="text1"/>
                <w:shd w:val="clear" w:color="auto" w:fill="FFFFFF"/>
              </w:rPr>
              <w:t>Ethnicity</w:t>
            </w:r>
          </w:p>
        </w:tc>
        <w:tc>
          <w:tcPr>
            <w:tcW w:w="1141" w:type="dxa"/>
            <w:gridSpan w:val="2"/>
            <w:tcBorders>
              <w:top w:val="nil"/>
              <w:left w:val="nil"/>
              <w:bottom w:val="nil"/>
              <w:right w:val="nil"/>
            </w:tcBorders>
            <w:vAlign w:val="center"/>
          </w:tcPr>
          <w:p w14:paraId="66066765"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1EB97DC9"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4D1B57AB" w14:textId="77777777" w:rsidR="00A25A10" w:rsidRPr="00EB21C3" w:rsidRDefault="00A25A10" w:rsidP="00BF1541">
            <w:pPr>
              <w:spacing w:before="120" w:after="120"/>
              <w:rPr>
                <w:rFonts w:cs="Arial"/>
                <w:b/>
                <w:color w:val="000000" w:themeColor="text1"/>
                <w:shd w:val="clear" w:color="auto" w:fill="FFFFFF"/>
              </w:rPr>
            </w:pPr>
          </w:p>
        </w:tc>
        <w:tc>
          <w:tcPr>
            <w:tcW w:w="1141" w:type="dxa"/>
            <w:gridSpan w:val="2"/>
            <w:tcBorders>
              <w:top w:val="nil"/>
              <w:left w:val="nil"/>
              <w:bottom w:val="nil"/>
              <w:right w:val="nil"/>
            </w:tcBorders>
            <w:vAlign w:val="center"/>
          </w:tcPr>
          <w:p w14:paraId="2CFF182F" w14:textId="77777777" w:rsidR="00A25A10" w:rsidRPr="00EB21C3" w:rsidRDefault="00A25A10" w:rsidP="00BF1541">
            <w:pPr>
              <w:spacing w:before="120" w:after="120"/>
              <w:rPr>
                <w:rFonts w:cs="Arial"/>
                <w:b/>
                <w:color w:val="000000" w:themeColor="text1"/>
                <w:shd w:val="clear" w:color="auto" w:fill="FFFFFF"/>
              </w:rPr>
            </w:pPr>
          </w:p>
        </w:tc>
        <w:tc>
          <w:tcPr>
            <w:tcW w:w="1141" w:type="dxa"/>
            <w:tcBorders>
              <w:top w:val="nil"/>
              <w:left w:val="nil"/>
              <w:bottom w:val="nil"/>
              <w:right w:val="nil"/>
            </w:tcBorders>
          </w:tcPr>
          <w:p w14:paraId="514F8D7A" w14:textId="77777777" w:rsidR="00A25A10" w:rsidRPr="00EB21C3" w:rsidRDefault="00A25A10" w:rsidP="00BF1541">
            <w:pPr>
              <w:spacing w:before="120" w:after="120"/>
              <w:rPr>
                <w:rFonts w:cs="Arial"/>
                <w:b/>
                <w:color w:val="000000" w:themeColor="text1"/>
                <w:shd w:val="clear" w:color="auto" w:fill="FFFFFF"/>
              </w:rPr>
            </w:pPr>
          </w:p>
        </w:tc>
      </w:tr>
      <w:tr w:rsidR="00A25A10" w:rsidRPr="00EB21C3" w14:paraId="4E813C24" w14:textId="77777777" w:rsidTr="00BF1541">
        <w:trPr>
          <w:trHeight w:val="323"/>
        </w:trPr>
        <w:tc>
          <w:tcPr>
            <w:tcW w:w="2625" w:type="dxa"/>
            <w:tcBorders>
              <w:top w:val="nil"/>
              <w:left w:val="nil"/>
              <w:bottom w:val="nil"/>
              <w:right w:val="nil"/>
            </w:tcBorders>
            <w:vAlign w:val="center"/>
          </w:tcPr>
          <w:p w14:paraId="5C1C4D1F"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White British</w:t>
            </w:r>
          </w:p>
        </w:tc>
        <w:tc>
          <w:tcPr>
            <w:tcW w:w="1141" w:type="dxa"/>
            <w:gridSpan w:val="2"/>
            <w:tcBorders>
              <w:top w:val="nil"/>
              <w:left w:val="nil"/>
              <w:bottom w:val="nil"/>
              <w:right w:val="nil"/>
            </w:tcBorders>
            <w:vAlign w:val="center"/>
          </w:tcPr>
          <w:p w14:paraId="44C7927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8</w:t>
            </w:r>
          </w:p>
        </w:tc>
        <w:tc>
          <w:tcPr>
            <w:tcW w:w="1141" w:type="dxa"/>
            <w:gridSpan w:val="2"/>
            <w:tcBorders>
              <w:top w:val="nil"/>
              <w:left w:val="nil"/>
              <w:bottom w:val="nil"/>
              <w:right w:val="nil"/>
            </w:tcBorders>
            <w:vAlign w:val="center"/>
          </w:tcPr>
          <w:p w14:paraId="374B219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141" w:type="dxa"/>
            <w:gridSpan w:val="2"/>
            <w:tcBorders>
              <w:top w:val="nil"/>
              <w:left w:val="nil"/>
              <w:bottom w:val="nil"/>
              <w:right w:val="nil"/>
            </w:tcBorders>
            <w:vAlign w:val="center"/>
          </w:tcPr>
          <w:p w14:paraId="5854A4C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9</w:t>
            </w:r>
          </w:p>
        </w:tc>
        <w:tc>
          <w:tcPr>
            <w:tcW w:w="1141" w:type="dxa"/>
            <w:gridSpan w:val="2"/>
            <w:tcBorders>
              <w:top w:val="nil"/>
              <w:left w:val="nil"/>
              <w:bottom w:val="nil"/>
              <w:right w:val="nil"/>
            </w:tcBorders>
            <w:vAlign w:val="center"/>
          </w:tcPr>
          <w:p w14:paraId="42432B7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17</w:t>
            </w:r>
          </w:p>
        </w:tc>
        <w:tc>
          <w:tcPr>
            <w:tcW w:w="1141" w:type="dxa"/>
            <w:tcBorders>
              <w:top w:val="nil"/>
              <w:left w:val="nil"/>
              <w:bottom w:val="nil"/>
              <w:right w:val="nil"/>
            </w:tcBorders>
          </w:tcPr>
          <w:p w14:paraId="25E7F3D0"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55 </w:t>
            </w:r>
            <w:r w:rsidRPr="00EB21C3">
              <w:rPr>
                <w:rFonts w:cs="Arial"/>
                <w:color w:val="000000" w:themeColor="text1"/>
                <w:sz w:val="18"/>
                <w:shd w:val="clear" w:color="auto" w:fill="FFFFFF"/>
              </w:rPr>
              <w:t>%</w:t>
            </w:r>
          </w:p>
        </w:tc>
      </w:tr>
      <w:tr w:rsidR="00A25A10" w:rsidRPr="00EB21C3" w14:paraId="46A1F6BF" w14:textId="77777777" w:rsidTr="00BF1541">
        <w:trPr>
          <w:trHeight w:val="323"/>
        </w:trPr>
        <w:tc>
          <w:tcPr>
            <w:tcW w:w="2625" w:type="dxa"/>
            <w:tcBorders>
              <w:top w:val="nil"/>
              <w:left w:val="nil"/>
              <w:bottom w:val="nil"/>
              <w:right w:val="nil"/>
            </w:tcBorders>
            <w:vAlign w:val="center"/>
          </w:tcPr>
          <w:p w14:paraId="4EED1927"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Black /Black British</w:t>
            </w:r>
          </w:p>
        </w:tc>
        <w:tc>
          <w:tcPr>
            <w:tcW w:w="1141" w:type="dxa"/>
            <w:gridSpan w:val="2"/>
            <w:tcBorders>
              <w:top w:val="nil"/>
              <w:left w:val="nil"/>
              <w:bottom w:val="nil"/>
              <w:right w:val="nil"/>
            </w:tcBorders>
            <w:vAlign w:val="center"/>
          </w:tcPr>
          <w:p w14:paraId="78EAD27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6399359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141" w:type="dxa"/>
            <w:gridSpan w:val="2"/>
            <w:tcBorders>
              <w:top w:val="nil"/>
              <w:left w:val="nil"/>
              <w:bottom w:val="nil"/>
              <w:right w:val="nil"/>
            </w:tcBorders>
            <w:vAlign w:val="center"/>
          </w:tcPr>
          <w:p w14:paraId="07AA90CB"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141" w:type="dxa"/>
            <w:gridSpan w:val="2"/>
            <w:tcBorders>
              <w:top w:val="nil"/>
              <w:left w:val="nil"/>
              <w:bottom w:val="nil"/>
              <w:right w:val="nil"/>
            </w:tcBorders>
            <w:vAlign w:val="center"/>
          </w:tcPr>
          <w:p w14:paraId="35817D8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141" w:type="dxa"/>
            <w:tcBorders>
              <w:top w:val="nil"/>
              <w:left w:val="nil"/>
              <w:bottom w:val="nil"/>
              <w:right w:val="nil"/>
            </w:tcBorders>
          </w:tcPr>
          <w:p w14:paraId="43B9B6A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13 </w:t>
            </w:r>
            <w:r w:rsidRPr="00EB21C3">
              <w:rPr>
                <w:rFonts w:cs="Arial"/>
                <w:color w:val="000000" w:themeColor="text1"/>
                <w:sz w:val="18"/>
                <w:shd w:val="clear" w:color="auto" w:fill="FFFFFF"/>
              </w:rPr>
              <w:t>%</w:t>
            </w:r>
          </w:p>
        </w:tc>
      </w:tr>
      <w:tr w:rsidR="00A25A10" w:rsidRPr="00EB21C3" w14:paraId="4C8C0A76" w14:textId="77777777" w:rsidTr="00BF1541">
        <w:trPr>
          <w:trHeight w:val="323"/>
        </w:trPr>
        <w:tc>
          <w:tcPr>
            <w:tcW w:w="2625" w:type="dxa"/>
            <w:tcBorders>
              <w:top w:val="nil"/>
              <w:left w:val="nil"/>
              <w:bottom w:val="nil"/>
              <w:right w:val="nil"/>
            </w:tcBorders>
            <w:vAlign w:val="center"/>
          </w:tcPr>
          <w:p w14:paraId="4E83C671"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Asian /Asian British </w:t>
            </w:r>
          </w:p>
        </w:tc>
        <w:tc>
          <w:tcPr>
            <w:tcW w:w="1141" w:type="dxa"/>
            <w:gridSpan w:val="2"/>
            <w:tcBorders>
              <w:top w:val="nil"/>
              <w:left w:val="nil"/>
              <w:bottom w:val="nil"/>
              <w:right w:val="nil"/>
            </w:tcBorders>
            <w:vAlign w:val="center"/>
          </w:tcPr>
          <w:p w14:paraId="3060BAB6"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09E7B3E8"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141" w:type="dxa"/>
            <w:gridSpan w:val="2"/>
            <w:tcBorders>
              <w:top w:val="nil"/>
              <w:left w:val="nil"/>
              <w:bottom w:val="nil"/>
              <w:right w:val="nil"/>
            </w:tcBorders>
            <w:vAlign w:val="center"/>
          </w:tcPr>
          <w:p w14:paraId="18ED9251"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141" w:type="dxa"/>
            <w:gridSpan w:val="2"/>
            <w:tcBorders>
              <w:top w:val="nil"/>
              <w:left w:val="nil"/>
              <w:bottom w:val="nil"/>
              <w:right w:val="nil"/>
            </w:tcBorders>
            <w:vAlign w:val="center"/>
          </w:tcPr>
          <w:p w14:paraId="6D12E864"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141" w:type="dxa"/>
            <w:tcBorders>
              <w:top w:val="nil"/>
              <w:left w:val="nil"/>
              <w:bottom w:val="nil"/>
              <w:right w:val="nil"/>
            </w:tcBorders>
          </w:tcPr>
          <w:p w14:paraId="096A42A9"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19 </w:t>
            </w:r>
            <w:r w:rsidRPr="00EB21C3">
              <w:rPr>
                <w:rFonts w:cs="Arial"/>
                <w:color w:val="000000" w:themeColor="text1"/>
                <w:sz w:val="18"/>
                <w:shd w:val="clear" w:color="auto" w:fill="FFFFFF"/>
              </w:rPr>
              <w:t>%</w:t>
            </w:r>
          </w:p>
        </w:tc>
      </w:tr>
      <w:tr w:rsidR="00A25A10" w:rsidRPr="00EB21C3" w14:paraId="040786EF" w14:textId="77777777" w:rsidTr="00BF1541">
        <w:trPr>
          <w:trHeight w:val="323"/>
        </w:trPr>
        <w:tc>
          <w:tcPr>
            <w:tcW w:w="2625" w:type="dxa"/>
            <w:tcBorders>
              <w:top w:val="nil"/>
              <w:left w:val="nil"/>
              <w:bottom w:val="nil"/>
              <w:right w:val="nil"/>
            </w:tcBorders>
            <w:vAlign w:val="center"/>
          </w:tcPr>
          <w:p w14:paraId="337A2C22"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Other </w:t>
            </w:r>
          </w:p>
        </w:tc>
        <w:tc>
          <w:tcPr>
            <w:tcW w:w="1141" w:type="dxa"/>
            <w:gridSpan w:val="2"/>
            <w:tcBorders>
              <w:top w:val="nil"/>
              <w:left w:val="nil"/>
              <w:bottom w:val="nil"/>
              <w:right w:val="nil"/>
            </w:tcBorders>
            <w:vAlign w:val="center"/>
          </w:tcPr>
          <w:p w14:paraId="70FBD0F7"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078C91E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36C66CFD"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gridSpan w:val="2"/>
            <w:tcBorders>
              <w:top w:val="nil"/>
              <w:left w:val="nil"/>
              <w:bottom w:val="nil"/>
              <w:right w:val="nil"/>
            </w:tcBorders>
            <w:vAlign w:val="center"/>
          </w:tcPr>
          <w:p w14:paraId="754FFB7A"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141" w:type="dxa"/>
            <w:tcBorders>
              <w:top w:val="nil"/>
              <w:left w:val="nil"/>
              <w:bottom w:val="nil"/>
              <w:right w:val="nil"/>
            </w:tcBorders>
          </w:tcPr>
          <w:p w14:paraId="186F61CC" w14:textId="77777777" w:rsidR="00A25A10" w:rsidRPr="00EB21C3" w:rsidRDefault="00A25A10" w:rsidP="00BF1541">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0 </w:t>
            </w:r>
            <w:r w:rsidRPr="00EB21C3">
              <w:rPr>
                <w:rFonts w:cs="Arial"/>
                <w:color w:val="000000" w:themeColor="text1"/>
                <w:sz w:val="18"/>
                <w:shd w:val="clear" w:color="auto" w:fill="FFFFFF"/>
              </w:rPr>
              <w:t>%</w:t>
            </w:r>
          </w:p>
        </w:tc>
      </w:tr>
      <w:tr w:rsidR="00A25A10" w:rsidRPr="00EB21C3" w14:paraId="52675B40" w14:textId="77777777" w:rsidTr="00BF1541">
        <w:trPr>
          <w:trHeight w:val="95"/>
        </w:trPr>
        <w:tc>
          <w:tcPr>
            <w:tcW w:w="2625" w:type="dxa"/>
            <w:tcBorders>
              <w:top w:val="nil"/>
              <w:left w:val="nil"/>
              <w:bottom w:val="single" w:sz="4" w:space="0" w:color="auto"/>
              <w:right w:val="nil"/>
            </w:tcBorders>
            <w:vAlign w:val="center"/>
          </w:tcPr>
          <w:p w14:paraId="2FD03EAA" w14:textId="77777777" w:rsidR="00A25A10" w:rsidRPr="00EB21C3" w:rsidRDefault="00A25A10" w:rsidP="00BF1541">
            <w:pPr>
              <w:rPr>
                <w:rFonts w:cs="Arial"/>
                <w:color w:val="000000" w:themeColor="text1"/>
                <w:sz w:val="2"/>
                <w:szCs w:val="2"/>
                <w:shd w:val="clear" w:color="auto" w:fill="FFFFFF"/>
              </w:rPr>
            </w:pPr>
          </w:p>
        </w:tc>
        <w:tc>
          <w:tcPr>
            <w:tcW w:w="885" w:type="dxa"/>
            <w:tcBorders>
              <w:top w:val="nil"/>
              <w:left w:val="nil"/>
              <w:bottom w:val="single" w:sz="4" w:space="0" w:color="auto"/>
              <w:right w:val="nil"/>
            </w:tcBorders>
            <w:vAlign w:val="center"/>
          </w:tcPr>
          <w:p w14:paraId="6300D04E" w14:textId="77777777" w:rsidR="00A25A10" w:rsidRPr="00EB21C3" w:rsidRDefault="00A25A10" w:rsidP="00BF1541">
            <w:pPr>
              <w:rPr>
                <w:rFonts w:cs="Arial"/>
                <w:color w:val="000000" w:themeColor="text1"/>
                <w:sz w:val="2"/>
                <w:szCs w:val="2"/>
                <w:shd w:val="clear" w:color="auto" w:fill="FFFFFF"/>
              </w:rPr>
            </w:pPr>
          </w:p>
        </w:tc>
        <w:tc>
          <w:tcPr>
            <w:tcW w:w="993" w:type="dxa"/>
            <w:gridSpan w:val="2"/>
            <w:tcBorders>
              <w:top w:val="nil"/>
              <w:left w:val="nil"/>
              <w:bottom w:val="single" w:sz="4" w:space="0" w:color="auto"/>
              <w:right w:val="nil"/>
            </w:tcBorders>
            <w:vAlign w:val="center"/>
          </w:tcPr>
          <w:p w14:paraId="3144244B" w14:textId="77777777" w:rsidR="00A25A10" w:rsidRPr="00EB21C3" w:rsidRDefault="00A25A10" w:rsidP="00BF1541">
            <w:pPr>
              <w:rPr>
                <w:rFonts w:cs="Arial"/>
                <w:color w:val="000000" w:themeColor="text1"/>
                <w:sz w:val="2"/>
                <w:szCs w:val="2"/>
                <w:shd w:val="clear" w:color="auto" w:fill="FFFFFF"/>
              </w:rPr>
            </w:pPr>
          </w:p>
        </w:tc>
        <w:tc>
          <w:tcPr>
            <w:tcW w:w="992" w:type="dxa"/>
            <w:gridSpan w:val="2"/>
            <w:tcBorders>
              <w:top w:val="nil"/>
              <w:left w:val="nil"/>
              <w:bottom w:val="single" w:sz="4" w:space="0" w:color="auto"/>
              <w:right w:val="nil"/>
            </w:tcBorders>
            <w:vAlign w:val="center"/>
          </w:tcPr>
          <w:p w14:paraId="1E311090" w14:textId="77777777" w:rsidR="00A25A10" w:rsidRPr="00EB21C3" w:rsidRDefault="00A25A10" w:rsidP="00BF1541">
            <w:pPr>
              <w:rPr>
                <w:rFonts w:cs="Arial"/>
                <w:color w:val="000000" w:themeColor="text1"/>
                <w:sz w:val="2"/>
                <w:szCs w:val="2"/>
                <w:shd w:val="clear" w:color="auto" w:fill="FFFFFF"/>
              </w:rPr>
            </w:pPr>
          </w:p>
        </w:tc>
        <w:tc>
          <w:tcPr>
            <w:tcW w:w="992" w:type="dxa"/>
            <w:gridSpan w:val="2"/>
            <w:tcBorders>
              <w:top w:val="nil"/>
              <w:left w:val="nil"/>
              <w:bottom w:val="single" w:sz="4" w:space="0" w:color="auto"/>
              <w:right w:val="nil"/>
            </w:tcBorders>
          </w:tcPr>
          <w:p w14:paraId="5B552A72" w14:textId="77777777" w:rsidR="00A25A10" w:rsidRPr="00EB21C3" w:rsidRDefault="00A25A10" w:rsidP="00BF1541">
            <w:pPr>
              <w:rPr>
                <w:rFonts w:cs="Arial"/>
                <w:color w:val="000000" w:themeColor="text1"/>
                <w:sz w:val="2"/>
                <w:szCs w:val="2"/>
                <w:shd w:val="clear" w:color="auto" w:fill="FFFFFF"/>
              </w:rPr>
            </w:pPr>
          </w:p>
        </w:tc>
        <w:tc>
          <w:tcPr>
            <w:tcW w:w="1843" w:type="dxa"/>
            <w:gridSpan w:val="2"/>
            <w:tcBorders>
              <w:top w:val="nil"/>
              <w:left w:val="nil"/>
              <w:bottom w:val="single" w:sz="4" w:space="0" w:color="auto"/>
              <w:right w:val="nil"/>
            </w:tcBorders>
          </w:tcPr>
          <w:p w14:paraId="6D4A31DA" w14:textId="77777777" w:rsidR="00A25A10" w:rsidRPr="00EB21C3" w:rsidRDefault="00A25A10" w:rsidP="00BF1541">
            <w:pPr>
              <w:rPr>
                <w:rFonts w:cs="Arial"/>
                <w:color w:val="000000" w:themeColor="text1"/>
                <w:sz w:val="2"/>
                <w:szCs w:val="2"/>
                <w:shd w:val="clear" w:color="auto" w:fill="FFFFFF"/>
              </w:rPr>
            </w:pPr>
          </w:p>
        </w:tc>
      </w:tr>
    </w:tbl>
    <w:p w14:paraId="6224852F" w14:textId="77777777" w:rsidR="00A25A10" w:rsidRPr="00EB21C3" w:rsidRDefault="00A25A10" w:rsidP="00A25A10">
      <w:pPr>
        <w:spacing w:line="240" w:lineRule="auto"/>
        <w:rPr>
          <w:szCs w:val="24"/>
          <w:shd w:val="clear" w:color="auto" w:fill="FFFFFF"/>
        </w:rPr>
      </w:pPr>
    </w:p>
    <w:p w14:paraId="2E163B3C" w14:textId="77777777" w:rsidR="00A25A10" w:rsidRPr="00EB21C3" w:rsidRDefault="00A25A10" w:rsidP="00A25A10">
      <w:pPr>
        <w:spacing w:line="240" w:lineRule="auto"/>
        <w:rPr>
          <w:color w:val="4F81BD" w:themeColor="accent1"/>
          <w:szCs w:val="24"/>
          <w:shd w:val="clear" w:color="auto" w:fill="FFFFFF"/>
        </w:rPr>
      </w:pPr>
    </w:p>
    <w:p w14:paraId="05E17476" w14:textId="77777777" w:rsidR="00EB21C3" w:rsidRPr="00461C9A" w:rsidRDefault="00EB21C3" w:rsidP="00EB21C3">
      <w:pPr>
        <w:keepNext/>
        <w:keepLines/>
        <w:numPr>
          <w:ilvl w:val="2"/>
          <w:numId w:val="2"/>
        </w:numPr>
        <w:spacing w:before="480" w:after="100" w:afterAutospacing="1" w:line="240" w:lineRule="auto"/>
        <w:outlineLvl w:val="2"/>
        <w:rPr>
          <w:b/>
          <w:bCs/>
          <w:color w:val="000000"/>
          <w:shd w:val="clear" w:color="auto" w:fill="FFFFFF"/>
        </w:rPr>
      </w:pPr>
      <w:bookmarkStart w:id="511" w:name="_Toc35892744"/>
      <w:r w:rsidRPr="00461C9A">
        <w:rPr>
          <w:b/>
          <w:bCs/>
          <w:color w:val="000000"/>
          <w:shd w:val="clear" w:color="auto" w:fill="FFFFFF"/>
        </w:rPr>
        <w:t>Previous use of NPS</w:t>
      </w:r>
      <w:bookmarkEnd w:id="511"/>
      <w:r w:rsidRPr="00461C9A">
        <w:rPr>
          <w:b/>
          <w:bCs/>
          <w:color w:val="000000"/>
          <w:shd w:val="clear" w:color="auto" w:fill="FFFFFF"/>
        </w:rPr>
        <w:t xml:space="preserve"> </w:t>
      </w:r>
    </w:p>
    <w:p w14:paraId="353D7DBA" w14:textId="04DAA4BB" w:rsidR="00EB21C3" w:rsidRPr="00EB21C3" w:rsidRDefault="00EB21C3" w:rsidP="00EB21C3">
      <w:pPr>
        <w:spacing w:line="480" w:lineRule="auto"/>
        <w:rPr>
          <w:szCs w:val="24"/>
          <w:shd w:val="clear" w:color="auto" w:fill="FFFFFF"/>
        </w:rPr>
      </w:pPr>
      <w:r w:rsidRPr="00EB21C3">
        <w:rPr>
          <w:szCs w:val="24"/>
          <w:shd w:val="clear" w:color="auto" w:fill="FFFFFF"/>
        </w:rPr>
        <w:t>In total three participants reported use of NPS (10%), two used them before the ban, and one after</w:t>
      </w:r>
      <w:r w:rsidR="00A25A10">
        <w:rPr>
          <w:szCs w:val="24"/>
          <w:shd w:val="clear" w:color="auto" w:fill="FFFFFF"/>
        </w:rPr>
        <w:t xml:space="preserve"> (see Table 8-3)</w:t>
      </w:r>
      <w:r w:rsidRPr="00EB21C3">
        <w:rPr>
          <w:szCs w:val="24"/>
          <w:shd w:val="clear" w:color="auto" w:fill="FFFFFF"/>
        </w:rPr>
        <w:t>. This proportion is in line with estimates for young people in the UK which vary between about 2 – 10% (see Chapter 2). While the two participants who took NPS prior to the ban had also used illicit drugs, the participant who used NPS after the ban had not. Most participants had friends who had used NPS prior to the ban (39%), and they did not perceive a change in their friends’ use as a result of the ban</w:t>
      </w:r>
      <w:r w:rsidR="00A25A10">
        <w:rPr>
          <w:szCs w:val="24"/>
          <w:shd w:val="clear" w:color="auto" w:fill="FFFFFF"/>
        </w:rPr>
        <w:t xml:space="preserve"> (see Table 8-4)</w:t>
      </w:r>
      <w:r w:rsidRPr="00EB21C3">
        <w:rPr>
          <w:szCs w:val="24"/>
          <w:shd w:val="clear" w:color="auto" w:fill="FFFFFF"/>
        </w:rPr>
        <w:t>. However, there seemed to be some uncertainty about the legal status of psychoactive substances for both their own and their friends</w:t>
      </w:r>
      <w:r w:rsidR="003A0F49">
        <w:rPr>
          <w:szCs w:val="24"/>
          <w:shd w:val="clear" w:color="auto" w:fill="FFFFFF"/>
        </w:rPr>
        <w:t>'</w:t>
      </w:r>
      <w:r w:rsidRPr="00EB21C3">
        <w:rPr>
          <w:szCs w:val="24"/>
          <w:shd w:val="clear" w:color="auto" w:fill="FFFFFF"/>
        </w:rPr>
        <w:t xml:space="preserve"> use. </w:t>
      </w:r>
    </w:p>
    <w:p w14:paraId="130D1E84" w14:textId="77777777" w:rsidR="00EB21C3" w:rsidRPr="00461C9A" w:rsidRDefault="00EB21C3" w:rsidP="00EB21C3">
      <w:pPr>
        <w:keepNext/>
        <w:keepLines/>
        <w:numPr>
          <w:ilvl w:val="2"/>
          <w:numId w:val="2"/>
        </w:numPr>
        <w:spacing w:before="480" w:after="100" w:afterAutospacing="1" w:line="240" w:lineRule="auto"/>
        <w:outlineLvl w:val="2"/>
        <w:rPr>
          <w:b/>
          <w:bCs/>
          <w:color w:val="000000"/>
          <w:shd w:val="clear" w:color="auto" w:fill="FFFFFF"/>
        </w:rPr>
      </w:pPr>
      <w:bookmarkStart w:id="512" w:name="_Toc35892745"/>
      <w:r w:rsidRPr="00461C9A">
        <w:rPr>
          <w:b/>
          <w:bCs/>
          <w:color w:val="000000"/>
          <w:shd w:val="clear" w:color="auto" w:fill="FFFFFF"/>
        </w:rPr>
        <w:t>Previous use of illicit drugs</w:t>
      </w:r>
      <w:bookmarkEnd w:id="512"/>
    </w:p>
    <w:p w14:paraId="79586E8A" w14:textId="09CBF0A7" w:rsidR="00EB21C3" w:rsidRPr="00EB21C3" w:rsidRDefault="00EB21C3" w:rsidP="00EB21C3">
      <w:pPr>
        <w:spacing w:line="480" w:lineRule="auto"/>
        <w:rPr>
          <w:szCs w:val="24"/>
          <w:shd w:val="clear" w:color="auto" w:fill="FFFFFF"/>
        </w:rPr>
      </w:pPr>
      <w:r w:rsidRPr="00EB21C3">
        <w:rPr>
          <w:szCs w:val="24"/>
          <w:shd w:val="clear" w:color="auto" w:fill="FFFFFF"/>
        </w:rPr>
        <w:t>Of the sample, 29% of participants reported use of illicit drugs</w:t>
      </w:r>
      <w:r>
        <w:rPr>
          <w:szCs w:val="24"/>
          <w:shd w:val="clear" w:color="auto" w:fill="FFFFFF"/>
        </w:rPr>
        <w:t xml:space="preserve"> (see Table 8-3)</w:t>
      </w:r>
      <w:r w:rsidRPr="00EB21C3">
        <w:rPr>
          <w:szCs w:val="24"/>
          <w:shd w:val="clear" w:color="auto" w:fill="FFFFFF"/>
        </w:rPr>
        <w:t>, this is a lower rate than general population estimates for young people in the UK which is estimated to about 35% (CSEW, 2017).  However, 17% of participants were not sure if they had or declined to say. Regarding perceptions of their friends’ use of traditional illicit drugs</w:t>
      </w:r>
      <w:r>
        <w:rPr>
          <w:szCs w:val="24"/>
          <w:shd w:val="clear" w:color="auto" w:fill="FFFFFF"/>
        </w:rPr>
        <w:t xml:space="preserve"> (</w:t>
      </w:r>
      <w:r w:rsidR="00A25A10">
        <w:rPr>
          <w:szCs w:val="24"/>
          <w:shd w:val="clear" w:color="auto" w:fill="FFFFFF"/>
        </w:rPr>
        <w:t>s</w:t>
      </w:r>
      <w:r>
        <w:rPr>
          <w:szCs w:val="24"/>
          <w:shd w:val="clear" w:color="auto" w:fill="FFFFFF"/>
        </w:rPr>
        <w:t>ee Table 8-4)</w:t>
      </w:r>
      <w:r w:rsidRPr="00EB21C3">
        <w:rPr>
          <w:szCs w:val="24"/>
          <w:shd w:val="clear" w:color="auto" w:fill="FFFFFF"/>
        </w:rPr>
        <w:t xml:space="preserve">, 65% of participants thought their friends had experience of drug use, with a further 16% not sure or not wanting to say. </w:t>
      </w:r>
    </w:p>
    <w:p w14:paraId="53ECB3FB" w14:textId="77777777" w:rsidR="00EB21C3" w:rsidRPr="00EB21C3" w:rsidRDefault="00EB21C3" w:rsidP="00EB21C3">
      <w:pPr>
        <w:rPr>
          <w:b/>
          <w:bCs/>
          <w:color w:val="000000"/>
          <w:sz w:val="22"/>
          <w:shd w:val="clear" w:color="auto" w:fill="FFFFFF"/>
        </w:rPr>
      </w:pPr>
      <w:r w:rsidRPr="00EB21C3">
        <w:rPr>
          <w:shd w:val="clear" w:color="auto" w:fill="FFFFFF"/>
        </w:rPr>
        <w:br w:type="page"/>
      </w:r>
    </w:p>
    <w:p w14:paraId="4737C08E" w14:textId="1DB1F933" w:rsidR="00EB21C3" w:rsidRPr="00241FE7" w:rsidRDefault="00EB21C3" w:rsidP="00461C9A">
      <w:pPr>
        <w:pStyle w:val="TableHeader"/>
        <w:spacing w:line="240" w:lineRule="auto"/>
        <w:rPr>
          <w:b/>
        </w:rPr>
      </w:pPr>
      <w:bookmarkStart w:id="513" w:name="_Toc9509088"/>
      <w:r w:rsidRPr="00241FE7">
        <w:rPr>
          <w:b/>
        </w:rPr>
        <w:t xml:space="preserve">Table 8-3. </w:t>
      </w:r>
      <w:r w:rsidR="001274B4">
        <w:rPr>
          <w:b/>
        </w:rPr>
        <w:t>Participants’ u</w:t>
      </w:r>
      <w:r w:rsidRPr="00241FE7">
        <w:rPr>
          <w:b/>
        </w:rPr>
        <w:t>se of NPS and illicit drugs</w:t>
      </w:r>
      <w:bookmarkEnd w:id="513"/>
      <w:r w:rsidRPr="00241FE7">
        <w:rPr>
          <w:b/>
        </w:rPr>
        <w:t xml:space="preserve"> </w:t>
      </w:r>
    </w:p>
    <w:tbl>
      <w:tblPr>
        <w:tblStyle w:val="TableGrid1"/>
        <w:tblW w:w="0" w:type="auto"/>
        <w:tblLook w:val="04A0" w:firstRow="1" w:lastRow="0" w:firstColumn="1" w:lastColumn="0" w:noHBand="0" w:noVBand="1"/>
      </w:tblPr>
      <w:tblGrid>
        <w:gridCol w:w="2984"/>
        <w:gridCol w:w="765"/>
        <w:gridCol w:w="247"/>
        <w:gridCol w:w="655"/>
        <w:gridCol w:w="357"/>
        <w:gridCol w:w="523"/>
        <w:gridCol w:w="490"/>
        <w:gridCol w:w="429"/>
        <w:gridCol w:w="583"/>
        <w:gridCol w:w="1013"/>
        <w:gridCol w:w="278"/>
      </w:tblGrid>
      <w:tr w:rsidR="00EB21C3" w:rsidRPr="00EB21C3" w14:paraId="1899BDE0" w14:textId="77777777" w:rsidTr="00EB21C3">
        <w:trPr>
          <w:trHeight w:val="352"/>
        </w:trPr>
        <w:tc>
          <w:tcPr>
            <w:tcW w:w="2984" w:type="dxa"/>
            <w:tcBorders>
              <w:top w:val="single" w:sz="4" w:space="0" w:color="auto"/>
              <w:left w:val="nil"/>
              <w:bottom w:val="nil"/>
              <w:right w:val="nil"/>
            </w:tcBorders>
          </w:tcPr>
          <w:p w14:paraId="40E2F1E9" w14:textId="77777777" w:rsidR="00EB21C3" w:rsidRPr="00EB21C3" w:rsidRDefault="00EB21C3" w:rsidP="00EB21C3">
            <w:pPr>
              <w:rPr>
                <w:rFonts w:cs="Arial"/>
                <w:color w:val="000000" w:themeColor="text1"/>
                <w:shd w:val="clear" w:color="auto" w:fill="FFFFFF"/>
              </w:rPr>
            </w:pPr>
          </w:p>
        </w:tc>
        <w:tc>
          <w:tcPr>
            <w:tcW w:w="1667" w:type="dxa"/>
            <w:gridSpan w:val="3"/>
            <w:tcBorders>
              <w:top w:val="single" w:sz="4" w:space="0" w:color="auto"/>
              <w:left w:val="nil"/>
              <w:bottom w:val="single" w:sz="4" w:space="0" w:color="auto"/>
              <w:right w:val="nil"/>
            </w:tcBorders>
          </w:tcPr>
          <w:p w14:paraId="5D6747D1" w14:textId="77777777" w:rsidR="00EB21C3" w:rsidRPr="00EB21C3" w:rsidRDefault="00EB21C3" w:rsidP="00EB21C3">
            <w:pPr>
              <w:rPr>
                <w:rFonts w:cs="Arial"/>
                <w:color w:val="000000" w:themeColor="text1"/>
                <w:shd w:val="clear" w:color="auto" w:fill="FFFFFF"/>
              </w:rPr>
            </w:pPr>
            <w:r w:rsidRPr="00EB21C3">
              <w:rPr>
                <w:rFonts w:cs="Arial"/>
                <w:b/>
                <w:color w:val="000000" w:themeColor="text1"/>
                <w:shd w:val="clear" w:color="auto" w:fill="FFFFFF"/>
              </w:rPr>
              <w:t xml:space="preserve">Focus group </w:t>
            </w:r>
          </w:p>
        </w:tc>
        <w:tc>
          <w:tcPr>
            <w:tcW w:w="880" w:type="dxa"/>
            <w:gridSpan w:val="2"/>
            <w:tcBorders>
              <w:top w:val="single" w:sz="4" w:space="0" w:color="auto"/>
              <w:left w:val="nil"/>
              <w:bottom w:val="single" w:sz="4" w:space="0" w:color="auto"/>
              <w:right w:val="nil"/>
            </w:tcBorders>
          </w:tcPr>
          <w:p w14:paraId="5E3B0466" w14:textId="77777777" w:rsidR="00EB21C3" w:rsidRPr="00EB21C3" w:rsidRDefault="00EB21C3" w:rsidP="00EB21C3">
            <w:pPr>
              <w:rPr>
                <w:rFonts w:cs="Arial"/>
                <w:color w:val="000000" w:themeColor="text1"/>
                <w:shd w:val="clear" w:color="auto" w:fill="FFFFFF"/>
              </w:rPr>
            </w:pPr>
          </w:p>
        </w:tc>
        <w:tc>
          <w:tcPr>
            <w:tcW w:w="919" w:type="dxa"/>
            <w:gridSpan w:val="2"/>
            <w:tcBorders>
              <w:top w:val="single" w:sz="4" w:space="0" w:color="auto"/>
              <w:left w:val="nil"/>
              <w:bottom w:val="single" w:sz="4" w:space="0" w:color="auto"/>
              <w:right w:val="nil"/>
            </w:tcBorders>
            <w:vAlign w:val="center"/>
          </w:tcPr>
          <w:p w14:paraId="1924B757" w14:textId="77777777" w:rsidR="00EB21C3" w:rsidRPr="00EB21C3" w:rsidRDefault="00EB21C3" w:rsidP="00EB21C3">
            <w:pPr>
              <w:rPr>
                <w:rFonts w:cs="Arial"/>
                <w:color w:val="000000" w:themeColor="text1"/>
                <w:shd w:val="clear" w:color="auto" w:fill="FFFFFF"/>
              </w:rPr>
            </w:pPr>
          </w:p>
        </w:tc>
        <w:tc>
          <w:tcPr>
            <w:tcW w:w="1596" w:type="dxa"/>
            <w:gridSpan w:val="2"/>
            <w:tcBorders>
              <w:top w:val="single" w:sz="4" w:space="0" w:color="auto"/>
              <w:left w:val="nil"/>
              <w:bottom w:val="single" w:sz="4" w:space="0" w:color="auto"/>
              <w:right w:val="nil"/>
            </w:tcBorders>
          </w:tcPr>
          <w:p w14:paraId="309A48DE" w14:textId="77777777" w:rsidR="00EB21C3" w:rsidRPr="00EB21C3" w:rsidRDefault="00EB21C3" w:rsidP="00EB21C3">
            <w:pPr>
              <w:rPr>
                <w:rFonts w:cs="Arial"/>
                <w:color w:val="000000" w:themeColor="text1"/>
                <w:shd w:val="clear" w:color="auto" w:fill="FFFFFF"/>
              </w:rPr>
            </w:pPr>
          </w:p>
        </w:tc>
        <w:tc>
          <w:tcPr>
            <w:tcW w:w="278" w:type="dxa"/>
            <w:tcBorders>
              <w:top w:val="nil"/>
              <w:left w:val="nil"/>
              <w:bottom w:val="nil"/>
              <w:right w:val="nil"/>
            </w:tcBorders>
          </w:tcPr>
          <w:p w14:paraId="29EA3255" w14:textId="77777777" w:rsidR="00EB21C3" w:rsidRPr="00EB21C3" w:rsidRDefault="00EB21C3" w:rsidP="00EB21C3">
            <w:pPr>
              <w:rPr>
                <w:rFonts w:cs="Arial"/>
                <w:color w:val="000000" w:themeColor="text1"/>
                <w:shd w:val="clear" w:color="auto" w:fill="FFFFFF"/>
              </w:rPr>
            </w:pPr>
          </w:p>
        </w:tc>
      </w:tr>
      <w:tr w:rsidR="00EB21C3" w:rsidRPr="00EB21C3" w14:paraId="4B8632E7" w14:textId="77777777" w:rsidTr="00EB21C3">
        <w:trPr>
          <w:trHeight w:val="511"/>
        </w:trPr>
        <w:tc>
          <w:tcPr>
            <w:tcW w:w="2984" w:type="dxa"/>
            <w:tcBorders>
              <w:top w:val="nil"/>
              <w:left w:val="nil"/>
              <w:bottom w:val="single" w:sz="4" w:space="0" w:color="auto"/>
              <w:right w:val="nil"/>
            </w:tcBorders>
          </w:tcPr>
          <w:p w14:paraId="5D15E96E" w14:textId="77777777" w:rsidR="00EB21C3" w:rsidRPr="00EB21C3" w:rsidRDefault="00EB21C3" w:rsidP="00EB21C3">
            <w:pPr>
              <w:rPr>
                <w:rFonts w:cs="Arial"/>
                <w:b/>
                <w:color w:val="000000" w:themeColor="text1"/>
                <w:shd w:val="clear" w:color="auto" w:fill="FFFFFF"/>
              </w:rPr>
            </w:pPr>
            <w:r w:rsidRPr="00EB21C3">
              <w:rPr>
                <w:rFonts w:cs="Arial"/>
                <w:b/>
                <w:color w:val="000000" w:themeColor="text1"/>
                <w:shd w:val="clear" w:color="auto" w:fill="FFFFFF"/>
              </w:rPr>
              <w:t>Question</w:t>
            </w:r>
          </w:p>
        </w:tc>
        <w:tc>
          <w:tcPr>
            <w:tcW w:w="1012" w:type="dxa"/>
            <w:gridSpan w:val="2"/>
            <w:tcBorders>
              <w:top w:val="single" w:sz="4" w:space="0" w:color="auto"/>
              <w:left w:val="nil"/>
              <w:bottom w:val="single" w:sz="4" w:space="0" w:color="auto"/>
              <w:right w:val="nil"/>
            </w:tcBorders>
            <w:vAlign w:val="center"/>
          </w:tcPr>
          <w:p w14:paraId="2CA8FD80"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single" w:sz="4" w:space="0" w:color="auto"/>
              <w:left w:val="nil"/>
              <w:bottom w:val="single" w:sz="4" w:space="0" w:color="auto"/>
              <w:right w:val="nil"/>
            </w:tcBorders>
            <w:vAlign w:val="center"/>
          </w:tcPr>
          <w:p w14:paraId="6A11D77D"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2</w:t>
            </w:r>
          </w:p>
        </w:tc>
        <w:tc>
          <w:tcPr>
            <w:tcW w:w="1013" w:type="dxa"/>
            <w:gridSpan w:val="2"/>
            <w:tcBorders>
              <w:top w:val="single" w:sz="4" w:space="0" w:color="auto"/>
              <w:left w:val="nil"/>
              <w:bottom w:val="single" w:sz="4" w:space="0" w:color="auto"/>
              <w:right w:val="nil"/>
            </w:tcBorders>
            <w:vAlign w:val="center"/>
          </w:tcPr>
          <w:p w14:paraId="4984B4E5"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3</w:t>
            </w:r>
          </w:p>
        </w:tc>
        <w:tc>
          <w:tcPr>
            <w:tcW w:w="1012" w:type="dxa"/>
            <w:gridSpan w:val="2"/>
            <w:tcBorders>
              <w:top w:val="single" w:sz="4" w:space="0" w:color="auto"/>
              <w:left w:val="nil"/>
              <w:bottom w:val="single" w:sz="4" w:space="0" w:color="auto"/>
              <w:right w:val="nil"/>
            </w:tcBorders>
            <w:vAlign w:val="center"/>
          </w:tcPr>
          <w:p w14:paraId="031C90E8"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All</w:t>
            </w:r>
          </w:p>
        </w:tc>
        <w:tc>
          <w:tcPr>
            <w:tcW w:w="1013" w:type="dxa"/>
            <w:tcBorders>
              <w:top w:val="single" w:sz="4" w:space="0" w:color="auto"/>
              <w:left w:val="nil"/>
              <w:bottom w:val="single" w:sz="4" w:space="0" w:color="auto"/>
              <w:right w:val="nil"/>
            </w:tcBorders>
            <w:vAlign w:val="center"/>
          </w:tcPr>
          <w:p w14:paraId="79EFD457"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w:t>
            </w:r>
          </w:p>
        </w:tc>
        <w:tc>
          <w:tcPr>
            <w:tcW w:w="278" w:type="dxa"/>
            <w:tcBorders>
              <w:top w:val="nil"/>
              <w:left w:val="nil"/>
              <w:bottom w:val="nil"/>
              <w:right w:val="nil"/>
            </w:tcBorders>
          </w:tcPr>
          <w:p w14:paraId="00B2196E" w14:textId="77777777" w:rsidR="00EB21C3" w:rsidRPr="00EB21C3" w:rsidRDefault="00EB21C3" w:rsidP="00EB21C3">
            <w:pPr>
              <w:rPr>
                <w:rFonts w:cs="Arial"/>
                <w:color w:val="000000" w:themeColor="text1"/>
                <w:shd w:val="clear" w:color="auto" w:fill="FFFFFF"/>
              </w:rPr>
            </w:pPr>
          </w:p>
        </w:tc>
      </w:tr>
      <w:tr w:rsidR="00EB21C3" w:rsidRPr="00EB21C3" w14:paraId="4AED83B1" w14:textId="77777777" w:rsidTr="00EB21C3">
        <w:trPr>
          <w:trHeight w:val="95"/>
        </w:trPr>
        <w:tc>
          <w:tcPr>
            <w:tcW w:w="2984" w:type="dxa"/>
            <w:tcBorders>
              <w:top w:val="nil"/>
              <w:left w:val="nil"/>
              <w:bottom w:val="nil"/>
              <w:right w:val="nil"/>
            </w:tcBorders>
            <w:vAlign w:val="center"/>
          </w:tcPr>
          <w:p w14:paraId="765BAC9F" w14:textId="77777777" w:rsidR="00EB21C3" w:rsidRPr="00EB21C3" w:rsidRDefault="00EB21C3" w:rsidP="00EB21C3">
            <w:pPr>
              <w:rPr>
                <w:rFonts w:cs="Arial"/>
                <w:color w:val="000000" w:themeColor="text1"/>
                <w:sz w:val="2"/>
                <w:szCs w:val="2"/>
                <w:shd w:val="clear" w:color="auto" w:fill="FFFFFF"/>
              </w:rPr>
            </w:pPr>
          </w:p>
        </w:tc>
        <w:tc>
          <w:tcPr>
            <w:tcW w:w="1012" w:type="dxa"/>
            <w:gridSpan w:val="2"/>
            <w:tcBorders>
              <w:top w:val="nil"/>
              <w:left w:val="nil"/>
              <w:bottom w:val="nil"/>
              <w:right w:val="nil"/>
            </w:tcBorders>
            <w:vAlign w:val="center"/>
          </w:tcPr>
          <w:p w14:paraId="35FA39DC" w14:textId="77777777" w:rsidR="00EB21C3" w:rsidRPr="00EB21C3" w:rsidRDefault="00EB21C3" w:rsidP="00EB21C3">
            <w:pPr>
              <w:rPr>
                <w:rFonts w:cs="Arial"/>
                <w:color w:val="000000" w:themeColor="text1"/>
                <w:sz w:val="2"/>
                <w:szCs w:val="2"/>
                <w:shd w:val="clear" w:color="auto" w:fill="FFFFFF"/>
              </w:rPr>
            </w:pPr>
          </w:p>
        </w:tc>
        <w:tc>
          <w:tcPr>
            <w:tcW w:w="1012" w:type="dxa"/>
            <w:gridSpan w:val="2"/>
            <w:tcBorders>
              <w:top w:val="nil"/>
              <w:left w:val="nil"/>
              <w:bottom w:val="nil"/>
              <w:right w:val="nil"/>
            </w:tcBorders>
            <w:vAlign w:val="center"/>
          </w:tcPr>
          <w:p w14:paraId="5B8A8E8D" w14:textId="77777777" w:rsidR="00EB21C3" w:rsidRPr="00EB21C3" w:rsidRDefault="00EB21C3" w:rsidP="00EB21C3">
            <w:pPr>
              <w:rPr>
                <w:rFonts w:cs="Arial"/>
                <w:color w:val="000000" w:themeColor="text1"/>
                <w:sz w:val="2"/>
                <w:szCs w:val="2"/>
                <w:shd w:val="clear" w:color="auto" w:fill="FFFFFF"/>
              </w:rPr>
            </w:pPr>
          </w:p>
        </w:tc>
        <w:tc>
          <w:tcPr>
            <w:tcW w:w="1013" w:type="dxa"/>
            <w:gridSpan w:val="2"/>
            <w:tcBorders>
              <w:top w:val="nil"/>
              <w:left w:val="nil"/>
              <w:bottom w:val="nil"/>
              <w:right w:val="nil"/>
            </w:tcBorders>
            <w:vAlign w:val="center"/>
          </w:tcPr>
          <w:p w14:paraId="6D8BAB0F" w14:textId="77777777" w:rsidR="00EB21C3" w:rsidRPr="00EB21C3" w:rsidRDefault="00EB21C3" w:rsidP="00EB21C3">
            <w:pPr>
              <w:rPr>
                <w:rFonts w:cs="Arial"/>
                <w:color w:val="000000" w:themeColor="text1"/>
                <w:sz w:val="2"/>
                <w:szCs w:val="2"/>
                <w:shd w:val="clear" w:color="auto" w:fill="FFFFFF"/>
              </w:rPr>
            </w:pPr>
          </w:p>
        </w:tc>
        <w:tc>
          <w:tcPr>
            <w:tcW w:w="1012" w:type="dxa"/>
            <w:gridSpan w:val="2"/>
            <w:tcBorders>
              <w:top w:val="nil"/>
              <w:left w:val="nil"/>
              <w:bottom w:val="nil"/>
              <w:right w:val="nil"/>
            </w:tcBorders>
            <w:vAlign w:val="center"/>
          </w:tcPr>
          <w:p w14:paraId="222E579C" w14:textId="77777777" w:rsidR="00EB21C3" w:rsidRPr="00EB21C3" w:rsidRDefault="00EB21C3" w:rsidP="00EB21C3">
            <w:pPr>
              <w:rPr>
                <w:rFonts w:cs="Arial"/>
                <w:color w:val="000000" w:themeColor="text1"/>
                <w:sz w:val="2"/>
                <w:szCs w:val="2"/>
                <w:shd w:val="clear" w:color="auto" w:fill="FFFFFF"/>
              </w:rPr>
            </w:pPr>
          </w:p>
        </w:tc>
        <w:tc>
          <w:tcPr>
            <w:tcW w:w="1013" w:type="dxa"/>
            <w:tcBorders>
              <w:top w:val="nil"/>
              <w:left w:val="nil"/>
              <w:bottom w:val="nil"/>
              <w:right w:val="nil"/>
            </w:tcBorders>
          </w:tcPr>
          <w:p w14:paraId="66E3CA92" w14:textId="77777777" w:rsidR="00EB21C3" w:rsidRPr="00EB21C3" w:rsidRDefault="00EB21C3" w:rsidP="00EB21C3">
            <w:pPr>
              <w:rPr>
                <w:rFonts w:cs="Arial"/>
                <w:color w:val="000000" w:themeColor="text1"/>
                <w:sz w:val="2"/>
                <w:szCs w:val="2"/>
                <w:shd w:val="clear" w:color="auto" w:fill="FFFFFF"/>
              </w:rPr>
            </w:pPr>
          </w:p>
        </w:tc>
        <w:tc>
          <w:tcPr>
            <w:tcW w:w="278" w:type="dxa"/>
            <w:tcBorders>
              <w:top w:val="nil"/>
              <w:left w:val="nil"/>
              <w:bottom w:val="nil"/>
              <w:right w:val="nil"/>
            </w:tcBorders>
          </w:tcPr>
          <w:p w14:paraId="4BDF2725" w14:textId="77777777" w:rsidR="00EB21C3" w:rsidRPr="00EB21C3" w:rsidRDefault="00EB21C3" w:rsidP="00EB21C3">
            <w:pPr>
              <w:rPr>
                <w:rFonts w:cs="Arial"/>
                <w:color w:val="000000" w:themeColor="text1"/>
                <w:sz w:val="2"/>
                <w:szCs w:val="2"/>
                <w:shd w:val="clear" w:color="auto" w:fill="FFFFFF"/>
              </w:rPr>
            </w:pPr>
          </w:p>
        </w:tc>
      </w:tr>
      <w:tr w:rsidR="00EB21C3" w:rsidRPr="00EB21C3" w14:paraId="3FCD4774" w14:textId="77777777" w:rsidTr="00EB21C3">
        <w:trPr>
          <w:trHeight w:val="323"/>
        </w:trPr>
        <w:tc>
          <w:tcPr>
            <w:tcW w:w="2984" w:type="dxa"/>
            <w:tcBorders>
              <w:top w:val="nil"/>
              <w:left w:val="nil"/>
              <w:bottom w:val="nil"/>
              <w:right w:val="nil"/>
            </w:tcBorders>
            <w:vAlign w:val="center"/>
          </w:tcPr>
          <w:p w14:paraId="14E2018F"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Pre-ban NPS use</w:t>
            </w:r>
          </w:p>
        </w:tc>
        <w:tc>
          <w:tcPr>
            <w:tcW w:w="1012" w:type="dxa"/>
            <w:gridSpan w:val="2"/>
            <w:tcBorders>
              <w:top w:val="nil"/>
              <w:left w:val="nil"/>
              <w:bottom w:val="nil"/>
              <w:right w:val="nil"/>
            </w:tcBorders>
            <w:vAlign w:val="center"/>
          </w:tcPr>
          <w:p w14:paraId="3D627FC6"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06CCAAF2"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74C6BB7C"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07137F62"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120A857B" w14:textId="77777777" w:rsidR="00EB21C3" w:rsidRPr="00EB21C3" w:rsidRDefault="00EB21C3" w:rsidP="00EB21C3">
            <w:pPr>
              <w:spacing w:before="120" w:after="120"/>
              <w:rPr>
                <w:rFonts w:cs="Arial"/>
                <w:color w:val="000000" w:themeColor="text1"/>
                <w:shd w:val="clear" w:color="auto" w:fill="FFFFFF"/>
              </w:rPr>
            </w:pPr>
          </w:p>
        </w:tc>
        <w:tc>
          <w:tcPr>
            <w:tcW w:w="278" w:type="dxa"/>
            <w:tcBorders>
              <w:top w:val="nil"/>
              <w:left w:val="nil"/>
              <w:bottom w:val="nil"/>
              <w:right w:val="nil"/>
            </w:tcBorders>
          </w:tcPr>
          <w:p w14:paraId="38AF7FF9"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6E815CEF" w14:textId="77777777" w:rsidTr="00EB21C3">
        <w:trPr>
          <w:trHeight w:val="323"/>
        </w:trPr>
        <w:tc>
          <w:tcPr>
            <w:tcW w:w="2984" w:type="dxa"/>
            <w:tcBorders>
              <w:top w:val="nil"/>
              <w:left w:val="nil"/>
              <w:bottom w:val="nil"/>
              <w:right w:val="nil"/>
            </w:tcBorders>
            <w:vAlign w:val="center"/>
          </w:tcPr>
          <w:p w14:paraId="413AF85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gridSpan w:val="2"/>
            <w:tcBorders>
              <w:top w:val="nil"/>
              <w:left w:val="nil"/>
              <w:bottom w:val="nil"/>
              <w:right w:val="nil"/>
            </w:tcBorders>
            <w:vAlign w:val="center"/>
          </w:tcPr>
          <w:p w14:paraId="0E57161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3DF6AE4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3B885EF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79AFF1A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3" w:type="dxa"/>
            <w:tcBorders>
              <w:top w:val="nil"/>
              <w:left w:val="nil"/>
              <w:bottom w:val="nil"/>
              <w:right w:val="nil"/>
            </w:tcBorders>
          </w:tcPr>
          <w:p w14:paraId="6DD6C89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7 %</w:t>
            </w:r>
          </w:p>
        </w:tc>
        <w:tc>
          <w:tcPr>
            <w:tcW w:w="278" w:type="dxa"/>
            <w:tcBorders>
              <w:top w:val="nil"/>
              <w:left w:val="nil"/>
              <w:bottom w:val="nil"/>
              <w:right w:val="nil"/>
            </w:tcBorders>
          </w:tcPr>
          <w:p w14:paraId="63DB48B6"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1567D81E" w14:textId="77777777" w:rsidTr="00EB21C3">
        <w:trPr>
          <w:trHeight w:val="323"/>
        </w:trPr>
        <w:tc>
          <w:tcPr>
            <w:tcW w:w="2984" w:type="dxa"/>
            <w:tcBorders>
              <w:top w:val="nil"/>
              <w:left w:val="nil"/>
              <w:bottom w:val="nil"/>
              <w:right w:val="nil"/>
            </w:tcBorders>
            <w:vAlign w:val="center"/>
          </w:tcPr>
          <w:p w14:paraId="73D72F7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gridSpan w:val="2"/>
            <w:tcBorders>
              <w:top w:val="nil"/>
              <w:left w:val="nil"/>
              <w:bottom w:val="nil"/>
              <w:right w:val="nil"/>
            </w:tcBorders>
            <w:vAlign w:val="center"/>
          </w:tcPr>
          <w:p w14:paraId="2144BEC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2" w:type="dxa"/>
            <w:gridSpan w:val="2"/>
            <w:tcBorders>
              <w:top w:val="nil"/>
              <w:left w:val="nil"/>
              <w:bottom w:val="nil"/>
              <w:right w:val="nil"/>
            </w:tcBorders>
            <w:vAlign w:val="center"/>
          </w:tcPr>
          <w:p w14:paraId="655783F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8</w:t>
            </w:r>
          </w:p>
        </w:tc>
        <w:tc>
          <w:tcPr>
            <w:tcW w:w="1013" w:type="dxa"/>
            <w:gridSpan w:val="2"/>
            <w:tcBorders>
              <w:top w:val="nil"/>
              <w:left w:val="nil"/>
              <w:bottom w:val="nil"/>
              <w:right w:val="nil"/>
            </w:tcBorders>
            <w:vAlign w:val="center"/>
          </w:tcPr>
          <w:p w14:paraId="696EE3B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11</w:t>
            </w:r>
          </w:p>
        </w:tc>
        <w:tc>
          <w:tcPr>
            <w:tcW w:w="1012" w:type="dxa"/>
            <w:gridSpan w:val="2"/>
            <w:tcBorders>
              <w:top w:val="nil"/>
              <w:left w:val="nil"/>
              <w:bottom w:val="nil"/>
              <w:right w:val="nil"/>
            </w:tcBorders>
            <w:vAlign w:val="center"/>
          </w:tcPr>
          <w:p w14:paraId="5E21B6E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24</w:t>
            </w:r>
          </w:p>
        </w:tc>
        <w:tc>
          <w:tcPr>
            <w:tcW w:w="1013" w:type="dxa"/>
            <w:tcBorders>
              <w:top w:val="nil"/>
              <w:left w:val="nil"/>
              <w:bottom w:val="nil"/>
              <w:right w:val="nil"/>
            </w:tcBorders>
          </w:tcPr>
          <w:p w14:paraId="4E73495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77 %</w:t>
            </w:r>
          </w:p>
        </w:tc>
        <w:tc>
          <w:tcPr>
            <w:tcW w:w="278" w:type="dxa"/>
            <w:tcBorders>
              <w:top w:val="nil"/>
              <w:left w:val="nil"/>
              <w:bottom w:val="nil"/>
              <w:right w:val="nil"/>
            </w:tcBorders>
          </w:tcPr>
          <w:p w14:paraId="37D22F28"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72C24120" w14:textId="77777777" w:rsidTr="00EB21C3">
        <w:trPr>
          <w:trHeight w:val="323"/>
        </w:trPr>
        <w:tc>
          <w:tcPr>
            <w:tcW w:w="2984" w:type="dxa"/>
            <w:tcBorders>
              <w:top w:val="nil"/>
              <w:left w:val="nil"/>
              <w:bottom w:val="nil"/>
              <w:right w:val="nil"/>
            </w:tcBorders>
            <w:vAlign w:val="center"/>
          </w:tcPr>
          <w:p w14:paraId="4BDAAE6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gridSpan w:val="2"/>
            <w:tcBorders>
              <w:top w:val="nil"/>
              <w:left w:val="nil"/>
              <w:bottom w:val="nil"/>
              <w:right w:val="nil"/>
            </w:tcBorders>
            <w:vAlign w:val="center"/>
          </w:tcPr>
          <w:p w14:paraId="1F622F9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14C7885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45C67A6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6A5374F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3" w:type="dxa"/>
            <w:tcBorders>
              <w:top w:val="nil"/>
              <w:left w:val="nil"/>
              <w:bottom w:val="nil"/>
              <w:right w:val="nil"/>
            </w:tcBorders>
          </w:tcPr>
          <w:p w14:paraId="1EBC4CD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16 %</w:t>
            </w:r>
          </w:p>
        </w:tc>
        <w:tc>
          <w:tcPr>
            <w:tcW w:w="278" w:type="dxa"/>
            <w:tcBorders>
              <w:top w:val="nil"/>
              <w:left w:val="nil"/>
              <w:bottom w:val="nil"/>
              <w:right w:val="nil"/>
            </w:tcBorders>
          </w:tcPr>
          <w:p w14:paraId="38DC33F6"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3B595E07" w14:textId="77777777" w:rsidTr="00EB21C3">
        <w:trPr>
          <w:trHeight w:val="323"/>
        </w:trPr>
        <w:tc>
          <w:tcPr>
            <w:tcW w:w="2984" w:type="dxa"/>
            <w:tcBorders>
              <w:top w:val="nil"/>
              <w:left w:val="nil"/>
              <w:bottom w:val="nil"/>
              <w:right w:val="nil"/>
            </w:tcBorders>
            <w:vAlign w:val="center"/>
          </w:tcPr>
          <w:p w14:paraId="214963E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gridSpan w:val="2"/>
            <w:tcBorders>
              <w:top w:val="nil"/>
              <w:left w:val="nil"/>
              <w:bottom w:val="nil"/>
              <w:right w:val="nil"/>
            </w:tcBorders>
            <w:vAlign w:val="center"/>
          </w:tcPr>
          <w:p w14:paraId="1789A74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16E3F26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41D7A44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08C4F9A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tcBorders>
              <w:top w:val="nil"/>
              <w:left w:val="nil"/>
              <w:bottom w:val="nil"/>
              <w:right w:val="nil"/>
            </w:tcBorders>
          </w:tcPr>
          <w:p w14:paraId="07A948D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3 %</w:t>
            </w:r>
          </w:p>
        </w:tc>
        <w:tc>
          <w:tcPr>
            <w:tcW w:w="278" w:type="dxa"/>
            <w:tcBorders>
              <w:top w:val="nil"/>
              <w:left w:val="nil"/>
              <w:bottom w:val="nil"/>
              <w:right w:val="nil"/>
            </w:tcBorders>
          </w:tcPr>
          <w:p w14:paraId="045B3DAA"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0EFC3E0B" w14:textId="77777777" w:rsidTr="00EB21C3">
        <w:trPr>
          <w:trHeight w:val="323"/>
        </w:trPr>
        <w:tc>
          <w:tcPr>
            <w:tcW w:w="2984" w:type="dxa"/>
            <w:tcBorders>
              <w:top w:val="nil"/>
              <w:left w:val="nil"/>
              <w:bottom w:val="nil"/>
              <w:right w:val="nil"/>
            </w:tcBorders>
            <w:vAlign w:val="center"/>
          </w:tcPr>
          <w:p w14:paraId="6E790004"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Post-ban NPS use</w:t>
            </w:r>
          </w:p>
        </w:tc>
        <w:tc>
          <w:tcPr>
            <w:tcW w:w="1012" w:type="dxa"/>
            <w:gridSpan w:val="2"/>
            <w:tcBorders>
              <w:top w:val="nil"/>
              <w:left w:val="nil"/>
              <w:bottom w:val="nil"/>
              <w:right w:val="nil"/>
            </w:tcBorders>
            <w:vAlign w:val="center"/>
          </w:tcPr>
          <w:p w14:paraId="3302929D"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04BF5FF0"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3CD037EE"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1AFE72B7"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2E83945F" w14:textId="77777777" w:rsidR="00EB21C3" w:rsidRPr="00EB21C3" w:rsidRDefault="00EB21C3" w:rsidP="00EB21C3">
            <w:pPr>
              <w:spacing w:before="120" w:after="120"/>
              <w:rPr>
                <w:rFonts w:cs="Arial"/>
                <w:color w:val="000000" w:themeColor="text1"/>
                <w:shd w:val="clear" w:color="auto" w:fill="FFFFFF"/>
              </w:rPr>
            </w:pPr>
          </w:p>
        </w:tc>
        <w:tc>
          <w:tcPr>
            <w:tcW w:w="278" w:type="dxa"/>
            <w:tcBorders>
              <w:top w:val="nil"/>
              <w:left w:val="nil"/>
              <w:bottom w:val="nil"/>
              <w:right w:val="nil"/>
            </w:tcBorders>
          </w:tcPr>
          <w:p w14:paraId="08DFDBB4"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32B048FE" w14:textId="77777777" w:rsidTr="00EB21C3">
        <w:trPr>
          <w:trHeight w:val="323"/>
        </w:trPr>
        <w:tc>
          <w:tcPr>
            <w:tcW w:w="2984" w:type="dxa"/>
            <w:tcBorders>
              <w:top w:val="nil"/>
              <w:left w:val="nil"/>
              <w:bottom w:val="nil"/>
              <w:right w:val="nil"/>
            </w:tcBorders>
            <w:vAlign w:val="center"/>
          </w:tcPr>
          <w:p w14:paraId="7DE4E19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gridSpan w:val="2"/>
            <w:tcBorders>
              <w:top w:val="nil"/>
              <w:left w:val="nil"/>
              <w:bottom w:val="nil"/>
              <w:right w:val="nil"/>
            </w:tcBorders>
            <w:vAlign w:val="center"/>
          </w:tcPr>
          <w:p w14:paraId="50AE730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4F7EECF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5355A66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17DCD19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tcBorders>
              <w:top w:val="nil"/>
              <w:left w:val="nil"/>
              <w:bottom w:val="nil"/>
              <w:right w:val="nil"/>
            </w:tcBorders>
          </w:tcPr>
          <w:p w14:paraId="0D61A5D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3 %</w:t>
            </w:r>
          </w:p>
        </w:tc>
        <w:tc>
          <w:tcPr>
            <w:tcW w:w="278" w:type="dxa"/>
            <w:tcBorders>
              <w:top w:val="nil"/>
              <w:left w:val="nil"/>
              <w:bottom w:val="nil"/>
              <w:right w:val="nil"/>
            </w:tcBorders>
          </w:tcPr>
          <w:p w14:paraId="7622DE1F"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1464A68C" w14:textId="77777777" w:rsidTr="00EB21C3">
        <w:trPr>
          <w:trHeight w:val="323"/>
        </w:trPr>
        <w:tc>
          <w:tcPr>
            <w:tcW w:w="2984" w:type="dxa"/>
            <w:tcBorders>
              <w:top w:val="nil"/>
              <w:left w:val="nil"/>
              <w:bottom w:val="nil"/>
              <w:right w:val="nil"/>
            </w:tcBorders>
            <w:vAlign w:val="center"/>
          </w:tcPr>
          <w:p w14:paraId="2FED0A5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gridSpan w:val="2"/>
            <w:tcBorders>
              <w:top w:val="nil"/>
              <w:left w:val="nil"/>
              <w:bottom w:val="nil"/>
              <w:right w:val="nil"/>
            </w:tcBorders>
            <w:vAlign w:val="center"/>
          </w:tcPr>
          <w:p w14:paraId="33B1C1A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2" w:type="dxa"/>
            <w:gridSpan w:val="2"/>
            <w:tcBorders>
              <w:top w:val="nil"/>
              <w:left w:val="nil"/>
              <w:bottom w:val="nil"/>
              <w:right w:val="nil"/>
            </w:tcBorders>
            <w:vAlign w:val="center"/>
          </w:tcPr>
          <w:p w14:paraId="455F2A0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w:t>
            </w:r>
          </w:p>
        </w:tc>
        <w:tc>
          <w:tcPr>
            <w:tcW w:w="1013" w:type="dxa"/>
            <w:gridSpan w:val="2"/>
            <w:tcBorders>
              <w:top w:val="nil"/>
              <w:left w:val="nil"/>
              <w:bottom w:val="nil"/>
              <w:right w:val="nil"/>
            </w:tcBorders>
            <w:vAlign w:val="center"/>
          </w:tcPr>
          <w:p w14:paraId="6EDBA91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11</w:t>
            </w:r>
          </w:p>
        </w:tc>
        <w:tc>
          <w:tcPr>
            <w:tcW w:w="1012" w:type="dxa"/>
            <w:gridSpan w:val="2"/>
            <w:tcBorders>
              <w:top w:val="nil"/>
              <w:left w:val="nil"/>
              <w:bottom w:val="nil"/>
              <w:right w:val="nil"/>
            </w:tcBorders>
            <w:vAlign w:val="center"/>
          </w:tcPr>
          <w:p w14:paraId="7BF244F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23</w:t>
            </w:r>
          </w:p>
        </w:tc>
        <w:tc>
          <w:tcPr>
            <w:tcW w:w="1013" w:type="dxa"/>
            <w:tcBorders>
              <w:top w:val="nil"/>
              <w:left w:val="nil"/>
              <w:bottom w:val="nil"/>
              <w:right w:val="nil"/>
            </w:tcBorders>
          </w:tcPr>
          <w:p w14:paraId="184DD7A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74 %</w:t>
            </w:r>
          </w:p>
        </w:tc>
        <w:tc>
          <w:tcPr>
            <w:tcW w:w="278" w:type="dxa"/>
            <w:tcBorders>
              <w:top w:val="nil"/>
              <w:left w:val="nil"/>
              <w:bottom w:val="nil"/>
              <w:right w:val="nil"/>
            </w:tcBorders>
          </w:tcPr>
          <w:p w14:paraId="7D572CF5"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02995C96" w14:textId="77777777" w:rsidTr="00EB21C3">
        <w:trPr>
          <w:trHeight w:val="323"/>
        </w:trPr>
        <w:tc>
          <w:tcPr>
            <w:tcW w:w="2984" w:type="dxa"/>
            <w:tcBorders>
              <w:top w:val="nil"/>
              <w:left w:val="nil"/>
              <w:bottom w:val="nil"/>
              <w:right w:val="nil"/>
            </w:tcBorders>
            <w:vAlign w:val="center"/>
          </w:tcPr>
          <w:p w14:paraId="7455FFE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gridSpan w:val="2"/>
            <w:tcBorders>
              <w:top w:val="nil"/>
              <w:left w:val="nil"/>
              <w:bottom w:val="nil"/>
              <w:right w:val="nil"/>
            </w:tcBorders>
            <w:vAlign w:val="center"/>
          </w:tcPr>
          <w:p w14:paraId="22483AB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4801054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6A3522C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1383206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3" w:type="dxa"/>
            <w:tcBorders>
              <w:top w:val="nil"/>
              <w:left w:val="nil"/>
              <w:bottom w:val="nil"/>
              <w:right w:val="nil"/>
            </w:tcBorders>
          </w:tcPr>
          <w:p w14:paraId="287EE48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13 %</w:t>
            </w:r>
          </w:p>
        </w:tc>
        <w:tc>
          <w:tcPr>
            <w:tcW w:w="278" w:type="dxa"/>
            <w:tcBorders>
              <w:top w:val="nil"/>
              <w:left w:val="nil"/>
              <w:bottom w:val="nil"/>
              <w:right w:val="nil"/>
            </w:tcBorders>
          </w:tcPr>
          <w:p w14:paraId="271242CC"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4A49F1CC" w14:textId="77777777" w:rsidTr="00EB21C3">
        <w:trPr>
          <w:trHeight w:val="323"/>
        </w:trPr>
        <w:tc>
          <w:tcPr>
            <w:tcW w:w="2984" w:type="dxa"/>
            <w:tcBorders>
              <w:top w:val="nil"/>
              <w:left w:val="nil"/>
              <w:bottom w:val="nil"/>
              <w:right w:val="nil"/>
            </w:tcBorders>
            <w:vAlign w:val="center"/>
          </w:tcPr>
          <w:p w14:paraId="50819D1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gridSpan w:val="2"/>
            <w:tcBorders>
              <w:top w:val="nil"/>
              <w:left w:val="nil"/>
              <w:bottom w:val="nil"/>
              <w:right w:val="nil"/>
            </w:tcBorders>
            <w:vAlign w:val="center"/>
          </w:tcPr>
          <w:p w14:paraId="17754B5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09D7FF0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3E5E9E4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4EEA1C1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tcBorders>
              <w:top w:val="nil"/>
              <w:left w:val="nil"/>
              <w:bottom w:val="nil"/>
              <w:right w:val="nil"/>
            </w:tcBorders>
          </w:tcPr>
          <w:p w14:paraId="0644C7E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10 %</w:t>
            </w:r>
          </w:p>
        </w:tc>
        <w:tc>
          <w:tcPr>
            <w:tcW w:w="278" w:type="dxa"/>
            <w:tcBorders>
              <w:top w:val="nil"/>
              <w:left w:val="nil"/>
              <w:bottom w:val="nil"/>
              <w:right w:val="nil"/>
            </w:tcBorders>
          </w:tcPr>
          <w:p w14:paraId="17B65E3C"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75E9FBE0" w14:textId="77777777" w:rsidTr="00EB21C3">
        <w:trPr>
          <w:trHeight w:val="323"/>
        </w:trPr>
        <w:tc>
          <w:tcPr>
            <w:tcW w:w="2984" w:type="dxa"/>
            <w:tcBorders>
              <w:top w:val="nil"/>
              <w:left w:val="nil"/>
              <w:bottom w:val="nil"/>
              <w:right w:val="nil"/>
            </w:tcBorders>
            <w:vAlign w:val="center"/>
          </w:tcPr>
          <w:p w14:paraId="11CDFC53"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Illicit drug use</w:t>
            </w:r>
          </w:p>
        </w:tc>
        <w:tc>
          <w:tcPr>
            <w:tcW w:w="1012" w:type="dxa"/>
            <w:gridSpan w:val="2"/>
            <w:tcBorders>
              <w:top w:val="nil"/>
              <w:left w:val="nil"/>
              <w:bottom w:val="nil"/>
              <w:right w:val="nil"/>
            </w:tcBorders>
            <w:vAlign w:val="center"/>
          </w:tcPr>
          <w:p w14:paraId="2655AE22"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400607BF"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42640979"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12CC2DB1"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3E01A4C2" w14:textId="77777777" w:rsidR="00EB21C3" w:rsidRPr="00EB21C3" w:rsidRDefault="00EB21C3" w:rsidP="00EB21C3">
            <w:pPr>
              <w:spacing w:before="120" w:after="120"/>
              <w:rPr>
                <w:rFonts w:cs="Arial"/>
                <w:color w:val="000000" w:themeColor="text1"/>
                <w:shd w:val="clear" w:color="auto" w:fill="FFFFFF"/>
              </w:rPr>
            </w:pPr>
          </w:p>
        </w:tc>
        <w:tc>
          <w:tcPr>
            <w:tcW w:w="278" w:type="dxa"/>
            <w:tcBorders>
              <w:top w:val="nil"/>
              <w:left w:val="nil"/>
              <w:bottom w:val="nil"/>
              <w:right w:val="nil"/>
            </w:tcBorders>
          </w:tcPr>
          <w:p w14:paraId="601A8EED"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7E2883AB" w14:textId="77777777" w:rsidTr="00EB21C3">
        <w:trPr>
          <w:trHeight w:val="323"/>
        </w:trPr>
        <w:tc>
          <w:tcPr>
            <w:tcW w:w="2984" w:type="dxa"/>
            <w:tcBorders>
              <w:top w:val="nil"/>
              <w:left w:val="nil"/>
              <w:bottom w:val="nil"/>
              <w:right w:val="nil"/>
            </w:tcBorders>
            <w:vAlign w:val="center"/>
          </w:tcPr>
          <w:p w14:paraId="2C70C22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gridSpan w:val="2"/>
            <w:tcBorders>
              <w:top w:val="nil"/>
              <w:left w:val="nil"/>
              <w:bottom w:val="nil"/>
              <w:right w:val="nil"/>
            </w:tcBorders>
            <w:vAlign w:val="center"/>
          </w:tcPr>
          <w:p w14:paraId="7CD51CB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2" w:type="dxa"/>
            <w:gridSpan w:val="2"/>
            <w:tcBorders>
              <w:top w:val="nil"/>
              <w:left w:val="nil"/>
              <w:bottom w:val="nil"/>
              <w:right w:val="nil"/>
            </w:tcBorders>
            <w:vAlign w:val="center"/>
          </w:tcPr>
          <w:p w14:paraId="16BBB4C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gridSpan w:val="2"/>
            <w:tcBorders>
              <w:top w:val="nil"/>
              <w:left w:val="nil"/>
              <w:bottom w:val="nil"/>
              <w:right w:val="nil"/>
            </w:tcBorders>
            <w:vAlign w:val="center"/>
          </w:tcPr>
          <w:p w14:paraId="3A1332E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0D947E0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9</w:t>
            </w:r>
          </w:p>
        </w:tc>
        <w:tc>
          <w:tcPr>
            <w:tcW w:w="1013" w:type="dxa"/>
            <w:tcBorders>
              <w:top w:val="nil"/>
              <w:left w:val="nil"/>
              <w:bottom w:val="nil"/>
              <w:right w:val="nil"/>
            </w:tcBorders>
          </w:tcPr>
          <w:p w14:paraId="14B33ED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29 %</w:t>
            </w:r>
          </w:p>
        </w:tc>
        <w:tc>
          <w:tcPr>
            <w:tcW w:w="278" w:type="dxa"/>
            <w:tcBorders>
              <w:top w:val="nil"/>
              <w:left w:val="nil"/>
              <w:bottom w:val="nil"/>
              <w:right w:val="nil"/>
            </w:tcBorders>
          </w:tcPr>
          <w:p w14:paraId="3B7E7A59"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2E777945" w14:textId="77777777" w:rsidTr="00EB21C3">
        <w:trPr>
          <w:trHeight w:val="323"/>
        </w:trPr>
        <w:tc>
          <w:tcPr>
            <w:tcW w:w="2984" w:type="dxa"/>
            <w:tcBorders>
              <w:top w:val="nil"/>
              <w:left w:val="nil"/>
              <w:bottom w:val="nil"/>
              <w:right w:val="nil"/>
            </w:tcBorders>
            <w:vAlign w:val="center"/>
          </w:tcPr>
          <w:p w14:paraId="7350211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gridSpan w:val="2"/>
            <w:tcBorders>
              <w:top w:val="nil"/>
              <w:left w:val="nil"/>
              <w:bottom w:val="nil"/>
              <w:right w:val="nil"/>
            </w:tcBorders>
            <w:vAlign w:val="center"/>
          </w:tcPr>
          <w:p w14:paraId="6411836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0EEA2A5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3" w:type="dxa"/>
            <w:gridSpan w:val="2"/>
            <w:tcBorders>
              <w:top w:val="nil"/>
              <w:left w:val="nil"/>
              <w:bottom w:val="nil"/>
              <w:right w:val="nil"/>
            </w:tcBorders>
            <w:vAlign w:val="center"/>
          </w:tcPr>
          <w:p w14:paraId="4866CFA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11</w:t>
            </w:r>
          </w:p>
        </w:tc>
        <w:tc>
          <w:tcPr>
            <w:tcW w:w="1012" w:type="dxa"/>
            <w:gridSpan w:val="2"/>
            <w:tcBorders>
              <w:top w:val="nil"/>
              <w:left w:val="nil"/>
              <w:bottom w:val="nil"/>
              <w:right w:val="nil"/>
            </w:tcBorders>
            <w:vAlign w:val="center"/>
          </w:tcPr>
          <w:p w14:paraId="2B390C2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17</w:t>
            </w:r>
          </w:p>
        </w:tc>
        <w:tc>
          <w:tcPr>
            <w:tcW w:w="1013" w:type="dxa"/>
            <w:tcBorders>
              <w:top w:val="nil"/>
              <w:left w:val="nil"/>
              <w:bottom w:val="nil"/>
              <w:right w:val="nil"/>
            </w:tcBorders>
          </w:tcPr>
          <w:p w14:paraId="4694809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55 %</w:t>
            </w:r>
          </w:p>
        </w:tc>
        <w:tc>
          <w:tcPr>
            <w:tcW w:w="278" w:type="dxa"/>
            <w:tcBorders>
              <w:top w:val="nil"/>
              <w:left w:val="nil"/>
              <w:bottom w:val="nil"/>
              <w:right w:val="nil"/>
            </w:tcBorders>
          </w:tcPr>
          <w:p w14:paraId="4A154EA9"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39878A0C" w14:textId="77777777" w:rsidTr="00EB21C3">
        <w:trPr>
          <w:trHeight w:val="323"/>
        </w:trPr>
        <w:tc>
          <w:tcPr>
            <w:tcW w:w="2984" w:type="dxa"/>
            <w:tcBorders>
              <w:top w:val="nil"/>
              <w:left w:val="nil"/>
              <w:bottom w:val="nil"/>
              <w:right w:val="nil"/>
            </w:tcBorders>
            <w:vAlign w:val="center"/>
          </w:tcPr>
          <w:p w14:paraId="387417A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gridSpan w:val="2"/>
            <w:tcBorders>
              <w:top w:val="nil"/>
              <w:left w:val="nil"/>
              <w:bottom w:val="nil"/>
              <w:right w:val="nil"/>
            </w:tcBorders>
            <w:vAlign w:val="center"/>
          </w:tcPr>
          <w:p w14:paraId="58BCDF8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60D800C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59A3B29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nil"/>
              <w:left w:val="nil"/>
              <w:bottom w:val="nil"/>
              <w:right w:val="nil"/>
            </w:tcBorders>
            <w:vAlign w:val="center"/>
          </w:tcPr>
          <w:p w14:paraId="7807C0F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tcBorders>
              <w:top w:val="nil"/>
              <w:left w:val="nil"/>
              <w:bottom w:val="nil"/>
              <w:right w:val="nil"/>
            </w:tcBorders>
          </w:tcPr>
          <w:p w14:paraId="5C83C49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10 %</w:t>
            </w:r>
          </w:p>
        </w:tc>
        <w:tc>
          <w:tcPr>
            <w:tcW w:w="278" w:type="dxa"/>
            <w:tcBorders>
              <w:top w:val="nil"/>
              <w:left w:val="nil"/>
              <w:bottom w:val="nil"/>
              <w:right w:val="nil"/>
            </w:tcBorders>
          </w:tcPr>
          <w:p w14:paraId="46189E8E"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132352FA" w14:textId="77777777" w:rsidTr="00EB21C3">
        <w:trPr>
          <w:trHeight w:val="323"/>
        </w:trPr>
        <w:tc>
          <w:tcPr>
            <w:tcW w:w="2984" w:type="dxa"/>
            <w:tcBorders>
              <w:top w:val="nil"/>
              <w:left w:val="nil"/>
              <w:bottom w:val="nil"/>
              <w:right w:val="nil"/>
            </w:tcBorders>
            <w:vAlign w:val="center"/>
          </w:tcPr>
          <w:p w14:paraId="1FC7CDB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gridSpan w:val="2"/>
            <w:tcBorders>
              <w:top w:val="nil"/>
              <w:left w:val="nil"/>
              <w:bottom w:val="nil"/>
              <w:right w:val="nil"/>
            </w:tcBorders>
            <w:vAlign w:val="center"/>
          </w:tcPr>
          <w:p w14:paraId="4F2CD4A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05E5FFD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63942B9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465986A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3" w:type="dxa"/>
            <w:tcBorders>
              <w:top w:val="nil"/>
              <w:left w:val="nil"/>
              <w:bottom w:val="nil"/>
              <w:right w:val="nil"/>
            </w:tcBorders>
          </w:tcPr>
          <w:p w14:paraId="738F174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7 %</w:t>
            </w:r>
          </w:p>
        </w:tc>
        <w:tc>
          <w:tcPr>
            <w:tcW w:w="278" w:type="dxa"/>
            <w:tcBorders>
              <w:top w:val="nil"/>
              <w:left w:val="nil"/>
              <w:bottom w:val="nil"/>
              <w:right w:val="nil"/>
            </w:tcBorders>
          </w:tcPr>
          <w:p w14:paraId="537D90A8"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0A3BC10F" w14:textId="77777777" w:rsidTr="00EB21C3">
        <w:trPr>
          <w:trHeight w:val="95"/>
        </w:trPr>
        <w:tc>
          <w:tcPr>
            <w:tcW w:w="2984" w:type="dxa"/>
            <w:tcBorders>
              <w:top w:val="nil"/>
              <w:left w:val="nil"/>
              <w:bottom w:val="single" w:sz="4" w:space="0" w:color="auto"/>
              <w:right w:val="nil"/>
            </w:tcBorders>
            <w:vAlign w:val="center"/>
          </w:tcPr>
          <w:p w14:paraId="4D330168" w14:textId="77777777" w:rsidR="00EB21C3" w:rsidRPr="00EB21C3" w:rsidRDefault="00EB21C3" w:rsidP="00EB21C3">
            <w:pPr>
              <w:rPr>
                <w:rFonts w:cs="Arial"/>
                <w:color w:val="000000" w:themeColor="text1"/>
                <w:sz w:val="2"/>
                <w:szCs w:val="2"/>
                <w:shd w:val="clear" w:color="auto" w:fill="FFFFFF"/>
              </w:rPr>
            </w:pPr>
          </w:p>
        </w:tc>
        <w:tc>
          <w:tcPr>
            <w:tcW w:w="765" w:type="dxa"/>
            <w:tcBorders>
              <w:top w:val="nil"/>
              <w:left w:val="nil"/>
              <w:bottom w:val="single" w:sz="4" w:space="0" w:color="auto"/>
              <w:right w:val="nil"/>
            </w:tcBorders>
            <w:vAlign w:val="center"/>
          </w:tcPr>
          <w:p w14:paraId="38C9E2A6" w14:textId="77777777" w:rsidR="00EB21C3" w:rsidRPr="00EB21C3" w:rsidRDefault="00EB21C3" w:rsidP="00EB21C3">
            <w:pPr>
              <w:rPr>
                <w:rFonts w:cs="Arial"/>
                <w:color w:val="000000" w:themeColor="text1"/>
                <w:sz w:val="2"/>
                <w:szCs w:val="2"/>
                <w:shd w:val="clear" w:color="auto" w:fill="FFFFFF"/>
              </w:rPr>
            </w:pPr>
          </w:p>
        </w:tc>
        <w:tc>
          <w:tcPr>
            <w:tcW w:w="902" w:type="dxa"/>
            <w:gridSpan w:val="2"/>
            <w:tcBorders>
              <w:top w:val="nil"/>
              <w:left w:val="nil"/>
              <w:bottom w:val="single" w:sz="4" w:space="0" w:color="auto"/>
              <w:right w:val="nil"/>
            </w:tcBorders>
            <w:vAlign w:val="center"/>
          </w:tcPr>
          <w:p w14:paraId="3408DB6A" w14:textId="77777777" w:rsidR="00EB21C3" w:rsidRPr="00EB21C3" w:rsidRDefault="00EB21C3" w:rsidP="00EB21C3">
            <w:pPr>
              <w:rPr>
                <w:rFonts w:cs="Arial"/>
                <w:color w:val="000000" w:themeColor="text1"/>
                <w:sz w:val="2"/>
                <w:szCs w:val="2"/>
                <w:shd w:val="clear" w:color="auto" w:fill="FFFFFF"/>
              </w:rPr>
            </w:pPr>
          </w:p>
        </w:tc>
        <w:tc>
          <w:tcPr>
            <w:tcW w:w="880" w:type="dxa"/>
            <w:gridSpan w:val="2"/>
            <w:tcBorders>
              <w:top w:val="nil"/>
              <w:left w:val="nil"/>
              <w:bottom w:val="single" w:sz="4" w:space="0" w:color="auto"/>
              <w:right w:val="nil"/>
            </w:tcBorders>
            <w:vAlign w:val="center"/>
          </w:tcPr>
          <w:p w14:paraId="52D63491" w14:textId="77777777" w:rsidR="00EB21C3" w:rsidRPr="00EB21C3" w:rsidRDefault="00EB21C3" w:rsidP="00EB21C3">
            <w:pPr>
              <w:rPr>
                <w:rFonts w:cs="Arial"/>
                <w:color w:val="000000" w:themeColor="text1"/>
                <w:sz w:val="2"/>
                <w:szCs w:val="2"/>
                <w:shd w:val="clear" w:color="auto" w:fill="FFFFFF"/>
              </w:rPr>
            </w:pPr>
          </w:p>
        </w:tc>
        <w:tc>
          <w:tcPr>
            <w:tcW w:w="919" w:type="dxa"/>
            <w:gridSpan w:val="2"/>
            <w:tcBorders>
              <w:top w:val="nil"/>
              <w:left w:val="nil"/>
              <w:bottom w:val="single" w:sz="4" w:space="0" w:color="auto"/>
              <w:right w:val="nil"/>
            </w:tcBorders>
            <w:vAlign w:val="center"/>
          </w:tcPr>
          <w:p w14:paraId="7EAB8E51" w14:textId="77777777" w:rsidR="00EB21C3" w:rsidRPr="00EB21C3" w:rsidRDefault="00EB21C3" w:rsidP="00EB21C3">
            <w:pPr>
              <w:rPr>
                <w:rFonts w:cs="Arial"/>
                <w:color w:val="000000" w:themeColor="text1"/>
                <w:sz w:val="2"/>
                <w:szCs w:val="2"/>
                <w:shd w:val="clear" w:color="auto" w:fill="FFFFFF"/>
              </w:rPr>
            </w:pPr>
          </w:p>
        </w:tc>
        <w:tc>
          <w:tcPr>
            <w:tcW w:w="1596" w:type="dxa"/>
            <w:gridSpan w:val="2"/>
            <w:tcBorders>
              <w:top w:val="nil"/>
              <w:left w:val="nil"/>
              <w:bottom w:val="single" w:sz="4" w:space="0" w:color="auto"/>
              <w:right w:val="nil"/>
            </w:tcBorders>
          </w:tcPr>
          <w:p w14:paraId="167FABFE" w14:textId="77777777" w:rsidR="00EB21C3" w:rsidRPr="00EB21C3" w:rsidRDefault="00EB21C3" w:rsidP="00EB21C3">
            <w:pPr>
              <w:rPr>
                <w:rFonts w:cs="Arial"/>
                <w:color w:val="000000" w:themeColor="text1"/>
                <w:sz w:val="2"/>
                <w:szCs w:val="2"/>
                <w:shd w:val="clear" w:color="auto" w:fill="FFFFFF"/>
              </w:rPr>
            </w:pPr>
          </w:p>
        </w:tc>
        <w:tc>
          <w:tcPr>
            <w:tcW w:w="278" w:type="dxa"/>
            <w:tcBorders>
              <w:top w:val="nil"/>
              <w:left w:val="nil"/>
              <w:bottom w:val="nil"/>
              <w:right w:val="nil"/>
            </w:tcBorders>
          </w:tcPr>
          <w:p w14:paraId="3AF5FEC6" w14:textId="77777777" w:rsidR="00EB21C3" w:rsidRPr="00EB21C3" w:rsidRDefault="00EB21C3" w:rsidP="00EB21C3">
            <w:pPr>
              <w:rPr>
                <w:rFonts w:cs="Arial"/>
                <w:color w:val="000000" w:themeColor="text1"/>
                <w:sz w:val="2"/>
                <w:szCs w:val="2"/>
                <w:shd w:val="clear" w:color="auto" w:fill="FFFFFF"/>
              </w:rPr>
            </w:pPr>
          </w:p>
        </w:tc>
      </w:tr>
    </w:tbl>
    <w:p w14:paraId="316A08BC" w14:textId="77777777" w:rsidR="00EB21C3" w:rsidRPr="00EB21C3" w:rsidRDefault="00EB21C3" w:rsidP="00EB21C3">
      <w:pPr>
        <w:spacing w:line="480" w:lineRule="auto"/>
        <w:rPr>
          <w:szCs w:val="24"/>
          <w:shd w:val="clear" w:color="auto" w:fill="FFFFFF"/>
        </w:rPr>
      </w:pPr>
    </w:p>
    <w:p w14:paraId="4BDDD52F" w14:textId="77777777" w:rsidR="00EB21C3" w:rsidRPr="00EB21C3" w:rsidRDefault="00EB21C3" w:rsidP="00EB21C3">
      <w:pPr>
        <w:spacing w:line="480" w:lineRule="auto"/>
        <w:rPr>
          <w:szCs w:val="24"/>
          <w:shd w:val="clear" w:color="auto" w:fill="FFFFFF"/>
        </w:rPr>
      </w:pPr>
    </w:p>
    <w:p w14:paraId="18485174" w14:textId="77777777" w:rsidR="00EB21C3" w:rsidRPr="00EB21C3" w:rsidRDefault="00EB21C3" w:rsidP="00EB21C3">
      <w:pPr>
        <w:spacing w:line="480" w:lineRule="auto"/>
        <w:rPr>
          <w:szCs w:val="24"/>
          <w:shd w:val="clear" w:color="auto" w:fill="FFFFFF"/>
        </w:rPr>
      </w:pPr>
    </w:p>
    <w:p w14:paraId="29699FC4" w14:textId="77777777" w:rsidR="00EB21C3" w:rsidRPr="00EB21C3" w:rsidRDefault="00EB21C3" w:rsidP="00EB21C3">
      <w:pPr>
        <w:spacing w:line="480" w:lineRule="auto"/>
      </w:pPr>
    </w:p>
    <w:p w14:paraId="5422E6C3" w14:textId="77777777" w:rsidR="00EB21C3" w:rsidRPr="00EB21C3" w:rsidRDefault="00EB21C3" w:rsidP="00EB21C3">
      <w:pPr>
        <w:spacing w:line="480" w:lineRule="auto"/>
        <w:rPr>
          <w:color w:val="4F81BD" w:themeColor="accent1"/>
        </w:rPr>
      </w:pPr>
    </w:p>
    <w:p w14:paraId="59FBA865" w14:textId="77777777" w:rsidR="00EB21C3" w:rsidRPr="00EB21C3" w:rsidRDefault="00EB21C3" w:rsidP="00EB21C3">
      <w:pPr>
        <w:spacing w:line="480" w:lineRule="auto"/>
        <w:rPr>
          <w:color w:val="4F81BD" w:themeColor="accent1"/>
          <w:szCs w:val="24"/>
          <w:shd w:val="clear" w:color="auto" w:fill="FFFFFF"/>
        </w:rPr>
      </w:pPr>
    </w:p>
    <w:p w14:paraId="26781790" w14:textId="19DE7D2D" w:rsidR="00EB21C3" w:rsidRPr="00241FE7" w:rsidRDefault="00EB21C3" w:rsidP="00461C9A">
      <w:pPr>
        <w:pStyle w:val="TableHeader"/>
        <w:spacing w:line="240" w:lineRule="auto"/>
        <w:rPr>
          <w:b/>
        </w:rPr>
      </w:pPr>
      <w:bookmarkStart w:id="514" w:name="_Toc9509089"/>
      <w:r w:rsidRPr="00241FE7">
        <w:rPr>
          <w:b/>
        </w:rPr>
        <w:t>Table 8-4. Use of NPS and illicit drugs by participants’ friends</w:t>
      </w:r>
      <w:bookmarkEnd w:id="514"/>
    </w:p>
    <w:tbl>
      <w:tblPr>
        <w:tblStyle w:val="TableGrid1"/>
        <w:tblW w:w="0" w:type="auto"/>
        <w:tblLook w:val="04A0" w:firstRow="1" w:lastRow="0" w:firstColumn="1" w:lastColumn="0" w:noHBand="0" w:noVBand="1"/>
      </w:tblPr>
      <w:tblGrid>
        <w:gridCol w:w="2984"/>
        <w:gridCol w:w="1012"/>
        <w:gridCol w:w="655"/>
        <w:gridCol w:w="357"/>
        <w:gridCol w:w="523"/>
        <w:gridCol w:w="490"/>
        <w:gridCol w:w="429"/>
        <w:gridCol w:w="583"/>
        <w:gridCol w:w="1013"/>
      </w:tblGrid>
      <w:tr w:rsidR="00EB21C3" w:rsidRPr="00EB21C3" w14:paraId="4A78A0C2" w14:textId="77777777" w:rsidTr="00EB21C3">
        <w:trPr>
          <w:trHeight w:val="352"/>
        </w:trPr>
        <w:tc>
          <w:tcPr>
            <w:tcW w:w="2984" w:type="dxa"/>
            <w:tcBorders>
              <w:top w:val="single" w:sz="4" w:space="0" w:color="auto"/>
              <w:left w:val="nil"/>
              <w:bottom w:val="nil"/>
              <w:right w:val="nil"/>
            </w:tcBorders>
          </w:tcPr>
          <w:p w14:paraId="682CC63A" w14:textId="77777777" w:rsidR="00EB21C3" w:rsidRPr="00EB21C3" w:rsidRDefault="00EB21C3" w:rsidP="00EB21C3">
            <w:pPr>
              <w:rPr>
                <w:rFonts w:cs="Arial"/>
                <w:color w:val="000000" w:themeColor="text1"/>
                <w:shd w:val="clear" w:color="auto" w:fill="FFFFFF"/>
              </w:rPr>
            </w:pPr>
          </w:p>
        </w:tc>
        <w:tc>
          <w:tcPr>
            <w:tcW w:w="1667" w:type="dxa"/>
            <w:gridSpan w:val="2"/>
            <w:tcBorders>
              <w:top w:val="single" w:sz="4" w:space="0" w:color="auto"/>
              <w:left w:val="nil"/>
              <w:bottom w:val="single" w:sz="4" w:space="0" w:color="auto"/>
              <w:right w:val="nil"/>
            </w:tcBorders>
          </w:tcPr>
          <w:p w14:paraId="18BD93E3" w14:textId="77777777" w:rsidR="00EB21C3" w:rsidRPr="00EB21C3" w:rsidRDefault="00EB21C3" w:rsidP="00EB21C3">
            <w:pPr>
              <w:rPr>
                <w:rFonts w:cs="Arial"/>
                <w:color w:val="000000" w:themeColor="text1"/>
                <w:shd w:val="clear" w:color="auto" w:fill="FFFFFF"/>
              </w:rPr>
            </w:pPr>
            <w:r w:rsidRPr="00EB21C3">
              <w:rPr>
                <w:rFonts w:cs="Arial"/>
                <w:b/>
                <w:color w:val="000000" w:themeColor="text1"/>
                <w:shd w:val="clear" w:color="auto" w:fill="FFFFFF"/>
              </w:rPr>
              <w:t xml:space="preserve">Focus group </w:t>
            </w:r>
          </w:p>
        </w:tc>
        <w:tc>
          <w:tcPr>
            <w:tcW w:w="880" w:type="dxa"/>
            <w:gridSpan w:val="2"/>
            <w:tcBorders>
              <w:top w:val="single" w:sz="4" w:space="0" w:color="auto"/>
              <w:left w:val="nil"/>
              <w:bottom w:val="single" w:sz="4" w:space="0" w:color="auto"/>
              <w:right w:val="nil"/>
            </w:tcBorders>
          </w:tcPr>
          <w:p w14:paraId="3BDF25C2" w14:textId="77777777" w:rsidR="00EB21C3" w:rsidRPr="00EB21C3" w:rsidRDefault="00EB21C3" w:rsidP="00EB21C3">
            <w:pPr>
              <w:rPr>
                <w:rFonts w:cs="Arial"/>
                <w:color w:val="000000" w:themeColor="text1"/>
                <w:shd w:val="clear" w:color="auto" w:fill="FFFFFF"/>
              </w:rPr>
            </w:pPr>
          </w:p>
        </w:tc>
        <w:tc>
          <w:tcPr>
            <w:tcW w:w="919" w:type="dxa"/>
            <w:gridSpan w:val="2"/>
            <w:tcBorders>
              <w:top w:val="single" w:sz="4" w:space="0" w:color="auto"/>
              <w:left w:val="nil"/>
              <w:bottom w:val="single" w:sz="4" w:space="0" w:color="auto"/>
              <w:right w:val="nil"/>
            </w:tcBorders>
            <w:vAlign w:val="center"/>
          </w:tcPr>
          <w:p w14:paraId="7AB86973" w14:textId="77777777" w:rsidR="00EB21C3" w:rsidRPr="00EB21C3" w:rsidRDefault="00EB21C3" w:rsidP="00EB21C3">
            <w:pPr>
              <w:rPr>
                <w:rFonts w:cs="Arial"/>
                <w:color w:val="000000" w:themeColor="text1"/>
                <w:shd w:val="clear" w:color="auto" w:fill="FFFFFF"/>
              </w:rPr>
            </w:pPr>
          </w:p>
        </w:tc>
        <w:tc>
          <w:tcPr>
            <w:tcW w:w="1596" w:type="dxa"/>
            <w:gridSpan w:val="2"/>
            <w:tcBorders>
              <w:top w:val="single" w:sz="4" w:space="0" w:color="auto"/>
              <w:left w:val="nil"/>
              <w:bottom w:val="single" w:sz="4" w:space="0" w:color="auto"/>
              <w:right w:val="nil"/>
            </w:tcBorders>
          </w:tcPr>
          <w:p w14:paraId="0FB26926" w14:textId="77777777" w:rsidR="00EB21C3" w:rsidRPr="00EB21C3" w:rsidRDefault="00EB21C3" w:rsidP="00EB21C3">
            <w:pPr>
              <w:rPr>
                <w:rFonts w:cs="Arial"/>
                <w:color w:val="000000" w:themeColor="text1"/>
                <w:shd w:val="clear" w:color="auto" w:fill="FFFFFF"/>
              </w:rPr>
            </w:pPr>
          </w:p>
        </w:tc>
      </w:tr>
      <w:tr w:rsidR="00EB21C3" w:rsidRPr="00EB21C3" w14:paraId="4ADE6251" w14:textId="77777777" w:rsidTr="00EB21C3">
        <w:trPr>
          <w:trHeight w:val="511"/>
        </w:trPr>
        <w:tc>
          <w:tcPr>
            <w:tcW w:w="2984" w:type="dxa"/>
            <w:tcBorders>
              <w:top w:val="nil"/>
              <w:left w:val="nil"/>
              <w:bottom w:val="single" w:sz="4" w:space="0" w:color="auto"/>
              <w:right w:val="nil"/>
            </w:tcBorders>
          </w:tcPr>
          <w:p w14:paraId="10BC1709" w14:textId="77777777" w:rsidR="00EB21C3" w:rsidRPr="00EB21C3" w:rsidRDefault="00EB21C3" w:rsidP="00EB21C3">
            <w:pPr>
              <w:rPr>
                <w:rFonts w:cs="Arial"/>
                <w:b/>
                <w:color w:val="000000" w:themeColor="text1"/>
                <w:shd w:val="clear" w:color="auto" w:fill="FFFFFF"/>
              </w:rPr>
            </w:pPr>
            <w:r w:rsidRPr="00EB21C3">
              <w:rPr>
                <w:rFonts w:cs="Arial"/>
                <w:b/>
                <w:color w:val="000000" w:themeColor="text1"/>
                <w:shd w:val="clear" w:color="auto" w:fill="FFFFFF"/>
              </w:rPr>
              <w:t>Question</w:t>
            </w:r>
          </w:p>
        </w:tc>
        <w:tc>
          <w:tcPr>
            <w:tcW w:w="1012" w:type="dxa"/>
            <w:tcBorders>
              <w:top w:val="single" w:sz="4" w:space="0" w:color="auto"/>
              <w:left w:val="nil"/>
              <w:bottom w:val="single" w:sz="4" w:space="0" w:color="auto"/>
              <w:right w:val="nil"/>
            </w:tcBorders>
            <w:vAlign w:val="center"/>
          </w:tcPr>
          <w:p w14:paraId="1ACC5E9B"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1</w:t>
            </w:r>
          </w:p>
        </w:tc>
        <w:tc>
          <w:tcPr>
            <w:tcW w:w="1012" w:type="dxa"/>
            <w:gridSpan w:val="2"/>
            <w:tcBorders>
              <w:top w:val="single" w:sz="4" w:space="0" w:color="auto"/>
              <w:left w:val="nil"/>
              <w:bottom w:val="single" w:sz="4" w:space="0" w:color="auto"/>
              <w:right w:val="nil"/>
            </w:tcBorders>
            <w:vAlign w:val="center"/>
          </w:tcPr>
          <w:p w14:paraId="2D562BD6"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2</w:t>
            </w:r>
          </w:p>
        </w:tc>
        <w:tc>
          <w:tcPr>
            <w:tcW w:w="1013" w:type="dxa"/>
            <w:gridSpan w:val="2"/>
            <w:tcBorders>
              <w:top w:val="single" w:sz="4" w:space="0" w:color="auto"/>
              <w:left w:val="nil"/>
              <w:bottom w:val="single" w:sz="4" w:space="0" w:color="auto"/>
              <w:right w:val="nil"/>
            </w:tcBorders>
            <w:vAlign w:val="center"/>
          </w:tcPr>
          <w:p w14:paraId="5DDC8E2D"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3</w:t>
            </w:r>
          </w:p>
        </w:tc>
        <w:tc>
          <w:tcPr>
            <w:tcW w:w="1012" w:type="dxa"/>
            <w:gridSpan w:val="2"/>
            <w:tcBorders>
              <w:top w:val="single" w:sz="4" w:space="0" w:color="auto"/>
              <w:left w:val="nil"/>
              <w:bottom w:val="single" w:sz="4" w:space="0" w:color="auto"/>
              <w:right w:val="nil"/>
            </w:tcBorders>
            <w:vAlign w:val="center"/>
          </w:tcPr>
          <w:p w14:paraId="71474197"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All</w:t>
            </w:r>
          </w:p>
        </w:tc>
        <w:tc>
          <w:tcPr>
            <w:tcW w:w="1013" w:type="dxa"/>
            <w:tcBorders>
              <w:top w:val="single" w:sz="4" w:space="0" w:color="auto"/>
              <w:left w:val="nil"/>
              <w:bottom w:val="single" w:sz="4" w:space="0" w:color="auto"/>
              <w:right w:val="nil"/>
            </w:tcBorders>
            <w:vAlign w:val="center"/>
          </w:tcPr>
          <w:p w14:paraId="55AC379D"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w:t>
            </w:r>
          </w:p>
        </w:tc>
      </w:tr>
      <w:tr w:rsidR="00EB21C3" w:rsidRPr="00EB21C3" w14:paraId="23CBEE2B" w14:textId="77777777" w:rsidTr="00EB21C3">
        <w:trPr>
          <w:trHeight w:val="323"/>
        </w:trPr>
        <w:tc>
          <w:tcPr>
            <w:tcW w:w="2984" w:type="dxa"/>
            <w:tcBorders>
              <w:top w:val="nil"/>
              <w:left w:val="nil"/>
              <w:bottom w:val="nil"/>
              <w:right w:val="nil"/>
            </w:tcBorders>
            <w:vAlign w:val="center"/>
          </w:tcPr>
          <w:p w14:paraId="506EA6ED"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Friends’ pre-ban NPS use</w:t>
            </w:r>
          </w:p>
        </w:tc>
        <w:tc>
          <w:tcPr>
            <w:tcW w:w="1012" w:type="dxa"/>
            <w:tcBorders>
              <w:top w:val="nil"/>
              <w:left w:val="nil"/>
              <w:bottom w:val="nil"/>
              <w:right w:val="nil"/>
            </w:tcBorders>
            <w:vAlign w:val="center"/>
          </w:tcPr>
          <w:p w14:paraId="4006A259"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598EF869"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5CDCCA4E"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1D49FD56"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3A888E68"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1C4B1B4D" w14:textId="77777777" w:rsidTr="00EB21C3">
        <w:trPr>
          <w:trHeight w:val="323"/>
        </w:trPr>
        <w:tc>
          <w:tcPr>
            <w:tcW w:w="2984" w:type="dxa"/>
            <w:tcBorders>
              <w:top w:val="nil"/>
              <w:left w:val="nil"/>
              <w:bottom w:val="nil"/>
              <w:right w:val="nil"/>
            </w:tcBorders>
            <w:vAlign w:val="center"/>
          </w:tcPr>
          <w:p w14:paraId="617CBEE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tcBorders>
              <w:top w:val="nil"/>
              <w:left w:val="nil"/>
              <w:bottom w:val="nil"/>
              <w:right w:val="nil"/>
            </w:tcBorders>
            <w:vAlign w:val="center"/>
          </w:tcPr>
          <w:p w14:paraId="09B4E1F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7B4C803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3" w:type="dxa"/>
            <w:gridSpan w:val="2"/>
            <w:tcBorders>
              <w:top w:val="nil"/>
              <w:left w:val="nil"/>
              <w:bottom w:val="nil"/>
              <w:right w:val="nil"/>
            </w:tcBorders>
            <w:vAlign w:val="center"/>
          </w:tcPr>
          <w:p w14:paraId="40E08C0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2" w:type="dxa"/>
            <w:gridSpan w:val="2"/>
            <w:tcBorders>
              <w:top w:val="nil"/>
              <w:left w:val="nil"/>
              <w:bottom w:val="nil"/>
              <w:right w:val="nil"/>
            </w:tcBorders>
            <w:vAlign w:val="center"/>
          </w:tcPr>
          <w:p w14:paraId="01681FA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12</w:t>
            </w:r>
          </w:p>
        </w:tc>
        <w:tc>
          <w:tcPr>
            <w:tcW w:w="1013" w:type="dxa"/>
            <w:tcBorders>
              <w:top w:val="nil"/>
              <w:left w:val="nil"/>
              <w:bottom w:val="nil"/>
              <w:right w:val="nil"/>
            </w:tcBorders>
          </w:tcPr>
          <w:p w14:paraId="1292942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39 %</w:t>
            </w:r>
          </w:p>
        </w:tc>
      </w:tr>
      <w:tr w:rsidR="00EB21C3" w:rsidRPr="00EB21C3" w14:paraId="55D8856A" w14:textId="77777777" w:rsidTr="00EB21C3">
        <w:trPr>
          <w:trHeight w:val="323"/>
        </w:trPr>
        <w:tc>
          <w:tcPr>
            <w:tcW w:w="2984" w:type="dxa"/>
            <w:tcBorders>
              <w:top w:val="nil"/>
              <w:left w:val="nil"/>
              <w:bottom w:val="nil"/>
              <w:right w:val="nil"/>
            </w:tcBorders>
            <w:vAlign w:val="center"/>
          </w:tcPr>
          <w:p w14:paraId="08632A9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tcBorders>
              <w:top w:val="nil"/>
              <w:left w:val="nil"/>
              <w:bottom w:val="nil"/>
              <w:right w:val="nil"/>
            </w:tcBorders>
            <w:vAlign w:val="center"/>
          </w:tcPr>
          <w:p w14:paraId="5F66656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2" w:type="dxa"/>
            <w:gridSpan w:val="2"/>
            <w:tcBorders>
              <w:top w:val="nil"/>
              <w:left w:val="nil"/>
              <w:bottom w:val="nil"/>
              <w:right w:val="nil"/>
            </w:tcBorders>
            <w:vAlign w:val="center"/>
          </w:tcPr>
          <w:p w14:paraId="764CB72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gridSpan w:val="2"/>
            <w:tcBorders>
              <w:top w:val="nil"/>
              <w:left w:val="nil"/>
              <w:bottom w:val="nil"/>
              <w:right w:val="nil"/>
            </w:tcBorders>
            <w:vAlign w:val="center"/>
          </w:tcPr>
          <w:p w14:paraId="781B6B6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2" w:type="dxa"/>
            <w:gridSpan w:val="2"/>
            <w:tcBorders>
              <w:top w:val="nil"/>
              <w:left w:val="nil"/>
              <w:bottom w:val="nil"/>
              <w:right w:val="nil"/>
            </w:tcBorders>
            <w:vAlign w:val="center"/>
          </w:tcPr>
          <w:p w14:paraId="4EF4EBA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13</w:t>
            </w:r>
          </w:p>
        </w:tc>
        <w:tc>
          <w:tcPr>
            <w:tcW w:w="1013" w:type="dxa"/>
            <w:tcBorders>
              <w:top w:val="nil"/>
              <w:left w:val="nil"/>
              <w:bottom w:val="nil"/>
              <w:right w:val="nil"/>
            </w:tcBorders>
          </w:tcPr>
          <w:p w14:paraId="2501EC7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42 %</w:t>
            </w:r>
          </w:p>
        </w:tc>
      </w:tr>
      <w:tr w:rsidR="00EB21C3" w:rsidRPr="00EB21C3" w14:paraId="15B2DE3A" w14:textId="77777777" w:rsidTr="00EB21C3">
        <w:trPr>
          <w:trHeight w:val="323"/>
        </w:trPr>
        <w:tc>
          <w:tcPr>
            <w:tcW w:w="2984" w:type="dxa"/>
            <w:tcBorders>
              <w:top w:val="nil"/>
              <w:left w:val="nil"/>
              <w:bottom w:val="nil"/>
              <w:right w:val="nil"/>
            </w:tcBorders>
            <w:vAlign w:val="center"/>
          </w:tcPr>
          <w:p w14:paraId="6E830F9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tcBorders>
              <w:top w:val="nil"/>
              <w:left w:val="nil"/>
              <w:bottom w:val="nil"/>
              <w:right w:val="nil"/>
            </w:tcBorders>
            <w:vAlign w:val="center"/>
          </w:tcPr>
          <w:p w14:paraId="34FA1D2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7A3C257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70766C6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2" w:type="dxa"/>
            <w:gridSpan w:val="2"/>
            <w:tcBorders>
              <w:top w:val="nil"/>
              <w:left w:val="nil"/>
              <w:bottom w:val="nil"/>
              <w:right w:val="nil"/>
            </w:tcBorders>
            <w:vAlign w:val="center"/>
          </w:tcPr>
          <w:p w14:paraId="0A2A409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3" w:type="dxa"/>
            <w:tcBorders>
              <w:top w:val="nil"/>
              <w:left w:val="nil"/>
              <w:bottom w:val="nil"/>
              <w:right w:val="nil"/>
            </w:tcBorders>
          </w:tcPr>
          <w:p w14:paraId="11FC436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16 %</w:t>
            </w:r>
          </w:p>
        </w:tc>
      </w:tr>
      <w:tr w:rsidR="00EB21C3" w:rsidRPr="00EB21C3" w14:paraId="6FB23018" w14:textId="77777777" w:rsidTr="00EB21C3">
        <w:trPr>
          <w:trHeight w:val="323"/>
        </w:trPr>
        <w:tc>
          <w:tcPr>
            <w:tcW w:w="2984" w:type="dxa"/>
            <w:tcBorders>
              <w:top w:val="nil"/>
              <w:left w:val="nil"/>
              <w:bottom w:val="nil"/>
              <w:right w:val="nil"/>
            </w:tcBorders>
            <w:vAlign w:val="center"/>
          </w:tcPr>
          <w:p w14:paraId="0A040AB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tcBorders>
              <w:top w:val="nil"/>
              <w:left w:val="nil"/>
              <w:bottom w:val="nil"/>
              <w:right w:val="nil"/>
            </w:tcBorders>
            <w:vAlign w:val="center"/>
          </w:tcPr>
          <w:p w14:paraId="581B2E4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25CB049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787B70B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32A0EDB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tcBorders>
              <w:top w:val="nil"/>
              <w:left w:val="nil"/>
              <w:bottom w:val="nil"/>
              <w:right w:val="nil"/>
            </w:tcBorders>
          </w:tcPr>
          <w:p w14:paraId="62CD0E8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2 %</w:t>
            </w:r>
          </w:p>
        </w:tc>
      </w:tr>
      <w:tr w:rsidR="00EB21C3" w:rsidRPr="00EB21C3" w14:paraId="61EB7DA1" w14:textId="77777777" w:rsidTr="00EB21C3">
        <w:trPr>
          <w:trHeight w:val="323"/>
        </w:trPr>
        <w:tc>
          <w:tcPr>
            <w:tcW w:w="2984" w:type="dxa"/>
            <w:tcBorders>
              <w:top w:val="nil"/>
              <w:left w:val="nil"/>
              <w:bottom w:val="nil"/>
              <w:right w:val="nil"/>
            </w:tcBorders>
            <w:vAlign w:val="center"/>
          </w:tcPr>
          <w:p w14:paraId="21EC02A1"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Friends’ post-ban NPS use</w:t>
            </w:r>
          </w:p>
        </w:tc>
        <w:tc>
          <w:tcPr>
            <w:tcW w:w="1012" w:type="dxa"/>
            <w:tcBorders>
              <w:top w:val="nil"/>
              <w:left w:val="nil"/>
              <w:bottom w:val="nil"/>
              <w:right w:val="nil"/>
            </w:tcBorders>
            <w:vAlign w:val="center"/>
          </w:tcPr>
          <w:p w14:paraId="762DA257"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4FB9EB3A"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2A81E138"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53A9F051"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39753E80"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4E5461E5" w14:textId="77777777" w:rsidTr="00EB21C3">
        <w:trPr>
          <w:trHeight w:val="323"/>
        </w:trPr>
        <w:tc>
          <w:tcPr>
            <w:tcW w:w="2984" w:type="dxa"/>
            <w:tcBorders>
              <w:top w:val="nil"/>
              <w:left w:val="nil"/>
              <w:bottom w:val="nil"/>
              <w:right w:val="nil"/>
            </w:tcBorders>
            <w:vAlign w:val="center"/>
          </w:tcPr>
          <w:p w14:paraId="223F6E1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tcBorders>
              <w:top w:val="nil"/>
              <w:left w:val="nil"/>
              <w:bottom w:val="nil"/>
              <w:right w:val="nil"/>
            </w:tcBorders>
            <w:vAlign w:val="center"/>
          </w:tcPr>
          <w:p w14:paraId="76704C90"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4D361E1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gridSpan w:val="2"/>
            <w:tcBorders>
              <w:top w:val="nil"/>
              <w:left w:val="nil"/>
              <w:bottom w:val="nil"/>
              <w:right w:val="nil"/>
            </w:tcBorders>
            <w:vAlign w:val="center"/>
          </w:tcPr>
          <w:p w14:paraId="302CE98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w:t>
            </w:r>
          </w:p>
        </w:tc>
        <w:tc>
          <w:tcPr>
            <w:tcW w:w="1012" w:type="dxa"/>
            <w:gridSpan w:val="2"/>
            <w:tcBorders>
              <w:top w:val="nil"/>
              <w:left w:val="nil"/>
              <w:bottom w:val="nil"/>
              <w:right w:val="nil"/>
            </w:tcBorders>
            <w:vAlign w:val="center"/>
          </w:tcPr>
          <w:p w14:paraId="4607374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12</w:t>
            </w:r>
          </w:p>
        </w:tc>
        <w:tc>
          <w:tcPr>
            <w:tcW w:w="1013" w:type="dxa"/>
            <w:tcBorders>
              <w:top w:val="nil"/>
              <w:left w:val="nil"/>
              <w:bottom w:val="nil"/>
              <w:right w:val="nil"/>
            </w:tcBorders>
          </w:tcPr>
          <w:p w14:paraId="1DE0A63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39 %</w:t>
            </w:r>
          </w:p>
        </w:tc>
      </w:tr>
      <w:tr w:rsidR="00EB21C3" w:rsidRPr="00EB21C3" w14:paraId="08F5F743" w14:textId="77777777" w:rsidTr="00EB21C3">
        <w:trPr>
          <w:trHeight w:val="323"/>
        </w:trPr>
        <w:tc>
          <w:tcPr>
            <w:tcW w:w="2984" w:type="dxa"/>
            <w:tcBorders>
              <w:top w:val="nil"/>
              <w:left w:val="nil"/>
              <w:bottom w:val="nil"/>
              <w:right w:val="nil"/>
            </w:tcBorders>
            <w:vAlign w:val="center"/>
          </w:tcPr>
          <w:p w14:paraId="163C5B9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tcBorders>
              <w:top w:val="nil"/>
              <w:left w:val="nil"/>
              <w:bottom w:val="nil"/>
              <w:right w:val="nil"/>
            </w:tcBorders>
            <w:vAlign w:val="center"/>
          </w:tcPr>
          <w:p w14:paraId="2492A20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2" w:type="dxa"/>
            <w:gridSpan w:val="2"/>
            <w:tcBorders>
              <w:top w:val="nil"/>
              <w:left w:val="nil"/>
              <w:bottom w:val="nil"/>
              <w:right w:val="nil"/>
            </w:tcBorders>
            <w:vAlign w:val="center"/>
          </w:tcPr>
          <w:p w14:paraId="285F794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3" w:type="dxa"/>
            <w:gridSpan w:val="2"/>
            <w:tcBorders>
              <w:top w:val="nil"/>
              <w:left w:val="nil"/>
              <w:bottom w:val="nil"/>
              <w:right w:val="nil"/>
            </w:tcBorders>
            <w:vAlign w:val="center"/>
          </w:tcPr>
          <w:p w14:paraId="71BD821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1012" w:type="dxa"/>
            <w:gridSpan w:val="2"/>
            <w:tcBorders>
              <w:top w:val="nil"/>
              <w:left w:val="nil"/>
              <w:bottom w:val="nil"/>
              <w:right w:val="nil"/>
            </w:tcBorders>
            <w:vAlign w:val="center"/>
          </w:tcPr>
          <w:p w14:paraId="0E34CDF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12</w:t>
            </w:r>
          </w:p>
        </w:tc>
        <w:tc>
          <w:tcPr>
            <w:tcW w:w="1013" w:type="dxa"/>
            <w:tcBorders>
              <w:top w:val="nil"/>
              <w:left w:val="nil"/>
              <w:bottom w:val="nil"/>
              <w:right w:val="nil"/>
            </w:tcBorders>
          </w:tcPr>
          <w:p w14:paraId="1ACEC20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39 %</w:t>
            </w:r>
          </w:p>
        </w:tc>
      </w:tr>
      <w:tr w:rsidR="00EB21C3" w:rsidRPr="00EB21C3" w14:paraId="21FBA055" w14:textId="77777777" w:rsidTr="00EB21C3">
        <w:trPr>
          <w:trHeight w:val="323"/>
        </w:trPr>
        <w:tc>
          <w:tcPr>
            <w:tcW w:w="2984" w:type="dxa"/>
            <w:tcBorders>
              <w:top w:val="nil"/>
              <w:left w:val="nil"/>
              <w:bottom w:val="nil"/>
              <w:right w:val="nil"/>
            </w:tcBorders>
            <w:vAlign w:val="center"/>
          </w:tcPr>
          <w:p w14:paraId="5F1B76B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tcBorders>
              <w:top w:val="nil"/>
              <w:left w:val="nil"/>
              <w:bottom w:val="nil"/>
              <w:right w:val="nil"/>
            </w:tcBorders>
            <w:vAlign w:val="center"/>
          </w:tcPr>
          <w:p w14:paraId="3BA63F3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73D4210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2C041A0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2" w:type="dxa"/>
            <w:gridSpan w:val="2"/>
            <w:tcBorders>
              <w:top w:val="nil"/>
              <w:left w:val="nil"/>
              <w:bottom w:val="nil"/>
              <w:right w:val="nil"/>
            </w:tcBorders>
            <w:vAlign w:val="center"/>
          </w:tcPr>
          <w:p w14:paraId="346679F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3" w:type="dxa"/>
            <w:tcBorders>
              <w:top w:val="nil"/>
              <w:left w:val="nil"/>
              <w:bottom w:val="nil"/>
              <w:right w:val="nil"/>
            </w:tcBorders>
          </w:tcPr>
          <w:p w14:paraId="5A62F91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19 %</w:t>
            </w:r>
          </w:p>
        </w:tc>
      </w:tr>
      <w:tr w:rsidR="00EB21C3" w:rsidRPr="00EB21C3" w14:paraId="4C7A0982" w14:textId="77777777" w:rsidTr="00EB21C3">
        <w:trPr>
          <w:trHeight w:val="323"/>
        </w:trPr>
        <w:tc>
          <w:tcPr>
            <w:tcW w:w="2984" w:type="dxa"/>
            <w:tcBorders>
              <w:top w:val="nil"/>
              <w:left w:val="nil"/>
              <w:bottom w:val="nil"/>
              <w:right w:val="nil"/>
            </w:tcBorders>
            <w:vAlign w:val="center"/>
          </w:tcPr>
          <w:p w14:paraId="4D42ABB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tcBorders>
              <w:top w:val="nil"/>
              <w:left w:val="nil"/>
              <w:bottom w:val="nil"/>
              <w:right w:val="nil"/>
            </w:tcBorders>
            <w:vAlign w:val="center"/>
          </w:tcPr>
          <w:p w14:paraId="11C1F58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58F50D6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4C107F6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nil"/>
              <w:right w:val="nil"/>
            </w:tcBorders>
            <w:vAlign w:val="center"/>
          </w:tcPr>
          <w:p w14:paraId="2FF3D7A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tcBorders>
              <w:top w:val="nil"/>
              <w:left w:val="nil"/>
              <w:bottom w:val="nil"/>
              <w:right w:val="nil"/>
            </w:tcBorders>
          </w:tcPr>
          <w:p w14:paraId="38A5D21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7 %</w:t>
            </w:r>
          </w:p>
        </w:tc>
      </w:tr>
      <w:tr w:rsidR="00EB21C3" w:rsidRPr="00EB21C3" w14:paraId="029E606C" w14:textId="77777777" w:rsidTr="00EB21C3">
        <w:trPr>
          <w:trHeight w:val="323"/>
        </w:trPr>
        <w:tc>
          <w:tcPr>
            <w:tcW w:w="2984" w:type="dxa"/>
            <w:tcBorders>
              <w:top w:val="nil"/>
              <w:left w:val="nil"/>
              <w:bottom w:val="nil"/>
              <w:right w:val="nil"/>
            </w:tcBorders>
            <w:vAlign w:val="center"/>
          </w:tcPr>
          <w:p w14:paraId="00CBA6CF"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Friends’ illicit drug use</w:t>
            </w:r>
          </w:p>
        </w:tc>
        <w:tc>
          <w:tcPr>
            <w:tcW w:w="1012" w:type="dxa"/>
            <w:tcBorders>
              <w:top w:val="nil"/>
              <w:left w:val="nil"/>
              <w:bottom w:val="nil"/>
              <w:right w:val="nil"/>
            </w:tcBorders>
            <w:vAlign w:val="center"/>
          </w:tcPr>
          <w:p w14:paraId="1FCAF9DD"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48E062A3" w14:textId="77777777" w:rsidR="00EB21C3" w:rsidRPr="00EB21C3" w:rsidRDefault="00EB21C3" w:rsidP="00EB21C3">
            <w:pPr>
              <w:spacing w:before="120" w:after="120"/>
              <w:rPr>
                <w:rFonts w:cs="Arial"/>
                <w:color w:val="000000" w:themeColor="text1"/>
                <w:shd w:val="clear" w:color="auto" w:fill="FFFFFF"/>
              </w:rPr>
            </w:pPr>
          </w:p>
        </w:tc>
        <w:tc>
          <w:tcPr>
            <w:tcW w:w="1013" w:type="dxa"/>
            <w:gridSpan w:val="2"/>
            <w:tcBorders>
              <w:top w:val="nil"/>
              <w:left w:val="nil"/>
              <w:bottom w:val="nil"/>
              <w:right w:val="nil"/>
            </w:tcBorders>
            <w:vAlign w:val="center"/>
          </w:tcPr>
          <w:p w14:paraId="6334D3E7" w14:textId="77777777" w:rsidR="00EB21C3" w:rsidRPr="00EB21C3" w:rsidRDefault="00EB21C3" w:rsidP="00EB21C3">
            <w:pPr>
              <w:spacing w:before="120" w:after="120"/>
              <w:rPr>
                <w:rFonts w:cs="Arial"/>
                <w:color w:val="000000" w:themeColor="text1"/>
                <w:shd w:val="clear" w:color="auto" w:fill="FFFFFF"/>
              </w:rPr>
            </w:pPr>
          </w:p>
        </w:tc>
        <w:tc>
          <w:tcPr>
            <w:tcW w:w="1012" w:type="dxa"/>
            <w:gridSpan w:val="2"/>
            <w:tcBorders>
              <w:top w:val="nil"/>
              <w:left w:val="nil"/>
              <w:bottom w:val="nil"/>
              <w:right w:val="nil"/>
            </w:tcBorders>
            <w:vAlign w:val="center"/>
          </w:tcPr>
          <w:p w14:paraId="7CB22E6A" w14:textId="77777777" w:rsidR="00EB21C3" w:rsidRPr="00EB21C3" w:rsidRDefault="00EB21C3" w:rsidP="00EB21C3">
            <w:pPr>
              <w:spacing w:before="120" w:after="120"/>
              <w:rPr>
                <w:rFonts w:cs="Arial"/>
                <w:color w:val="000000" w:themeColor="text1"/>
                <w:shd w:val="clear" w:color="auto" w:fill="FFFFFF"/>
              </w:rPr>
            </w:pPr>
          </w:p>
        </w:tc>
        <w:tc>
          <w:tcPr>
            <w:tcW w:w="1013" w:type="dxa"/>
            <w:tcBorders>
              <w:top w:val="nil"/>
              <w:left w:val="nil"/>
              <w:bottom w:val="nil"/>
              <w:right w:val="nil"/>
            </w:tcBorders>
          </w:tcPr>
          <w:p w14:paraId="5AAB8F1E"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6D946BF7" w14:textId="77777777" w:rsidTr="00EB21C3">
        <w:trPr>
          <w:trHeight w:val="323"/>
        </w:trPr>
        <w:tc>
          <w:tcPr>
            <w:tcW w:w="2984" w:type="dxa"/>
            <w:tcBorders>
              <w:top w:val="nil"/>
              <w:left w:val="nil"/>
              <w:bottom w:val="nil"/>
              <w:right w:val="nil"/>
            </w:tcBorders>
            <w:vAlign w:val="center"/>
          </w:tcPr>
          <w:p w14:paraId="10E5BFA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 </w:t>
            </w:r>
          </w:p>
        </w:tc>
        <w:tc>
          <w:tcPr>
            <w:tcW w:w="1012" w:type="dxa"/>
            <w:tcBorders>
              <w:top w:val="nil"/>
              <w:left w:val="nil"/>
              <w:bottom w:val="nil"/>
              <w:right w:val="nil"/>
            </w:tcBorders>
            <w:vAlign w:val="center"/>
          </w:tcPr>
          <w:p w14:paraId="58F5B71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2" w:type="dxa"/>
            <w:gridSpan w:val="2"/>
            <w:tcBorders>
              <w:top w:val="nil"/>
              <w:left w:val="nil"/>
              <w:bottom w:val="nil"/>
              <w:right w:val="nil"/>
            </w:tcBorders>
            <w:vAlign w:val="center"/>
          </w:tcPr>
          <w:p w14:paraId="657DED4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3" w:type="dxa"/>
            <w:gridSpan w:val="2"/>
            <w:tcBorders>
              <w:top w:val="nil"/>
              <w:left w:val="nil"/>
              <w:bottom w:val="nil"/>
              <w:right w:val="nil"/>
            </w:tcBorders>
            <w:vAlign w:val="center"/>
          </w:tcPr>
          <w:p w14:paraId="2B03D92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10</w:t>
            </w:r>
          </w:p>
        </w:tc>
        <w:tc>
          <w:tcPr>
            <w:tcW w:w="1012" w:type="dxa"/>
            <w:gridSpan w:val="2"/>
            <w:tcBorders>
              <w:top w:val="nil"/>
              <w:left w:val="nil"/>
              <w:bottom w:val="nil"/>
              <w:right w:val="nil"/>
            </w:tcBorders>
            <w:vAlign w:val="center"/>
          </w:tcPr>
          <w:p w14:paraId="4DADFD9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20</w:t>
            </w:r>
          </w:p>
        </w:tc>
        <w:tc>
          <w:tcPr>
            <w:tcW w:w="1013" w:type="dxa"/>
            <w:tcBorders>
              <w:top w:val="nil"/>
              <w:left w:val="nil"/>
              <w:bottom w:val="nil"/>
              <w:right w:val="nil"/>
            </w:tcBorders>
          </w:tcPr>
          <w:p w14:paraId="26E6569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65 %</w:t>
            </w:r>
          </w:p>
        </w:tc>
      </w:tr>
      <w:tr w:rsidR="00EB21C3" w:rsidRPr="00EB21C3" w14:paraId="6FDBEDEE" w14:textId="77777777" w:rsidTr="00EB21C3">
        <w:trPr>
          <w:trHeight w:val="323"/>
        </w:trPr>
        <w:tc>
          <w:tcPr>
            <w:tcW w:w="2984" w:type="dxa"/>
            <w:tcBorders>
              <w:top w:val="nil"/>
              <w:left w:val="nil"/>
              <w:bottom w:val="nil"/>
              <w:right w:val="nil"/>
            </w:tcBorders>
            <w:vAlign w:val="center"/>
          </w:tcPr>
          <w:p w14:paraId="71FEDAC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 </w:t>
            </w:r>
          </w:p>
        </w:tc>
        <w:tc>
          <w:tcPr>
            <w:tcW w:w="1012" w:type="dxa"/>
            <w:tcBorders>
              <w:top w:val="nil"/>
              <w:left w:val="nil"/>
              <w:bottom w:val="nil"/>
              <w:right w:val="nil"/>
            </w:tcBorders>
            <w:vAlign w:val="center"/>
          </w:tcPr>
          <w:p w14:paraId="591B6AB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0BDAD74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nil"/>
              <w:right w:val="nil"/>
            </w:tcBorders>
            <w:vAlign w:val="center"/>
          </w:tcPr>
          <w:p w14:paraId="6580EFD1"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3</w:t>
            </w:r>
          </w:p>
        </w:tc>
        <w:tc>
          <w:tcPr>
            <w:tcW w:w="1012" w:type="dxa"/>
            <w:gridSpan w:val="2"/>
            <w:tcBorders>
              <w:top w:val="nil"/>
              <w:left w:val="nil"/>
              <w:bottom w:val="nil"/>
              <w:right w:val="nil"/>
            </w:tcBorders>
            <w:vAlign w:val="center"/>
          </w:tcPr>
          <w:p w14:paraId="1E7D13E6"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1013" w:type="dxa"/>
            <w:tcBorders>
              <w:top w:val="nil"/>
              <w:left w:val="nil"/>
              <w:bottom w:val="nil"/>
              <w:right w:val="nil"/>
            </w:tcBorders>
          </w:tcPr>
          <w:p w14:paraId="3F71126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19 %</w:t>
            </w:r>
          </w:p>
        </w:tc>
      </w:tr>
      <w:tr w:rsidR="00EB21C3" w:rsidRPr="00EB21C3" w14:paraId="02C2DE43" w14:textId="77777777" w:rsidTr="00EB21C3">
        <w:trPr>
          <w:trHeight w:val="323"/>
        </w:trPr>
        <w:tc>
          <w:tcPr>
            <w:tcW w:w="2984" w:type="dxa"/>
            <w:tcBorders>
              <w:top w:val="nil"/>
              <w:left w:val="nil"/>
              <w:bottom w:val="nil"/>
              <w:right w:val="nil"/>
            </w:tcBorders>
            <w:vAlign w:val="center"/>
          </w:tcPr>
          <w:p w14:paraId="6343AE9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1012" w:type="dxa"/>
            <w:tcBorders>
              <w:top w:val="nil"/>
              <w:left w:val="nil"/>
              <w:bottom w:val="nil"/>
              <w:right w:val="nil"/>
            </w:tcBorders>
            <w:vAlign w:val="center"/>
          </w:tcPr>
          <w:p w14:paraId="368E66E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100F33D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1013" w:type="dxa"/>
            <w:gridSpan w:val="2"/>
            <w:tcBorders>
              <w:top w:val="nil"/>
              <w:left w:val="nil"/>
              <w:bottom w:val="nil"/>
              <w:right w:val="nil"/>
            </w:tcBorders>
            <w:vAlign w:val="center"/>
          </w:tcPr>
          <w:p w14:paraId="3243A8B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1012" w:type="dxa"/>
            <w:gridSpan w:val="2"/>
            <w:tcBorders>
              <w:top w:val="nil"/>
              <w:left w:val="nil"/>
              <w:bottom w:val="nil"/>
              <w:right w:val="nil"/>
            </w:tcBorders>
            <w:vAlign w:val="center"/>
          </w:tcPr>
          <w:p w14:paraId="68ACAC3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1013" w:type="dxa"/>
            <w:tcBorders>
              <w:top w:val="nil"/>
              <w:left w:val="nil"/>
              <w:bottom w:val="nil"/>
              <w:right w:val="nil"/>
            </w:tcBorders>
          </w:tcPr>
          <w:p w14:paraId="43572F6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13 %</w:t>
            </w:r>
          </w:p>
        </w:tc>
      </w:tr>
      <w:tr w:rsidR="00EB21C3" w:rsidRPr="00EB21C3" w14:paraId="2001402C" w14:textId="77777777" w:rsidTr="00EB21C3">
        <w:trPr>
          <w:trHeight w:val="323"/>
        </w:trPr>
        <w:tc>
          <w:tcPr>
            <w:tcW w:w="2984" w:type="dxa"/>
            <w:tcBorders>
              <w:top w:val="nil"/>
              <w:left w:val="nil"/>
              <w:bottom w:val="single" w:sz="4" w:space="0" w:color="auto"/>
              <w:right w:val="nil"/>
            </w:tcBorders>
            <w:vAlign w:val="center"/>
          </w:tcPr>
          <w:p w14:paraId="08D56146"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 xml:space="preserve">        Prefer not to say</w:t>
            </w:r>
          </w:p>
        </w:tc>
        <w:tc>
          <w:tcPr>
            <w:tcW w:w="1012" w:type="dxa"/>
            <w:tcBorders>
              <w:top w:val="nil"/>
              <w:left w:val="nil"/>
              <w:bottom w:val="single" w:sz="4" w:space="0" w:color="auto"/>
              <w:right w:val="nil"/>
            </w:tcBorders>
            <w:vAlign w:val="center"/>
          </w:tcPr>
          <w:p w14:paraId="7D015EFE"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single" w:sz="4" w:space="0" w:color="auto"/>
              <w:right w:val="nil"/>
            </w:tcBorders>
            <w:vAlign w:val="center"/>
          </w:tcPr>
          <w:p w14:paraId="38A63FAF"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1</w:t>
            </w:r>
          </w:p>
        </w:tc>
        <w:tc>
          <w:tcPr>
            <w:tcW w:w="1013" w:type="dxa"/>
            <w:gridSpan w:val="2"/>
            <w:tcBorders>
              <w:top w:val="nil"/>
              <w:left w:val="nil"/>
              <w:bottom w:val="single" w:sz="4" w:space="0" w:color="auto"/>
              <w:right w:val="nil"/>
            </w:tcBorders>
            <w:vAlign w:val="center"/>
          </w:tcPr>
          <w:p w14:paraId="5CE5EC39"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0</w:t>
            </w:r>
          </w:p>
        </w:tc>
        <w:tc>
          <w:tcPr>
            <w:tcW w:w="1012" w:type="dxa"/>
            <w:gridSpan w:val="2"/>
            <w:tcBorders>
              <w:top w:val="nil"/>
              <w:left w:val="nil"/>
              <w:bottom w:val="single" w:sz="4" w:space="0" w:color="auto"/>
              <w:right w:val="nil"/>
            </w:tcBorders>
            <w:vAlign w:val="center"/>
          </w:tcPr>
          <w:p w14:paraId="7BA423C4"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1</w:t>
            </w:r>
          </w:p>
        </w:tc>
        <w:tc>
          <w:tcPr>
            <w:tcW w:w="1013" w:type="dxa"/>
            <w:tcBorders>
              <w:top w:val="nil"/>
              <w:left w:val="nil"/>
              <w:bottom w:val="single" w:sz="4" w:space="0" w:color="auto"/>
              <w:right w:val="nil"/>
            </w:tcBorders>
          </w:tcPr>
          <w:p w14:paraId="62FD06F8" w14:textId="77777777" w:rsidR="00EB21C3" w:rsidRPr="00EB21C3" w:rsidRDefault="00EB21C3" w:rsidP="00EB21C3">
            <w:pPr>
              <w:spacing w:before="120" w:after="240"/>
              <w:rPr>
                <w:rFonts w:cs="Arial"/>
                <w:color w:val="000000" w:themeColor="text1"/>
                <w:shd w:val="clear" w:color="auto" w:fill="FFFFFF"/>
              </w:rPr>
            </w:pPr>
            <w:r w:rsidRPr="00EB21C3">
              <w:rPr>
                <w:rFonts w:cs="Arial"/>
                <w:color w:val="000000" w:themeColor="text1"/>
                <w:shd w:val="clear" w:color="auto" w:fill="FFFFFF"/>
              </w:rPr>
              <w:t>3 %</w:t>
            </w:r>
          </w:p>
        </w:tc>
      </w:tr>
    </w:tbl>
    <w:p w14:paraId="6B0796EC" w14:textId="77777777" w:rsidR="00EB21C3" w:rsidRPr="00EB21C3" w:rsidRDefault="00EB21C3" w:rsidP="00EB21C3">
      <w:pPr>
        <w:keepNext/>
        <w:keepLines/>
        <w:spacing w:before="200" w:after="100" w:afterAutospacing="1"/>
        <w:ind w:left="864"/>
        <w:outlineLvl w:val="3"/>
        <w:rPr>
          <w:b/>
          <w:bCs/>
          <w:iCs/>
          <w:color w:val="4F81BD" w:themeColor="accent1"/>
          <w:sz w:val="22"/>
        </w:rPr>
      </w:pPr>
    </w:p>
    <w:p w14:paraId="7D9DD83B" w14:textId="77777777" w:rsidR="00A25A10" w:rsidRPr="00461C9A" w:rsidRDefault="00A25A10" w:rsidP="00A25A10">
      <w:pPr>
        <w:keepNext/>
        <w:keepLines/>
        <w:numPr>
          <w:ilvl w:val="2"/>
          <w:numId w:val="2"/>
        </w:numPr>
        <w:spacing w:before="480" w:after="100" w:afterAutospacing="1" w:line="240" w:lineRule="auto"/>
        <w:outlineLvl w:val="2"/>
        <w:rPr>
          <w:b/>
          <w:bCs/>
          <w:color w:val="000000"/>
          <w:szCs w:val="24"/>
        </w:rPr>
      </w:pPr>
      <w:bookmarkStart w:id="515" w:name="_Toc35892746"/>
      <w:r w:rsidRPr="00461C9A">
        <w:rPr>
          <w:b/>
          <w:bCs/>
          <w:color w:val="000000"/>
          <w:szCs w:val="24"/>
        </w:rPr>
        <w:t>Substances</w:t>
      </w:r>
      <w:bookmarkEnd w:id="515"/>
      <w:r w:rsidRPr="00461C9A">
        <w:rPr>
          <w:b/>
          <w:bCs/>
          <w:color w:val="000000"/>
          <w:szCs w:val="24"/>
        </w:rPr>
        <w:t xml:space="preserve"> </w:t>
      </w:r>
    </w:p>
    <w:p w14:paraId="2B7D4DB0" w14:textId="5F2FF8BE" w:rsidR="00A25A10" w:rsidRPr="00EB21C3" w:rsidRDefault="00A25A10" w:rsidP="00A25A10">
      <w:pPr>
        <w:spacing w:line="480" w:lineRule="auto"/>
      </w:pPr>
      <w:r w:rsidRPr="00EB21C3">
        <w:t xml:space="preserve">During their discussions, participants generally referred to NPS as ‘legal highs’ in line with the wording used in the questions. However, as in the previous studies, there were several spontaneous references to specific named substances. These included spice, which was referred to 40 times, nitrous oxide (NOS) which was referred to 11 times, and bath salts (synthetic cathinones) which were mentioned once. </w:t>
      </w:r>
    </w:p>
    <w:p w14:paraId="589A3AFF" w14:textId="77777777" w:rsidR="00A25A10" w:rsidRPr="00461C9A" w:rsidRDefault="00A25A10" w:rsidP="00A25A10">
      <w:pPr>
        <w:keepNext/>
        <w:keepLines/>
        <w:numPr>
          <w:ilvl w:val="2"/>
          <w:numId w:val="2"/>
        </w:numPr>
        <w:spacing w:before="480" w:after="100" w:afterAutospacing="1" w:line="240" w:lineRule="auto"/>
        <w:outlineLvl w:val="2"/>
        <w:rPr>
          <w:b/>
          <w:bCs/>
          <w:color w:val="000000"/>
        </w:rPr>
      </w:pPr>
      <w:bookmarkStart w:id="516" w:name="_Toc35892747"/>
      <w:r w:rsidRPr="00461C9A">
        <w:rPr>
          <w:b/>
          <w:bCs/>
          <w:color w:val="000000"/>
        </w:rPr>
        <w:t>Participants’ knowledge of NPS and the PS Act</w:t>
      </w:r>
      <w:bookmarkEnd w:id="516"/>
    </w:p>
    <w:p w14:paraId="2FD62746" w14:textId="77777777" w:rsidR="00A25A10" w:rsidRPr="00EB21C3" w:rsidRDefault="00A25A10" w:rsidP="00A25A10">
      <w:pPr>
        <w:spacing w:line="480" w:lineRule="auto"/>
        <w:rPr>
          <w:color w:val="000000" w:themeColor="text1"/>
        </w:rPr>
      </w:pPr>
      <w:r w:rsidRPr="00EB21C3">
        <w:t>Most of the young people taking part in the study had heard of legal highs. However, not all participants were aware of the PS Act, although the majority reported that they had heard about the ban prior to attending the focus group session (see Table 8</w:t>
      </w:r>
      <w:r>
        <w:t>-</w:t>
      </w:r>
      <w:r w:rsidRPr="00EB21C3">
        <w:t xml:space="preserve">5). </w:t>
      </w:r>
    </w:p>
    <w:p w14:paraId="33D673DF" w14:textId="38230883" w:rsidR="00EB21C3" w:rsidRPr="00241FE7" w:rsidRDefault="00EB21C3" w:rsidP="00461C9A">
      <w:pPr>
        <w:pStyle w:val="TableHeader"/>
        <w:spacing w:line="240" w:lineRule="auto"/>
        <w:rPr>
          <w:b/>
        </w:rPr>
      </w:pPr>
      <w:bookmarkStart w:id="517" w:name="_Toc9509090"/>
      <w:r w:rsidRPr="00241FE7">
        <w:rPr>
          <w:b/>
        </w:rPr>
        <w:t>Table 8-5. Participants’ awareness of the PS Act</w:t>
      </w:r>
      <w:bookmarkEnd w:id="517"/>
      <w:r w:rsidRPr="00241FE7">
        <w:rPr>
          <w:b/>
        </w:rPr>
        <w:t xml:space="preserve">  </w:t>
      </w:r>
    </w:p>
    <w:tbl>
      <w:tblPr>
        <w:tblStyle w:val="TableGrid1"/>
        <w:tblW w:w="0" w:type="auto"/>
        <w:tblLook w:val="04A0" w:firstRow="1" w:lastRow="0" w:firstColumn="1" w:lastColumn="0" w:noHBand="0" w:noVBand="1"/>
      </w:tblPr>
      <w:tblGrid>
        <w:gridCol w:w="2984"/>
        <w:gridCol w:w="765"/>
        <w:gridCol w:w="902"/>
        <w:gridCol w:w="880"/>
        <w:gridCol w:w="919"/>
        <w:gridCol w:w="888"/>
      </w:tblGrid>
      <w:tr w:rsidR="00EB21C3" w:rsidRPr="00EB21C3" w14:paraId="6C1520DB" w14:textId="77777777" w:rsidTr="00EB21C3">
        <w:trPr>
          <w:trHeight w:val="352"/>
        </w:trPr>
        <w:tc>
          <w:tcPr>
            <w:tcW w:w="2984" w:type="dxa"/>
            <w:tcBorders>
              <w:top w:val="single" w:sz="4" w:space="0" w:color="auto"/>
              <w:left w:val="nil"/>
              <w:bottom w:val="nil"/>
              <w:right w:val="nil"/>
            </w:tcBorders>
          </w:tcPr>
          <w:p w14:paraId="4527F3CC" w14:textId="77777777" w:rsidR="00EB21C3" w:rsidRPr="00EB21C3" w:rsidRDefault="00EB21C3" w:rsidP="00EB21C3">
            <w:pPr>
              <w:rPr>
                <w:rFonts w:cs="Arial"/>
                <w:color w:val="000000" w:themeColor="text1"/>
                <w:shd w:val="clear" w:color="auto" w:fill="FFFFFF"/>
              </w:rPr>
            </w:pPr>
          </w:p>
        </w:tc>
        <w:tc>
          <w:tcPr>
            <w:tcW w:w="1667" w:type="dxa"/>
            <w:gridSpan w:val="2"/>
            <w:tcBorders>
              <w:top w:val="single" w:sz="4" w:space="0" w:color="auto"/>
              <w:left w:val="nil"/>
              <w:bottom w:val="single" w:sz="4" w:space="0" w:color="auto"/>
              <w:right w:val="nil"/>
            </w:tcBorders>
          </w:tcPr>
          <w:p w14:paraId="28C0C562" w14:textId="77777777" w:rsidR="00EB21C3" w:rsidRPr="00EB21C3" w:rsidRDefault="00EB21C3" w:rsidP="00EB21C3">
            <w:pPr>
              <w:rPr>
                <w:rFonts w:cs="Arial"/>
                <w:color w:val="000000" w:themeColor="text1"/>
                <w:shd w:val="clear" w:color="auto" w:fill="FFFFFF"/>
              </w:rPr>
            </w:pPr>
            <w:r w:rsidRPr="00EB21C3">
              <w:rPr>
                <w:rFonts w:cs="Arial"/>
                <w:b/>
                <w:color w:val="000000" w:themeColor="text1"/>
                <w:shd w:val="clear" w:color="auto" w:fill="FFFFFF"/>
              </w:rPr>
              <w:t xml:space="preserve">Focus group </w:t>
            </w:r>
          </w:p>
        </w:tc>
        <w:tc>
          <w:tcPr>
            <w:tcW w:w="880" w:type="dxa"/>
            <w:tcBorders>
              <w:top w:val="single" w:sz="4" w:space="0" w:color="auto"/>
              <w:left w:val="nil"/>
              <w:bottom w:val="single" w:sz="4" w:space="0" w:color="auto"/>
              <w:right w:val="nil"/>
            </w:tcBorders>
          </w:tcPr>
          <w:p w14:paraId="06610624" w14:textId="77777777" w:rsidR="00EB21C3" w:rsidRPr="00EB21C3" w:rsidRDefault="00EB21C3" w:rsidP="00EB21C3">
            <w:pPr>
              <w:rPr>
                <w:rFonts w:cs="Arial"/>
                <w:color w:val="000000" w:themeColor="text1"/>
                <w:shd w:val="clear" w:color="auto" w:fill="FFFFFF"/>
              </w:rPr>
            </w:pPr>
          </w:p>
        </w:tc>
        <w:tc>
          <w:tcPr>
            <w:tcW w:w="919" w:type="dxa"/>
            <w:tcBorders>
              <w:top w:val="single" w:sz="4" w:space="0" w:color="auto"/>
              <w:left w:val="nil"/>
              <w:bottom w:val="single" w:sz="4" w:space="0" w:color="auto"/>
              <w:right w:val="nil"/>
            </w:tcBorders>
            <w:vAlign w:val="center"/>
          </w:tcPr>
          <w:p w14:paraId="533535C5" w14:textId="77777777" w:rsidR="00EB21C3" w:rsidRPr="00EB21C3" w:rsidRDefault="00EB21C3" w:rsidP="00EB21C3">
            <w:pPr>
              <w:rPr>
                <w:rFonts w:cs="Arial"/>
                <w:color w:val="000000" w:themeColor="text1"/>
                <w:shd w:val="clear" w:color="auto" w:fill="FFFFFF"/>
              </w:rPr>
            </w:pPr>
          </w:p>
        </w:tc>
        <w:tc>
          <w:tcPr>
            <w:tcW w:w="888" w:type="dxa"/>
            <w:tcBorders>
              <w:top w:val="single" w:sz="4" w:space="0" w:color="auto"/>
              <w:left w:val="nil"/>
              <w:bottom w:val="single" w:sz="4" w:space="0" w:color="auto"/>
              <w:right w:val="nil"/>
            </w:tcBorders>
          </w:tcPr>
          <w:p w14:paraId="3B5CA43A" w14:textId="77777777" w:rsidR="00EB21C3" w:rsidRPr="00EB21C3" w:rsidRDefault="00EB21C3" w:rsidP="00EB21C3">
            <w:pPr>
              <w:rPr>
                <w:rFonts w:cs="Arial"/>
                <w:color w:val="000000" w:themeColor="text1"/>
                <w:shd w:val="clear" w:color="auto" w:fill="FFFFFF"/>
              </w:rPr>
            </w:pPr>
          </w:p>
        </w:tc>
      </w:tr>
      <w:tr w:rsidR="00EB21C3" w:rsidRPr="00EB21C3" w14:paraId="5B8F44C1" w14:textId="77777777" w:rsidTr="00EB21C3">
        <w:trPr>
          <w:trHeight w:val="511"/>
        </w:trPr>
        <w:tc>
          <w:tcPr>
            <w:tcW w:w="2984" w:type="dxa"/>
            <w:tcBorders>
              <w:top w:val="nil"/>
              <w:left w:val="nil"/>
              <w:bottom w:val="single" w:sz="4" w:space="0" w:color="auto"/>
              <w:right w:val="nil"/>
            </w:tcBorders>
          </w:tcPr>
          <w:p w14:paraId="019A5EF5" w14:textId="77777777" w:rsidR="00EB21C3" w:rsidRPr="00EB21C3" w:rsidRDefault="00EB21C3" w:rsidP="00EB21C3">
            <w:pPr>
              <w:rPr>
                <w:rFonts w:cs="Arial"/>
                <w:b/>
                <w:color w:val="000000" w:themeColor="text1"/>
                <w:shd w:val="clear" w:color="auto" w:fill="FFFFFF"/>
              </w:rPr>
            </w:pPr>
            <w:r w:rsidRPr="00EB21C3">
              <w:rPr>
                <w:rFonts w:cs="Arial"/>
                <w:b/>
                <w:color w:val="000000" w:themeColor="text1"/>
                <w:shd w:val="clear" w:color="auto" w:fill="FFFFFF"/>
              </w:rPr>
              <w:t>Question</w:t>
            </w:r>
          </w:p>
        </w:tc>
        <w:tc>
          <w:tcPr>
            <w:tcW w:w="765" w:type="dxa"/>
            <w:tcBorders>
              <w:top w:val="single" w:sz="4" w:space="0" w:color="auto"/>
              <w:left w:val="nil"/>
              <w:bottom w:val="single" w:sz="4" w:space="0" w:color="auto"/>
              <w:right w:val="nil"/>
            </w:tcBorders>
            <w:vAlign w:val="center"/>
          </w:tcPr>
          <w:p w14:paraId="1A3997FA"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1</w:t>
            </w:r>
          </w:p>
        </w:tc>
        <w:tc>
          <w:tcPr>
            <w:tcW w:w="902" w:type="dxa"/>
            <w:tcBorders>
              <w:top w:val="single" w:sz="4" w:space="0" w:color="auto"/>
              <w:left w:val="nil"/>
              <w:bottom w:val="single" w:sz="4" w:space="0" w:color="auto"/>
              <w:right w:val="nil"/>
            </w:tcBorders>
            <w:vAlign w:val="center"/>
          </w:tcPr>
          <w:p w14:paraId="2E88036D"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2</w:t>
            </w:r>
          </w:p>
        </w:tc>
        <w:tc>
          <w:tcPr>
            <w:tcW w:w="880" w:type="dxa"/>
            <w:tcBorders>
              <w:top w:val="single" w:sz="4" w:space="0" w:color="auto"/>
              <w:left w:val="nil"/>
              <w:bottom w:val="single" w:sz="4" w:space="0" w:color="auto"/>
              <w:right w:val="nil"/>
            </w:tcBorders>
            <w:vAlign w:val="center"/>
          </w:tcPr>
          <w:p w14:paraId="32F83504"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3</w:t>
            </w:r>
          </w:p>
        </w:tc>
        <w:tc>
          <w:tcPr>
            <w:tcW w:w="919" w:type="dxa"/>
            <w:tcBorders>
              <w:top w:val="single" w:sz="4" w:space="0" w:color="auto"/>
              <w:left w:val="nil"/>
              <w:bottom w:val="single" w:sz="4" w:space="0" w:color="auto"/>
              <w:right w:val="nil"/>
            </w:tcBorders>
            <w:vAlign w:val="center"/>
          </w:tcPr>
          <w:p w14:paraId="7716B66D"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All</w:t>
            </w:r>
          </w:p>
        </w:tc>
        <w:tc>
          <w:tcPr>
            <w:tcW w:w="888" w:type="dxa"/>
            <w:tcBorders>
              <w:top w:val="single" w:sz="4" w:space="0" w:color="auto"/>
              <w:left w:val="nil"/>
              <w:bottom w:val="single" w:sz="4" w:space="0" w:color="auto"/>
              <w:right w:val="nil"/>
            </w:tcBorders>
            <w:vAlign w:val="center"/>
          </w:tcPr>
          <w:p w14:paraId="3D615F3C" w14:textId="77777777" w:rsidR="00EB21C3" w:rsidRPr="00EB21C3" w:rsidRDefault="00EB21C3" w:rsidP="00EB21C3">
            <w:pPr>
              <w:rPr>
                <w:rFonts w:cs="Arial"/>
                <w:color w:val="000000" w:themeColor="text1"/>
                <w:shd w:val="clear" w:color="auto" w:fill="FFFFFF"/>
              </w:rPr>
            </w:pPr>
            <w:r w:rsidRPr="00EB21C3">
              <w:rPr>
                <w:rFonts w:cs="Arial"/>
                <w:color w:val="000000" w:themeColor="text1"/>
                <w:shd w:val="clear" w:color="auto" w:fill="FFFFFF"/>
              </w:rPr>
              <w:t>%</w:t>
            </w:r>
          </w:p>
        </w:tc>
      </w:tr>
      <w:tr w:rsidR="00EB21C3" w:rsidRPr="00EB21C3" w14:paraId="684F6BF8" w14:textId="77777777" w:rsidTr="00EB21C3">
        <w:trPr>
          <w:trHeight w:val="85"/>
        </w:trPr>
        <w:tc>
          <w:tcPr>
            <w:tcW w:w="2984" w:type="dxa"/>
            <w:tcBorders>
              <w:top w:val="single" w:sz="4" w:space="0" w:color="auto"/>
              <w:left w:val="nil"/>
              <w:bottom w:val="nil"/>
              <w:right w:val="nil"/>
            </w:tcBorders>
          </w:tcPr>
          <w:p w14:paraId="224D96A7" w14:textId="77777777" w:rsidR="00EB21C3" w:rsidRPr="00EB21C3" w:rsidRDefault="00EB21C3" w:rsidP="00EB21C3">
            <w:pPr>
              <w:rPr>
                <w:rFonts w:cs="Arial"/>
                <w:color w:val="000000" w:themeColor="text1"/>
                <w:sz w:val="2"/>
                <w:szCs w:val="2"/>
                <w:shd w:val="clear" w:color="auto" w:fill="FFFFFF"/>
              </w:rPr>
            </w:pPr>
          </w:p>
        </w:tc>
        <w:tc>
          <w:tcPr>
            <w:tcW w:w="765" w:type="dxa"/>
            <w:tcBorders>
              <w:top w:val="single" w:sz="4" w:space="0" w:color="auto"/>
              <w:left w:val="nil"/>
              <w:bottom w:val="nil"/>
              <w:right w:val="nil"/>
            </w:tcBorders>
          </w:tcPr>
          <w:p w14:paraId="159945C9" w14:textId="77777777" w:rsidR="00EB21C3" w:rsidRPr="00EB21C3" w:rsidRDefault="00EB21C3" w:rsidP="00EB21C3">
            <w:pPr>
              <w:rPr>
                <w:rFonts w:cs="Arial"/>
                <w:color w:val="000000" w:themeColor="text1"/>
                <w:sz w:val="2"/>
                <w:szCs w:val="2"/>
                <w:shd w:val="clear" w:color="auto" w:fill="FFFFFF"/>
              </w:rPr>
            </w:pPr>
          </w:p>
        </w:tc>
        <w:tc>
          <w:tcPr>
            <w:tcW w:w="902" w:type="dxa"/>
            <w:tcBorders>
              <w:top w:val="single" w:sz="4" w:space="0" w:color="auto"/>
              <w:left w:val="nil"/>
              <w:bottom w:val="nil"/>
              <w:right w:val="nil"/>
            </w:tcBorders>
          </w:tcPr>
          <w:p w14:paraId="3416DD94" w14:textId="77777777" w:rsidR="00EB21C3" w:rsidRPr="00EB21C3" w:rsidRDefault="00EB21C3" w:rsidP="00EB21C3">
            <w:pPr>
              <w:rPr>
                <w:rFonts w:cs="Arial"/>
                <w:color w:val="000000" w:themeColor="text1"/>
                <w:sz w:val="2"/>
                <w:szCs w:val="2"/>
                <w:shd w:val="clear" w:color="auto" w:fill="FFFFFF"/>
              </w:rPr>
            </w:pPr>
          </w:p>
        </w:tc>
        <w:tc>
          <w:tcPr>
            <w:tcW w:w="880" w:type="dxa"/>
            <w:tcBorders>
              <w:top w:val="single" w:sz="4" w:space="0" w:color="auto"/>
              <w:left w:val="nil"/>
              <w:bottom w:val="nil"/>
              <w:right w:val="nil"/>
            </w:tcBorders>
          </w:tcPr>
          <w:p w14:paraId="6C3F3B06" w14:textId="77777777" w:rsidR="00EB21C3" w:rsidRPr="00EB21C3" w:rsidRDefault="00EB21C3" w:rsidP="00EB21C3">
            <w:pPr>
              <w:rPr>
                <w:rFonts w:cs="Arial"/>
                <w:color w:val="000000" w:themeColor="text1"/>
                <w:sz w:val="2"/>
                <w:szCs w:val="2"/>
                <w:shd w:val="clear" w:color="auto" w:fill="FFFFFF"/>
              </w:rPr>
            </w:pPr>
          </w:p>
        </w:tc>
        <w:tc>
          <w:tcPr>
            <w:tcW w:w="919" w:type="dxa"/>
            <w:tcBorders>
              <w:top w:val="single" w:sz="4" w:space="0" w:color="auto"/>
              <w:left w:val="nil"/>
              <w:bottom w:val="nil"/>
              <w:right w:val="nil"/>
            </w:tcBorders>
            <w:vAlign w:val="center"/>
          </w:tcPr>
          <w:p w14:paraId="50C8413A" w14:textId="77777777" w:rsidR="00EB21C3" w:rsidRPr="00EB21C3" w:rsidRDefault="00EB21C3" w:rsidP="00EB21C3">
            <w:pPr>
              <w:rPr>
                <w:rFonts w:cs="Arial"/>
                <w:color w:val="000000" w:themeColor="text1"/>
                <w:sz w:val="2"/>
                <w:szCs w:val="2"/>
                <w:shd w:val="clear" w:color="auto" w:fill="FFFFFF"/>
              </w:rPr>
            </w:pPr>
          </w:p>
        </w:tc>
        <w:tc>
          <w:tcPr>
            <w:tcW w:w="888" w:type="dxa"/>
            <w:tcBorders>
              <w:top w:val="single" w:sz="4" w:space="0" w:color="auto"/>
              <w:left w:val="nil"/>
              <w:bottom w:val="nil"/>
              <w:right w:val="nil"/>
            </w:tcBorders>
          </w:tcPr>
          <w:p w14:paraId="2D7B2537" w14:textId="77777777" w:rsidR="00EB21C3" w:rsidRPr="00EB21C3" w:rsidRDefault="00EB21C3" w:rsidP="00EB21C3">
            <w:pPr>
              <w:rPr>
                <w:rFonts w:cs="Arial"/>
                <w:color w:val="000000" w:themeColor="text1"/>
                <w:sz w:val="2"/>
                <w:szCs w:val="2"/>
                <w:shd w:val="clear" w:color="auto" w:fill="FFFFFF"/>
              </w:rPr>
            </w:pPr>
          </w:p>
        </w:tc>
      </w:tr>
      <w:tr w:rsidR="00EB21C3" w:rsidRPr="00EB21C3" w14:paraId="1C1C253D" w14:textId="77777777" w:rsidTr="00EB21C3">
        <w:trPr>
          <w:trHeight w:val="323"/>
        </w:trPr>
        <w:tc>
          <w:tcPr>
            <w:tcW w:w="2984" w:type="dxa"/>
            <w:tcBorders>
              <w:top w:val="nil"/>
              <w:left w:val="nil"/>
              <w:bottom w:val="nil"/>
              <w:right w:val="nil"/>
            </w:tcBorders>
            <w:vAlign w:val="center"/>
          </w:tcPr>
          <w:p w14:paraId="49EE03C0"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Heard of legal highs</w:t>
            </w:r>
          </w:p>
        </w:tc>
        <w:tc>
          <w:tcPr>
            <w:tcW w:w="765" w:type="dxa"/>
            <w:tcBorders>
              <w:top w:val="nil"/>
              <w:left w:val="nil"/>
              <w:bottom w:val="nil"/>
              <w:right w:val="nil"/>
            </w:tcBorders>
            <w:vAlign w:val="center"/>
          </w:tcPr>
          <w:p w14:paraId="4B12C3DA" w14:textId="77777777" w:rsidR="00EB21C3" w:rsidRPr="00EB21C3" w:rsidRDefault="00EB21C3" w:rsidP="00EB21C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29F059A3" w14:textId="77777777" w:rsidR="00EB21C3" w:rsidRPr="00EB21C3" w:rsidRDefault="00EB21C3" w:rsidP="00EB21C3">
            <w:pPr>
              <w:spacing w:before="120" w:after="120"/>
              <w:rPr>
                <w:rFonts w:cs="Arial"/>
                <w:color w:val="000000" w:themeColor="text1"/>
                <w:shd w:val="clear" w:color="auto" w:fill="FFFFFF"/>
              </w:rPr>
            </w:pPr>
          </w:p>
        </w:tc>
        <w:tc>
          <w:tcPr>
            <w:tcW w:w="880" w:type="dxa"/>
            <w:tcBorders>
              <w:top w:val="nil"/>
              <w:left w:val="nil"/>
              <w:bottom w:val="nil"/>
              <w:right w:val="nil"/>
            </w:tcBorders>
            <w:vAlign w:val="center"/>
          </w:tcPr>
          <w:p w14:paraId="04AB9B15" w14:textId="77777777" w:rsidR="00EB21C3" w:rsidRPr="00EB21C3" w:rsidRDefault="00EB21C3" w:rsidP="00EB21C3">
            <w:pPr>
              <w:spacing w:before="120" w:after="120"/>
              <w:rPr>
                <w:rFonts w:cs="Arial"/>
                <w:color w:val="000000" w:themeColor="text1"/>
                <w:shd w:val="clear" w:color="auto" w:fill="FFFFFF"/>
              </w:rPr>
            </w:pPr>
          </w:p>
        </w:tc>
        <w:tc>
          <w:tcPr>
            <w:tcW w:w="919" w:type="dxa"/>
            <w:tcBorders>
              <w:top w:val="nil"/>
              <w:left w:val="nil"/>
              <w:bottom w:val="nil"/>
              <w:right w:val="nil"/>
            </w:tcBorders>
            <w:vAlign w:val="center"/>
          </w:tcPr>
          <w:p w14:paraId="46693870" w14:textId="77777777" w:rsidR="00EB21C3" w:rsidRPr="00EB21C3" w:rsidRDefault="00EB21C3" w:rsidP="00EB21C3">
            <w:pPr>
              <w:spacing w:before="120" w:after="120"/>
              <w:rPr>
                <w:rFonts w:cs="Arial"/>
                <w:color w:val="000000" w:themeColor="text1"/>
                <w:shd w:val="clear" w:color="auto" w:fill="FFFFFF"/>
              </w:rPr>
            </w:pPr>
          </w:p>
        </w:tc>
        <w:tc>
          <w:tcPr>
            <w:tcW w:w="888" w:type="dxa"/>
            <w:tcBorders>
              <w:top w:val="nil"/>
              <w:left w:val="nil"/>
              <w:bottom w:val="nil"/>
              <w:right w:val="nil"/>
            </w:tcBorders>
          </w:tcPr>
          <w:p w14:paraId="4DA70949"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5F7CE8DE" w14:textId="77777777" w:rsidTr="00EB21C3">
        <w:trPr>
          <w:trHeight w:val="323"/>
        </w:trPr>
        <w:tc>
          <w:tcPr>
            <w:tcW w:w="2984" w:type="dxa"/>
            <w:tcBorders>
              <w:top w:val="nil"/>
              <w:left w:val="nil"/>
              <w:bottom w:val="nil"/>
              <w:right w:val="nil"/>
            </w:tcBorders>
            <w:vAlign w:val="center"/>
          </w:tcPr>
          <w:p w14:paraId="7ECD685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w:t>
            </w:r>
          </w:p>
        </w:tc>
        <w:tc>
          <w:tcPr>
            <w:tcW w:w="765" w:type="dxa"/>
            <w:tcBorders>
              <w:top w:val="nil"/>
              <w:left w:val="nil"/>
              <w:bottom w:val="nil"/>
              <w:right w:val="nil"/>
            </w:tcBorders>
            <w:vAlign w:val="center"/>
          </w:tcPr>
          <w:p w14:paraId="2928502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w:t>
            </w:r>
          </w:p>
        </w:tc>
        <w:tc>
          <w:tcPr>
            <w:tcW w:w="902" w:type="dxa"/>
            <w:tcBorders>
              <w:top w:val="nil"/>
              <w:left w:val="nil"/>
              <w:bottom w:val="nil"/>
              <w:right w:val="nil"/>
            </w:tcBorders>
            <w:vAlign w:val="center"/>
          </w:tcPr>
          <w:p w14:paraId="0A98E3A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8</w:t>
            </w:r>
          </w:p>
        </w:tc>
        <w:tc>
          <w:tcPr>
            <w:tcW w:w="880" w:type="dxa"/>
            <w:tcBorders>
              <w:top w:val="nil"/>
              <w:left w:val="nil"/>
              <w:bottom w:val="nil"/>
              <w:right w:val="nil"/>
            </w:tcBorders>
            <w:vAlign w:val="center"/>
          </w:tcPr>
          <w:p w14:paraId="2663646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12</w:t>
            </w:r>
          </w:p>
        </w:tc>
        <w:tc>
          <w:tcPr>
            <w:tcW w:w="919" w:type="dxa"/>
            <w:tcBorders>
              <w:top w:val="nil"/>
              <w:left w:val="nil"/>
              <w:bottom w:val="nil"/>
              <w:right w:val="nil"/>
            </w:tcBorders>
            <w:vAlign w:val="center"/>
          </w:tcPr>
          <w:p w14:paraId="4E1077B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27</w:t>
            </w:r>
          </w:p>
        </w:tc>
        <w:tc>
          <w:tcPr>
            <w:tcW w:w="888" w:type="dxa"/>
            <w:tcBorders>
              <w:top w:val="nil"/>
              <w:left w:val="nil"/>
              <w:bottom w:val="nil"/>
              <w:right w:val="nil"/>
            </w:tcBorders>
          </w:tcPr>
          <w:p w14:paraId="68CEC58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87 </w:t>
            </w:r>
            <w:r w:rsidRPr="00EB21C3">
              <w:rPr>
                <w:rFonts w:cs="Arial"/>
                <w:color w:val="000000" w:themeColor="text1"/>
                <w:sz w:val="20"/>
                <w:shd w:val="clear" w:color="auto" w:fill="FFFFFF"/>
              </w:rPr>
              <w:t>%</w:t>
            </w:r>
          </w:p>
        </w:tc>
      </w:tr>
      <w:tr w:rsidR="00EB21C3" w:rsidRPr="00EB21C3" w14:paraId="585ED217" w14:textId="77777777" w:rsidTr="00EB21C3">
        <w:trPr>
          <w:trHeight w:val="323"/>
        </w:trPr>
        <w:tc>
          <w:tcPr>
            <w:tcW w:w="2984" w:type="dxa"/>
            <w:tcBorders>
              <w:top w:val="nil"/>
              <w:left w:val="nil"/>
              <w:bottom w:val="nil"/>
              <w:right w:val="nil"/>
            </w:tcBorders>
            <w:vAlign w:val="center"/>
          </w:tcPr>
          <w:p w14:paraId="55FE6D2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w:t>
            </w:r>
          </w:p>
        </w:tc>
        <w:tc>
          <w:tcPr>
            <w:tcW w:w="765" w:type="dxa"/>
            <w:tcBorders>
              <w:top w:val="nil"/>
              <w:left w:val="nil"/>
              <w:bottom w:val="nil"/>
              <w:right w:val="nil"/>
            </w:tcBorders>
            <w:vAlign w:val="center"/>
          </w:tcPr>
          <w:p w14:paraId="1CAE6F9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902" w:type="dxa"/>
            <w:tcBorders>
              <w:top w:val="nil"/>
              <w:left w:val="nil"/>
              <w:bottom w:val="nil"/>
              <w:right w:val="nil"/>
            </w:tcBorders>
            <w:vAlign w:val="center"/>
          </w:tcPr>
          <w:p w14:paraId="6AFB1E4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880" w:type="dxa"/>
            <w:tcBorders>
              <w:top w:val="nil"/>
              <w:left w:val="nil"/>
              <w:bottom w:val="nil"/>
              <w:right w:val="nil"/>
            </w:tcBorders>
            <w:vAlign w:val="center"/>
          </w:tcPr>
          <w:p w14:paraId="3EC5C617"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919" w:type="dxa"/>
            <w:tcBorders>
              <w:top w:val="nil"/>
              <w:left w:val="nil"/>
              <w:bottom w:val="nil"/>
              <w:right w:val="nil"/>
            </w:tcBorders>
            <w:vAlign w:val="center"/>
          </w:tcPr>
          <w:p w14:paraId="444D25A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888" w:type="dxa"/>
            <w:tcBorders>
              <w:top w:val="nil"/>
              <w:left w:val="nil"/>
              <w:bottom w:val="nil"/>
              <w:right w:val="nil"/>
            </w:tcBorders>
          </w:tcPr>
          <w:p w14:paraId="5EAAC54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7 </w:t>
            </w:r>
            <w:r w:rsidRPr="00EB21C3">
              <w:rPr>
                <w:rFonts w:cs="Arial"/>
                <w:color w:val="000000" w:themeColor="text1"/>
                <w:sz w:val="20"/>
                <w:shd w:val="clear" w:color="auto" w:fill="FFFFFF"/>
              </w:rPr>
              <w:t>%</w:t>
            </w:r>
          </w:p>
        </w:tc>
      </w:tr>
      <w:tr w:rsidR="00EB21C3" w:rsidRPr="00EB21C3" w14:paraId="48CC5492" w14:textId="77777777" w:rsidTr="00EB21C3">
        <w:trPr>
          <w:trHeight w:val="323"/>
        </w:trPr>
        <w:tc>
          <w:tcPr>
            <w:tcW w:w="2984" w:type="dxa"/>
            <w:tcBorders>
              <w:top w:val="nil"/>
              <w:left w:val="nil"/>
              <w:bottom w:val="nil"/>
              <w:right w:val="nil"/>
            </w:tcBorders>
            <w:vAlign w:val="center"/>
          </w:tcPr>
          <w:p w14:paraId="48AE970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765" w:type="dxa"/>
            <w:tcBorders>
              <w:top w:val="nil"/>
              <w:left w:val="nil"/>
              <w:bottom w:val="nil"/>
              <w:right w:val="nil"/>
            </w:tcBorders>
            <w:vAlign w:val="center"/>
          </w:tcPr>
          <w:p w14:paraId="6CE46C69"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902" w:type="dxa"/>
            <w:tcBorders>
              <w:top w:val="nil"/>
              <w:left w:val="nil"/>
              <w:bottom w:val="nil"/>
              <w:right w:val="nil"/>
            </w:tcBorders>
            <w:vAlign w:val="center"/>
          </w:tcPr>
          <w:p w14:paraId="121FF0E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880" w:type="dxa"/>
            <w:tcBorders>
              <w:top w:val="nil"/>
              <w:left w:val="nil"/>
              <w:bottom w:val="nil"/>
              <w:right w:val="nil"/>
            </w:tcBorders>
            <w:vAlign w:val="center"/>
          </w:tcPr>
          <w:p w14:paraId="6E6AACC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919" w:type="dxa"/>
            <w:tcBorders>
              <w:top w:val="nil"/>
              <w:left w:val="nil"/>
              <w:bottom w:val="nil"/>
              <w:right w:val="nil"/>
            </w:tcBorders>
            <w:vAlign w:val="center"/>
          </w:tcPr>
          <w:p w14:paraId="0D744C9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888" w:type="dxa"/>
            <w:tcBorders>
              <w:top w:val="nil"/>
              <w:left w:val="nil"/>
              <w:bottom w:val="nil"/>
              <w:right w:val="nil"/>
            </w:tcBorders>
          </w:tcPr>
          <w:p w14:paraId="41AA996A"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7 </w:t>
            </w:r>
            <w:r w:rsidRPr="00EB21C3">
              <w:rPr>
                <w:rFonts w:cs="Arial"/>
                <w:color w:val="000000" w:themeColor="text1"/>
                <w:sz w:val="20"/>
                <w:shd w:val="clear" w:color="auto" w:fill="FFFFFF"/>
              </w:rPr>
              <w:t>%</w:t>
            </w:r>
          </w:p>
        </w:tc>
      </w:tr>
      <w:tr w:rsidR="00EB21C3" w:rsidRPr="00EB21C3" w14:paraId="68EF5C66" w14:textId="77777777" w:rsidTr="00EB21C3">
        <w:trPr>
          <w:trHeight w:val="323"/>
        </w:trPr>
        <w:tc>
          <w:tcPr>
            <w:tcW w:w="2984" w:type="dxa"/>
            <w:tcBorders>
              <w:top w:val="nil"/>
              <w:left w:val="nil"/>
              <w:bottom w:val="nil"/>
              <w:right w:val="nil"/>
            </w:tcBorders>
            <w:vAlign w:val="center"/>
          </w:tcPr>
          <w:p w14:paraId="61D52F71" w14:textId="77777777" w:rsidR="00EB21C3" w:rsidRPr="00EB21C3" w:rsidRDefault="00EB21C3" w:rsidP="00EB21C3">
            <w:pPr>
              <w:spacing w:before="120" w:after="120"/>
              <w:rPr>
                <w:rFonts w:cs="Arial"/>
                <w:b/>
                <w:color w:val="000000" w:themeColor="text1"/>
                <w:shd w:val="clear" w:color="auto" w:fill="FFFFFF"/>
              </w:rPr>
            </w:pPr>
            <w:r w:rsidRPr="00EB21C3">
              <w:rPr>
                <w:rFonts w:cs="Arial"/>
                <w:b/>
                <w:color w:val="000000" w:themeColor="text1"/>
                <w:shd w:val="clear" w:color="auto" w:fill="FFFFFF"/>
              </w:rPr>
              <w:t>Heard of ban</w:t>
            </w:r>
          </w:p>
        </w:tc>
        <w:tc>
          <w:tcPr>
            <w:tcW w:w="765" w:type="dxa"/>
            <w:tcBorders>
              <w:top w:val="nil"/>
              <w:left w:val="nil"/>
              <w:bottom w:val="nil"/>
              <w:right w:val="nil"/>
            </w:tcBorders>
            <w:vAlign w:val="center"/>
          </w:tcPr>
          <w:p w14:paraId="4A89EA0D" w14:textId="77777777" w:rsidR="00EB21C3" w:rsidRPr="00EB21C3" w:rsidRDefault="00EB21C3" w:rsidP="00EB21C3">
            <w:pPr>
              <w:spacing w:before="120" w:after="120"/>
              <w:rPr>
                <w:rFonts w:cs="Arial"/>
                <w:color w:val="000000" w:themeColor="text1"/>
                <w:shd w:val="clear" w:color="auto" w:fill="FFFFFF"/>
              </w:rPr>
            </w:pPr>
          </w:p>
        </w:tc>
        <w:tc>
          <w:tcPr>
            <w:tcW w:w="902" w:type="dxa"/>
            <w:tcBorders>
              <w:top w:val="nil"/>
              <w:left w:val="nil"/>
              <w:bottom w:val="nil"/>
              <w:right w:val="nil"/>
            </w:tcBorders>
            <w:vAlign w:val="center"/>
          </w:tcPr>
          <w:p w14:paraId="27E4D30F" w14:textId="77777777" w:rsidR="00EB21C3" w:rsidRPr="00EB21C3" w:rsidRDefault="00EB21C3" w:rsidP="00EB21C3">
            <w:pPr>
              <w:spacing w:before="120" w:after="120"/>
              <w:rPr>
                <w:rFonts w:cs="Arial"/>
                <w:color w:val="000000" w:themeColor="text1"/>
                <w:shd w:val="clear" w:color="auto" w:fill="FFFFFF"/>
              </w:rPr>
            </w:pPr>
          </w:p>
        </w:tc>
        <w:tc>
          <w:tcPr>
            <w:tcW w:w="880" w:type="dxa"/>
            <w:tcBorders>
              <w:top w:val="nil"/>
              <w:left w:val="nil"/>
              <w:bottom w:val="nil"/>
              <w:right w:val="nil"/>
            </w:tcBorders>
            <w:vAlign w:val="center"/>
          </w:tcPr>
          <w:p w14:paraId="1081B43A" w14:textId="77777777" w:rsidR="00EB21C3" w:rsidRPr="00EB21C3" w:rsidRDefault="00EB21C3" w:rsidP="00EB21C3">
            <w:pPr>
              <w:spacing w:before="120" w:after="120"/>
              <w:rPr>
                <w:rFonts w:cs="Arial"/>
                <w:color w:val="000000" w:themeColor="text1"/>
                <w:shd w:val="clear" w:color="auto" w:fill="FFFFFF"/>
              </w:rPr>
            </w:pPr>
          </w:p>
        </w:tc>
        <w:tc>
          <w:tcPr>
            <w:tcW w:w="919" w:type="dxa"/>
            <w:tcBorders>
              <w:top w:val="nil"/>
              <w:left w:val="nil"/>
              <w:bottom w:val="nil"/>
              <w:right w:val="nil"/>
            </w:tcBorders>
            <w:vAlign w:val="center"/>
          </w:tcPr>
          <w:p w14:paraId="5AEBDD60" w14:textId="77777777" w:rsidR="00EB21C3" w:rsidRPr="00EB21C3" w:rsidRDefault="00EB21C3" w:rsidP="00EB21C3">
            <w:pPr>
              <w:spacing w:before="120" w:after="120"/>
              <w:rPr>
                <w:rFonts w:cs="Arial"/>
                <w:color w:val="000000" w:themeColor="text1"/>
                <w:shd w:val="clear" w:color="auto" w:fill="FFFFFF"/>
              </w:rPr>
            </w:pPr>
          </w:p>
        </w:tc>
        <w:tc>
          <w:tcPr>
            <w:tcW w:w="888" w:type="dxa"/>
            <w:tcBorders>
              <w:top w:val="nil"/>
              <w:left w:val="nil"/>
              <w:bottom w:val="nil"/>
              <w:right w:val="nil"/>
            </w:tcBorders>
          </w:tcPr>
          <w:p w14:paraId="25989095" w14:textId="77777777" w:rsidR="00EB21C3" w:rsidRPr="00EB21C3" w:rsidRDefault="00EB21C3" w:rsidP="00EB21C3">
            <w:pPr>
              <w:spacing w:before="120" w:after="120"/>
              <w:rPr>
                <w:rFonts w:cs="Arial"/>
                <w:color w:val="000000" w:themeColor="text1"/>
                <w:shd w:val="clear" w:color="auto" w:fill="FFFFFF"/>
              </w:rPr>
            </w:pPr>
          </w:p>
        </w:tc>
      </w:tr>
      <w:tr w:rsidR="00EB21C3" w:rsidRPr="00EB21C3" w14:paraId="36066D33" w14:textId="77777777" w:rsidTr="00EB21C3">
        <w:trPr>
          <w:trHeight w:val="323"/>
        </w:trPr>
        <w:tc>
          <w:tcPr>
            <w:tcW w:w="2984" w:type="dxa"/>
            <w:tcBorders>
              <w:top w:val="nil"/>
              <w:left w:val="nil"/>
              <w:bottom w:val="nil"/>
              <w:right w:val="nil"/>
            </w:tcBorders>
            <w:vAlign w:val="center"/>
          </w:tcPr>
          <w:p w14:paraId="41B89EB4"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Yes</w:t>
            </w:r>
          </w:p>
        </w:tc>
        <w:tc>
          <w:tcPr>
            <w:tcW w:w="765" w:type="dxa"/>
            <w:tcBorders>
              <w:top w:val="nil"/>
              <w:left w:val="nil"/>
              <w:bottom w:val="nil"/>
              <w:right w:val="nil"/>
            </w:tcBorders>
            <w:vAlign w:val="center"/>
          </w:tcPr>
          <w:p w14:paraId="62AD3D9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902" w:type="dxa"/>
            <w:tcBorders>
              <w:top w:val="nil"/>
              <w:left w:val="nil"/>
              <w:bottom w:val="nil"/>
              <w:right w:val="nil"/>
            </w:tcBorders>
            <w:vAlign w:val="center"/>
          </w:tcPr>
          <w:p w14:paraId="2B20169B"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w:t>
            </w:r>
          </w:p>
        </w:tc>
        <w:tc>
          <w:tcPr>
            <w:tcW w:w="880" w:type="dxa"/>
            <w:tcBorders>
              <w:top w:val="nil"/>
              <w:left w:val="nil"/>
              <w:bottom w:val="nil"/>
              <w:right w:val="nil"/>
            </w:tcBorders>
            <w:vAlign w:val="center"/>
          </w:tcPr>
          <w:p w14:paraId="091008D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6</w:t>
            </w:r>
          </w:p>
        </w:tc>
        <w:tc>
          <w:tcPr>
            <w:tcW w:w="919" w:type="dxa"/>
            <w:tcBorders>
              <w:top w:val="nil"/>
              <w:left w:val="nil"/>
              <w:bottom w:val="nil"/>
              <w:right w:val="nil"/>
            </w:tcBorders>
            <w:vAlign w:val="center"/>
          </w:tcPr>
          <w:p w14:paraId="47309D8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19</w:t>
            </w:r>
          </w:p>
        </w:tc>
        <w:tc>
          <w:tcPr>
            <w:tcW w:w="888" w:type="dxa"/>
            <w:tcBorders>
              <w:top w:val="nil"/>
              <w:left w:val="nil"/>
              <w:bottom w:val="nil"/>
              <w:right w:val="nil"/>
            </w:tcBorders>
          </w:tcPr>
          <w:p w14:paraId="2F17904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61 </w:t>
            </w:r>
            <w:r w:rsidRPr="00EB21C3">
              <w:rPr>
                <w:rFonts w:cs="Arial"/>
                <w:color w:val="000000" w:themeColor="text1"/>
                <w:sz w:val="18"/>
                <w:shd w:val="clear" w:color="auto" w:fill="FFFFFF"/>
              </w:rPr>
              <w:t>%</w:t>
            </w:r>
          </w:p>
        </w:tc>
      </w:tr>
      <w:tr w:rsidR="00EB21C3" w:rsidRPr="00EB21C3" w14:paraId="4C7201DD" w14:textId="77777777" w:rsidTr="00EB21C3">
        <w:trPr>
          <w:trHeight w:val="323"/>
        </w:trPr>
        <w:tc>
          <w:tcPr>
            <w:tcW w:w="2984" w:type="dxa"/>
            <w:tcBorders>
              <w:top w:val="nil"/>
              <w:left w:val="nil"/>
              <w:bottom w:val="nil"/>
              <w:right w:val="nil"/>
            </w:tcBorders>
            <w:vAlign w:val="center"/>
          </w:tcPr>
          <w:p w14:paraId="2F9817F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w:t>
            </w:r>
          </w:p>
        </w:tc>
        <w:tc>
          <w:tcPr>
            <w:tcW w:w="765" w:type="dxa"/>
            <w:tcBorders>
              <w:top w:val="nil"/>
              <w:left w:val="nil"/>
              <w:bottom w:val="nil"/>
              <w:right w:val="nil"/>
            </w:tcBorders>
            <w:vAlign w:val="center"/>
          </w:tcPr>
          <w:p w14:paraId="78DC41C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2</w:t>
            </w:r>
          </w:p>
        </w:tc>
        <w:tc>
          <w:tcPr>
            <w:tcW w:w="902" w:type="dxa"/>
            <w:tcBorders>
              <w:top w:val="nil"/>
              <w:left w:val="nil"/>
              <w:bottom w:val="nil"/>
              <w:right w:val="nil"/>
            </w:tcBorders>
            <w:vAlign w:val="center"/>
          </w:tcPr>
          <w:p w14:paraId="34D49ACE"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880" w:type="dxa"/>
            <w:tcBorders>
              <w:top w:val="nil"/>
              <w:left w:val="nil"/>
              <w:bottom w:val="nil"/>
              <w:right w:val="nil"/>
            </w:tcBorders>
            <w:vAlign w:val="center"/>
          </w:tcPr>
          <w:p w14:paraId="5B43A222"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919" w:type="dxa"/>
            <w:tcBorders>
              <w:top w:val="nil"/>
              <w:left w:val="nil"/>
              <w:bottom w:val="nil"/>
              <w:right w:val="nil"/>
            </w:tcBorders>
            <w:vAlign w:val="center"/>
          </w:tcPr>
          <w:p w14:paraId="4CAFCF4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7</w:t>
            </w:r>
          </w:p>
        </w:tc>
        <w:tc>
          <w:tcPr>
            <w:tcW w:w="888" w:type="dxa"/>
            <w:tcBorders>
              <w:top w:val="nil"/>
              <w:left w:val="nil"/>
              <w:bottom w:val="nil"/>
              <w:right w:val="nil"/>
            </w:tcBorders>
          </w:tcPr>
          <w:p w14:paraId="0FAF202C"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23 </w:t>
            </w:r>
            <w:r w:rsidRPr="00EB21C3">
              <w:rPr>
                <w:rFonts w:cs="Arial"/>
                <w:color w:val="000000" w:themeColor="text1"/>
                <w:sz w:val="18"/>
                <w:shd w:val="clear" w:color="auto" w:fill="FFFFFF"/>
              </w:rPr>
              <w:t>%</w:t>
            </w:r>
          </w:p>
        </w:tc>
      </w:tr>
      <w:tr w:rsidR="00EB21C3" w:rsidRPr="00EB21C3" w14:paraId="1340E019" w14:textId="77777777" w:rsidTr="00EB21C3">
        <w:trPr>
          <w:trHeight w:val="323"/>
        </w:trPr>
        <w:tc>
          <w:tcPr>
            <w:tcW w:w="2984" w:type="dxa"/>
            <w:tcBorders>
              <w:top w:val="nil"/>
              <w:left w:val="nil"/>
              <w:bottom w:val="nil"/>
              <w:right w:val="nil"/>
            </w:tcBorders>
            <w:vAlign w:val="center"/>
          </w:tcPr>
          <w:p w14:paraId="4CBE58DF"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        Not sure</w:t>
            </w:r>
          </w:p>
        </w:tc>
        <w:tc>
          <w:tcPr>
            <w:tcW w:w="765" w:type="dxa"/>
            <w:tcBorders>
              <w:top w:val="nil"/>
              <w:left w:val="nil"/>
              <w:bottom w:val="nil"/>
              <w:right w:val="nil"/>
            </w:tcBorders>
            <w:vAlign w:val="center"/>
          </w:tcPr>
          <w:p w14:paraId="3D6437D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0</w:t>
            </w:r>
          </w:p>
        </w:tc>
        <w:tc>
          <w:tcPr>
            <w:tcW w:w="902" w:type="dxa"/>
            <w:tcBorders>
              <w:top w:val="nil"/>
              <w:left w:val="nil"/>
              <w:bottom w:val="nil"/>
              <w:right w:val="nil"/>
            </w:tcBorders>
            <w:vAlign w:val="center"/>
          </w:tcPr>
          <w:p w14:paraId="48BEB188"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1</w:t>
            </w:r>
          </w:p>
        </w:tc>
        <w:tc>
          <w:tcPr>
            <w:tcW w:w="880" w:type="dxa"/>
            <w:tcBorders>
              <w:top w:val="nil"/>
              <w:left w:val="nil"/>
              <w:bottom w:val="nil"/>
              <w:right w:val="nil"/>
            </w:tcBorders>
            <w:vAlign w:val="center"/>
          </w:tcPr>
          <w:p w14:paraId="56AD8F5D"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4</w:t>
            </w:r>
          </w:p>
        </w:tc>
        <w:tc>
          <w:tcPr>
            <w:tcW w:w="919" w:type="dxa"/>
            <w:tcBorders>
              <w:top w:val="nil"/>
              <w:left w:val="nil"/>
              <w:bottom w:val="nil"/>
              <w:right w:val="nil"/>
            </w:tcBorders>
            <w:vAlign w:val="center"/>
          </w:tcPr>
          <w:p w14:paraId="5B61BE45"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5</w:t>
            </w:r>
          </w:p>
        </w:tc>
        <w:tc>
          <w:tcPr>
            <w:tcW w:w="888" w:type="dxa"/>
            <w:tcBorders>
              <w:top w:val="nil"/>
              <w:left w:val="nil"/>
              <w:bottom w:val="nil"/>
              <w:right w:val="nil"/>
            </w:tcBorders>
          </w:tcPr>
          <w:p w14:paraId="4FCD54F3" w14:textId="77777777" w:rsidR="00EB21C3" w:rsidRPr="00EB21C3" w:rsidRDefault="00EB21C3" w:rsidP="00EB21C3">
            <w:pPr>
              <w:spacing w:before="120" w:after="120"/>
              <w:rPr>
                <w:rFonts w:cs="Arial"/>
                <w:color w:val="000000" w:themeColor="text1"/>
                <w:shd w:val="clear" w:color="auto" w:fill="FFFFFF"/>
              </w:rPr>
            </w:pPr>
            <w:r w:rsidRPr="00EB21C3">
              <w:rPr>
                <w:rFonts w:cs="Arial"/>
                <w:color w:val="000000" w:themeColor="text1"/>
                <w:shd w:val="clear" w:color="auto" w:fill="FFFFFF"/>
              </w:rPr>
              <w:t xml:space="preserve">16 </w:t>
            </w:r>
            <w:r w:rsidRPr="00EB21C3">
              <w:rPr>
                <w:rFonts w:cs="Arial"/>
                <w:color w:val="000000" w:themeColor="text1"/>
                <w:sz w:val="18"/>
                <w:shd w:val="clear" w:color="auto" w:fill="FFFFFF"/>
              </w:rPr>
              <w:t>%</w:t>
            </w:r>
          </w:p>
        </w:tc>
      </w:tr>
      <w:tr w:rsidR="00EB21C3" w:rsidRPr="00EB21C3" w14:paraId="1C9A0143" w14:textId="77777777" w:rsidTr="00EB21C3">
        <w:trPr>
          <w:trHeight w:val="95"/>
        </w:trPr>
        <w:tc>
          <w:tcPr>
            <w:tcW w:w="2984" w:type="dxa"/>
            <w:tcBorders>
              <w:top w:val="nil"/>
              <w:left w:val="nil"/>
              <w:bottom w:val="single" w:sz="4" w:space="0" w:color="auto"/>
              <w:right w:val="nil"/>
            </w:tcBorders>
            <w:vAlign w:val="center"/>
          </w:tcPr>
          <w:p w14:paraId="3AE1CF30" w14:textId="77777777" w:rsidR="00EB21C3" w:rsidRPr="00EB21C3" w:rsidRDefault="00EB21C3" w:rsidP="00EB21C3">
            <w:pPr>
              <w:rPr>
                <w:rFonts w:cs="Arial"/>
                <w:color w:val="000000" w:themeColor="text1"/>
                <w:sz w:val="2"/>
                <w:szCs w:val="2"/>
                <w:shd w:val="clear" w:color="auto" w:fill="FFFFFF"/>
              </w:rPr>
            </w:pPr>
          </w:p>
        </w:tc>
        <w:tc>
          <w:tcPr>
            <w:tcW w:w="765" w:type="dxa"/>
            <w:tcBorders>
              <w:top w:val="nil"/>
              <w:left w:val="nil"/>
              <w:bottom w:val="single" w:sz="4" w:space="0" w:color="auto"/>
              <w:right w:val="nil"/>
            </w:tcBorders>
            <w:vAlign w:val="center"/>
          </w:tcPr>
          <w:p w14:paraId="03D62F72" w14:textId="77777777" w:rsidR="00EB21C3" w:rsidRPr="00EB21C3" w:rsidRDefault="00EB21C3" w:rsidP="00EB21C3">
            <w:pPr>
              <w:rPr>
                <w:rFonts w:cs="Arial"/>
                <w:color w:val="000000" w:themeColor="text1"/>
                <w:sz w:val="2"/>
                <w:szCs w:val="2"/>
                <w:shd w:val="clear" w:color="auto" w:fill="FFFFFF"/>
              </w:rPr>
            </w:pPr>
          </w:p>
        </w:tc>
        <w:tc>
          <w:tcPr>
            <w:tcW w:w="902" w:type="dxa"/>
            <w:tcBorders>
              <w:top w:val="nil"/>
              <w:left w:val="nil"/>
              <w:bottom w:val="single" w:sz="4" w:space="0" w:color="auto"/>
              <w:right w:val="nil"/>
            </w:tcBorders>
            <w:vAlign w:val="center"/>
          </w:tcPr>
          <w:p w14:paraId="4AE6D512" w14:textId="77777777" w:rsidR="00EB21C3" w:rsidRPr="00EB21C3" w:rsidRDefault="00EB21C3" w:rsidP="00EB21C3">
            <w:pPr>
              <w:rPr>
                <w:rFonts w:cs="Arial"/>
                <w:color w:val="000000" w:themeColor="text1"/>
                <w:sz w:val="2"/>
                <w:szCs w:val="2"/>
                <w:shd w:val="clear" w:color="auto" w:fill="FFFFFF"/>
              </w:rPr>
            </w:pPr>
          </w:p>
        </w:tc>
        <w:tc>
          <w:tcPr>
            <w:tcW w:w="880" w:type="dxa"/>
            <w:tcBorders>
              <w:top w:val="nil"/>
              <w:left w:val="nil"/>
              <w:bottom w:val="single" w:sz="4" w:space="0" w:color="auto"/>
              <w:right w:val="nil"/>
            </w:tcBorders>
            <w:vAlign w:val="center"/>
          </w:tcPr>
          <w:p w14:paraId="1488F746" w14:textId="77777777" w:rsidR="00EB21C3" w:rsidRPr="00EB21C3" w:rsidRDefault="00EB21C3" w:rsidP="00EB21C3">
            <w:pPr>
              <w:rPr>
                <w:rFonts w:cs="Arial"/>
                <w:color w:val="000000" w:themeColor="text1"/>
                <w:sz w:val="2"/>
                <w:szCs w:val="2"/>
                <w:shd w:val="clear" w:color="auto" w:fill="FFFFFF"/>
              </w:rPr>
            </w:pPr>
          </w:p>
        </w:tc>
        <w:tc>
          <w:tcPr>
            <w:tcW w:w="919" w:type="dxa"/>
            <w:tcBorders>
              <w:top w:val="nil"/>
              <w:left w:val="nil"/>
              <w:bottom w:val="single" w:sz="4" w:space="0" w:color="auto"/>
              <w:right w:val="nil"/>
            </w:tcBorders>
            <w:vAlign w:val="center"/>
          </w:tcPr>
          <w:p w14:paraId="6582E2D6" w14:textId="77777777" w:rsidR="00EB21C3" w:rsidRPr="00EB21C3" w:rsidRDefault="00EB21C3" w:rsidP="00EB21C3">
            <w:pPr>
              <w:rPr>
                <w:rFonts w:cs="Arial"/>
                <w:color w:val="000000" w:themeColor="text1"/>
                <w:sz w:val="2"/>
                <w:szCs w:val="2"/>
                <w:shd w:val="clear" w:color="auto" w:fill="FFFFFF"/>
              </w:rPr>
            </w:pPr>
          </w:p>
        </w:tc>
        <w:tc>
          <w:tcPr>
            <w:tcW w:w="888" w:type="dxa"/>
            <w:tcBorders>
              <w:top w:val="nil"/>
              <w:left w:val="nil"/>
              <w:bottom w:val="single" w:sz="4" w:space="0" w:color="auto"/>
              <w:right w:val="nil"/>
            </w:tcBorders>
          </w:tcPr>
          <w:p w14:paraId="69452499" w14:textId="77777777" w:rsidR="00EB21C3" w:rsidRPr="00EB21C3" w:rsidRDefault="00EB21C3" w:rsidP="00EB21C3">
            <w:pPr>
              <w:rPr>
                <w:rFonts w:cs="Arial"/>
                <w:color w:val="000000" w:themeColor="text1"/>
                <w:sz w:val="2"/>
                <w:szCs w:val="2"/>
                <w:shd w:val="clear" w:color="auto" w:fill="FFFFFF"/>
              </w:rPr>
            </w:pPr>
          </w:p>
        </w:tc>
      </w:tr>
    </w:tbl>
    <w:p w14:paraId="3801BF37" w14:textId="77777777" w:rsidR="00EB21C3" w:rsidRPr="00461C9A" w:rsidRDefault="00EB21C3" w:rsidP="00EB21C3">
      <w:pPr>
        <w:keepNext/>
        <w:keepLines/>
        <w:numPr>
          <w:ilvl w:val="2"/>
          <w:numId w:val="2"/>
        </w:numPr>
        <w:spacing w:before="480" w:after="100" w:afterAutospacing="1" w:line="240" w:lineRule="auto"/>
        <w:outlineLvl w:val="2"/>
        <w:rPr>
          <w:b/>
          <w:bCs/>
          <w:color w:val="000000" w:themeColor="text1"/>
        </w:rPr>
      </w:pPr>
      <w:bookmarkStart w:id="518" w:name="_Toc35892748"/>
      <w:r w:rsidRPr="00461C9A">
        <w:rPr>
          <w:b/>
          <w:bCs/>
          <w:color w:val="000000" w:themeColor="text1"/>
        </w:rPr>
        <w:t>Data analysis</w:t>
      </w:r>
      <w:bookmarkEnd w:id="518"/>
      <w:r w:rsidRPr="00461C9A">
        <w:rPr>
          <w:b/>
          <w:bCs/>
          <w:color w:val="000000" w:themeColor="text1"/>
        </w:rPr>
        <w:t xml:space="preserve"> </w:t>
      </w:r>
    </w:p>
    <w:p w14:paraId="361163BE" w14:textId="2AC5A248" w:rsidR="00EB21C3" w:rsidRPr="00EB21C3" w:rsidRDefault="00EB21C3" w:rsidP="00EB21C3">
      <w:pPr>
        <w:spacing w:line="480" w:lineRule="auto"/>
        <w:rPr>
          <w:color w:val="000000" w:themeColor="text1"/>
        </w:rPr>
      </w:pPr>
      <w:r w:rsidRPr="00EB21C3">
        <w:rPr>
          <w:color w:val="000000" w:themeColor="text1"/>
        </w:rPr>
        <w:t xml:space="preserve">The transcripts were coded using framework analysis as described in section 4.8 in Chapter 4. </w:t>
      </w:r>
      <w:r w:rsidR="001274B4">
        <w:rPr>
          <w:color w:val="000000" w:themeColor="text1"/>
        </w:rPr>
        <w:t>To aid familiarisation with the data it was initially compared against the coding categories used in Studies 1 and 2</w:t>
      </w:r>
      <w:r w:rsidRPr="00EB21C3">
        <w:t xml:space="preserve"> </w:t>
      </w:r>
      <w:r w:rsidR="001274B4">
        <w:t xml:space="preserve">(see Appendix </w:t>
      </w:r>
      <w:r w:rsidR="00603E9F">
        <w:t>D</w:t>
      </w:r>
      <w:r w:rsidR="001274B4">
        <w:t xml:space="preserve">).  </w:t>
      </w:r>
      <w:r w:rsidRPr="00EB21C3">
        <w:t xml:space="preserve">The coding scheme created during the framework analysis comprised the following motivation themes: most important for use of NPS; most important for non-use of NPS; and conflicts between motives. In addition, the intervention acceptability themes were as follows; content; method; </w:t>
      </w:r>
      <w:r w:rsidRPr="00EB21C3">
        <w:rPr>
          <w:color w:val="000000" w:themeColor="text1"/>
        </w:rPr>
        <w:t xml:space="preserve">setting; and advised against. Once the framework analysis chart was established a second coder read samples of each of the focus </w:t>
      </w:r>
      <w:r w:rsidR="001274B4">
        <w:rPr>
          <w:color w:val="000000" w:themeColor="text1"/>
        </w:rPr>
        <w:t>(</w:t>
      </w:r>
      <w:r w:rsidRPr="00EB21C3">
        <w:rPr>
          <w:color w:val="000000" w:themeColor="text1"/>
        </w:rPr>
        <w:t xml:space="preserve">group transcripts and assessed the content of the coding categories. Initial correspondence was 86% and the discrepancies in coding were then discussed until agreement was reached.       </w:t>
      </w:r>
    </w:p>
    <w:p w14:paraId="542C43CB" w14:textId="60E23F4E" w:rsidR="00EB21C3" w:rsidRPr="00EB21C3" w:rsidRDefault="00E954B0" w:rsidP="00EB21C3">
      <w:pPr>
        <w:keepNext/>
        <w:keepLines/>
        <w:numPr>
          <w:ilvl w:val="1"/>
          <w:numId w:val="2"/>
        </w:numPr>
        <w:spacing w:before="480" w:after="100" w:afterAutospacing="1" w:line="240" w:lineRule="auto"/>
        <w:ind w:left="576"/>
        <w:outlineLvl w:val="1"/>
        <w:rPr>
          <w:b/>
          <w:bCs/>
          <w:szCs w:val="26"/>
        </w:rPr>
      </w:pPr>
      <w:bookmarkStart w:id="519" w:name="_Toc35892749"/>
      <w:r>
        <w:rPr>
          <w:b/>
          <w:bCs/>
          <w:szCs w:val="26"/>
        </w:rPr>
        <w:t xml:space="preserve">Motivation </w:t>
      </w:r>
      <w:r w:rsidR="00EB21C3" w:rsidRPr="00EB21C3">
        <w:rPr>
          <w:b/>
          <w:bCs/>
          <w:szCs w:val="26"/>
        </w:rPr>
        <w:t>Results</w:t>
      </w:r>
      <w:bookmarkEnd w:id="519"/>
    </w:p>
    <w:p w14:paraId="41319F6F" w14:textId="22255F3B" w:rsidR="00EB21C3" w:rsidRPr="00EB21C3" w:rsidRDefault="00EB21C3" w:rsidP="00EB21C3">
      <w:pPr>
        <w:spacing w:line="480" w:lineRule="auto"/>
      </w:pPr>
      <w:r w:rsidRPr="00EB21C3">
        <w:t xml:space="preserve">The findings of the framework analysis are presented in the following sections. Firstly, the findings in relation to motivation priority and conflict are presented in </w:t>
      </w:r>
      <w:r w:rsidR="008D56DE">
        <w:t>T</w:t>
      </w:r>
      <w:r w:rsidRPr="00EB21C3">
        <w:t xml:space="preserve">ables 8-6, 8-7 and 8-8, then the data for each relevant motivational domain is described.  Data for the motives considered most important to young people who use NPS </w:t>
      </w:r>
      <w:r w:rsidR="008D56DE">
        <w:t>are</w:t>
      </w:r>
      <w:r w:rsidRPr="00EB21C3">
        <w:t xml:space="preserve"> presented in Table 8</w:t>
      </w:r>
      <w:r w:rsidR="00A25A10">
        <w:t>-</w:t>
      </w:r>
      <w:r w:rsidRPr="00EB21C3">
        <w:t xml:space="preserve">6. Data for the motives that participants considered to be most important to young people who do not use NPS </w:t>
      </w:r>
      <w:r w:rsidR="008D56DE">
        <w:t>are</w:t>
      </w:r>
      <w:r w:rsidRPr="00EB21C3">
        <w:t xml:space="preserve"> presented in Table 8</w:t>
      </w:r>
      <w:r w:rsidR="00A25A10">
        <w:t>-</w:t>
      </w:r>
      <w:r w:rsidRPr="00EB21C3">
        <w:t>7. The findings for important motivational conflicts are shown in Table 8</w:t>
      </w:r>
      <w:r w:rsidR="00A25A10">
        <w:t>-</w:t>
      </w:r>
      <w:r w:rsidRPr="00EB21C3">
        <w:t>8.</w:t>
      </w:r>
    </w:p>
    <w:p w14:paraId="27BE3340" w14:textId="66FDA9FE" w:rsidR="00EB21C3" w:rsidRPr="00241FE7" w:rsidRDefault="00EB21C3" w:rsidP="00461C9A">
      <w:pPr>
        <w:pStyle w:val="TableHeader"/>
        <w:spacing w:line="240" w:lineRule="auto"/>
        <w:rPr>
          <w:b/>
        </w:rPr>
      </w:pPr>
      <w:bookmarkStart w:id="520" w:name="_Toc9509091"/>
      <w:r w:rsidRPr="00241FE7">
        <w:rPr>
          <w:b/>
        </w:rPr>
        <w:t>Table 8</w:t>
      </w:r>
      <w:r w:rsidR="00A25A10" w:rsidRPr="00241FE7">
        <w:rPr>
          <w:b/>
        </w:rPr>
        <w:t>-</w:t>
      </w:r>
      <w:r w:rsidRPr="00241FE7">
        <w:rPr>
          <w:b/>
        </w:rPr>
        <w:t>6. Motives considered most important to young people who use NPS</w:t>
      </w:r>
      <w:bookmarkEnd w:id="520"/>
    </w:p>
    <w:tbl>
      <w:tblPr>
        <w:tblW w:w="7347" w:type="dxa"/>
        <w:tblLayout w:type="fixed"/>
        <w:tblLook w:val="04A0" w:firstRow="1" w:lastRow="0" w:firstColumn="1" w:lastColumn="0" w:noHBand="0" w:noVBand="1"/>
      </w:tblPr>
      <w:tblGrid>
        <w:gridCol w:w="817"/>
        <w:gridCol w:w="3260"/>
        <w:gridCol w:w="709"/>
        <w:gridCol w:w="709"/>
        <w:gridCol w:w="283"/>
        <w:gridCol w:w="993"/>
        <w:gridCol w:w="567"/>
        <w:gridCol w:w="9"/>
      </w:tblGrid>
      <w:tr w:rsidR="00EB21C3" w:rsidRPr="00EB21C3" w14:paraId="65EE64AD" w14:textId="77777777" w:rsidTr="00EB21C3">
        <w:trPr>
          <w:gridAfter w:val="1"/>
          <w:wAfter w:w="9" w:type="dxa"/>
          <w:trHeight w:val="598"/>
        </w:trPr>
        <w:tc>
          <w:tcPr>
            <w:tcW w:w="817" w:type="dxa"/>
            <w:tcBorders>
              <w:top w:val="single" w:sz="4" w:space="0" w:color="auto"/>
              <w:bottom w:val="single" w:sz="4" w:space="0" w:color="auto"/>
            </w:tcBorders>
            <w:vAlign w:val="center"/>
          </w:tcPr>
          <w:p w14:paraId="46C0F47E" w14:textId="77777777" w:rsidR="00EB21C3" w:rsidRPr="00EB21C3" w:rsidRDefault="00EB21C3" w:rsidP="00EB21C3">
            <w:pPr>
              <w:spacing w:after="0" w:line="240" w:lineRule="auto"/>
              <w:rPr>
                <w:b/>
                <w:szCs w:val="24"/>
                <w:lang w:eastAsia="en-GB"/>
              </w:rPr>
            </w:pPr>
            <w:r w:rsidRPr="00EB21C3">
              <w:rPr>
                <w:b/>
                <w:szCs w:val="24"/>
                <w:lang w:eastAsia="en-GB"/>
              </w:rPr>
              <w:t>Rank</w:t>
            </w:r>
          </w:p>
        </w:tc>
        <w:tc>
          <w:tcPr>
            <w:tcW w:w="3969" w:type="dxa"/>
            <w:gridSpan w:val="2"/>
            <w:tcBorders>
              <w:top w:val="single" w:sz="4" w:space="0" w:color="auto"/>
              <w:bottom w:val="single" w:sz="4" w:space="0" w:color="auto"/>
            </w:tcBorders>
            <w:vAlign w:val="center"/>
          </w:tcPr>
          <w:p w14:paraId="7370623B" w14:textId="77777777" w:rsidR="00EB21C3" w:rsidRPr="00EB21C3" w:rsidRDefault="00EB21C3" w:rsidP="00EB21C3">
            <w:pPr>
              <w:spacing w:after="0" w:line="240" w:lineRule="auto"/>
              <w:rPr>
                <w:b/>
                <w:szCs w:val="24"/>
                <w:lang w:eastAsia="en-GB"/>
              </w:rPr>
            </w:pPr>
            <w:r w:rsidRPr="00EB21C3">
              <w:rPr>
                <w:b/>
                <w:szCs w:val="24"/>
                <w:lang w:eastAsia="en-GB"/>
              </w:rPr>
              <w:t>Theme</w:t>
            </w:r>
          </w:p>
        </w:tc>
        <w:tc>
          <w:tcPr>
            <w:tcW w:w="992" w:type="dxa"/>
            <w:gridSpan w:val="2"/>
            <w:tcBorders>
              <w:top w:val="single" w:sz="4" w:space="0" w:color="auto"/>
              <w:bottom w:val="single" w:sz="4" w:space="0" w:color="auto"/>
            </w:tcBorders>
            <w:vAlign w:val="center"/>
          </w:tcPr>
          <w:p w14:paraId="3975772E"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FG</w:t>
            </w:r>
          </w:p>
        </w:tc>
        <w:tc>
          <w:tcPr>
            <w:tcW w:w="1560" w:type="dxa"/>
            <w:gridSpan w:val="2"/>
            <w:tcBorders>
              <w:top w:val="single" w:sz="4" w:space="0" w:color="auto"/>
              <w:bottom w:val="single" w:sz="4" w:space="0" w:color="auto"/>
            </w:tcBorders>
            <w:vAlign w:val="center"/>
          </w:tcPr>
          <w:p w14:paraId="6A6A0264"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Number of</w:t>
            </w:r>
          </w:p>
          <w:p w14:paraId="7FEA98A1"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references</w:t>
            </w:r>
          </w:p>
        </w:tc>
      </w:tr>
      <w:tr w:rsidR="00EB21C3" w:rsidRPr="00EB21C3" w14:paraId="43FEB544"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60"/>
        </w:trPr>
        <w:tc>
          <w:tcPr>
            <w:tcW w:w="817" w:type="dxa"/>
            <w:tcBorders>
              <w:top w:val="single" w:sz="4" w:space="0" w:color="auto"/>
              <w:left w:val="nil"/>
              <w:bottom w:val="nil"/>
              <w:right w:val="nil"/>
            </w:tcBorders>
            <w:vAlign w:val="center"/>
          </w:tcPr>
          <w:p w14:paraId="05993B5C" w14:textId="77777777" w:rsidR="00EB21C3" w:rsidRPr="00EB21C3" w:rsidRDefault="00EB21C3" w:rsidP="00EB21C3">
            <w:pPr>
              <w:spacing w:after="0" w:line="240" w:lineRule="auto"/>
              <w:rPr>
                <w:sz w:val="6"/>
                <w:szCs w:val="6"/>
                <w:lang w:eastAsia="en-GB"/>
              </w:rPr>
            </w:pPr>
          </w:p>
        </w:tc>
        <w:tc>
          <w:tcPr>
            <w:tcW w:w="3260" w:type="dxa"/>
            <w:tcBorders>
              <w:top w:val="single" w:sz="4" w:space="0" w:color="auto"/>
              <w:left w:val="nil"/>
              <w:bottom w:val="nil"/>
              <w:right w:val="nil"/>
            </w:tcBorders>
            <w:vAlign w:val="center"/>
          </w:tcPr>
          <w:p w14:paraId="6286EB39" w14:textId="77777777" w:rsidR="00EB21C3" w:rsidRPr="00EB21C3" w:rsidRDefault="00EB21C3" w:rsidP="00EB21C3">
            <w:pPr>
              <w:spacing w:after="0" w:line="240" w:lineRule="auto"/>
              <w:rPr>
                <w:sz w:val="6"/>
                <w:szCs w:val="6"/>
                <w:lang w:eastAsia="en-GB"/>
              </w:rPr>
            </w:pPr>
          </w:p>
        </w:tc>
        <w:tc>
          <w:tcPr>
            <w:tcW w:w="1418" w:type="dxa"/>
            <w:gridSpan w:val="2"/>
            <w:tcBorders>
              <w:top w:val="single" w:sz="4" w:space="0" w:color="auto"/>
              <w:left w:val="nil"/>
              <w:bottom w:val="nil"/>
              <w:right w:val="nil"/>
            </w:tcBorders>
            <w:vAlign w:val="center"/>
          </w:tcPr>
          <w:p w14:paraId="6CFAC963" w14:textId="77777777" w:rsidR="00EB21C3" w:rsidRPr="00EB21C3" w:rsidRDefault="00EB21C3" w:rsidP="00EB21C3">
            <w:pPr>
              <w:spacing w:after="0" w:line="240" w:lineRule="auto"/>
              <w:rPr>
                <w:sz w:val="6"/>
                <w:szCs w:val="6"/>
                <w:lang w:eastAsia="en-GB"/>
              </w:rPr>
            </w:pPr>
          </w:p>
        </w:tc>
        <w:tc>
          <w:tcPr>
            <w:tcW w:w="1843" w:type="dxa"/>
            <w:gridSpan w:val="3"/>
            <w:tcBorders>
              <w:top w:val="single" w:sz="4" w:space="0" w:color="auto"/>
              <w:left w:val="nil"/>
              <w:bottom w:val="nil"/>
              <w:right w:val="nil"/>
            </w:tcBorders>
            <w:vAlign w:val="center"/>
          </w:tcPr>
          <w:p w14:paraId="6C0CD971" w14:textId="77777777" w:rsidR="00EB21C3" w:rsidRPr="00EB21C3" w:rsidRDefault="00EB21C3" w:rsidP="00EB21C3">
            <w:pPr>
              <w:spacing w:after="0" w:line="240" w:lineRule="auto"/>
              <w:rPr>
                <w:sz w:val="6"/>
                <w:szCs w:val="6"/>
                <w:lang w:eastAsia="en-GB"/>
              </w:rPr>
            </w:pPr>
          </w:p>
        </w:tc>
      </w:tr>
      <w:tr w:rsidR="00EB21C3" w:rsidRPr="00EB21C3" w14:paraId="311E269C"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1D7CDD3A" w14:textId="77777777" w:rsidR="00EB21C3" w:rsidRPr="00EB21C3" w:rsidRDefault="00EB21C3" w:rsidP="00EB21C3">
            <w:pPr>
              <w:spacing w:after="0" w:line="240" w:lineRule="auto"/>
              <w:rPr>
                <w:b/>
                <w:sz w:val="20"/>
                <w:szCs w:val="24"/>
                <w:lang w:eastAsia="en-GB"/>
              </w:rPr>
            </w:pPr>
            <w:r w:rsidRPr="00EB21C3">
              <w:rPr>
                <w:b/>
                <w:sz w:val="20"/>
                <w:szCs w:val="24"/>
                <w:lang w:eastAsia="en-GB"/>
              </w:rPr>
              <w:t>1.</w:t>
            </w:r>
          </w:p>
        </w:tc>
        <w:tc>
          <w:tcPr>
            <w:tcW w:w="3260" w:type="dxa"/>
            <w:tcBorders>
              <w:top w:val="nil"/>
              <w:left w:val="nil"/>
              <w:bottom w:val="nil"/>
              <w:right w:val="nil"/>
            </w:tcBorders>
            <w:vAlign w:val="center"/>
          </w:tcPr>
          <w:p w14:paraId="5A3FC6A5" w14:textId="77777777" w:rsidR="00EB21C3" w:rsidRPr="00EB21C3" w:rsidRDefault="00EB21C3" w:rsidP="00EB21C3">
            <w:pPr>
              <w:spacing w:after="0" w:line="240" w:lineRule="auto"/>
              <w:rPr>
                <w:szCs w:val="24"/>
                <w:lang w:eastAsia="en-GB"/>
              </w:rPr>
            </w:pPr>
            <w:r w:rsidRPr="00EB21C3">
              <w:rPr>
                <w:szCs w:val="24"/>
                <w:lang w:eastAsia="en-GB"/>
              </w:rPr>
              <w:t xml:space="preserve">Social influences </w:t>
            </w:r>
          </w:p>
        </w:tc>
        <w:tc>
          <w:tcPr>
            <w:tcW w:w="1418" w:type="dxa"/>
            <w:gridSpan w:val="2"/>
            <w:tcBorders>
              <w:top w:val="nil"/>
              <w:left w:val="nil"/>
              <w:bottom w:val="nil"/>
              <w:right w:val="nil"/>
            </w:tcBorders>
            <w:vAlign w:val="center"/>
          </w:tcPr>
          <w:p w14:paraId="5BB49A35" w14:textId="77777777" w:rsidR="00EB21C3" w:rsidRPr="00EB21C3" w:rsidRDefault="00EB21C3" w:rsidP="00EB21C3">
            <w:pPr>
              <w:spacing w:after="0" w:line="240" w:lineRule="auto"/>
              <w:jc w:val="right"/>
              <w:rPr>
                <w:szCs w:val="24"/>
                <w:lang w:eastAsia="en-GB"/>
              </w:rPr>
            </w:pPr>
            <w:r w:rsidRPr="00EB21C3">
              <w:rPr>
                <w:szCs w:val="24"/>
                <w:lang w:eastAsia="en-GB"/>
              </w:rPr>
              <w:t>3</w:t>
            </w:r>
          </w:p>
        </w:tc>
        <w:tc>
          <w:tcPr>
            <w:tcW w:w="1276" w:type="dxa"/>
            <w:gridSpan w:val="2"/>
            <w:tcBorders>
              <w:top w:val="nil"/>
              <w:left w:val="nil"/>
              <w:bottom w:val="nil"/>
              <w:right w:val="nil"/>
            </w:tcBorders>
            <w:vAlign w:val="center"/>
          </w:tcPr>
          <w:p w14:paraId="3A8CBD2B" w14:textId="77777777" w:rsidR="00EB21C3" w:rsidRPr="00EB21C3" w:rsidRDefault="00EB21C3" w:rsidP="00EB21C3">
            <w:pPr>
              <w:spacing w:after="0" w:line="240" w:lineRule="auto"/>
              <w:jc w:val="right"/>
              <w:rPr>
                <w:szCs w:val="24"/>
                <w:lang w:eastAsia="en-GB"/>
              </w:rPr>
            </w:pPr>
            <w:r w:rsidRPr="00EB21C3">
              <w:rPr>
                <w:szCs w:val="24"/>
                <w:lang w:eastAsia="en-GB"/>
              </w:rPr>
              <w:t>9</w:t>
            </w:r>
          </w:p>
        </w:tc>
        <w:tc>
          <w:tcPr>
            <w:tcW w:w="576" w:type="dxa"/>
            <w:gridSpan w:val="2"/>
            <w:tcBorders>
              <w:top w:val="nil"/>
              <w:left w:val="nil"/>
              <w:bottom w:val="nil"/>
              <w:right w:val="nil"/>
            </w:tcBorders>
            <w:vAlign w:val="center"/>
          </w:tcPr>
          <w:p w14:paraId="4441F343" w14:textId="77777777" w:rsidR="00EB21C3" w:rsidRPr="00EB21C3" w:rsidRDefault="00EB21C3" w:rsidP="00EB21C3">
            <w:pPr>
              <w:spacing w:after="0" w:line="240" w:lineRule="auto"/>
              <w:jc w:val="right"/>
              <w:rPr>
                <w:szCs w:val="24"/>
                <w:lang w:eastAsia="en-GB"/>
              </w:rPr>
            </w:pPr>
          </w:p>
        </w:tc>
      </w:tr>
      <w:tr w:rsidR="00EB21C3" w:rsidRPr="00EB21C3" w14:paraId="41414E9D"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6CBBFD45" w14:textId="77777777" w:rsidR="00EB21C3" w:rsidRPr="00EB21C3" w:rsidRDefault="00EB21C3" w:rsidP="00EB21C3">
            <w:pPr>
              <w:spacing w:after="0" w:line="240" w:lineRule="auto"/>
              <w:rPr>
                <w:b/>
                <w:sz w:val="20"/>
                <w:szCs w:val="24"/>
                <w:lang w:eastAsia="en-GB"/>
              </w:rPr>
            </w:pPr>
            <w:r w:rsidRPr="00EB21C3">
              <w:rPr>
                <w:b/>
                <w:sz w:val="20"/>
                <w:szCs w:val="24"/>
                <w:lang w:eastAsia="en-GB"/>
              </w:rPr>
              <w:t>1.</w:t>
            </w:r>
          </w:p>
        </w:tc>
        <w:tc>
          <w:tcPr>
            <w:tcW w:w="3260" w:type="dxa"/>
            <w:tcBorders>
              <w:top w:val="nil"/>
              <w:left w:val="nil"/>
              <w:bottom w:val="nil"/>
              <w:right w:val="nil"/>
            </w:tcBorders>
            <w:vAlign w:val="center"/>
          </w:tcPr>
          <w:p w14:paraId="02F02EAA" w14:textId="77777777" w:rsidR="00EB21C3" w:rsidRPr="00EB21C3" w:rsidRDefault="00EB21C3" w:rsidP="00EB21C3">
            <w:pPr>
              <w:spacing w:after="0" w:line="240" w:lineRule="auto"/>
              <w:rPr>
                <w:szCs w:val="24"/>
                <w:lang w:eastAsia="en-GB"/>
              </w:rPr>
            </w:pPr>
            <w:r w:rsidRPr="00EB21C3">
              <w:rPr>
                <w:szCs w:val="24"/>
                <w:lang w:eastAsia="en-GB"/>
              </w:rPr>
              <w:t xml:space="preserve">Coping </w:t>
            </w:r>
          </w:p>
        </w:tc>
        <w:tc>
          <w:tcPr>
            <w:tcW w:w="1418" w:type="dxa"/>
            <w:gridSpan w:val="2"/>
            <w:tcBorders>
              <w:top w:val="nil"/>
              <w:left w:val="nil"/>
              <w:bottom w:val="nil"/>
              <w:right w:val="nil"/>
            </w:tcBorders>
            <w:vAlign w:val="center"/>
          </w:tcPr>
          <w:p w14:paraId="533AE721" w14:textId="77777777" w:rsidR="00EB21C3" w:rsidRPr="00EB21C3" w:rsidRDefault="00EB21C3" w:rsidP="00EB21C3">
            <w:pPr>
              <w:spacing w:after="0" w:line="240" w:lineRule="auto"/>
              <w:jc w:val="right"/>
              <w:rPr>
                <w:szCs w:val="24"/>
                <w:lang w:eastAsia="en-GB"/>
              </w:rPr>
            </w:pPr>
            <w:r w:rsidRPr="00EB21C3">
              <w:rPr>
                <w:szCs w:val="24"/>
                <w:lang w:eastAsia="en-GB"/>
              </w:rPr>
              <w:t>3</w:t>
            </w:r>
          </w:p>
        </w:tc>
        <w:tc>
          <w:tcPr>
            <w:tcW w:w="1276" w:type="dxa"/>
            <w:gridSpan w:val="2"/>
            <w:tcBorders>
              <w:top w:val="nil"/>
              <w:left w:val="nil"/>
              <w:bottom w:val="nil"/>
              <w:right w:val="nil"/>
            </w:tcBorders>
            <w:vAlign w:val="center"/>
          </w:tcPr>
          <w:p w14:paraId="15C1BFC0" w14:textId="77777777" w:rsidR="00EB21C3" w:rsidRPr="00EB21C3" w:rsidRDefault="00EB21C3" w:rsidP="00EB21C3">
            <w:pPr>
              <w:spacing w:after="0" w:line="240" w:lineRule="auto"/>
              <w:jc w:val="right"/>
              <w:rPr>
                <w:szCs w:val="24"/>
                <w:lang w:eastAsia="en-GB"/>
              </w:rPr>
            </w:pPr>
            <w:r w:rsidRPr="00EB21C3">
              <w:rPr>
                <w:szCs w:val="24"/>
                <w:lang w:eastAsia="en-GB"/>
              </w:rPr>
              <w:t>9</w:t>
            </w:r>
          </w:p>
        </w:tc>
        <w:tc>
          <w:tcPr>
            <w:tcW w:w="576" w:type="dxa"/>
            <w:gridSpan w:val="2"/>
            <w:tcBorders>
              <w:top w:val="nil"/>
              <w:left w:val="nil"/>
              <w:bottom w:val="nil"/>
              <w:right w:val="nil"/>
            </w:tcBorders>
            <w:vAlign w:val="center"/>
          </w:tcPr>
          <w:p w14:paraId="44E5DC4D" w14:textId="77777777" w:rsidR="00EB21C3" w:rsidRPr="00EB21C3" w:rsidRDefault="00EB21C3" w:rsidP="00EB21C3">
            <w:pPr>
              <w:spacing w:after="0" w:line="240" w:lineRule="auto"/>
              <w:jc w:val="right"/>
              <w:rPr>
                <w:szCs w:val="24"/>
                <w:lang w:eastAsia="en-GB"/>
              </w:rPr>
            </w:pPr>
          </w:p>
        </w:tc>
      </w:tr>
      <w:tr w:rsidR="00EB21C3" w:rsidRPr="00EB21C3" w14:paraId="3D9846F1"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0171B24F" w14:textId="77777777" w:rsidR="00EB21C3" w:rsidRPr="00EB21C3" w:rsidRDefault="00EB21C3" w:rsidP="00EB21C3">
            <w:pPr>
              <w:spacing w:after="0" w:line="240" w:lineRule="auto"/>
              <w:rPr>
                <w:b/>
                <w:sz w:val="20"/>
                <w:szCs w:val="24"/>
                <w:lang w:eastAsia="en-GB"/>
              </w:rPr>
            </w:pPr>
            <w:r w:rsidRPr="00EB21C3">
              <w:rPr>
                <w:b/>
                <w:sz w:val="20"/>
                <w:szCs w:val="24"/>
                <w:lang w:eastAsia="en-GB"/>
              </w:rPr>
              <w:t>3.</w:t>
            </w:r>
          </w:p>
        </w:tc>
        <w:tc>
          <w:tcPr>
            <w:tcW w:w="3260" w:type="dxa"/>
            <w:tcBorders>
              <w:top w:val="nil"/>
              <w:left w:val="nil"/>
              <w:bottom w:val="nil"/>
              <w:right w:val="nil"/>
            </w:tcBorders>
            <w:vAlign w:val="center"/>
          </w:tcPr>
          <w:p w14:paraId="01D228F1" w14:textId="77777777" w:rsidR="00EB21C3" w:rsidRPr="00EB21C3" w:rsidRDefault="00EB21C3" w:rsidP="00EB21C3">
            <w:pPr>
              <w:spacing w:after="0" w:line="240" w:lineRule="auto"/>
              <w:rPr>
                <w:szCs w:val="24"/>
                <w:lang w:eastAsia="en-GB"/>
              </w:rPr>
            </w:pPr>
            <w:r w:rsidRPr="00EB21C3">
              <w:rPr>
                <w:szCs w:val="24"/>
                <w:lang w:eastAsia="en-GB"/>
              </w:rPr>
              <w:t>Pleasant drug effects</w:t>
            </w:r>
          </w:p>
        </w:tc>
        <w:tc>
          <w:tcPr>
            <w:tcW w:w="1418" w:type="dxa"/>
            <w:gridSpan w:val="2"/>
            <w:tcBorders>
              <w:top w:val="nil"/>
              <w:left w:val="nil"/>
              <w:bottom w:val="nil"/>
              <w:right w:val="nil"/>
            </w:tcBorders>
            <w:vAlign w:val="center"/>
          </w:tcPr>
          <w:p w14:paraId="7679476B" w14:textId="77777777" w:rsidR="00EB21C3" w:rsidRPr="00EB21C3" w:rsidRDefault="00EB21C3" w:rsidP="00EB21C3">
            <w:pPr>
              <w:spacing w:after="0" w:line="240" w:lineRule="auto"/>
              <w:jc w:val="right"/>
              <w:rPr>
                <w:szCs w:val="24"/>
                <w:lang w:eastAsia="en-GB"/>
              </w:rPr>
            </w:pPr>
            <w:r w:rsidRPr="00EB21C3">
              <w:rPr>
                <w:szCs w:val="24"/>
                <w:lang w:eastAsia="en-GB"/>
              </w:rPr>
              <w:t>3</w:t>
            </w:r>
          </w:p>
        </w:tc>
        <w:tc>
          <w:tcPr>
            <w:tcW w:w="1276" w:type="dxa"/>
            <w:gridSpan w:val="2"/>
            <w:tcBorders>
              <w:top w:val="nil"/>
              <w:left w:val="nil"/>
              <w:bottom w:val="nil"/>
              <w:right w:val="nil"/>
            </w:tcBorders>
            <w:vAlign w:val="center"/>
          </w:tcPr>
          <w:p w14:paraId="25B5BD1C" w14:textId="77777777" w:rsidR="00EB21C3" w:rsidRPr="00EB21C3" w:rsidRDefault="00EB21C3" w:rsidP="00EB21C3">
            <w:pPr>
              <w:spacing w:after="0" w:line="240" w:lineRule="auto"/>
              <w:jc w:val="right"/>
              <w:rPr>
                <w:szCs w:val="24"/>
                <w:lang w:eastAsia="en-GB"/>
              </w:rPr>
            </w:pPr>
            <w:r w:rsidRPr="00EB21C3">
              <w:rPr>
                <w:szCs w:val="24"/>
                <w:lang w:eastAsia="en-GB"/>
              </w:rPr>
              <w:t>8</w:t>
            </w:r>
          </w:p>
        </w:tc>
        <w:tc>
          <w:tcPr>
            <w:tcW w:w="576" w:type="dxa"/>
            <w:gridSpan w:val="2"/>
            <w:tcBorders>
              <w:top w:val="nil"/>
              <w:left w:val="nil"/>
              <w:bottom w:val="nil"/>
              <w:right w:val="nil"/>
            </w:tcBorders>
            <w:vAlign w:val="center"/>
          </w:tcPr>
          <w:p w14:paraId="48248F3F" w14:textId="77777777" w:rsidR="00EB21C3" w:rsidRPr="00EB21C3" w:rsidRDefault="00EB21C3" w:rsidP="00EB21C3">
            <w:pPr>
              <w:spacing w:after="0" w:line="240" w:lineRule="auto"/>
              <w:jc w:val="right"/>
              <w:rPr>
                <w:szCs w:val="24"/>
                <w:lang w:eastAsia="en-GB"/>
              </w:rPr>
            </w:pPr>
          </w:p>
        </w:tc>
      </w:tr>
      <w:tr w:rsidR="00EB21C3" w:rsidRPr="00EB21C3" w14:paraId="4E728268"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15E66A57" w14:textId="77777777" w:rsidR="00EB21C3" w:rsidRPr="00EB21C3" w:rsidRDefault="00EB21C3" w:rsidP="00EB21C3">
            <w:pPr>
              <w:spacing w:after="0" w:line="240" w:lineRule="auto"/>
              <w:rPr>
                <w:b/>
                <w:sz w:val="20"/>
                <w:szCs w:val="24"/>
                <w:lang w:eastAsia="en-GB"/>
              </w:rPr>
            </w:pPr>
            <w:r w:rsidRPr="00EB21C3">
              <w:rPr>
                <w:b/>
                <w:sz w:val="20"/>
                <w:szCs w:val="24"/>
                <w:lang w:eastAsia="en-GB"/>
              </w:rPr>
              <w:t>3.</w:t>
            </w:r>
          </w:p>
        </w:tc>
        <w:tc>
          <w:tcPr>
            <w:tcW w:w="3260" w:type="dxa"/>
            <w:tcBorders>
              <w:top w:val="nil"/>
              <w:left w:val="nil"/>
              <w:bottom w:val="nil"/>
              <w:right w:val="nil"/>
            </w:tcBorders>
            <w:vAlign w:val="center"/>
          </w:tcPr>
          <w:p w14:paraId="438A3677" w14:textId="77777777" w:rsidR="00EB21C3" w:rsidRPr="00EB21C3" w:rsidRDefault="00EB21C3" w:rsidP="00EB21C3">
            <w:pPr>
              <w:spacing w:after="0" w:line="240" w:lineRule="auto"/>
              <w:rPr>
                <w:szCs w:val="24"/>
                <w:lang w:eastAsia="en-GB"/>
              </w:rPr>
            </w:pPr>
            <w:r w:rsidRPr="00EB21C3">
              <w:rPr>
                <w:szCs w:val="24"/>
                <w:lang w:eastAsia="en-GB"/>
              </w:rPr>
              <w:t xml:space="preserve">Ease of access  </w:t>
            </w:r>
          </w:p>
        </w:tc>
        <w:tc>
          <w:tcPr>
            <w:tcW w:w="1418" w:type="dxa"/>
            <w:gridSpan w:val="2"/>
            <w:tcBorders>
              <w:top w:val="nil"/>
              <w:left w:val="nil"/>
              <w:bottom w:val="nil"/>
              <w:right w:val="nil"/>
            </w:tcBorders>
            <w:vAlign w:val="center"/>
          </w:tcPr>
          <w:p w14:paraId="2858492D" w14:textId="77777777" w:rsidR="00EB21C3" w:rsidRPr="00EB21C3" w:rsidRDefault="00EB21C3" w:rsidP="00EB21C3">
            <w:pPr>
              <w:spacing w:after="0" w:line="240" w:lineRule="auto"/>
              <w:jc w:val="right"/>
              <w:rPr>
                <w:szCs w:val="24"/>
                <w:lang w:eastAsia="en-GB"/>
              </w:rPr>
            </w:pPr>
            <w:r w:rsidRPr="00EB21C3">
              <w:rPr>
                <w:szCs w:val="24"/>
                <w:lang w:eastAsia="en-GB"/>
              </w:rPr>
              <w:t>2</w:t>
            </w:r>
          </w:p>
        </w:tc>
        <w:tc>
          <w:tcPr>
            <w:tcW w:w="1276" w:type="dxa"/>
            <w:gridSpan w:val="2"/>
            <w:tcBorders>
              <w:top w:val="nil"/>
              <w:left w:val="nil"/>
              <w:bottom w:val="nil"/>
              <w:right w:val="nil"/>
            </w:tcBorders>
            <w:vAlign w:val="center"/>
          </w:tcPr>
          <w:p w14:paraId="5DFC03EF" w14:textId="77777777" w:rsidR="00EB21C3" w:rsidRPr="00EB21C3" w:rsidRDefault="00EB21C3" w:rsidP="00EB21C3">
            <w:pPr>
              <w:spacing w:after="0" w:line="240" w:lineRule="auto"/>
              <w:jc w:val="right"/>
              <w:rPr>
                <w:szCs w:val="24"/>
                <w:lang w:eastAsia="en-GB"/>
              </w:rPr>
            </w:pPr>
            <w:r w:rsidRPr="00EB21C3">
              <w:rPr>
                <w:szCs w:val="24"/>
                <w:lang w:eastAsia="en-GB"/>
              </w:rPr>
              <w:t>8</w:t>
            </w:r>
          </w:p>
        </w:tc>
        <w:tc>
          <w:tcPr>
            <w:tcW w:w="576" w:type="dxa"/>
            <w:gridSpan w:val="2"/>
            <w:tcBorders>
              <w:top w:val="nil"/>
              <w:left w:val="nil"/>
              <w:bottom w:val="nil"/>
              <w:right w:val="nil"/>
            </w:tcBorders>
            <w:vAlign w:val="center"/>
          </w:tcPr>
          <w:p w14:paraId="282FD7B2" w14:textId="77777777" w:rsidR="00EB21C3" w:rsidRPr="00EB21C3" w:rsidRDefault="00EB21C3" w:rsidP="00EB21C3">
            <w:pPr>
              <w:spacing w:after="0" w:line="240" w:lineRule="auto"/>
              <w:jc w:val="right"/>
              <w:rPr>
                <w:szCs w:val="24"/>
                <w:lang w:eastAsia="en-GB"/>
              </w:rPr>
            </w:pPr>
          </w:p>
        </w:tc>
      </w:tr>
      <w:tr w:rsidR="00EB21C3" w:rsidRPr="00EB21C3" w14:paraId="259F1DBF"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1A01B935" w14:textId="77777777" w:rsidR="00EB21C3" w:rsidRPr="00EB21C3" w:rsidRDefault="00EB21C3" w:rsidP="00EB21C3">
            <w:pPr>
              <w:spacing w:after="0" w:line="240" w:lineRule="auto"/>
              <w:rPr>
                <w:b/>
                <w:sz w:val="20"/>
                <w:szCs w:val="24"/>
                <w:lang w:eastAsia="en-GB"/>
              </w:rPr>
            </w:pPr>
            <w:r w:rsidRPr="00EB21C3">
              <w:rPr>
                <w:b/>
                <w:sz w:val="20"/>
                <w:szCs w:val="24"/>
                <w:lang w:eastAsia="en-GB"/>
              </w:rPr>
              <w:t>5.</w:t>
            </w:r>
          </w:p>
        </w:tc>
        <w:tc>
          <w:tcPr>
            <w:tcW w:w="3260" w:type="dxa"/>
            <w:tcBorders>
              <w:top w:val="nil"/>
              <w:left w:val="nil"/>
              <w:bottom w:val="nil"/>
              <w:right w:val="nil"/>
            </w:tcBorders>
            <w:vAlign w:val="center"/>
          </w:tcPr>
          <w:p w14:paraId="4F2AEF88" w14:textId="77777777" w:rsidR="00EB21C3" w:rsidRPr="00EB21C3" w:rsidRDefault="00EB21C3" w:rsidP="00EB21C3">
            <w:pPr>
              <w:spacing w:after="0" w:line="240" w:lineRule="auto"/>
              <w:rPr>
                <w:szCs w:val="24"/>
                <w:lang w:eastAsia="en-GB"/>
              </w:rPr>
            </w:pPr>
            <w:r w:rsidRPr="00EB21C3">
              <w:rPr>
                <w:szCs w:val="24"/>
                <w:lang w:eastAsia="en-GB"/>
              </w:rPr>
              <w:t>Curiosity</w:t>
            </w:r>
          </w:p>
        </w:tc>
        <w:tc>
          <w:tcPr>
            <w:tcW w:w="1418" w:type="dxa"/>
            <w:gridSpan w:val="2"/>
            <w:tcBorders>
              <w:top w:val="nil"/>
              <w:left w:val="nil"/>
              <w:bottom w:val="nil"/>
              <w:right w:val="nil"/>
            </w:tcBorders>
            <w:vAlign w:val="center"/>
          </w:tcPr>
          <w:p w14:paraId="3D3426F9" w14:textId="77777777" w:rsidR="00EB21C3" w:rsidRPr="00EB21C3" w:rsidRDefault="00EB21C3" w:rsidP="00EB21C3">
            <w:pPr>
              <w:spacing w:after="0" w:line="240" w:lineRule="auto"/>
              <w:jc w:val="right"/>
              <w:rPr>
                <w:szCs w:val="24"/>
                <w:lang w:eastAsia="en-GB"/>
              </w:rPr>
            </w:pPr>
            <w:r w:rsidRPr="00EB21C3">
              <w:rPr>
                <w:szCs w:val="24"/>
                <w:lang w:eastAsia="en-GB"/>
              </w:rPr>
              <w:t>1</w:t>
            </w:r>
          </w:p>
        </w:tc>
        <w:tc>
          <w:tcPr>
            <w:tcW w:w="1276" w:type="dxa"/>
            <w:gridSpan w:val="2"/>
            <w:tcBorders>
              <w:top w:val="nil"/>
              <w:left w:val="nil"/>
              <w:bottom w:val="nil"/>
              <w:right w:val="nil"/>
            </w:tcBorders>
            <w:vAlign w:val="center"/>
          </w:tcPr>
          <w:p w14:paraId="14C7EDE2" w14:textId="77777777" w:rsidR="00EB21C3" w:rsidRPr="00EB21C3" w:rsidRDefault="00EB21C3" w:rsidP="00EB21C3">
            <w:pPr>
              <w:spacing w:after="0" w:line="240" w:lineRule="auto"/>
              <w:jc w:val="right"/>
              <w:rPr>
                <w:szCs w:val="24"/>
                <w:lang w:eastAsia="en-GB"/>
              </w:rPr>
            </w:pPr>
            <w:r w:rsidRPr="00EB21C3">
              <w:rPr>
                <w:szCs w:val="24"/>
                <w:lang w:eastAsia="en-GB"/>
              </w:rPr>
              <w:t>5</w:t>
            </w:r>
          </w:p>
        </w:tc>
        <w:tc>
          <w:tcPr>
            <w:tcW w:w="576" w:type="dxa"/>
            <w:gridSpan w:val="2"/>
            <w:tcBorders>
              <w:top w:val="nil"/>
              <w:left w:val="nil"/>
              <w:bottom w:val="nil"/>
              <w:right w:val="nil"/>
            </w:tcBorders>
            <w:vAlign w:val="center"/>
          </w:tcPr>
          <w:p w14:paraId="54FDBF42" w14:textId="77777777" w:rsidR="00EB21C3" w:rsidRPr="00EB21C3" w:rsidRDefault="00EB21C3" w:rsidP="00EB21C3">
            <w:pPr>
              <w:spacing w:after="0" w:line="240" w:lineRule="auto"/>
              <w:jc w:val="right"/>
              <w:rPr>
                <w:szCs w:val="24"/>
                <w:lang w:eastAsia="en-GB"/>
              </w:rPr>
            </w:pPr>
          </w:p>
        </w:tc>
      </w:tr>
      <w:tr w:rsidR="00EB21C3" w:rsidRPr="00EB21C3" w14:paraId="05494654"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6444E8E6" w14:textId="77777777" w:rsidR="00EB21C3" w:rsidRPr="00EB21C3" w:rsidRDefault="00EB21C3" w:rsidP="00EB21C3">
            <w:pPr>
              <w:spacing w:after="0" w:line="240" w:lineRule="auto"/>
              <w:rPr>
                <w:b/>
                <w:sz w:val="20"/>
                <w:szCs w:val="24"/>
                <w:lang w:eastAsia="en-GB"/>
              </w:rPr>
            </w:pPr>
            <w:r w:rsidRPr="00EB21C3">
              <w:rPr>
                <w:b/>
                <w:sz w:val="20"/>
                <w:szCs w:val="24"/>
                <w:lang w:eastAsia="en-GB"/>
              </w:rPr>
              <w:t>6.</w:t>
            </w:r>
          </w:p>
        </w:tc>
        <w:tc>
          <w:tcPr>
            <w:tcW w:w="3260" w:type="dxa"/>
            <w:tcBorders>
              <w:top w:val="nil"/>
              <w:left w:val="nil"/>
              <w:bottom w:val="nil"/>
              <w:right w:val="nil"/>
            </w:tcBorders>
            <w:vAlign w:val="center"/>
          </w:tcPr>
          <w:p w14:paraId="42A7A874" w14:textId="77777777" w:rsidR="00EB21C3" w:rsidRPr="00EB21C3" w:rsidRDefault="00EB21C3" w:rsidP="00EB21C3">
            <w:pPr>
              <w:spacing w:after="0" w:line="240" w:lineRule="auto"/>
              <w:rPr>
                <w:szCs w:val="24"/>
                <w:lang w:eastAsia="en-GB"/>
              </w:rPr>
            </w:pPr>
            <w:r w:rsidRPr="00EB21C3">
              <w:rPr>
                <w:szCs w:val="24"/>
                <w:lang w:eastAsia="en-GB"/>
              </w:rPr>
              <w:t>Identity</w:t>
            </w:r>
          </w:p>
        </w:tc>
        <w:tc>
          <w:tcPr>
            <w:tcW w:w="1418" w:type="dxa"/>
            <w:gridSpan w:val="2"/>
            <w:tcBorders>
              <w:top w:val="nil"/>
              <w:left w:val="nil"/>
              <w:bottom w:val="nil"/>
              <w:right w:val="nil"/>
            </w:tcBorders>
            <w:vAlign w:val="center"/>
          </w:tcPr>
          <w:p w14:paraId="34F64F5F" w14:textId="77777777" w:rsidR="00EB21C3" w:rsidRPr="00EB21C3" w:rsidRDefault="00EB21C3" w:rsidP="00EB21C3">
            <w:pPr>
              <w:spacing w:after="0" w:line="240" w:lineRule="auto"/>
              <w:jc w:val="right"/>
              <w:rPr>
                <w:szCs w:val="24"/>
                <w:lang w:eastAsia="en-GB"/>
              </w:rPr>
            </w:pPr>
            <w:r w:rsidRPr="00EB21C3">
              <w:rPr>
                <w:szCs w:val="24"/>
                <w:lang w:eastAsia="en-GB"/>
              </w:rPr>
              <w:t>1</w:t>
            </w:r>
          </w:p>
        </w:tc>
        <w:tc>
          <w:tcPr>
            <w:tcW w:w="1276" w:type="dxa"/>
            <w:gridSpan w:val="2"/>
            <w:tcBorders>
              <w:top w:val="nil"/>
              <w:left w:val="nil"/>
              <w:bottom w:val="nil"/>
              <w:right w:val="nil"/>
            </w:tcBorders>
            <w:vAlign w:val="center"/>
          </w:tcPr>
          <w:p w14:paraId="684FB232" w14:textId="77777777" w:rsidR="00EB21C3" w:rsidRPr="00EB21C3" w:rsidRDefault="00EB21C3" w:rsidP="00EB21C3">
            <w:pPr>
              <w:spacing w:after="0" w:line="240" w:lineRule="auto"/>
              <w:jc w:val="right"/>
              <w:rPr>
                <w:szCs w:val="24"/>
                <w:lang w:eastAsia="en-GB"/>
              </w:rPr>
            </w:pPr>
            <w:r w:rsidRPr="00EB21C3">
              <w:rPr>
                <w:szCs w:val="24"/>
                <w:lang w:eastAsia="en-GB"/>
              </w:rPr>
              <w:t>2</w:t>
            </w:r>
          </w:p>
        </w:tc>
        <w:tc>
          <w:tcPr>
            <w:tcW w:w="576" w:type="dxa"/>
            <w:gridSpan w:val="2"/>
            <w:tcBorders>
              <w:top w:val="nil"/>
              <w:left w:val="nil"/>
              <w:bottom w:val="nil"/>
              <w:right w:val="nil"/>
            </w:tcBorders>
            <w:vAlign w:val="center"/>
          </w:tcPr>
          <w:p w14:paraId="54741B54" w14:textId="77777777" w:rsidR="00EB21C3" w:rsidRPr="00EB21C3" w:rsidRDefault="00EB21C3" w:rsidP="00EB21C3">
            <w:pPr>
              <w:spacing w:after="0" w:line="240" w:lineRule="auto"/>
              <w:jc w:val="right"/>
              <w:rPr>
                <w:szCs w:val="24"/>
                <w:lang w:eastAsia="en-GB"/>
              </w:rPr>
            </w:pPr>
          </w:p>
        </w:tc>
      </w:tr>
      <w:tr w:rsidR="00EB21C3" w:rsidRPr="00EB21C3" w14:paraId="5844F692"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671BABB3" w14:textId="77777777" w:rsidR="00EB21C3" w:rsidRPr="00EB21C3" w:rsidRDefault="00EB21C3" w:rsidP="00EB21C3">
            <w:pPr>
              <w:spacing w:after="0" w:line="240" w:lineRule="auto"/>
              <w:rPr>
                <w:b/>
                <w:sz w:val="20"/>
                <w:szCs w:val="24"/>
                <w:lang w:eastAsia="en-GB"/>
              </w:rPr>
            </w:pPr>
            <w:r w:rsidRPr="00EB21C3">
              <w:rPr>
                <w:b/>
                <w:sz w:val="20"/>
                <w:szCs w:val="24"/>
                <w:lang w:eastAsia="en-GB"/>
              </w:rPr>
              <w:t>7.</w:t>
            </w:r>
          </w:p>
        </w:tc>
        <w:tc>
          <w:tcPr>
            <w:tcW w:w="3260" w:type="dxa"/>
            <w:tcBorders>
              <w:top w:val="nil"/>
              <w:left w:val="nil"/>
              <w:bottom w:val="nil"/>
              <w:right w:val="nil"/>
            </w:tcBorders>
            <w:vAlign w:val="center"/>
          </w:tcPr>
          <w:p w14:paraId="2B96F228" w14:textId="77777777" w:rsidR="00EB21C3" w:rsidRPr="00EB21C3" w:rsidRDefault="00EB21C3" w:rsidP="00EB21C3">
            <w:pPr>
              <w:spacing w:after="0" w:line="240" w:lineRule="auto"/>
              <w:rPr>
                <w:szCs w:val="24"/>
                <w:lang w:eastAsia="en-GB"/>
              </w:rPr>
            </w:pPr>
            <w:r w:rsidRPr="00EB21C3">
              <w:rPr>
                <w:szCs w:val="24"/>
                <w:lang w:eastAsia="en-GB"/>
              </w:rPr>
              <w:t xml:space="preserve">Safety </w:t>
            </w:r>
          </w:p>
        </w:tc>
        <w:tc>
          <w:tcPr>
            <w:tcW w:w="1418" w:type="dxa"/>
            <w:gridSpan w:val="2"/>
            <w:tcBorders>
              <w:top w:val="nil"/>
              <w:left w:val="nil"/>
              <w:bottom w:val="nil"/>
              <w:right w:val="nil"/>
            </w:tcBorders>
            <w:vAlign w:val="center"/>
          </w:tcPr>
          <w:p w14:paraId="58D4B33C" w14:textId="77777777" w:rsidR="00EB21C3" w:rsidRPr="00EB21C3" w:rsidRDefault="00EB21C3" w:rsidP="00EB21C3">
            <w:pPr>
              <w:spacing w:after="0" w:line="240" w:lineRule="auto"/>
              <w:jc w:val="right"/>
              <w:rPr>
                <w:szCs w:val="24"/>
                <w:lang w:eastAsia="en-GB"/>
              </w:rPr>
            </w:pPr>
            <w:r w:rsidRPr="00EB21C3">
              <w:rPr>
                <w:szCs w:val="24"/>
                <w:lang w:eastAsia="en-GB"/>
              </w:rPr>
              <w:t>1</w:t>
            </w:r>
          </w:p>
        </w:tc>
        <w:tc>
          <w:tcPr>
            <w:tcW w:w="1276" w:type="dxa"/>
            <w:gridSpan w:val="2"/>
            <w:tcBorders>
              <w:top w:val="nil"/>
              <w:left w:val="nil"/>
              <w:bottom w:val="nil"/>
              <w:right w:val="nil"/>
            </w:tcBorders>
            <w:vAlign w:val="center"/>
          </w:tcPr>
          <w:p w14:paraId="72ECE24E" w14:textId="77777777" w:rsidR="00EB21C3" w:rsidRPr="00EB21C3" w:rsidRDefault="00EB21C3" w:rsidP="00EB21C3">
            <w:pPr>
              <w:spacing w:after="0" w:line="240" w:lineRule="auto"/>
              <w:jc w:val="right"/>
              <w:rPr>
                <w:szCs w:val="24"/>
                <w:lang w:eastAsia="en-GB"/>
              </w:rPr>
            </w:pPr>
            <w:r w:rsidRPr="00EB21C3">
              <w:rPr>
                <w:szCs w:val="24"/>
                <w:lang w:eastAsia="en-GB"/>
              </w:rPr>
              <w:t>2</w:t>
            </w:r>
          </w:p>
        </w:tc>
        <w:tc>
          <w:tcPr>
            <w:tcW w:w="576" w:type="dxa"/>
            <w:gridSpan w:val="2"/>
            <w:tcBorders>
              <w:top w:val="nil"/>
              <w:left w:val="nil"/>
              <w:bottom w:val="nil"/>
              <w:right w:val="nil"/>
            </w:tcBorders>
            <w:vAlign w:val="center"/>
          </w:tcPr>
          <w:p w14:paraId="04B2BE8E" w14:textId="77777777" w:rsidR="00EB21C3" w:rsidRPr="00EB21C3" w:rsidRDefault="00EB21C3" w:rsidP="00EB21C3">
            <w:pPr>
              <w:spacing w:after="0" w:line="240" w:lineRule="auto"/>
              <w:jc w:val="right"/>
              <w:rPr>
                <w:szCs w:val="24"/>
                <w:lang w:eastAsia="en-GB"/>
              </w:rPr>
            </w:pPr>
          </w:p>
        </w:tc>
      </w:tr>
      <w:tr w:rsidR="00EB21C3" w:rsidRPr="00EB21C3" w14:paraId="72F919EA"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60"/>
        </w:trPr>
        <w:tc>
          <w:tcPr>
            <w:tcW w:w="817" w:type="dxa"/>
            <w:tcBorders>
              <w:top w:val="nil"/>
              <w:left w:val="nil"/>
              <w:bottom w:val="single" w:sz="4" w:space="0" w:color="auto"/>
              <w:right w:val="nil"/>
            </w:tcBorders>
            <w:vAlign w:val="center"/>
          </w:tcPr>
          <w:p w14:paraId="68B42696" w14:textId="77777777" w:rsidR="00EB21C3" w:rsidRPr="00EB21C3" w:rsidRDefault="00EB21C3" w:rsidP="00EB21C3">
            <w:pPr>
              <w:spacing w:after="0" w:line="240" w:lineRule="auto"/>
              <w:rPr>
                <w:b/>
                <w:sz w:val="6"/>
                <w:szCs w:val="6"/>
                <w:lang w:eastAsia="en-GB"/>
              </w:rPr>
            </w:pPr>
          </w:p>
        </w:tc>
        <w:tc>
          <w:tcPr>
            <w:tcW w:w="3260" w:type="dxa"/>
            <w:tcBorders>
              <w:top w:val="nil"/>
              <w:left w:val="nil"/>
              <w:bottom w:val="single" w:sz="4" w:space="0" w:color="auto"/>
              <w:right w:val="nil"/>
            </w:tcBorders>
            <w:vAlign w:val="center"/>
          </w:tcPr>
          <w:p w14:paraId="623949BE" w14:textId="77777777" w:rsidR="00EB21C3" w:rsidRPr="00EB21C3" w:rsidRDefault="00EB21C3" w:rsidP="00EB21C3">
            <w:pPr>
              <w:spacing w:after="0" w:line="240" w:lineRule="auto"/>
              <w:rPr>
                <w:b/>
                <w:sz w:val="6"/>
                <w:szCs w:val="6"/>
                <w:lang w:eastAsia="en-GB"/>
              </w:rPr>
            </w:pPr>
          </w:p>
        </w:tc>
        <w:tc>
          <w:tcPr>
            <w:tcW w:w="1418" w:type="dxa"/>
            <w:gridSpan w:val="2"/>
            <w:tcBorders>
              <w:top w:val="nil"/>
              <w:left w:val="nil"/>
              <w:bottom w:val="single" w:sz="4" w:space="0" w:color="auto"/>
              <w:right w:val="nil"/>
            </w:tcBorders>
            <w:vAlign w:val="center"/>
          </w:tcPr>
          <w:p w14:paraId="4ACEE486" w14:textId="77777777" w:rsidR="00EB21C3" w:rsidRPr="00EB21C3" w:rsidRDefault="00EB21C3" w:rsidP="00EB21C3">
            <w:pPr>
              <w:spacing w:after="0" w:line="240" w:lineRule="auto"/>
              <w:jc w:val="right"/>
              <w:rPr>
                <w:b/>
                <w:sz w:val="6"/>
                <w:szCs w:val="6"/>
                <w:lang w:eastAsia="en-GB"/>
              </w:rPr>
            </w:pPr>
          </w:p>
        </w:tc>
        <w:tc>
          <w:tcPr>
            <w:tcW w:w="1843" w:type="dxa"/>
            <w:gridSpan w:val="3"/>
            <w:tcBorders>
              <w:top w:val="nil"/>
              <w:left w:val="nil"/>
              <w:bottom w:val="single" w:sz="4" w:space="0" w:color="auto"/>
              <w:right w:val="nil"/>
            </w:tcBorders>
            <w:vAlign w:val="center"/>
          </w:tcPr>
          <w:p w14:paraId="7E21D519" w14:textId="77777777" w:rsidR="00EB21C3" w:rsidRPr="00EB21C3" w:rsidRDefault="00EB21C3" w:rsidP="00EB21C3">
            <w:pPr>
              <w:spacing w:after="0" w:line="240" w:lineRule="auto"/>
              <w:jc w:val="right"/>
              <w:rPr>
                <w:b/>
                <w:sz w:val="6"/>
                <w:szCs w:val="6"/>
                <w:lang w:eastAsia="en-GB"/>
              </w:rPr>
            </w:pPr>
          </w:p>
        </w:tc>
      </w:tr>
    </w:tbl>
    <w:p w14:paraId="59640D55" w14:textId="77777777" w:rsidR="00EB21C3" w:rsidRPr="00EB21C3" w:rsidRDefault="00EB21C3" w:rsidP="00EB21C3">
      <w:pPr>
        <w:rPr>
          <w:b/>
        </w:rPr>
      </w:pPr>
    </w:p>
    <w:p w14:paraId="0E3F4F2C" w14:textId="77777777" w:rsidR="00241FE7" w:rsidRDefault="00241FE7">
      <w:pPr>
        <w:rPr>
          <w:b/>
        </w:rPr>
      </w:pPr>
      <w:r>
        <w:rPr>
          <w:b/>
        </w:rPr>
        <w:br w:type="page"/>
      </w:r>
    </w:p>
    <w:p w14:paraId="6E60624C" w14:textId="6428D9FB" w:rsidR="00EB21C3" w:rsidRPr="00241FE7" w:rsidRDefault="00EB21C3" w:rsidP="00461C9A">
      <w:pPr>
        <w:pStyle w:val="TableHeader"/>
        <w:spacing w:line="240" w:lineRule="auto"/>
        <w:rPr>
          <w:b/>
        </w:rPr>
      </w:pPr>
      <w:bookmarkStart w:id="521" w:name="_Toc9509092"/>
      <w:r w:rsidRPr="00241FE7">
        <w:rPr>
          <w:b/>
        </w:rPr>
        <w:t>Table 8</w:t>
      </w:r>
      <w:r w:rsidR="00A25A10" w:rsidRPr="00241FE7">
        <w:rPr>
          <w:b/>
        </w:rPr>
        <w:t>-</w:t>
      </w:r>
      <w:r w:rsidRPr="00241FE7">
        <w:rPr>
          <w:b/>
        </w:rPr>
        <w:t>7. Motives considered most important to young people who do not to use NPS</w:t>
      </w:r>
      <w:bookmarkEnd w:id="521"/>
    </w:p>
    <w:tbl>
      <w:tblPr>
        <w:tblW w:w="7351" w:type="dxa"/>
        <w:tblLayout w:type="fixed"/>
        <w:tblLook w:val="04A0" w:firstRow="1" w:lastRow="0" w:firstColumn="1" w:lastColumn="0" w:noHBand="0" w:noVBand="1"/>
      </w:tblPr>
      <w:tblGrid>
        <w:gridCol w:w="817"/>
        <w:gridCol w:w="3827"/>
        <w:gridCol w:w="172"/>
        <w:gridCol w:w="537"/>
        <w:gridCol w:w="425"/>
        <w:gridCol w:w="993"/>
        <w:gridCol w:w="567"/>
        <w:gridCol w:w="13"/>
      </w:tblGrid>
      <w:tr w:rsidR="00EB21C3" w:rsidRPr="00EB21C3" w14:paraId="3DC865E2" w14:textId="77777777" w:rsidTr="00EB21C3">
        <w:trPr>
          <w:gridAfter w:val="1"/>
          <w:wAfter w:w="13" w:type="dxa"/>
          <w:trHeight w:val="598"/>
        </w:trPr>
        <w:tc>
          <w:tcPr>
            <w:tcW w:w="817" w:type="dxa"/>
            <w:tcBorders>
              <w:top w:val="single" w:sz="4" w:space="0" w:color="auto"/>
              <w:bottom w:val="single" w:sz="4" w:space="0" w:color="auto"/>
            </w:tcBorders>
            <w:vAlign w:val="center"/>
          </w:tcPr>
          <w:p w14:paraId="02A7F772" w14:textId="77777777" w:rsidR="00EB21C3" w:rsidRPr="00EB21C3" w:rsidRDefault="00EB21C3" w:rsidP="00EB21C3">
            <w:pPr>
              <w:spacing w:after="0" w:line="240" w:lineRule="auto"/>
              <w:rPr>
                <w:b/>
                <w:szCs w:val="24"/>
                <w:lang w:eastAsia="en-GB"/>
              </w:rPr>
            </w:pPr>
            <w:r w:rsidRPr="00EB21C3">
              <w:rPr>
                <w:b/>
                <w:szCs w:val="24"/>
                <w:lang w:eastAsia="en-GB"/>
              </w:rPr>
              <w:t>Rank</w:t>
            </w:r>
          </w:p>
        </w:tc>
        <w:tc>
          <w:tcPr>
            <w:tcW w:w="3827" w:type="dxa"/>
            <w:tcBorders>
              <w:top w:val="single" w:sz="4" w:space="0" w:color="auto"/>
              <w:bottom w:val="single" w:sz="4" w:space="0" w:color="auto"/>
            </w:tcBorders>
            <w:vAlign w:val="center"/>
          </w:tcPr>
          <w:p w14:paraId="00CC9162" w14:textId="77777777" w:rsidR="00EB21C3" w:rsidRPr="00EB21C3" w:rsidRDefault="00EB21C3" w:rsidP="00EB21C3">
            <w:pPr>
              <w:spacing w:after="0" w:line="240" w:lineRule="auto"/>
              <w:rPr>
                <w:b/>
                <w:szCs w:val="24"/>
                <w:lang w:eastAsia="en-GB"/>
              </w:rPr>
            </w:pPr>
            <w:r w:rsidRPr="00EB21C3">
              <w:rPr>
                <w:b/>
                <w:szCs w:val="24"/>
                <w:lang w:eastAsia="en-GB"/>
              </w:rPr>
              <w:t>Theme</w:t>
            </w:r>
          </w:p>
        </w:tc>
        <w:tc>
          <w:tcPr>
            <w:tcW w:w="1134" w:type="dxa"/>
            <w:gridSpan w:val="3"/>
            <w:tcBorders>
              <w:top w:val="single" w:sz="4" w:space="0" w:color="auto"/>
              <w:bottom w:val="single" w:sz="4" w:space="0" w:color="auto"/>
            </w:tcBorders>
            <w:vAlign w:val="center"/>
          </w:tcPr>
          <w:p w14:paraId="42F1FC39"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FG</w:t>
            </w:r>
          </w:p>
        </w:tc>
        <w:tc>
          <w:tcPr>
            <w:tcW w:w="1560" w:type="dxa"/>
            <w:gridSpan w:val="2"/>
            <w:tcBorders>
              <w:top w:val="single" w:sz="4" w:space="0" w:color="auto"/>
              <w:bottom w:val="single" w:sz="4" w:space="0" w:color="auto"/>
            </w:tcBorders>
            <w:vAlign w:val="center"/>
          </w:tcPr>
          <w:p w14:paraId="5865FA34"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Number of</w:t>
            </w:r>
          </w:p>
          <w:p w14:paraId="5B3C9260"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references</w:t>
            </w:r>
          </w:p>
        </w:tc>
      </w:tr>
      <w:tr w:rsidR="00EB21C3" w:rsidRPr="00EB21C3" w14:paraId="51428980"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817" w:type="dxa"/>
            <w:tcBorders>
              <w:top w:val="single" w:sz="4" w:space="0" w:color="auto"/>
              <w:left w:val="nil"/>
              <w:bottom w:val="nil"/>
              <w:right w:val="nil"/>
            </w:tcBorders>
            <w:vAlign w:val="center"/>
          </w:tcPr>
          <w:p w14:paraId="4BF9765A" w14:textId="77777777" w:rsidR="00EB21C3" w:rsidRPr="00EB21C3" w:rsidRDefault="00EB21C3" w:rsidP="00EB21C3">
            <w:pPr>
              <w:spacing w:after="0" w:line="240" w:lineRule="auto"/>
              <w:rPr>
                <w:sz w:val="6"/>
                <w:szCs w:val="6"/>
                <w:lang w:eastAsia="en-GB"/>
              </w:rPr>
            </w:pPr>
          </w:p>
        </w:tc>
        <w:tc>
          <w:tcPr>
            <w:tcW w:w="3999" w:type="dxa"/>
            <w:gridSpan w:val="2"/>
            <w:tcBorders>
              <w:top w:val="single" w:sz="4" w:space="0" w:color="auto"/>
              <w:left w:val="nil"/>
              <w:bottom w:val="nil"/>
              <w:right w:val="nil"/>
            </w:tcBorders>
            <w:vAlign w:val="center"/>
          </w:tcPr>
          <w:p w14:paraId="3C3E4013" w14:textId="77777777" w:rsidR="00EB21C3" w:rsidRPr="00EB21C3" w:rsidRDefault="00EB21C3" w:rsidP="00EB21C3">
            <w:pPr>
              <w:spacing w:after="0" w:line="240" w:lineRule="auto"/>
              <w:rPr>
                <w:sz w:val="6"/>
                <w:szCs w:val="6"/>
                <w:lang w:eastAsia="en-GB"/>
              </w:rPr>
            </w:pPr>
          </w:p>
        </w:tc>
        <w:tc>
          <w:tcPr>
            <w:tcW w:w="537" w:type="dxa"/>
            <w:tcBorders>
              <w:top w:val="single" w:sz="4" w:space="0" w:color="auto"/>
              <w:left w:val="nil"/>
              <w:bottom w:val="nil"/>
              <w:right w:val="nil"/>
            </w:tcBorders>
            <w:vAlign w:val="center"/>
          </w:tcPr>
          <w:p w14:paraId="3B2CE987" w14:textId="77777777" w:rsidR="00EB21C3" w:rsidRPr="00EB21C3" w:rsidRDefault="00EB21C3" w:rsidP="00EB21C3">
            <w:pPr>
              <w:spacing w:after="0" w:line="240" w:lineRule="auto"/>
              <w:rPr>
                <w:sz w:val="6"/>
                <w:szCs w:val="6"/>
                <w:lang w:eastAsia="en-GB"/>
              </w:rPr>
            </w:pPr>
          </w:p>
        </w:tc>
        <w:tc>
          <w:tcPr>
            <w:tcW w:w="1998" w:type="dxa"/>
            <w:gridSpan w:val="4"/>
            <w:tcBorders>
              <w:top w:val="single" w:sz="4" w:space="0" w:color="auto"/>
              <w:left w:val="nil"/>
              <w:bottom w:val="nil"/>
              <w:right w:val="nil"/>
            </w:tcBorders>
            <w:vAlign w:val="center"/>
          </w:tcPr>
          <w:p w14:paraId="4507A49A" w14:textId="77777777" w:rsidR="00EB21C3" w:rsidRPr="00EB21C3" w:rsidRDefault="00EB21C3" w:rsidP="00EB21C3">
            <w:pPr>
              <w:spacing w:after="0" w:line="240" w:lineRule="auto"/>
              <w:rPr>
                <w:sz w:val="6"/>
                <w:szCs w:val="6"/>
                <w:lang w:eastAsia="en-GB"/>
              </w:rPr>
            </w:pPr>
          </w:p>
        </w:tc>
      </w:tr>
      <w:tr w:rsidR="00EB21C3" w:rsidRPr="00EB21C3" w14:paraId="2BA09E0E"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00A1E060" w14:textId="77777777" w:rsidR="00EB21C3" w:rsidRPr="00EB21C3" w:rsidRDefault="00EB21C3" w:rsidP="00EB21C3">
            <w:pPr>
              <w:spacing w:after="0" w:line="240" w:lineRule="auto"/>
              <w:rPr>
                <w:b/>
                <w:sz w:val="20"/>
                <w:szCs w:val="24"/>
                <w:lang w:eastAsia="en-GB"/>
              </w:rPr>
            </w:pPr>
            <w:r w:rsidRPr="00EB21C3">
              <w:rPr>
                <w:b/>
                <w:sz w:val="20"/>
                <w:szCs w:val="24"/>
                <w:lang w:eastAsia="en-GB"/>
              </w:rPr>
              <w:t>1.</w:t>
            </w:r>
          </w:p>
        </w:tc>
        <w:tc>
          <w:tcPr>
            <w:tcW w:w="3999" w:type="dxa"/>
            <w:gridSpan w:val="2"/>
            <w:tcBorders>
              <w:top w:val="nil"/>
              <w:left w:val="nil"/>
              <w:bottom w:val="nil"/>
              <w:right w:val="nil"/>
            </w:tcBorders>
            <w:vAlign w:val="center"/>
          </w:tcPr>
          <w:p w14:paraId="5D29736D" w14:textId="77777777" w:rsidR="00EB21C3" w:rsidRPr="00EB21C3" w:rsidRDefault="00EB21C3" w:rsidP="00EB21C3">
            <w:pPr>
              <w:spacing w:after="0" w:line="240" w:lineRule="auto"/>
              <w:rPr>
                <w:szCs w:val="24"/>
                <w:lang w:eastAsia="en-GB"/>
              </w:rPr>
            </w:pPr>
            <w:r w:rsidRPr="00EB21C3">
              <w:rPr>
                <w:szCs w:val="24"/>
                <w:lang w:eastAsia="en-GB"/>
              </w:rPr>
              <w:t>Health / harms</w:t>
            </w:r>
          </w:p>
        </w:tc>
        <w:tc>
          <w:tcPr>
            <w:tcW w:w="537" w:type="dxa"/>
            <w:tcBorders>
              <w:top w:val="nil"/>
              <w:left w:val="nil"/>
              <w:bottom w:val="nil"/>
              <w:right w:val="nil"/>
            </w:tcBorders>
            <w:vAlign w:val="center"/>
          </w:tcPr>
          <w:p w14:paraId="1A3E116A" w14:textId="77777777" w:rsidR="00EB21C3" w:rsidRPr="00EB21C3" w:rsidRDefault="00EB21C3" w:rsidP="00EB21C3">
            <w:pPr>
              <w:spacing w:after="0" w:line="240" w:lineRule="auto"/>
              <w:jc w:val="right"/>
              <w:rPr>
                <w:szCs w:val="24"/>
                <w:lang w:eastAsia="en-GB"/>
              </w:rPr>
            </w:pPr>
            <w:r w:rsidRPr="00EB21C3">
              <w:rPr>
                <w:szCs w:val="24"/>
                <w:lang w:eastAsia="en-GB"/>
              </w:rPr>
              <w:t>2</w:t>
            </w:r>
          </w:p>
        </w:tc>
        <w:tc>
          <w:tcPr>
            <w:tcW w:w="1418" w:type="dxa"/>
            <w:gridSpan w:val="2"/>
            <w:tcBorders>
              <w:top w:val="nil"/>
              <w:left w:val="nil"/>
              <w:bottom w:val="nil"/>
              <w:right w:val="nil"/>
            </w:tcBorders>
            <w:vAlign w:val="center"/>
          </w:tcPr>
          <w:p w14:paraId="5A2ED544" w14:textId="77777777" w:rsidR="00EB21C3" w:rsidRPr="00EB21C3" w:rsidRDefault="00EB21C3" w:rsidP="00EB21C3">
            <w:pPr>
              <w:spacing w:after="0" w:line="240" w:lineRule="auto"/>
              <w:jc w:val="right"/>
              <w:rPr>
                <w:szCs w:val="24"/>
                <w:lang w:eastAsia="en-GB"/>
              </w:rPr>
            </w:pPr>
            <w:r w:rsidRPr="00EB21C3">
              <w:rPr>
                <w:szCs w:val="24"/>
                <w:lang w:eastAsia="en-GB"/>
              </w:rPr>
              <w:t>6</w:t>
            </w:r>
          </w:p>
        </w:tc>
        <w:tc>
          <w:tcPr>
            <w:tcW w:w="580" w:type="dxa"/>
            <w:gridSpan w:val="2"/>
            <w:tcBorders>
              <w:top w:val="nil"/>
              <w:left w:val="nil"/>
              <w:bottom w:val="nil"/>
              <w:right w:val="nil"/>
            </w:tcBorders>
            <w:vAlign w:val="center"/>
          </w:tcPr>
          <w:p w14:paraId="51B86FAA" w14:textId="77777777" w:rsidR="00EB21C3" w:rsidRPr="00EB21C3" w:rsidRDefault="00EB21C3" w:rsidP="00EB21C3">
            <w:pPr>
              <w:spacing w:after="0" w:line="240" w:lineRule="auto"/>
              <w:jc w:val="right"/>
              <w:rPr>
                <w:szCs w:val="24"/>
                <w:lang w:eastAsia="en-GB"/>
              </w:rPr>
            </w:pPr>
          </w:p>
        </w:tc>
      </w:tr>
      <w:tr w:rsidR="00EB21C3" w:rsidRPr="00EB21C3" w14:paraId="201F0B95"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4BDC5BFF" w14:textId="77777777" w:rsidR="00EB21C3" w:rsidRPr="00EB21C3" w:rsidRDefault="00EB21C3" w:rsidP="00EB21C3">
            <w:pPr>
              <w:spacing w:after="0" w:line="240" w:lineRule="auto"/>
              <w:rPr>
                <w:b/>
                <w:sz w:val="20"/>
                <w:szCs w:val="24"/>
                <w:lang w:eastAsia="en-GB"/>
              </w:rPr>
            </w:pPr>
            <w:r w:rsidRPr="00EB21C3">
              <w:rPr>
                <w:b/>
                <w:sz w:val="20"/>
                <w:szCs w:val="24"/>
                <w:lang w:eastAsia="en-GB"/>
              </w:rPr>
              <w:t>2.</w:t>
            </w:r>
          </w:p>
        </w:tc>
        <w:tc>
          <w:tcPr>
            <w:tcW w:w="3999" w:type="dxa"/>
            <w:gridSpan w:val="2"/>
            <w:tcBorders>
              <w:top w:val="nil"/>
              <w:left w:val="nil"/>
              <w:bottom w:val="nil"/>
              <w:right w:val="nil"/>
            </w:tcBorders>
            <w:vAlign w:val="center"/>
          </w:tcPr>
          <w:p w14:paraId="5FC22877" w14:textId="77777777" w:rsidR="00EB21C3" w:rsidRPr="00EB21C3" w:rsidRDefault="00EB21C3" w:rsidP="00EB21C3">
            <w:pPr>
              <w:spacing w:after="0" w:line="240" w:lineRule="auto"/>
              <w:rPr>
                <w:szCs w:val="24"/>
                <w:lang w:eastAsia="en-GB"/>
              </w:rPr>
            </w:pPr>
            <w:r w:rsidRPr="00EB21C3">
              <w:rPr>
                <w:szCs w:val="24"/>
                <w:lang w:eastAsia="en-GB"/>
              </w:rPr>
              <w:t xml:space="preserve">Identity / negative user </w:t>
            </w:r>
          </w:p>
        </w:tc>
        <w:tc>
          <w:tcPr>
            <w:tcW w:w="537" w:type="dxa"/>
            <w:tcBorders>
              <w:top w:val="nil"/>
              <w:left w:val="nil"/>
              <w:bottom w:val="nil"/>
              <w:right w:val="nil"/>
            </w:tcBorders>
            <w:vAlign w:val="center"/>
          </w:tcPr>
          <w:p w14:paraId="36974D79" w14:textId="77777777" w:rsidR="00EB21C3" w:rsidRPr="00EB21C3" w:rsidRDefault="00EB21C3" w:rsidP="00EB21C3">
            <w:pPr>
              <w:spacing w:after="0" w:line="240" w:lineRule="auto"/>
              <w:jc w:val="right"/>
              <w:rPr>
                <w:szCs w:val="24"/>
                <w:lang w:eastAsia="en-GB"/>
              </w:rPr>
            </w:pPr>
            <w:r w:rsidRPr="00EB21C3">
              <w:rPr>
                <w:szCs w:val="24"/>
                <w:lang w:eastAsia="en-GB"/>
              </w:rPr>
              <w:t>2</w:t>
            </w:r>
          </w:p>
        </w:tc>
        <w:tc>
          <w:tcPr>
            <w:tcW w:w="1418" w:type="dxa"/>
            <w:gridSpan w:val="2"/>
            <w:tcBorders>
              <w:top w:val="nil"/>
              <w:left w:val="nil"/>
              <w:bottom w:val="nil"/>
              <w:right w:val="nil"/>
            </w:tcBorders>
            <w:vAlign w:val="center"/>
          </w:tcPr>
          <w:p w14:paraId="6583F88A" w14:textId="77777777" w:rsidR="00EB21C3" w:rsidRPr="00EB21C3" w:rsidRDefault="00EB21C3" w:rsidP="00EB21C3">
            <w:pPr>
              <w:spacing w:after="0" w:line="240" w:lineRule="auto"/>
              <w:jc w:val="right"/>
              <w:rPr>
                <w:szCs w:val="24"/>
                <w:lang w:eastAsia="en-GB"/>
              </w:rPr>
            </w:pPr>
            <w:r w:rsidRPr="00EB21C3">
              <w:rPr>
                <w:szCs w:val="24"/>
                <w:lang w:eastAsia="en-GB"/>
              </w:rPr>
              <w:t>4</w:t>
            </w:r>
          </w:p>
        </w:tc>
        <w:tc>
          <w:tcPr>
            <w:tcW w:w="580" w:type="dxa"/>
            <w:gridSpan w:val="2"/>
            <w:tcBorders>
              <w:top w:val="nil"/>
              <w:left w:val="nil"/>
              <w:bottom w:val="nil"/>
              <w:right w:val="nil"/>
            </w:tcBorders>
            <w:vAlign w:val="center"/>
          </w:tcPr>
          <w:p w14:paraId="12E2C151" w14:textId="77777777" w:rsidR="00EB21C3" w:rsidRPr="00EB21C3" w:rsidRDefault="00EB21C3" w:rsidP="00EB21C3">
            <w:pPr>
              <w:spacing w:after="0" w:line="240" w:lineRule="auto"/>
              <w:jc w:val="right"/>
              <w:rPr>
                <w:szCs w:val="24"/>
                <w:lang w:eastAsia="en-GB"/>
              </w:rPr>
            </w:pPr>
          </w:p>
        </w:tc>
      </w:tr>
      <w:tr w:rsidR="00EB21C3" w:rsidRPr="00EB21C3" w14:paraId="2DA4BA9D"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620C0DB9" w14:textId="77777777" w:rsidR="00EB21C3" w:rsidRPr="00EB21C3" w:rsidRDefault="00EB21C3" w:rsidP="00EB21C3">
            <w:pPr>
              <w:spacing w:after="0" w:line="240" w:lineRule="auto"/>
              <w:rPr>
                <w:b/>
                <w:sz w:val="20"/>
                <w:szCs w:val="24"/>
                <w:lang w:eastAsia="en-GB"/>
              </w:rPr>
            </w:pPr>
            <w:r w:rsidRPr="00EB21C3">
              <w:rPr>
                <w:b/>
                <w:sz w:val="20"/>
                <w:szCs w:val="24"/>
                <w:lang w:eastAsia="en-GB"/>
              </w:rPr>
              <w:t>3.</w:t>
            </w:r>
          </w:p>
        </w:tc>
        <w:tc>
          <w:tcPr>
            <w:tcW w:w="3999" w:type="dxa"/>
            <w:gridSpan w:val="2"/>
            <w:tcBorders>
              <w:top w:val="nil"/>
              <w:left w:val="nil"/>
              <w:bottom w:val="nil"/>
              <w:right w:val="nil"/>
            </w:tcBorders>
            <w:vAlign w:val="center"/>
          </w:tcPr>
          <w:p w14:paraId="03774DB3" w14:textId="77777777" w:rsidR="00EB21C3" w:rsidRPr="00EB21C3" w:rsidRDefault="00EB21C3" w:rsidP="00EB21C3">
            <w:pPr>
              <w:spacing w:after="0" w:line="240" w:lineRule="auto"/>
              <w:rPr>
                <w:szCs w:val="24"/>
                <w:lang w:eastAsia="en-GB"/>
              </w:rPr>
            </w:pPr>
            <w:r w:rsidRPr="00EB21C3">
              <w:rPr>
                <w:szCs w:val="24"/>
                <w:lang w:eastAsia="en-GB"/>
              </w:rPr>
              <w:t xml:space="preserve">Pleasure / unpleasant </w:t>
            </w:r>
          </w:p>
        </w:tc>
        <w:tc>
          <w:tcPr>
            <w:tcW w:w="537" w:type="dxa"/>
            <w:tcBorders>
              <w:top w:val="nil"/>
              <w:left w:val="nil"/>
              <w:bottom w:val="nil"/>
              <w:right w:val="nil"/>
            </w:tcBorders>
            <w:vAlign w:val="center"/>
          </w:tcPr>
          <w:p w14:paraId="12EC7730" w14:textId="77777777" w:rsidR="00EB21C3" w:rsidRPr="00EB21C3" w:rsidRDefault="00EB21C3" w:rsidP="00EB21C3">
            <w:pPr>
              <w:spacing w:after="0" w:line="240" w:lineRule="auto"/>
              <w:jc w:val="right"/>
              <w:rPr>
                <w:szCs w:val="24"/>
                <w:lang w:eastAsia="en-GB"/>
              </w:rPr>
            </w:pPr>
            <w:r w:rsidRPr="00EB21C3">
              <w:rPr>
                <w:szCs w:val="24"/>
                <w:lang w:eastAsia="en-GB"/>
              </w:rPr>
              <w:t>3</w:t>
            </w:r>
          </w:p>
        </w:tc>
        <w:tc>
          <w:tcPr>
            <w:tcW w:w="1418" w:type="dxa"/>
            <w:gridSpan w:val="2"/>
            <w:tcBorders>
              <w:top w:val="nil"/>
              <w:left w:val="nil"/>
              <w:bottom w:val="nil"/>
              <w:right w:val="nil"/>
            </w:tcBorders>
            <w:vAlign w:val="center"/>
          </w:tcPr>
          <w:p w14:paraId="14A537E5" w14:textId="77777777" w:rsidR="00EB21C3" w:rsidRPr="00EB21C3" w:rsidRDefault="00EB21C3" w:rsidP="00EB21C3">
            <w:pPr>
              <w:spacing w:after="0" w:line="240" w:lineRule="auto"/>
              <w:jc w:val="right"/>
              <w:rPr>
                <w:szCs w:val="24"/>
                <w:lang w:eastAsia="en-GB"/>
              </w:rPr>
            </w:pPr>
            <w:r w:rsidRPr="00EB21C3">
              <w:rPr>
                <w:szCs w:val="24"/>
                <w:lang w:eastAsia="en-GB"/>
              </w:rPr>
              <w:t>4</w:t>
            </w:r>
          </w:p>
        </w:tc>
        <w:tc>
          <w:tcPr>
            <w:tcW w:w="580" w:type="dxa"/>
            <w:gridSpan w:val="2"/>
            <w:tcBorders>
              <w:top w:val="nil"/>
              <w:left w:val="nil"/>
              <w:bottom w:val="nil"/>
              <w:right w:val="nil"/>
            </w:tcBorders>
            <w:vAlign w:val="center"/>
          </w:tcPr>
          <w:p w14:paraId="215DFC4C" w14:textId="77777777" w:rsidR="00EB21C3" w:rsidRPr="00EB21C3" w:rsidRDefault="00EB21C3" w:rsidP="00EB21C3">
            <w:pPr>
              <w:spacing w:after="0" w:line="240" w:lineRule="auto"/>
              <w:jc w:val="right"/>
              <w:rPr>
                <w:szCs w:val="24"/>
                <w:lang w:eastAsia="en-GB"/>
              </w:rPr>
            </w:pPr>
          </w:p>
        </w:tc>
      </w:tr>
      <w:tr w:rsidR="00EB21C3" w:rsidRPr="00EB21C3" w14:paraId="1F4A85E5"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817" w:type="dxa"/>
            <w:tcBorders>
              <w:top w:val="nil"/>
              <w:left w:val="nil"/>
              <w:bottom w:val="nil"/>
              <w:right w:val="nil"/>
            </w:tcBorders>
            <w:vAlign w:val="center"/>
          </w:tcPr>
          <w:p w14:paraId="2397EC0F" w14:textId="77777777" w:rsidR="00EB21C3" w:rsidRPr="00EB21C3" w:rsidRDefault="00EB21C3" w:rsidP="00EB21C3">
            <w:pPr>
              <w:spacing w:after="0" w:line="240" w:lineRule="auto"/>
              <w:rPr>
                <w:b/>
                <w:sz w:val="20"/>
                <w:szCs w:val="24"/>
                <w:lang w:eastAsia="en-GB"/>
              </w:rPr>
            </w:pPr>
            <w:r w:rsidRPr="00EB21C3">
              <w:rPr>
                <w:b/>
                <w:sz w:val="20"/>
                <w:szCs w:val="24"/>
                <w:lang w:eastAsia="en-GB"/>
              </w:rPr>
              <w:t>4.</w:t>
            </w:r>
          </w:p>
        </w:tc>
        <w:tc>
          <w:tcPr>
            <w:tcW w:w="3999" w:type="dxa"/>
            <w:gridSpan w:val="2"/>
            <w:tcBorders>
              <w:top w:val="nil"/>
              <w:left w:val="nil"/>
              <w:bottom w:val="nil"/>
              <w:right w:val="nil"/>
            </w:tcBorders>
            <w:vAlign w:val="center"/>
          </w:tcPr>
          <w:p w14:paraId="1647B8D2" w14:textId="77777777" w:rsidR="00EB21C3" w:rsidRPr="00EB21C3" w:rsidRDefault="00EB21C3" w:rsidP="00EB21C3">
            <w:pPr>
              <w:spacing w:after="0" w:line="240" w:lineRule="auto"/>
              <w:rPr>
                <w:szCs w:val="24"/>
                <w:lang w:eastAsia="en-GB"/>
              </w:rPr>
            </w:pPr>
            <w:r w:rsidRPr="00EB21C3">
              <w:rPr>
                <w:szCs w:val="24"/>
                <w:lang w:eastAsia="en-GB"/>
              </w:rPr>
              <w:t>Accessibility / cost</w:t>
            </w:r>
          </w:p>
        </w:tc>
        <w:tc>
          <w:tcPr>
            <w:tcW w:w="537" w:type="dxa"/>
            <w:tcBorders>
              <w:top w:val="nil"/>
              <w:left w:val="nil"/>
              <w:bottom w:val="nil"/>
              <w:right w:val="nil"/>
            </w:tcBorders>
            <w:vAlign w:val="center"/>
          </w:tcPr>
          <w:p w14:paraId="5889FAB3" w14:textId="77777777" w:rsidR="00EB21C3" w:rsidRPr="00EB21C3" w:rsidRDefault="00EB21C3" w:rsidP="00EB21C3">
            <w:pPr>
              <w:spacing w:after="0" w:line="240" w:lineRule="auto"/>
              <w:jc w:val="right"/>
              <w:rPr>
                <w:szCs w:val="24"/>
                <w:lang w:eastAsia="en-GB"/>
              </w:rPr>
            </w:pPr>
            <w:r w:rsidRPr="00EB21C3">
              <w:rPr>
                <w:szCs w:val="24"/>
                <w:lang w:eastAsia="en-GB"/>
              </w:rPr>
              <w:t>1</w:t>
            </w:r>
          </w:p>
        </w:tc>
        <w:tc>
          <w:tcPr>
            <w:tcW w:w="1418" w:type="dxa"/>
            <w:gridSpan w:val="2"/>
            <w:tcBorders>
              <w:top w:val="nil"/>
              <w:left w:val="nil"/>
              <w:bottom w:val="nil"/>
              <w:right w:val="nil"/>
            </w:tcBorders>
            <w:vAlign w:val="center"/>
          </w:tcPr>
          <w:p w14:paraId="40637786" w14:textId="77777777" w:rsidR="00EB21C3" w:rsidRPr="00EB21C3" w:rsidRDefault="00EB21C3" w:rsidP="00EB21C3">
            <w:pPr>
              <w:spacing w:after="0" w:line="240" w:lineRule="auto"/>
              <w:jc w:val="right"/>
              <w:rPr>
                <w:szCs w:val="24"/>
                <w:lang w:eastAsia="en-GB"/>
              </w:rPr>
            </w:pPr>
            <w:r w:rsidRPr="00EB21C3">
              <w:rPr>
                <w:szCs w:val="24"/>
                <w:lang w:eastAsia="en-GB"/>
              </w:rPr>
              <w:t>1</w:t>
            </w:r>
          </w:p>
        </w:tc>
        <w:tc>
          <w:tcPr>
            <w:tcW w:w="580" w:type="dxa"/>
            <w:gridSpan w:val="2"/>
            <w:tcBorders>
              <w:top w:val="nil"/>
              <w:left w:val="nil"/>
              <w:bottom w:val="nil"/>
              <w:right w:val="nil"/>
            </w:tcBorders>
            <w:vAlign w:val="center"/>
          </w:tcPr>
          <w:p w14:paraId="42ED28FF" w14:textId="77777777" w:rsidR="00EB21C3" w:rsidRPr="00EB21C3" w:rsidRDefault="00EB21C3" w:rsidP="00EB21C3">
            <w:pPr>
              <w:spacing w:after="0" w:line="240" w:lineRule="auto"/>
              <w:jc w:val="right"/>
              <w:rPr>
                <w:szCs w:val="24"/>
                <w:lang w:eastAsia="en-GB"/>
              </w:rPr>
            </w:pPr>
          </w:p>
        </w:tc>
      </w:tr>
      <w:tr w:rsidR="00EB21C3" w:rsidRPr="00EB21C3" w14:paraId="173FE53B" w14:textId="77777777" w:rsidTr="00EB21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817" w:type="dxa"/>
            <w:tcBorders>
              <w:top w:val="nil"/>
              <w:left w:val="nil"/>
              <w:bottom w:val="single" w:sz="4" w:space="0" w:color="auto"/>
              <w:right w:val="nil"/>
            </w:tcBorders>
            <w:vAlign w:val="center"/>
          </w:tcPr>
          <w:p w14:paraId="08FF7212" w14:textId="77777777" w:rsidR="00EB21C3" w:rsidRPr="00EB21C3" w:rsidRDefault="00EB21C3" w:rsidP="00EB21C3">
            <w:pPr>
              <w:spacing w:after="0" w:line="240" w:lineRule="auto"/>
              <w:rPr>
                <w:b/>
                <w:sz w:val="6"/>
                <w:szCs w:val="6"/>
                <w:lang w:eastAsia="en-GB"/>
              </w:rPr>
            </w:pPr>
          </w:p>
        </w:tc>
        <w:tc>
          <w:tcPr>
            <w:tcW w:w="3999" w:type="dxa"/>
            <w:gridSpan w:val="2"/>
            <w:tcBorders>
              <w:top w:val="nil"/>
              <w:left w:val="nil"/>
              <w:bottom w:val="single" w:sz="4" w:space="0" w:color="auto"/>
              <w:right w:val="nil"/>
            </w:tcBorders>
            <w:vAlign w:val="center"/>
          </w:tcPr>
          <w:p w14:paraId="4AC7C1C7" w14:textId="77777777" w:rsidR="00EB21C3" w:rsidRPr="00EB21C3" w:rsidRDefault="00EB21C3" w:rsidP="00EB21C3">
            <w:pPr>
              <w:spacing w:after="0" w:line="240" w:lineRule="auto"/>
              <w:rPr>
                <w:b/>
                <w:sz w:val="6"/>
                <w:szCs w:val="6"/>
                <w:lang w:eastAsia="en-GB"/>
              </w:rPr>
            </w:pPr>
          </w:p>
        </w:tc>
        <w:tc>
          <w:tcPr>
            <w:tcW w:w="537" w:type="dxa"/>
            <w:tcBorders>
              <w:top w:val="nil"/>
              <w:left w:val="nil"/>
              <w:bottom w:val="single" w:sz="4" w:space="0" w:color="auto"/>
              <w:right w:val="nil"/>
            </w:tcBorders>
            <w:vAlign w:val="center"/>
          </w:tcPr>
          <w:p w14:paraId="6C61D3B2" w14:textId="77777777" w:rsidR="00EB21C3" w:rsidRPr="00EB21C3" w:rsidRDefault="00EB21C3" w:rsidP="00EB21C3">
            <w:pPr>
              <w:spacing w:after="0" w:line="240" w:lineRule="auto"/>
              <w:jc w:val="right"/>
              <w:rPr>
                <w:b/>
                <w:sz w:val="6"/>
                <w:szCs w:val="6"/>
                <w:lang w:eastAsia="en-GB"/>
              </w:rPr>
            </w:pPr>
          </w:p>
        </w:tc>
        <w:tc>
          <w:tcPr>
            <w:tcW w:w="1998" w:type="dxa"/>
            <w:gridSpan w:val="4"/>
            <w:tcBorders>
              <w:top w:val="nil"/>
              <w:left w:val="nil"/>
              <w:bottom w:val="single" w:sz="4" w:space="0" w:color="auto"/>
              <w:right w:val="nil"/>
            </w:tcBorders>
            <w:vAlign w:val="center"/>
          </w:tcPr>
          <w:p w14:paraId="00033CCB" w14:textId="77777777" w:rsidR="00EB21C3" w:rsidRPr="00EB21C3" w:rsidRDefault="00EB21C3" w:rsidP="00EB21C3">
            <w:pPr>
              <w:spacing w:after="0" w:line="240" w:lineRule="auto"/>
              <w:jc w:val="right"/>
              <w:rPr>
                <w:b/>
                <w:sz w:val="6"/>
                <w:szCs w:val="6"/>
                <w:lang w:eastAsia="en-GB"/>
              </w:rPr>
            </w:pPr>
          </w:p>
        </w:tc>
      </w:tr>
    </w:tbl>
    <w:p w14:paraId="71B51A22" w14:textId="2DCD0E6C" w:rsidR="00A25A10" w:rsidRDefault="00A25A10" w:rsidP="00EB21C3">
      <w:pPr>
        <w:rPr>
          <w:b/>
        </w:rPr>
      </w:pPr>
    </w:p>
    <w:p w14:paraId="2EAF0AFE" w14:textId="77777777" w:rsidR="00241FE7" w:rsidRDefault="00241FE7" w:rsidP="00EB21C3">
      <w:pPr>
        <w:rPr>
          <w:b/>
        </w:rPr>
      </w:pPr>
    </w:p>
    <w:p w14:paraId="0949C5BB" w14:textId="7E584168" w:rsidR="00EB21C3" w:rsidRPr="0003549A" w:rsidRDefault="00EB21C3" w:rsidP="00461C9A">
      <w:pPr>
        <w:pStyle w:val="TableHeader"/>
        <w:spacing w:line="240" w:lineRule="auto"/>
        <w:rPr>
          <w:b/>
        </w:rPr>
      </w:pPr>
      <w:bookmarkStart w:id="522" w:name="_Toc9509093"/>
      <w:r w:rsidRPr="0003549A">
        <w:rPr>
          <w:b/>
        </w:rPr>
        <w:t>Table 8</w:t>
      </w:r>
      <w:r w:rsidR="00A25A10" w:rsidRPr="0003549A">
        <w:rPr>
          <w:b/>
        </w:rPr>
        <w:t>-</w:t>
      </w:r>
      <w:r w:rsidRPr="0003549A">
        <w:rPr>
          <w:b/>
        </w:rPr>
        <w:t>8. Conflicts between motives</w:t>
      </w:r>
      <w:bookmarkEnd w:id="522"/>
      <w:r w:rsidRPr="0003549A">
        <w:rPr>
          <w:b/>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
        <w:gridCol w:w="1023"/>
        <w:gridCol w:w="2946"/>
        <w:gridCol w:w="429"/>
        <w:gridCol w:w="563"/>
        <w:gridCol w:w="426"/>
      </w:tblGrid>
      <w:tr w:rsidR="00EB21C3" w:rsidRPr="00EB21C3" w14:paraId="4AE4BB25" w14:textId="77777777" w:rsidTr="00EB21C3">
        <w:trPr>
          <w:trHeight w:val="590"/>
        </w:trPr>
        <w:tc>
          <w:tcPr>
            <w:tcW w:w="2518" w:type="dxa"/>
            <w:tcBorders>
              <w:top w:val="single" w:sz="4" w:space="0" w:color="auto"/>
              <w:left w:val="nil"/>
              <w:right w:val="nil"/>
            </w:tcBorders>
            <w:shd w:val="clear" w:color="auto" w:fill="auto"/>
            <w:noWrap/>
            <w:vAlign w:val="center"/>
            <w:hideMark/>
          </w:tcPr>
          <w:p w14:paraId="6E334832" w14:textId="77777777" w:rsidR="00EB21C3" w:rsidRPr="00EB21C3" w:rsidRDefault="00EB21C3" w:rsidP="00EB21C3">
            <w:pPr>
              <w:tabs>
                <w:tab w:val="left" w:pos="5103"/>
              </w:tabs>
              <w:spacing w:after="0" w:line="240" w:lineRule="auto"/>
              <w:rPr>
                <w:b/>
                <w:color w:val="000000" w:themeColor="text1"/>
                <w:szCs w:val="24"/>
                <w:lang w:eastAsia="en-GB"/>
              </w:rPr>
            </w:pPr>
            <w:r w:rsidRPr="00EB21C3">
              <w:rPr>
                <w:b/>
                <w:color w:val="000000" w:themeColor="text1"/>
                <w:szCs w:val="24"/>
                <w:lang w:eastAsia="en-GB"/>
              </w:rPr>
              <w:t>Motivation / reason</w:t>
            </w:r>
          </w:p>
        </w:tc>
        <w:tc>
          <w:tcPr>
            <w:tcW w:w="1590" w:type="dxa"/>
            <w:gridSpan w:val="2"/>
            <w:tcBorders>
              <w:top w:val="single" w:sz="4" w:space="0" w:color="auto"/>
              <w:left w:val="nil"/>
              <w:right w:val="nil"/>
            </w:tcBorders>
            <w:shd w:val="clear" w:color="auto" w:fill="auto"/>
            <w:vAlign w:val="center"/>
          </w:tcPr>
          <w:p w14:paraId="4065A3A2" w14:textId="77777777" w:rsidR="00EB21C3" w:rsidRPr="00EB21C3" w:rsidRDefault="00EB21C3" w:rsidP="00EB21C3">
            <w:pPr>
              <w:tabs>
                <w:tab w:val="left" w:pos="5103"/>
              </w:tabs>
              <w:spacing w:after="0" w:line="240" w:lineRule="auto"/>
              <w:jc w:val="center"/>
              <w:rPr>
                <w:b/>
                <w:color w:val="000000" w:themeColor="text1"/>
                <w:sz w:val="20"/>
                <w:szCs w:val="24"/>
                <w:lang w:eastAsia="en-GB"/>
              </w:rPr>
            </w:pPr>
            <w:r w:rsidRPr="00EB21C3">
              <w:rPr>
                <w:b/>
                <w:color w:val="000000" w:themeColor="text1"/>
                <w:sz w:val="20"/>
                <w:szCs w:val="24"/>
                <w:lang w:eastAsia="en-GB"/>
              </w:rPr>
              <w:t>Conflict</w:t>
            </w:r>
          </w:p>
          <w:p w14:paraId="16434AA8" w14:textId="77777777" w:rsidR="00EB21C3" w:rsidRPr="00EB21C3" w:rsidRDefault="00EB21C3" w:rsidP="00EB21C3">
            <w:pPr>
              <w:tabs>
                <w:tab w:val="left" w:pos="5103"/>
              </w:tabs>
              <w:spacing w:after="0" w:line="240" w:lineRule="auto"/>
              <w:jc w:val="center"/>
              <w:rPr>
                <w:b/>
                <w:color w:val="000000" w:themeColor="text1"/>
                <w:sz w:val="20"/>
                <w:szCs w:val="24"/>
                <w:lang w:eastAsia="en-GB"/>
              </w:rPr>
            </w:pPr>
            <w:r w:rsidRPr="00EB21C3">
              <w:rPr>
                <w:b/>
                <w:color w:val="000000" w:themeColor="text1"/>
                <w:sz w:val="20"/>
                <w:szCs w:val="24"/>
                <w:lang w:eastAsia="en-GB"/>
              </w:rPr>
              <w:t>with</w:t>
            </w:r>
          </w:p>
        </w:tc>
        <w:tc>
          <w:tcPr>
            <w:tcW w:w="2946" w:type="dxa"/>
            <w:tcBorders>
              <w:top w:val="single" w:sz="4" w:space="0" w:color="auto"/>
              <w:left w:val="nil"/>
              <w:right w:val="nil"/>
            </w:tcBorders>
            <w:shd w:val="clear" w:color="auto" w:fill="auto"/>
            <w:noWrap/>
            <w:vAlign w:val="center"/>
            <w:hideMark/>
          </w:tcPr>
          <w:p w14:paraId="2E93C97A" w14:textId="77777777" w:rsidR="00EB21C3" w:rsidRPr="00EB21C3" w:rsidRDefault="00EB21C3" w:rsidP="00EB21C3">
            <w:pPr>
              <w:tabs>
                <w:tab w:val="left" w:pos="5103"/>
              </w:tabs>
              <w:spacing w:after="0" w:line="240" w:lineRule="auto"/>
              <w:rPr>
                <w:b/>
                <w:color w:val="000000" w:themeColor="text1"/>
                <w:szCs w:val="24"/>
                <w:lang w:eastAsia="en-GB"/>
              </w:rPr>
            </w:pPr>
            <w:r w:rsidRPr="00EB21C3">
              <w:rPr>
                <w:b/>
                <w:color w:val="000000" w:themeColor="text1"/>
                <w:szCs w:val="24"/>
                <w:lang w:eastAsia="en-GB"/>
              </w:rPr>
              <w:t>Motivation / reason</w:t>
            </w:r>
          </w:p>
        </w:tc>
        <w:tc>
          <w:tcPr>
            <w:tcW w:w="1418" w:type="dxa"/>
            <w:gridSpan w:val="3"/>
            <w:tcBorders>
              <w:top w:val="single" w:sz="4" w:space="0" w:color="auto"/>
              <w:left w:val="nil"/>
              <w:right w:val="nil"/>
            </w:tcBorders>
            <w:vAlign w:val="center"/>
          </w:tcPr>
          <w:p w14:paraId="76A51ADE"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Number of</w:t>
            </w:r>
          </w:p>
          <w:p w14:paraId="3704B6C7" w14:textId="77777777" w:rsidR="00EB21C3" w:rsidRPr="00EB21C3" w:rsidRDefault="00EB21C3" w:rsidP="00EB21C3">
            <w:pPr>
              <w:spacing w:after="0" w:line="240" w:lineRule="auto"/>
              <w:jc w:val="center"/>
              <w:rPr>
                <w:b/>
                <w:sz w:val="20"/>
                <w:szCs w:val="24"/>
                <w:lang w:eastAsia="en-GB"/>
              </w:rPr>
            </w:pPr>
            <w:r w:rsidRPr="00EB21C3">
              <w:rPr>
                <w:b/>
                <w:sz w:val="20"/>
                <w:szCs w:val="24"/>
                <w:lang w:eastAsia="en-GB"/>
              </w:rPr>
              <w:t>references</w:t>
            </w:r>
          </w:p>
        </w:tc>
      </w:tr>
      <w:tr w:rsidR="00EB21C3" w:rsidRPr="00EB21C3" w14:paraId="53DA46AC" w14:textId="77777777" w:rsidTr="00EB21C3">
        <w:trPr>
          <w:trHeight w:val="70"/>
        </w:trPr>
        <w:tc>
          <w:tcPr>
            <w:tcW w:w="3085" w:type="dxa"/>
            <w:gridSpan w:val="2"/>
            <w:tcBorders>
              <w:top w:val="single" w:sz="4" w:space="0" w:color="auto"/>
              <w:left w:val="nil"/>
              <w:bottom w:val="nil"/>
              <w:right w:val="nil"/>
            </w:tcBorders>
            <w:shd w:val="clear" w:color="auto" w:fill="auto"/>
            <w:noWrap/>
            <w:vAlign w:val="bottom"/>
          </w:tcPr>
          <w:p w14:paraId="43EC65E3"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1023" w:type="dxa"/>
            <w:tcBorders>
              <w:top w:val="single" w:sz="4" w:space="0" w:color="auto"/>
              <w:left w:val="nil"/>
              <w:bottom w:val="nil"/>
              <w:right w:val="nil"/>
            </w:tcBorders>
            <w:shd w:val="clear" w:color="auto" w:fill="auto"/>
            <w:vAlign w:val="bottom"/>
          </w:tcPr>
          <w:p w14:paraId="5F0DA16F"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3375" w:type="dxa"/>
            <w:gridSpan w:val="2"/>
            <w:tcBorders>
              <w:top w:val="single" w:sz="4" w:space="0" w:color="auto"/>
              <w:left w:val="nil"/>
              <w:bottom w:val="nil"/>
              <w:right w:val="nil"/>
            </w:tcBorders>
            <w:shd w:val="clear" w:color="auto" w:fill="auto"/>
            <w:noWrap/>
            <w:vAlign w:val="bottom"/>
          </w:tcPr>
          <w:p w14:paraId="28F715B6"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563" w:type="dxa"/>
            <w:tcBorders>
              <w:top w:val="single" w:sz="4" w:space="0" w:color="auto"/>
              <w:left w:val="nil"/>
              <w:bottom w:val="nil"/>
              <w:right w:val="nil"/>
            </w:tcBorders>
            <w:vAlign w:val="bottom"/>
          </w:tcPr>
          <w:p w14:paraId="2A08C0A8" w14:textId="77777777" w:rsidR="00EB21C3" w:rsidRPr="00EB21C3" w:rsidRDefault="00EB21C3" w:rsidP="00EB21C3">
            <w:pPr>
              <w:tabs>
                <w:tab w:val="left" w:pos="5103"/>
              </w:tabs>
              <w:spacing w:after="0" w:line="240" w:lineRule="auto"/>
              <w:jc w:val="right"/>
              <w:rPr>
                <w:color w:val="000000" w:themeColor="text1"/>
                <w:sz w:val="2"/>
                <w:szCs w:val="2"/>
                <w:lang w:eastAsia="en-GB"/>
              </w:rPr>
            </w:pPr>
          </w:p>
        </w:tc>
        <w:tc>
          <w:tcPr>
            <w:tcW w:w="426" w:type="dxa"/>
            <w:tcBorders>
              <w:top w:val="single" w:sz="4" w:space="0" w:color="auto"/>
              <w:left w:val="nil"/>
              <w:bottom w:val="nil"/>
              <w:right w:val="nil"/>
            </w:tcBorders>
          </w:tcPr>
          <w:p w14:paraId="2CD3C932" w14:textId="77777777" w:rsidR="00EB21C3" w:rsidRPr="00EB21C3" w:rsidRDefault="00EB21C3" w:rsidP="00EB21C3">
            <w:pPr>
              <w:tabs>
                <w:tab w:val="left" w:pos="5103"/>
              </w:tabs>
              <w:spacing w:after="0" w:line="240" w:lineRule="auto"/>
              <w:jc w:val="right"/>
              <w:rPr>
                <w:color w:val="000000" w:themeColor="text1"/>
                <w:sz w:val="2"/>
                <w:szCs w:val="2"/>
                <w:lang w:eastAsia="en-GB"/>
              </w:rPr>
            </w:pPr>
          </w:p>
        </w:tc>
      </w:tr>
      <w:tr w:rsidR="00EB21C3" w:rsidRPr="00EB21C3" w14:paraId="10A9D95B" w14:textId="77777777" w:rsidTr="00EB21C3">
        <w:trPr>
          <w:trHeight w:val="290"/>
        </w:trPr>
        <w:tc>
          <w:tcPr>
            <w:tcW w:w="3085" w:type="dxa"/>
            <w:gridSpan w:val="2"/>
            <w:tcBorders>
              <w:top w:val="nil"/>
              <w:left w:val="nil"/>
              <w:bottom w:val="nil"/>
              <w:right w:val="nil"/>
            </w:tcBorders>
            <w:shd w:val="clear" w:color="auto" w:fill="auto"/>
            <w:noWrap/>
            <w:vAlign w:val="bottom"/>
            <w:hideMark/>
          </w:tcPr>
          <w:p w14:paraId="77D62792"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Risk perception</w:t>
            </w:r>
          </w:p>
        </w:tc>
        <w:tc>
          <w:tcPr>
            <w:tcW w:w="1023" w:type="dxa"/>
            <w:tcBorders>
              <w:top w:val="nil"/>
              <w:left w:val="nil"/>
              <w:bottom w:val="nil"/>
              <w:right w:val="nil"/>
            </w:tcBorders>
            <w:shd w:val="clear" w:color="auto" w:fill="auto"/>
            <w:vAlign w:val="bottom"/>
          </w:tcPr>
          <w:p w14:paraId="6DB90C3D" w14:textId="77777777" w:rsidR="00EB21C3" w:rsidRPr="00EB21C3" w:rsidRDefault="00EB21C3" w:rsidP="00EB21C3">
            <w:pPr>
              <w:tabs>
                <w:tab w:val="left" w:pos="5103"/>
              </w:tabs>
              <w:spacing w:after="0" w:line="240" w:lineRule="auto"/>
              <w:rPr>
                <w:color w:val="000000" w:themeColor="text1"/>
                <w:sz w:val="32"/>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hideMark/>
          </w:tcPr>
          <w:p w14:paraId="6F177845"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 xml:space="preserve">Social influences </w:t>
            </w:r>
          </w:p>
        </w:tc>
        <w:tc>
          <w:tcPr>
            <w:tcW w:w="563" w:type="dxa"/>
            <w:tcBorders>
              <w:top w:val="nil"/>
              <w:left w:val="nil"/>
              <w:bottom w:val="nil"/>
              <w:right w:val="nil"/>
            </w:tcBorders>
            <w:vAlign w:val="bottom"/>
          </w:tcPr>
          <w:p w14:paraId="726DCF7F"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6</w:t>
            </w:r>
          </w:p>
        </w:tc>
        <w:tc>
          <w:tcPr>
            <w:tcW w:w="426" w:type="dxa"/>
            <w:tcBorders>
              <w:top w:val="nil"/>
              <w:left w:val="nil"/>
              <w:bottom w:val="nil"/>
              <w:right w:val="nil"/>
            </w:tcBorders>
          </w:tcPr>
          <w:p w14:paraId="79BE32A5"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65BB8C99" w14:textId="77777777" w:rsidTr="00EB21C3">
        <w:trPr>
          <w:trHeight w:val="290"/>
        </w:trPr>
        <w:tc>
          <w:tcPr>
            <w:tcW w:w="3085" w:type="dxa"/>
            <w:gridSpan w:val="2"/>
            <w:tcBorders>
              <w:top w:val="nil"/>
              <w:left w:val="nil"/>
              <w:bottom w:val="nil"/>
              <w:right w:val="nil"/>
            </w:tcBorders>
            <w:shd w:val="clear" w:color="auto" w:fill="auto"/>
            <w:noWrap/>
            <w:vAlign w:val="bottom"/>
            <w:hideMark/>
          </w:tcPr>
          <w:p w14:paraId="5F0443CF"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Risk perception</w:t>
            </w:r>
          </w:p>
        </w:tc>
        <w:tc>
          <w:tcPr>
            <w:tcW w:w="1023" w:type="dxa"/>
            <w:tcBorders>
              <w:top w:val="nil"/>
              <w:left w:val="nil"/>
              <w:bottom w:val="nil"/>
              <w:right w:val="nil"/>
            </w:tcBorders>
            <w:shd w:val="clear" w:color="auto" w:fill="auto"/>
            <w:vAlign w:val="bottom"/>
          </w:tcPr>
          <w:p w14:paraId="41AA4E8A"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hideMark/>
          </w:tcPr>
          <w:p w14:paraId="3D93E504"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Curiosity</w:t>
            </w:r>
          </w:p>
        </w:tc>
        <w:tc>
          <w:tcPr>
            <w:tcW w:w="563" w:type="dxa"/>
            <w:tcBorders>
              <w:top w:val="nil"/>
              <w:left w:val="nil"/>
              <w:bottom w:val="nil"/>
              <w:right w:val="nil"/>
            </w:tcBorders>
            <w:vAlign w:val="bottom"/>
          </w:tcPr>
          <w:p w14:paraId="6DC59EF8"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4</w:t>
            </w:r>
          </w:p>
        </w:tc>
        <w:tc>
          <w:tcPr>
            <w:tcW w:w="426" w:type="dxa"/>
            <w:tcBorders>
              <w:top w:val="nil"/>
              <w:left w:val="nil"/>
              <w:bottom w:val="nil"/>
              <w:right w:val="nil"/>
            </w:tcBorders>
          </w:tcPr>
          <w:p w14:paraId="51708C19"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265A6441" w14:textId="77777777" w:rsidTr="00EB21C3">
        <w:trPr>
          <w:trHeight w:val="290"/>
        </w:trPr>
        <w:tc>
          <w:tcPr>
            <w:tcW w:w="3085" w:type="dxa"/>
            <w:gridSpan w:val="2"/>
            <w:tcBorders>
              <w:top w:val="nil"/>
              <w:left w:val="nil"/>
              <w:bottom w:val="nil"/>
              <w:right w:val="nil"/>
            </w:tcBorders>
            <w:shd w:val="clear" w:color="auto" w:fill="auto"/>
            <w:noWrap/>
            <w:vAlign w:val="bottom"/>
            <w:hideMark/>
          </w:tcPr>
          <w:p w14:paraId="670DAA8A"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Risk perception</w:t>
            </w:r>
          </w:p>
        </w:tc>
        <w:tc>
          <w:tcPr>
            <w:tcW w:w="1023" w:type="dxa"/>
            <w:tcBorders>
              <w:top w:val="nil"/>
              <w:left w:val="nil"/>
              <w:bottom w:val="nil"/>
              <w:right w:val="nil"/>
            </w:tcBorders>
            <w:shd w:val="clear" w:color="auto" w:fill="auto"/>
            <w:vAlign w:val="bottom"/>
          </w:tcPr>
          <w:p w14:paraId="12544BA0"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hideMark/>
          </w:tcPr>
          <w:p w14:paraId="46E5E449"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Pleasurable drug effects</w:t>
            </w:r>
          </w:p>
        </w:tc>
        <w:tc>
          <w:tcPr>
            <w:tcW w:w="563" w:type="dxa"/>
            <w:tcBorders>
              <w:top w:val="nil"/>
              <w:left w:val="nil"/>
              <w:bottom w:val="nil"/>
              <w:right w:val="nil"/>
            </w:tcBorders>
            <w:vAlign w:val="bottom"/>
          </w:tcPr>
          <w:p w14:paraId="7C738FF8"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3</w:t>
            </w:r>
          </w:p>
        </w:tc>
        <w:tc>
          <w:tcPr>
            <w:tcW w:w="426" w:type="dxa"/>
            <w:tcBorders>
              <w:top w:val="nil"/>
              <w:left w:val="nil"/>
              <w:bottom w:val="nil"/>
              <w:right w:val="nil"/>
            </w:tcBorders>
          </w:tcPr>
          <w:p w14:paraId="786719EC"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71D706B8" w14:textId="77777777" w:rsidTr="00EB21C3">
        <w:trPr>
          <w:trHeight w:val="290"/>
        </w:trPr>
        <w:tc>
          <w:tcPr>
            <w:tcW w:w="3085" w:type="dxa"/>
            <w:gridSpan w:val="2"/>
            <w:tcBorders>
              <w:top w:val="nil"/>
              <w:left w:val="nil"/>
              <w:bottom w:val="nil"/>
              <w:right w:val="nil"/>
            </w:tcBorders>
            <w:shd w:val="clear" w:color="auto" w:fill="auto"/>
            <w:noWrap/>
            <w:vAlign w:val="bottom"/>
            <w:hideMark/>
          </w:tcPr>
          <w:p w14:paraId="74C4CC47"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Risk perception</w:t>
            </w:r>
          </w:p>
        </w:tc>
        <w:tc>
          <w:tcPr>
            <w:tcW w:w="1023" w:type="dxa"/>
            <w:tcBorders>
              <w:top w:val="nil"/>
              <w:left w:val="nil"/>
              <w:bottom w:val="nil"/>
              <w:right w:val="nil"/>
            </w:tcBorders>
            <w:shd w:val="clear" w:color="auto" w:fill="auto"/>
            <w:vAlign w:val="bottom"/>
          </w:tcPr>
          <w:p w14:paraId="3CDDC89D"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hideMark/>
          </w:tcPr>
          <w:p w14:paraId="2365FC97"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Coping</w:t>
            </w:r>
          </w:p>
        </w:tc>
        <w:tc>
          <w:tcPr>
            <w:tcW w:w="563" w:type="dxa"/>
            <w:tcBorders>
              <w:top w:val="nil"/>
              <w:left w:val="nil"/>
              <w:bottom w:val="nil"/>
              <w:right w:val="nil"/>
            </w:tcBorders>
            <w:vAlign w:val="bottom"/>
          </w:tcPr>
          <w:p w14:paraId="1A97E042"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3</w:t>
            </w:r>
          </w:p>
        </w:tc>
        <w:tc>
          <w:tcPr>
            <w:tcW w:w="426" w:type="dxa"/>
            <w:tcBorders>
              <w:top w:val="nil"/>
              <w:left w:val="nil"/>
              <w:bottom w:val="nil"/>
              <w:right w:val="nil"/>
            </w:tcBorders>
          </w:tcPr>
          <w:p w14:paraId="4F830EAE"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03A78375" w14:textId="77777777" w:rsidTr="00EB21C3">
        <w:trPr>
          <w:trHeight w:val="290"/>
        </w:trPr>
        <w:tc>
          <w:tcPr>
            <w:tcW w:w="3085" w:type="dxa"/>
            <w:gridSpan w:val="2"/>
            <w:tcBorders>
              <w:top w:val="nil"/>
              <w:left w:val="nil"/>
              <w:bottom w:val="nil"/>
              <w:right w:val="nil"/>
            </w:tcBorders>
            <w:shd w:val="clear" w:color="auto" w:fill="auto"/>
            <w:noWrap/>
            <w:vAlign w:val="bottom"/>
            <w:hideMark/>
          </w:tcPr>
          <w:p w14:paraId="6129B50E"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 xml:space="preserve">Negative identity </w:t>
            </w:r>
          </w:p>
        </w:tc>
        <w:tc>
          <w:tcPr>
            <w:tcW w:w="1023" w:type="dxa"/>
            <w:tcBorders>
              <w:top w:val="nil"/>
              <w:left w:val="nil"/>
              <w:bottom w:val="nil"/>
              <w:right w:val="nil"/>
            </w:tcBorders>
            <w:shd w:val="clear" w:color="auto" w:fill="auto"/>
            <w:vAlign w:val="bottom"/>
          </w:tcPr>
          <w:p w14:paraId="1813CFCD"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hideMark/>
          </w:tcPr>
          <w:p w14:paraId="4B17ACA9"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 xml:space="preserve">Positive identity  </w:t>
            </w:r>
          </w:p>
        </w:tc>
        <w:tc>
          <w:tcPr>
            <w:tcW w:w="563" w:type="dxa"/>
            <w:tcBorders>
              <w:top w:val="nil"/>
              <w:left w:val="nil"/>
              <w:bottom w:val="nil"/>
              <w:right w:val="nil"/>
            </w:tcBorders>
            <w:vAlign w:val="bottom"/>
          </w:tcPr>
          <w:p w14:paraId="6647AA48"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1</w:t>
            </w:r>
          </w:p>
        </w:tc>
        <w:tc>
          <w:tcPr>
            <w:tcW w:w="426" w:type="dxa"/>
            <w:tcBorders>
              <w:top w:val="nil"/>
              <w:left w:val="nil"/>
              <w:bottom w:val="nil"/>
              <w:right w:val="nil"/>
            </w:tcBorders>
          </w:tcPr>
          <w:p w14:paraId="665C72A8"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26D76455" w14:textId="77777777" w:rsidTr="00EB21C3">
        <w:trPr>
          <w:trHeight w:val="290"/>
        </w:trPr>
        <w:tc>
          <w:tcPr>
            <w:tcW w:w="3085" w:type="dxa"/>
            <w:gridSpan w:val="2"/>
            <w:tcBorders>
              <w:top w:val="nil"/>
              <w:left w:val="nil"/>
              <w:bottom w:val="nil"/>
              <w:right w:val="nil"/>
            </w:tcBorders>
            <w:shd w:val="clear" w:color="auto" w:fill="auto"/>
            <w:noWrap/>
            <w:vAlign w:val="bottom"/>
          </w:tcPr>
          <w:p w14:paraId="4C6ACC9C"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Accessibility</w:t>
            </w:r>
          </w:p>
        </w:tc>
        <w:tc>
          <w:tcPr>
            <w:tcW w:w="1023" w:type="dxa"/>
            <w:tcBorders>
              <w:top w:val="nil"/>
              <w:left w:val="nil"/>
              <w:bottom w:val="nil"/>
              <w:right w:val="nil"/>
            </w:tcBorders>
            <w:shd w:val="clear" w:color="auto" w:fill="auto"/>
            <w:vAlign w:val="bottom"/>
          </w:tcPr>
          <w:p w14:paraId="383863D9" w14:textId="77777777" w:rsidR="00EB21C3" w:rsidRPr="00EB21C3" w:rsidRDefault="00EB21C3" w:rsidP="00EB21C3">
            <w:pPr>
              <w:tabs>
                <w:tab w:val="left" w:pos="5103"/>
              </w:tabs>
              <w:spacing w:after="0" w:line="240" w:lineRule="auto"/>
              <w:rPr>
                <w:color w:val="000000" w:themeColor="text1"/>
                <w:sz w:val="32"/>
                <w:szCs w:val="24"/>
                <w:lang w:eastAsia="en-GB"/>
              </w:rPr>
            </w:pPr>
            <w:r w:rsidRPr="00EB21C3">
              <w:rPr>
                <w:color w:val="000000" w:themeColor="text1"/>
                <w:sz w:val="32"/>
                <w:szCs w:val="24"/>
                <w:lang w:eastAsia="en-GB"/>
              </w:rPr>
              <w:sym w:font="Wingdings 3" w:char="F031"/>
            </w:r>
          </w:p>
        </w:tc>
        <w:tc>
          <w:tcPr>
            <w:tcW w:w="3375" w:type="dxa"/>
            <w:gridSpan w:val="2"/>
            <w:tcBorders>
              <w:top w:val="nil"/>
              <w:left w:val="nil"/>
              <w:bottom w:val="nil"/>
              <w:right w:val="nil"/>
            </w:tcBorders>
            <w:shd w:val="clear" w:color="auto" w:fill="auto"/>
            <w:noWrap/>
            <w:vAlign w:val="bottom"/>
          </w:tcPr>
          <w:p w14:paraId="665B5A3D" w14:textId="77777777" w:rsidR="00EB21C3" w:rsidRPr="00EB21C3" w:rsidRDefault="00EB21C3" w:rsidP="00EB21C3">
            <w:pPr>
              <w:tabs>
                <w:tab w:val="left" w:pos="5103"/>
              </w:tabs>
              <w:spacing w:after="0" w:line="240" w:lineRule="auto"/>
              <w:rPr>
                <w:color w:val="000000" w:themeColor="text1"/>
                <w:szCs w:val="24"/>
                <w:lang w:eastAsia="en-GB"/>
              </w:rPr>
            </w:pPr>
            <w:r w:rsidRPr="00EB21C3">
              <w:rPr>
                <w:color w:val="000000" w:themeColor="text1"/>
                <w:szCs w:val="24"/>
                <w:lang w:eastAsia="en-GB"/>
              </w:rPr>
              <w:t xml:space="preserve">Drug effects </w:t>
            </w:r>
          </w:p>
        </w:tc>
        <w:tc>
          <w:tcPr>
            <w:tcW w:w="563" w:type="dxa"/>
            <w:tcBorders>
              <w:top w:val="nil"/>
              <w:left w:val="nil"/>
              <w:bottom w:val="nil"/>
              <w:right w:val="nil"/>
            </w:tcBorders>
            <w:vAlign w:val="bottom"/>
          </w:tcPr>
          <w:p w14:paraId="59A1D144" w14:textId="77777777" w:rsidR="00EB21C3" w:rsidRPr="00EB21C3" w:rsidRDefault="00EB21C3" w:rsidP="00EB21C3">
            <w:pPr>
              <w:tabs>
                <w:tab w:val="left" w:pos="5103"/>
              </w:tabs>
              <w:spacing w:after="0" w:line="240" w:lineRule="auto"/>
              <w:jc w:val="right"/>
              <w:rPr>
                <w:color w:val="000000" w:themeColor="text1"/>
                <w:szCs w:val="24"/>
                <w:lang w:eastAsia="en-GB"/>
              </w:rPr>
            </w:pPr>
            <w:r w:rsidRPr="00EB21C3">
              <w:rPr>
                <w:color w:val="000000" w:themeColor="text1"/>
                <w:szCs w:val="24"/>
                <w:lang w:eastAsia="en-GB"/>
              </w:rPr>
              <w:t>1</w:t>
            </w:r>
          </w:p>
        </w:tc>
        <w:tc>
          <w:tcPr>
            <w:tcW w:w="426" w:type="dxa"/>
            <w:tcBorders>
              <w:top w:val="nil"/>
              <w:left w:val="nil"/>
              <w:bottom w:val="nil"/>
              <w:right w:val="nil"/>
            </w:tcBorders>
          </w:tcPr>
          <w:p w14:paraId="2FE60841" w14:textId="77777777" w:rsidR="00EB21C3" w:rsidRPr="00EB21C3" w:rsidRDefault="00EB21C3" w:rsidP="00EB21C3">
            <w:pPr>
              <w:tabs>
                <w:tab w:val="left" w:pos="5103"/>
              </w:tabs>
              <w:spacing w:after="0" w:line="240" w:lineRule="auto"/>
              <w:jc w:val="right"/>
              <w:rPr>
                <w:color w:val="000000" w:themeColor="text1"/>
                <w:szCs w:val="24"/>
                <w:lang w:eastAsia="en-GB"/>
              </w:rPr>
            </w:pPr>
          </w:p>
        </w:tc>
      </w:tr>
      <w:tr w:rsidR="00EB21C3" w:rsidRPr="00EB21C3" w14:paraId="2A5902A9" w14:textId="77777777" w:rsidTr="00EB21C3">
        <w:trPr>
          <w:trHeight w:val="70"/>
        </w:trPr>
        <w:tc>
          <w:tcPr>
            <w:tcW w:w="3085" w:type="dxa"/>
            <w:gridSpan w:val="2"/>
            <w:tcBorders>
              <w:top w:val="nil"/>
              <w:left w:val="nil"/>
              <w:bottom w:val="single" w:sz="4" w:space="0" w:color="auto"/>
              <w:right w:val="nil"/>
            </w:tcBorders>
            <w:shd w:val="clear" w:color="auto" w:fill="auto"/>
            <w:noWrap/>
            <w:vAlign w:val="bottom"/>
            <w:hideMark/>
          </w:tcPr>
          <w:p w14:paraId="3030C5A1"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1023" w:type="dxa"/>
            <w:tcBorders>
              <w:top w:val="nil"/>
              <w:left w:val="nil"/>
              <w:bottom w:val="single" w:sz="4" w:space="0" w:color="auto"/>
              <w:right w:val="nil"/>
            </w:tcBorders>
            <w:shd w:val="clear" w:color="auto" w:fill="auto"/>
            <w:vAlign w:val="bottom"/>
          </w:tcPr>
          <w:p w14:paraId="5A1A8688"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3375" w:type="dxa"/>
            <w:gridSpan w:val="2"/>
            <w:tcBorders>
              <w:top w:val="nil"/>
              <w:left w:val="nil"/>
              <w:bottom w:val="single" w:sz="4" w:space="0" w:color="auto"/>
              <w:right w:val="nil"/>
            </w:tcBorders>
            <w:shd w:val="clear" w:color="auto" w:fill="auto"/>
            <w:noWrap/>
            <w:vAlign w:val="bottom"/>
            <w:hideMark/>
          </w:tcPr>
          <w:p w14:paraId="46A7EF77" w14:textId="77777777" w:rsidR="00EB21C3" w:rsidRPr="00EB21C3" w:rsidRDefault="00EB21C3" w:rsidP="00EB21C3">
            <w:pPr>
              <w:tabs>
                <w:tab w:val="left" w:pos="5103"/>
              </w:tabs>
              <w:spacing w:after="0" w:line="240" w:lineRule="auto"/>
              <w:rPr>
                <w:color w:val="000000" w:themeColor="text1"/>
                <w:sz w:val="2"/>
                <w:szCs w:val="2"/>
                <w:lang w:eastAsia="en-GB"/>
              </w:rPr>
            </w:pPr>
          </w:p>
        </w:tc>
        <w:tc>
          <w:tcPr>
            <w:tcW w:w="563" w:type="dxa"/>
            <w:tcBorders>
              <w:top w:val="nil"/>
              <w:left w:val="nil"/>
              <w:bottom w:val="single" w:sz="4" w:space="0" w:color="auto"/>
              <w:right w:val="nil"/>
            </w:tcBorders>
            <w:vAlign w:val="bottom"/>
          </w:tcPr>
          <w:p w14:paraId="339A7CD3" w14:textId="77777777" w:rsidR="00EB21C3" w:rsidRPr="00EB21C3" w:rsidRDefault="00EB21C3" w:rsidP="00EB21C3">
            <w:pPr>
              <w:tabs>
                <w:tab w:val="left" w:pos="5103"/>
              </w:tabs>
              <w:spacing w:after="0" w:line="240" w:lineRule="auto"/>
              <w:jc w:val="right"/>
              <w:rPr>
                <w:color w:val="000000" w:themeColor="text1"/>
                <w:sz w:val="2"/>
                <w:szCs w:val="2"/>
                <w:lang w:eastAsia="en-GB"/>
              </w:rPr>
            </w:pPr>
          </w:p>
        </w:tc>
        <w:tc>
          <w:tcPr>
            <w:tcW w:w="426" w:type="dxa"/>
            <w:tcBorders>
              <w:top w:val="nil"/>
              <w:left w:val="nil"/>
              <w:bottom w:val="single" w:sz="4" w:space="0" w:color="auto"/>
              <w:right w:val="nil"/>
            </w:tcBorders>
          </w:tcPr>
          <w:p w14:paraId="48B38743" w14:textId="77777777" w:rsidR="00EB21C3" w:rsidRPr="00EB21C3" w:rsidRDefault="00EB21C3" w:rsidP="00EB21C3">
            <w:pPr>
              <w:tabs>
                <w:tab w:val="left" w:pos="5103"/>
              </w:tabs>
              <w:spacing w:after="0" w:line="240" w:lineRule="auto"/>
              <w:jc w:val="right"/>
              <w:rPr>
                <w:color w:val="000000" w:themeColor="text1"/>
                <w:sz w:val="2"/>
                <w:szCs w:val="2"/>
                <w:lang w:eastAsia="en-GB"/>
              </w:rPr>
            </w:pPr>
          </w:p>
        </w:tc>
      </w:tr>
    </w:tbl>
    <w:p w14:paraId="1712D991"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3" w:name="_Toc35892750"/>
      <w:r w:rsidRPr="00EB21C3">
        <w:rPr>
          <w:b/>
          <w:bCs/>
          <w:color w:val="000000"/>
          <w:sz w:val="22"/>
        </w:rPr>
        <w:t>Motivational priority and conflict</w:t>
      </w:r>
      <w:bookmarkEnd w:id="523"/>
    </w:p>
    <w:p w14:paraId="49314C38"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 xml:space="preserve">Social motives </w:t>
      </w:r>
    </w:p>
    <w:p w14:paraId="0345D132" w14:textId="52EE51D4" w:rsidR="00EB21C3" w:rsidRPr="00EB21C3" w:rsidRDefault="00EB21C3" w:rsidP="00EB21C3">
      <w:pPr>
        <w:spacing w:line="480" w:lineRule="auto"/>
        <w:rPr>
          <w:color w:val="000000" w:themeColor="text1"/>
        </w:rPr>
      </w:pPr>
      <w:r w:rsidRPr="00EB21C3">
        <w:rPr>
          <w:color w:val="000000" w:themeColor="text1"/>
        </w:rPr>
        <w:t xml:space="preserve">Social motives were seen by participants as the most important motives supporting use of NPS. Participants noted the importance of the pressure to conform and felt it was most influential during important transitions such as leaving school or starting University. </w:t>
      </w:r>
      <w:r w:rsidRPr="00EB21C3">
        <w:rPr>
          <w:color w:val="000000"/>
        </w:rPr>
        <w:t> Social influences were thought to be especially strong due to the amount of time young people spend with their peers.  Social motives were thought to present the strongest conflict with health motives. The prioritisation of social influences was presented as either the result of young people not thinking about risk when in social contexts or active conflicting with health motives through peer pressure. Social influences were presented as difficult to</w:t>
      </w:r>
      <w:r w:rsidR="00461C9A">
        <w:rPr>
          <w:color w:val="000000"/>
        </w:rPr>
        <w:t xml:space="preserve"> </w:t>
      </w:r>
      <w:r w:rsidRPr="00EB21C3">
        <w:rPr>
          <w:color w:val="000000"/>
        </w:rPr>
        <w:t>overcome, requiring the support of others to provide young people the confidence to behave differently to their peers.</w:t>
      </w:r>
    </w:p>
    <w:p w14:paraId="28771E44"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4" w:name="_Toc35892751"/>
      <w:r w:rsidRPr="00EB21C3">
        <w:rPr>
          <w:b/>
          <w:bCs/>
          <w:color w:val="000000"/>
          <w:sz w:val="22"/>
        </w:rPr>
        <w:t>Health</w:t>
      </w:r>
      <w:bookmarkEnd w:id="524"/>
      <w:r w:rsidRPr="00EB21C3">
        <w:rPr>
          <w:b/>
          <w:bCs/>
          <w:color w:val="000000"/>
          <w:sz w:val="22"/>
        </w:rPr>
        <w:t xml:space="preserve"> </w:t>
      </w:r>
    </w:p>
    <w:p w14:paraId="7CD0EBE5" w14:textId="1BC61F30" w:rsidR="00EB21C3" w:rsidRPr="00EB21C3" w:rsidRDefault="00EB21C3" w:rsidP="00EB21C3">
      <w:pPr>
        <w:spacing w:line="480" w:lineRule="auto"/>
      </w:pPr>
      <w:r w:rsidRPr="00EB21C3">
        <w:rPr>
          <w:color w:val="000000"/>
        </w:rPr>
        <w:t xml:space="preserve">Health motives were seen as related to fear of the unknown and danger of death or injury. They were largely associated with </w:t>
      </w:r>
      <w:r w:rsidR="003A0F49">
        <w:rPr>
          <w:color w:val="000000"/>
        </w:rPr>
        <w:t xml:space="preserve">the </w:t>
      </w:r>
      <w:r w:rsidRPr="00EB21C3">
        <w:rPr>
          <w:color w:val="000000"/>
        </w:rPr>
        <w:t xml:space="preserve">discouragement of the use of NPS and young people felt they would only be prioritised when health threats were perceived as severe. </w:t>
      </w:r>
    </w:p>
    <w:p w14:paraId="75F6B530"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5" w:name="_Toc35892752"/>
      <w:r w:rsidRPr="00EB21C3">
        <w:rPr>
          <w:b/>
          <w:bCs/>
          <w:color w:val="000000"/>
          <w:sz w:val="22"/>
        </w:rPr>
        <w:t>Coping</w:t>
      </w:r>
      <w:bookmarkEnd w:id="525"/>
      <w:r w:rsidRPr="00EB21C3">
        <w:rPr>
          <w:b/>
          <w:bCs/>
          <w:color w:val="000000"/>
          <w:sz w:val="22"/>
        </w:rPr>
        <w:t xml:space="preserve"> </w:t>
      </w:r>
    </w:p>
    <w:p w14:paraId="1491DC2A" w14:textId="0EC31D33" w:rsidR="00EB21C3" w:rsidRPr="00EB21C3" w:rsidRDefault="00EB21C3" w:rsidP="00EB21C3">
      <w:pPr>
        <w:spacing w:line="480" w:lineRule="auto"/>
      </w:pPr>
      <w:r w:rsidRPr="00EB21C3">
        <w:rPr>
          <w:color w:val="000000"/>
        </w:rPr>
        <w:t>Coping motives were presented very important young people.  Young people were identified as being at risk of mental health issues and participants described the pressures of academic success and exams as a reason for use. NPS were seen as a way for people to forget their troubles. The need for escapism was presented as a</w:t>
      </w:r>
      <w:r w:rsidRPr="00EB21C3">
        <w:rPr>
          <w:bCs/>
          <w:color w:val="000000"/>
        </w:rPr>
        <w:t xml:space="preserve"> strong influence that would be difficult to overcome. </w:t>
      </w:r>
      <w:r w:rsidRPr="00EB21C3">
        <w:rPr>
          <w:color w:val="000000"/>
        </w:rPr>
        <w:t>Participants also noted the influence of addiction and the use of NPS to cope with difficult lives on the street, to forget worries and discomfort.</w:t>
      </w:r>
    </w:p>
    <w:p w14:paraId="3AB7F620"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6" w:name="_Toc35892753"/>
      <w:r w:rsidRPr="00EB21C3">
        <w:rPr>
          <w:b/>
          <w:bCs/>
          <w:color w:val="000000"/>
          <w:sz w:val="22"/>
        </w:rPr>
        <w:t>Curiosity</w:t>
      </w:r>
      <w:bookmarkEnd w:id="526"/>
      <w:r w:rsidRPr="00EB21C3">
        <w:rPr>
          <w:b/>
          <w:bCs/>
          <w:color w:val="000000"/>
          <w:sz w:val="22"/>
        </w:rPr>
        <w:t xml:space="preserve"> </w:t>
      </w:r>
    </w:p>
    <w:p w14:paraId="3E69EC50" w14:textId="1D70429E" w:rsidR="00EB21C3" w:rsidRPr="00EB21C3" w:rsidRDefault="00EB21C3" w:rsidP="00EB21C3">
      <w:pPr>
        <w:spacing w:line="480" w:lineRule="auto"/>
      </w:pPr>
      <w:r w:rsidRPr="00EB21C3">
        <w:t>Curiosity was linked to identity exploration and legal status. Curiosity was viewed as a fairly important motivation which was presented as largely opportunistic, with people using NPS when they encountered them rather than deliberately seeking them out.   There was a clear link with pleasure as participants felt that if an NPS was perceived as unpleasant there would be no reason to be curious. Although curiosity was seen as conflicting with health motives</w:t>
      </w:r>
      <w:r w:rsidR="003A0F49">
        <w:t>,</w:t>
      </w:r>
      <w:r w:rsidRPr="00EB21C3">
        <w:t xml:space="preserve"> the conflict was not presented as a difficult conflict since substances that were believed to be harmful would also lose their appeal. </w:t>
      </w:r>
    </w:p>
    <w:p w14:paraId="009B85DE"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7" w:name="_Toc35892754"/>
      <w:r w:rsidRPr="00EB21C3">
        <w:rPr>
          <w:b/>
          <w:bCs/>
          <w:color w:val="000000"/>
          <w:sz w:val="22"/>
        </w:rPr>
        <w:t>Pleasure</w:t>
      </w:r>
      <w:bookmarkEnd w:id="527"/>
    </w:p>
    <w:p w14:paraId="696B5017" w14:textId="77777777" w:rsidR="00EB21C3" w:rsidRPr="00EB21C3" w:rsidRDefault="00EB21C3" w:rsidP="00EB21C3">
      <w:pPr>
        <w:spacing w:line="480" w:lineRule="auto"/>
      </w:pPr>
      <w:r w:rsidRPr="00EB21C3">
        <w:rPr>
          <w:color w:val="000000"/>
        </w:rPr>
        <w:t>Pleasure motives were also seen as very important to young people and of high priority.  Pleasure was largely seen as conflicting with health motives through a lack of risk awareness and a tendency for young people not to think about health when they are distracted and having fun. Therefore, pleasure motives were not presented as especially problematic since perceptions of risk were thought to be linked with perceptions of unpleasant experiences.</w:t>
      </w:r>
    </w:p>
    <w:p w14:paraId="0E821A4C"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8" w:name="_Toc35892755"/>
      <w:r w:rsidRPr="00EB21C3">
        <w:rPr>
          <w:b/>
          <w:bCs/>
          <w:color w:val="000000"/>
          <w:sz w:val="22"/>
        </w:rPr>
        <w:t>Accessibility</w:t>
      </w:r>
      <w:bookmarkEnd w:id="528"/>
    </w:p>
    <w:p w14:paraId="3037984C" w14:textId="79F9E810" w:rsidR="00EB21C3" w:rsidRPr="00EB21C3" w:rsidRDefault="00EB21C3" w:rsidP="00EB21C3">
      <w:pPr>
        <w:spacing w:line="480" w:lineRule="auto"/>
      </w:pPr>
      <w:r w:rsidRPr="00EB21C3">
        <w:t xml:space="preserve">Accessibility was referred to quite frequently within participants’ discussions with NPS described as both easy to get and cheap. However, young people in the focus groups did not present effort or financial motives as important drivers for use of NPS, but </w:t>
      </w:r>
      <w:r w:rsidR="008D56DE">
        <w:t>for</w:t>
      </w:r>
      <w:r w:rsidRPr="00EB21C3">
        <w:t xml:space="preserve"> either facilitating or constraining use. Accessibility was not commonly presented as being in conflict with other motives.</w:t>
      </w:r>
    </w:p>
    <w:p w14:paraId="5FDA6869"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29" w:name="_Toc35892756"/>
      <w:r w:rsidRPr="00EB21C3">
        <w:rPr>
          <w:b/>
          <w:bCs/>
          <w:color w:val="000000"/>
          <w:sz w:val="22"/>
        </w:rPr>
        <w:t>Identity</w:t>
      </w:r>
      <w:bookmarkEnd w:id="529"/>
      <w:r w:rsidRPr="00EB21C3">
        <w:rPr>
          <w:b/>
          <w:bCs/>
          <w:color w:val="000000"/>
          <w:sz w:val="22"/>
        </w:rPr>
        <w:t xml:space="preserve"> </w:t>
      </w:r>
    </w:p>
    <w:p w14:paraId="58E464F3" w14:textId="77777777" w:rsidR="00EB21C3" w:rsidRPr="00EB21C3" w:rsidRDefault="00EB21C3" w:rsidP="00EB21C3">
      <w:pPr>
        <w:spacing w:after="0" w:line="480" w:lineRule="auto"/>
        <w:rPr>
          <w:szCs w:val="24"/>
          <w:lang w:eastAsia="en-GB"/>
        </w:rPr>
      </w:pPr>
      <w:r w:rsidRPr="00EB21C3">
        <w:rPr>
          <w:bCs/>
          <w:color w:val="000000"/>
          <w:szCs w:val="24"/>
          <w:lang w:eastAsia="en-GB"/>
        </w:rPr>
        <w:t xml:space="preserve">Identity motives were not seen as especially important or high priority, but participants did note that identity might be very relevant to young people as youth is a time of exploration.  User identities were linked with different drug types with a distinction made between the type of people who use spice and the type of people who use bath salts.  Spice was associated with homeless users described as zombies, while bath salts were seen as party drugs more relevant to young people. The spice user type was related to both the reputation of spice users presented in the media and through first-hand observation.  </w:t>
      </w:r>
    </w:p>
    <w:p w14:paraId="2DB9BC96" w14:textId="276A5BE1" w:rsidR="00A25A10" w:rsidRDefault="00A25A10" w:rsidP="00E954B0">
      <w:pPr>
        <w:pStyle w:val="Heading2"/>
      </w:pPr>
      <w:bookmarkStart w:id="530" w:name="_Toc35892757"/>
      <w:r>
        <w:t>Intervention acceptability</w:t>
      </w:r>
      <w:r w:rsidR="00E954B0">
        <w:t xml:space="preserve"> results</w:t>
      </w:r>
      <w:bookmarkEnd w:id="530"/>
    </w:p>
    <w:p w14:paraId="2A5CD771" w14:textId="0ADFA3D1" w:rsidR="00A25A10" w:rsidRPr="00A25A10" w:rsidRDefault="00A25A10" w:rsidP="00E954B0">
      <w:pPr>
        <w:spacing w:line="480" w:lineRule="auto"/>
      </w:pPr>
      <w:r>
        <w:t>The results for intervention acceptability (and non-acceptability) are presented in Table 8-9 below, then discussed in relation to intervention content, intervention setting and intervention method in the following sub-sections.</w:t>
      </w:r>
      <w:r w:rsidR="00E954B0">
        <w:t xml:space="preserve">  A final sub-section discusses the findings for unacceptable intervention types.</w:t>
      </w:r>
    </w:p>
    <w:p w14:paraId="757D1460" w14:textId="772A2083" w:rsidR="00EB21C3" w:rsidRPr="00241FE7" w:rsidRDefault="00EB21C3" w:rsidP="00241FE7">
      <w:pPr>
        <w:pStyle w:val="TableHeader"/>
        <w:rPr>
          <w:b/>
        </w:rPr>
      </w:pPr>
      <w:bookmarkStart w:id="531" w:name="_Toc9509094"/>
      <w:r w:rsidRPr="00241FE7">
        <w:rPr>
          <w:b/>
        </w:rPr>
        <w:t>Table 8</w:t>
      </w:r>
      <w:r w:rsidR="00A25A10" w:rsidRPr="00241FE7">
        <w:rPr>
          <w:b/>
        </w:rPr>
        <w:t>-</w:t>
      </w:r>
      <w:r w:rsidRPr="00241FE7">
        <w:rPr>
          <w:b/>
        </w:rPr>
        <w:t>9. Acceptable intervention content, setting and method</w:t>
      </w:r>
      <w:bookmarkEnd w:id="531"/>
    </w:p>
    <w:tbl>
      <w:tblPr>
        <w:tblW w:w="9280" w:type="dxa"/>
        <w:tblLayout w:type="fixed"/>
        <w:tblLook w:val="04A0" w:firstRow="1" w:lastRow="0" w:firstColumn="1" w:lastColumn="0" w:noHBand="0" w:noVBand="1"/>
      </w:tblPr>
      <w:tblGrid>
        <w:gridCol w:w="2188"/>
        <w:gridCol w:w="846"/>
        <w:gridCol w:w="4080"/>
        <w:gridCol w:w="1271"/>
        <w:gridCol w:w="895"/>
      </w:tblGrid>
      <w:tr w:rsidR="00EB21C3" w:rsidRPr="00EB21C3" w14:paraId="571B20EF" w14:textId="77777777" w:rsidTr="00461C9A">
        <w:trPr>
          <w:trHeight w:val="290"/>
        </w:trPr>
        <w:tc>
          <w:tcPr>
            <w:tcW w:w="2188" w:type="dxa"/>
            <w:tcBorders>
              <w:top w:val="single" w:sz="4" w:space="0" w:color="auto"/>
              <w:bottom w:val="single" w:sz="4" w:space="0" w:color="auto"/>
            </w:tcBorders>
            <w:shd w:val="clear" w:color="auto" w:fill="auto"/>
            <w:noWrap/>
            <w:vAlign w:val="center"/>
          </w:tcPr>
          <w:p w14:paraId="5A83AABF" w14:textId="77777777" w:rsidR="00EB21C3" w:rsidRPr="00EB21C3" w:rsidRDefault="00EB21C3" w:rsidP="00461C9A">
            <w:pPr>
              <w:spacing w:before="120" w:after="0" w:line="360" w:lineRule="auto"/>
              <w:rPr>
                <w:b/>
                <w:color w:val="000000"/>
                <w:lang w:eastAsia="en-GB"/>
              </w:rPr>
            </w:pPr>
            <w:r w:rsidRPr="00EB21C3">
              <w:rPr>
                <w:b/>
                <w:color w:val="000000"/>
                <w:lang w:eastAsia="en-GB"/>
              </w:rPr>
              <w:t>Theme</w:t>
            </w:r>
          </w:p>
        </w:tc>
        <w:tc>
          <w:tcPr>
            <w:tcW w:w="846" w:type="dxa"/>
            <w:tcBorders>
              <w:top w:val="single" w:sz="4" w:space="0" w:color="auto"/>
              <w:bottom w:val="single" w:sz="4" w:space="0" w:color="auto"/>
            </w:tcBorders>
            <w:shd w:val="clear" w:color="auto" w:fill="auto"/>
            <w:vAlign w:val="center"/>
          </w:tcPr>
          <w:p w14:paraId="083A559B" w14:textId="77777777" w:rsidR="00EB21C3" w:rsidRPr="00EB21C3" w:rsidRDefault="00EB21C3" w:rsidP="00461C9A">
            <w:pPr>
              <w:spacing w:before="120" w:after="0" w:line="360" w:lineRule="auto"/>
              <w:rPr>
                <w:b/>
                <w:color w:val="000000"/>
                <w:lang w:eastAsia="en-GB"/>
              </w:rPr>
            </w:pPr>
          </w:p>
        </w:tc>
        <w:tc>
          <w:tcPr>
            <w:tcW w:w="4080" w:type="dxa"/>
            <w:tcBorders>
              <w:top w:val="single" w:sz="4" w:space="0" w:color="auto"/>
              <w:bottom w:val="single" w:sz="4" w:space="0" w:color="auto"/>
            </w:tcBorders>
            <w:shd w:val="clear" w:color="auto" w:fill="auto"/>
            <w:vAlign w:val="center"/>
          </w:tcPr>
          <w:p w14:paraId="40F2C438" w14:textId="77777777" w:rsidR="00EB21C3" w:rsidRPr="00EB21C3" w:rsidRDefault="00EB21C3" w:rsidP="00461C9A">
            <w:pPr>
              <w:spacing w:before="120" w:after="0" w:line="360" w:lineRule="auto"/>
              <w:rPr>
                <w:b/>
                <w:color w:val="000000"/>
                <w:lang w:eastAsia="en-GB"/>
              </w:rPr>
            </w:pPr>
            <w:r w:rsidRPr="00EB21C3">
              <w:rPr>
                <w:b/>
                <w:color w:val="000000"/>
                <w:lang w:eastAsia="en-GB"/>
              </w:rPr>
              <w:t>Statements/beliefs</w:t>
            </w:r>
          </w:p>
        </w:tc>
        <w:tc>
          <w:tcPr>
            <w:tcW w:w="1271" w:type="dxa"/>
            <w:tcBorders>
              <w:top w:val="single" w:sz="4" w:space="0" w:color="auto"/>
              <w:bottom w:val="single" w:sz="4" w:space="0" w:color="auto"/>
            </w:tcBorders>
            <w:vAlign w:val="center"/>
          </w:tcPr>
          <w:p w14:paraId="3C5E78ED" w14:textId="77777777" w:rsidR="00EB21C3" w:rsidRPr="00EB21C3" w:rsidRDefault="00EB21C3" w:rsidP="00461C9A">
            <w:pPr>
              <w:spacing w:before="120" w:after="0" w:line="360" w:lineRule="auto"/>
              <w:rPr>
                <w:b/>
                <w:color w:val="000000"/>
                <w:lang w:eastAsia="en-GB"/>
              </w:rPr>
            </w:pPr>
            <w:r w:rsidRPr="00EB21C3">
              <w:rPr>
                <w:b/>
                <w:color w:val="000000"/>
                <w:lang w:eastAsia="en-GB"/>
              </w:rPr>
              <w:t>FGs</w:t>
            </w:r>
          </w:p>
        </w:tc>
        <w:tc>
          <w:tcPr>
            <w:tcW w:w="895" w:type="dxa"/>
            <w:tcBorders>
              <w:top w:val="single" w:sz="4" w:space="0" w:color="auto"/>
              <w:bottom w:val="single" w:sz="4" w:space="0" w:color="auto"/>
            </w:tcBorders>
            <w:shd w:val="clear" w:color="auto" w:fill="auto"/>
            <w:vAlign w:val="center"/>
          </w:tcPr>
          <w:p w14:paraId="0F51FB1C" w14:textId="77777777" w:rsidR="00EB21C3" w:rsidRPr="00EB21C3" w:rsidRDefault="00EB21C3" w:rsidP="00461C9A">
            <w:pPr>
              <w:spacing w:before="120" w:after="0" w:line="360" w:lineRule="auto"/>
              <w:rPr>
                <w:b/>
                <w:color w:val="000000"/>
                <w:lang w:eastAsia="en-GB"/>
              </w:rPr>
            </w:pPr>
            <w:r w:rsidRPr="00EB21C3">
              <w:rPr>
                <w:b/>
                <w:color w:val="000000"/>
                <w:lang w:eastAsia="en-GB"/>
              </w:rPr>
              <w:t xml:space="preserve">Refs   </w:t>
            </w:r>
          </w:p>
        </w:tc>
      </w:tr>
      <w:tr w:rsidR="00EB21C3" w:rsidRPr="00EB21C3" w14:paraId="5988ECBD" w14:textId="77777777" w:rsidTr="00EB21C3">
        <w:trPr>
          <w:trHeight w:val="77"/>
        </w:trPr>
        <w:tc>
          <w:tcPr>
            <w:tcW w:w="7114" w:type="dxa"/>
            <w:gridSpan w:val="3"/>
            <w:tcBorders>
              <w:top w:val="single" w:sz="4" w:space="0" w:color="auto"/>
            </w:tcBorders>
            <w:shd w:val="clear" w:color="auto" w:fill="auto"/>
            <w:noWrap/>
            <w:vAlign w:val="bottom"/>
          </w:tcPr>
          <w:p w14:paraId="46CB60C4" w14:textId="77777777" w:rsidR="00EB21C3" w:rsidRPr="00EB21C3" w:rsidRDefault="00EB21C3" w:rsidP="00461C9A">
            <w:pPr>
              <w:spacing w:after="0" w:line="360" w:lineRule="auto"/>
              <w:rPr>
                <w:b/>
                <w:color w:val="000000"/>
                <w:sz w:val="2"/>
                <w:szCs w:val="2"/>
                <w:lang w:eastAsia="en-GB"/>
              </w:rPr>
            </w:pPr>
            <w:r w:rsidRPr="00EB21C3">
              <w:rPr>
                <w:b/>
                <w:color w:val="FFFFFF" w:themeColor="background1"/>
                <w:sz w:val="2"/>
                <w:szCs w:val="2"/>
                <w:lang w:eastAsia="en-GB"/>
              </w:rPr>
              <w:t>N</w:t>
            </w:r>
          </w:p>
        </w:tc>
        <w:tc>
          <w:tcPr>
            <w:tcW w:w="1271" w:type="dxa"/>
            <w:tcBorders>
              <w:top w:val="single" w:sz="4" w:space="0" w:color="auto"/>
            </w:tcBorders>
          </w:tcPr>
          <w:p w14:paraId="034C2748" w14:textId="77777777" w:rsidR="00EB21C3" w:rsidRPr="00EB21C3" w:rsidRDefault="00EB21C3" w:rsidP="00461C9A">
            <w:pPr>
              <w:spacing w:after="0" w:line="360" w:lineRule="auto"/>
              <w:rPr>
                <w:b/>
                <w:color w:val="000000"/>
                <w:sz w:val="2"/>
                <w:szCs w:val="2"/>
                <w:lang w:eastAsia="en-GB"/>
              </w:rPr>
            </w:pPr>
          </w:p>
        </w:tc>
        <w:tc>
          <w:tcPr>
            <w:tcW w:w="895" w:type="dxa"/>
            <w:tcBorders>
              <w:top w:val="single" w:sz="4" w:space="0" w:color="auto"/>
            </w:tcBorders>
            <w:shd w:val="clear" w:color="auto" w:fill="auto"/>
            <w:vAlign w:val="bottom"/>
          </w:tcPr>
          <w:p w14:paraId="1B8BB419" w14:textId="77777777" w:rsidR="00EB21C3" w:rsidRPr="00EB21C3" w:rsidRDefault="00EB21C3" w:rsidP="00461C9A">
            <w:pPr>
              <w:spacing w:after="0" w:line="360" w:lineRule="auto"/>
              <w:rPr>
                <w:b/>
                <w:color w:val="000000"/>
                <w:sz w:val="2"/>
                <w:szCs w:val="2"/>
                <w:lang w:eastAsia="en-GB"/>
              </w:rPr>
            </w:pPr>
          </w:p>
        </w:tc>
      </w:tr>
      <w:tr w:rsidR="00EB21C3" w:rsidRPr="00EB21C3" w14:paraId="276F9635" w14:textId="77777777" w:rsidTr="00EB21C3">
        <w:trPr>
          <w:trHeight w:val="290"/>
        </w:trPr>
        <w:tc>
          <w:tcPr>
            <w:tcW w:w="2188" w:type="dxa"/>
            <w:shd w:val="clear" w:color="auto" w:fill="auto"/>
            <w:noWrap/>
            <w:vAlign w:val="bottom"/>
          </w:tcPr>
          <w:p w14:paraId="74EEEE57" w14:textId="77777777" w:rsidR="00EB21C3" w:rsidRPr="00EB21C3" w:rsidRDefault="00EB21C3" w:rsidP="00461C9A">
            <w:pPr>
              <w:spacing w:after="0" w:line="360" w:lineRule="auto"/>
              <w:rPr>
                <w:sz w:val="20"/>
                <w:szCs w:val="20"/>
                <w:lang w:eastAsia="en-GB"/>
              </w:rPr>
            </w:pPr>
            <w:r w:rsidRPr="00EB21C3">
              <w:rPr>
                <w:b/>
                <w:lang w:eastAsia="en-GB"/>
              </w:rPr>
              <w:t xml:space="preserve">Content </w:t>
            </w:r>
          </w:p>
        </w:tc>
        <w:tc>
          <w:tcPr>
            <w:tcW w:w="846" w:type="dxa"/>
            <w:shd w:val="clear" w:color="auto" w:fill="auto"/>
            <w:vAlign w:val="center"/>
          </w:tcPr>
          <w:p w14:paraId="0D3A7E16" w14:textId="77777777" w:rsidR="00EB21C3" w:rsidRPr="00EB21C3" w:rsidRDefault="00EB21C3" w:rsidP="00461C9A">
            <w:pPr>
              <w:spacing w:after="0" w:line="360" w:lineRule="auto"/>
              <w:jc w:val="right"/>
              <w:rPr>
                <w:b/>
                <w:sz w:val="20"/>
                <w:szCs w:val="20"/>
                <w:lang w:eastAsia="en-GB"/>
              </w:rPr>
            </w:pPr>
            <w:r w:rsidRPr="00EB21C3">
              <w:rPr>
                <w:b/>
                <w:color w:val="000000"/>
                <w:lang w:eastAsia="en-GB"/>
              </w:rPr>
              <w:t>67</w:t>
            </w:r>
          </w:p>
        </w:tc>
        <w:tc>
          <w:tcPr>
            <w:tcW w:w="4080" w:type="dxa"/>
            <w:shd w:val="clear" w:color="auto" w:fill="auto"/>
            <w:noWrap/>
            <w:vAlign w:val="bottom"/>
          </w:tcPr>
          <w:p w14:paraId="1803DCD9" w14:textId="77777777" w:rsidR="00EB21C3" w:rsidRPr="00EB21C3" w:rsidRDefault="00EB21C3" w:rsidP="00461C9A">
            <w:pPr>
              <w:spacing w:after="0" w:line="360" w:lineRule="auto"/>
              <w:rPr>
                <w:color w:val="000000"/>
                <w:lang w:eastAsia="en-GB"/>
              </w:rPr>
            </w:pPr>
            <w:r w:rsidRPr="00EB21C3">
              <w:rPr>
                <w:color w:val="000000"/>
                <w:lang w:eastAsia="en-GB"/>
              </w:rPr>
              <w:t>Bad chemicals</w:t>
            </w:r>
          </w:p>
        </w:tc>
        <w:tc>
          <w:tcPr>
            <w:tcW w:w="1271" w:type="dxa"/>
          </w:tcPr>
          <w:p w14:paraId="673C35EA" w14:textId="77777777" w:rsidR="00EB21C3" w:rsidRPr="00EB21C3" w:rsidRDefault="00EB21C3" w:rsidP="00461C9A">
            <w:pPr>
              <w:spacing w:after="0" w:line="360" w:lineRule="auto"/>
              <w:rPr>
                <w:color w:val="000000"/>
                <w:lang w:eastAsia="en-GB"/>
              </w:rPr>
            </w:pPr>
            <w:r w:rsidRPr="00EB21C3">
              <w:rPr>
                <w:color w:val="000000"/>
                <w:lang w:eastAsia="en-GB"/>
              </w:rPr>
              <w:t>3</w:t>
            </w:r>
          </w:p>
        </w:tc>
        <w:tc>
          <w:tcPr>
            <w:tcW w:w="895" w:type="dxa"/>
            <w:shd w:val="clear" w:color="auto" w:fill="auto"/>
            <w:vAlign w:val="bottom"/>
          </w:tcPr>
          <w:p w14:paraId="0BED3DFC" w14:textId="77777777" w:rsidR="00EB21C3" w:rsidRPr="00EB21C3" w:rsidRDefault="00EB21C3" w:rsidP="00461C9A">
            <w:pPr>
              <w:spacing w:after="0" w:line="360" w:lineRule="auto"/>
              <w:rPr>
                <w:color w:val="000000"/>
                <w:lang w:eastAsia="en-GB"/>
              </w:rPr>
            </w:pPr>
            <w:r w:rsidRPr="00EB21C3">
              <w:rPr>
                <w:color w:val="000000"/>
                <w:lang w:eastAsia="en-GB"/>
              </w:rPr>
              <w:t>27</w:t>
            </w:r>
          </w:p>
        </w:tc>
      </w:tr>
      <w:tr w:rsidR="00EB21C3" w:rsidRPr="00EB21C3" w14:paraId="2DD6D514" w14:textId="77777777" w:rsidTr="00EB21C3">
        <w:trPr>
          <w:trHeight w:val="290"/>
        </w:trPr>
        <w:tc>
          <w:tcPr>
            <w:tcW w:w="2188" w:type="dxa"/>
            <w:shd w:val="clear" w:color="auto" w:fill="auto"/>
            <w:noWrap/>
            <w:vAlign w:val="bottom"/>
          </w:tcPr>
          <w:p w14:paraId="7EE248CA" w14:textId="77777777" w:rsidR="00EB21C3" w:rsidRPr="00EB21C3" w:rsidRDefault="00EB21C3" w:rsidP="00461C9A">
            <w:pPr>
              <w:spacing w:after="0" w:line="360" w:lineRule="auto"/>
              <w:rPr>
                <w:b/>
                <w:lang w:eastAsia="en-GB"/>
              </w:rPr>
            </w:pPr>
          </w:p>
        </w:tc>
        <w:tc>
          <w:tcPr>
            <w:tcW w:w="846" w:type="dxa"/>
            <w:shd w:val="clear" w:color="auto" w:fill="auto"/>
            <w:vAlign w:val="center"/>
          </w:tcPr>
          <w:p w14:paraId="4A0F6FE8" w14:textId="77777777" w:rsidR="00EB21C3" w:rsidRPr="00EB21C3" w:rsidRDefault="00EB21C3" w:rsidP="00461C9A">
            <w:pPr>
              <w:spacing w:after="0" w:line="360" w:lineRule="auto"/>
              <w:jc w:val="right"/>
              <w:rPr>
                <w:b/>
                <w:color w:val="000000"/>
                <w:lang w:eastAsia="en-GB"/>
              </w:rPr>
            </w:pPr>
          </w:p>
        </w:tc>
        <w:tc>
          <w:tcPr>
            <w:tcW w:w="4080" w:type="dxa"/>
            <w:shd w:val="clear" w:color="auto" w:fill="auto"/>
            <w:noWrap/>
            <w:vAlign w:val="bottom"/>
          </w:tcPr>
          <w:p w14:paraId="4D45014E" w14:textId="77777777" w:rsidR="00EB21C3" w:rsidRPr="00EB21C3" w:rsidRDefault="00EB21C3" w:rsidP="00461C9A">
            <w:pPr>
              <w:spacing w:after="0" w:line="360" w:lineRule="auto"/>
              <w:rPr>
                <w:color w:val="000000"/>
                <w:lang w:eastAsia="en-GB"/>
              </w:rPr>
            </w:pPr>
            <w:r w:rsidRPr="00EB21C3">
              <w:rPr>
                <w:color w:val="000000"/>
                <w:lang w:eastAsia="en-GB"/>
              </w:rPr>
              <w:t>Risk information</w:t>
            </w:r>
          </w:p>
        </w:tc>
        <w:tc>
          <w:tcPr>
            <w:tcW w:w="1271" w:type="dxa"/>
          </w:tcPr>
          <w:p w14:paraId="6B4FE7FF" w14:textId="77777777" w:rsidR="00EB21C3" w:rsidRPr="00EB21C3" w:rsidRDefault="00EB21C3" w:rsidP="00461C9A">
            <w:pPr>
              <w:spacing w:after="0" w:line="360" w:lineRule="auto"/>
              <w:rPr>
                <w:color w:val="000000"/>
                <w:lang w:eastAsia="en-GB"/>
              </w:rPr>
            </w:pPr>
            <w:r w:rsidRPr="00EB21C3">
              <w:rPr>
                <w:color w:val="000000"/>
                <w:lang w:eastAsia="en-GB"/>
              </w:rPr>
              <w:t>3</w:t>
            </w:r>
          </w:p>
        </w:tc>
        <w:tc>
          <w:tcPr>
            <w:tcW w:w="895" w:type="dxa"/>
            <w:shd w:val="clear" w:color="auto" w:fill="auto"/>
            <w:vAlign w:val="bottom"/>
          </w:tcPr>
          <w:p w14:paraId="73841998" w14:textId="77777777" w:rsidR="00EB21C3" w:rsidRPr="00EB21C3" w:rsidRDefault="00EB21C3" w:rsidP="00461C9A">
            <w:pPr>
              <w:spacing w:after="0" w:line="360" w:lineRule="auto"/>
              <w:rPr>
                <w:color w:val="000000"/>
                <w:lang w:eastAsia="en-GB"/>
              </w:rPr>
            </w:pPr>
            <w:r w:rsidRPr="00EB21C3">
              <w:rPr>
                <w:color w:val="000000"/>
                <w:lang w:eastAsia="en-GB"/>
              </w:rPr>
              <w:t>15</w:t>
            </w:r>
          </w:p>
        </w:tc>
      </w:tr>
      <w:tr w:rsidR="00EB21C3" w:rsidRPr="00EB21C3" w14:paraId="777CC24D" w14:textId="77777777" w:rsidTr="00EB21C3">
        <w:trPr>
          <w:trHeight w:val="290"/>
        </w:trPr>
        <w:tc>
          <w:tcPr>
            <w:tcW w:w="2188" w:type="dxa"/>
            <w:shd w:val="clear" w:color="auto" w:fill="auto"/>
            <w:noWrap/>
            <w:vAlign w:val="bottom"/>
          </w:tcPr>
          <w:p w14:paraId="25B939A8" w14:textId="77777777" w:rsidR="00EB21C3" w:rsidRPr="00EB21C3" w:rsidRDefault="00EB21C3" w:rsidP="00461C9A">
            <w:pPr>
              <w:spacing w:after="0" w:line="360" w:lineRule="auto"/>
              <w:rPr>
                <w:b/>
                <w:color w:val="000000"/>
                <w:lang w:eastAsia="en-GB"/>
              </w:rPr>
            </w:pPr>
          </w:p>
        </w:tc>
        <w:tc>
          <w:tcPr>
            <w:tcW w:w="846" w:type="dxa"/>
            <w:shd w:val="clear" w:color="auto" w:fill="auto"/>
            <w:vAlign w:val="bottom"/>
          </w:tcPr>
          <w:p w14:paraId="4DE5B042" w14:textId="77777777" w:rsidR="00EB21C3" w:rsidRPr="00EB21C3" w:rsidRDefault="00EB21C3" w:rsidP="00461C9A">
            <w:pPr>
              <w:spacing w:after="0" w:line="360" w:lineRule="auto"/>
              <w:rPr>
                <w:b/>
                <w:szCs w:val="20"/>
                <w:lang w:eastAsia="en-GB"/>
              </w:rPr>
            </w:pPr>
          </w:p>
        </w:tc>
        <w:tc>
          <w:tcPr>
            <w:tcW w:w="4080" w:type="dxa"/>
            <w:shd w:val="clear" w:color="auto" w:fill="auto"/>
            <w:noWrap/>
            <w:vAlign w:val="bottom"/>
          </w:tcPr>
          <w:p w14:paraId="7FA79FBA" w14:textId="77777777" w:rsidR="00EB21C3" w:rsidRPr="00EB21C3" w:rsidRDefault="00EB21C3" w:rsidP="00461C9A">
            <w:pPr>
              <w:spacing w:after="0" w:line="360" w:lineRule="auto"/>
              <w:rPr>
                <w:color w:val="000000"/>
                <w:lang w:eastAsia="en-GB"/>
              </w:rPr>
            </w:pPr>
            <w:r w:rsidRPr="00EB21C3">
              <w:rPr>
                <w:color w:val="000000"/>
                <w:lang w:eastAsia="en-GB"/>
              </w:rPr>
              <w:t>Harm-reduction information</w:t>
            </w:r>
          </w:p>
        </w:tc>
        <w:tc>
          <w:tcPr>
            <w:tcW w:w="1271" w:type="dxa"/>
          </w:tcPr>
          <w:p w14:paraId="5CA794E9"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24088FAE" w14:textId="77777777" w:rsidR="00EB21C3" w:rsidRPr="00EB21C3" w:rsidRDefault="00EB21C3" w:rsidP="00461C9A">
            <w:pPr>
              <w:spacing w:after="0" w:line="360" w:lineRule="auto"/>
              <w:rPr>
                <w:color w:val="000000"/>
                <w:lang w:eastAsia="en-GB"/>
              </w:rPr>
            </w:pPr>
            <w:r w:rsidRPr="00EB21C3">
              <w:rPr>
                <w:color w:val="000000"/>
                <w:lang w:eastAsia="en-GB"/>
              </w:rPr>
              <w:t>9</w:t>
            </w:r>
          </w:p>
        </w:tc>
      </w:tr>
      <w:tr w:rsidR="00EB21C3" w:rsidRPr="00EB21C3" w14:paraId="37435391" w14:textId="77777777" w:rsidTr="00EB21C3">
        <w:trPr>
          <w:trHeight w:val="290"/>
        </w:trPr>
        <w:tc>
          <w:tcPr>
            <w:tcW w:w="2188" w:type="dxa"/>
            <w:shd w:val="clear" w:color="auto" w:fill="auto"/>
            <w:noWrap/>
            <w:vAlign w:val="bottom"/>
          </w:tcPr>
          <w:p w14:paraId="0836F7BE"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3FCAD990" w14:textId="77777777" w:rsidR="00EB21C3" w:rsidRPr="00EB21C3" w:rsidRDefault="00EB21C3" w:rsidP="00461C9A">
            <w:pPr>
              <w:spacing w:after="0" w:line="360" w:lineRule="auto"/>
              <w:jc w:val="right"/>
              <w:rPr>
                <w:b/>
                <w:szCs w:val="20"/>
                <w:lang w:eastAsia="en-GB"/>
              </w:rPr>
            </w:pPr>
          </w:p>
        </w:tc>
        <w:tc>
          <w:tcPr>
            <w:tcW w:w="4080" w:type="dxa"/>
            <w:shd w:val="clear" w:color="auto" w:fill="auto"/>
            <w:noWrap/>
            <w:vAlign w:val="bottom"/>
          </w:tcPr>
          <w:p w14:paraId="64094339" w14:textId="77777777" w:rsidR="00EB21C3" w:rsidRPr="00EB21C3" w:rsidRDefault="00EB21C3" w:rsidP="00461C9A">
            <w:pPr>
              <w:spacing w:after="0" w:line="360" w:lineRule="auto"/>
              <w:rPr>
                <w:color w:val="000000"/>
                <w:lang w:eastAsia="en-GB"/>
              </w:rPr>
            </w:pPr>
            <w:r w:rsidRPr="00EB21C3">
              <w:rPr>
                <w:color w:val="000000"/>
                <w:lang w:eastAsia="en-GB"/>
              </w:rPr>
              <w:t>Legal status</w:t>
            </w:r>
          </w:p>
        </w:tc>
        <w:tc>
          <w:tcPr>
            <w:tcW w:w="1271" w:type="dxa"/>
          </w:tcPr>
          <w:p w14:paraId="5264E0B6" w14:textId="77777777" w:rsidR="00EB21C3" w:rsidRPr="00EB21C3" w:rsidRDefault="00EB21C3" w:rsidP="00461C9A">
            <w:pPr>
              <w:spacing w:after="0" w:line="360" w:lineRule="auto"/>
              <w:rPr>
                <w:color w:val="000000"/>
                <w:lang w:eastAsia="en-GB"/>
              </w:rPr>
            </w:pPr>
            <w:r w:rsidRPr="00EB21C3">
              <w:rPr>
                <w:color w:val="000000"/>
                <w:lang w:eastAsia="en-GB"/>
              </w:rPr>
              <w:t>3</w:t>
            </w:r>
          </w:p>
        </w:tc>
        <w:tc>
          <w:tcPr>
            <w:tcW w:w="895" w:type="dxa"/>
            <w:shd w:val="clear" w:color="auto" w:fill="auto"/>
            <w:vAlign w:val="bottom"/>
          </w:tcPr>
          <w:p w14:paraId="030D7B64" w14:textId="77777777" w:rsidR="00EB21C3" w:rsidRPr="00EB21C3" w:rsidRDefault="00EB21C3" w:rsidP="00461C9A">
            <w:pPr>
              <w:spacing w:after="0" w:line="360" w:lineRule="auto"/>
              <w:rPr>
                <w:color w:val="000000"/>
                <w:lang w:eastAsia="en-GB"/>
              </w:rPr>
            </w:pPr>
            <w:r w:rsidRPr="00EB21C3">
              <w:rPr>
                <w:color w:val="000000"/>
                <w:lang w:eastAsia="en-GB"/>
              </w:rPr>
              <w:t>8</w:t>
            </w:r>
          </w:p>
        </w:tc>
      </w:tr>
      <w:tr w:rsidR="00EB21C3" w:rsidRPr="00EB21C3" w14:paraId="0C2E597B" w14:textId="77777777" w:rsidTr="00EB21C3">
        <w:trPr>
          <w:trHeight w:val="290"/>
        </w:trPr>
        <w:tc>
          <w:tcPr>
            <w:tcW w:w="2188" w:type="dxa"/>
            <w:shd w:val="clear" w:color="auto" w:fill="auto"/>
            <w:noWrap/>
            <w:vAlign w:val="bottom"/>
          </w:tcPr>
          <w:p w14:paraId="2CE9A9E9"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1B281E06" w14:textId="77777777" w:rsidR="00EB21C3" w:rsidRPr="00EB21C3" w:rsidRDefault="00EB21C3" w:rsidP="00461C9A">
            <w:pPr>
              <w:spacing w:after="0" w:line="360" w:lineRule="auto"/>
              <w:jc w:val="right"/>
              <w:rPr>
                <w:b/>
                <w:szCs w:val="20"/>
                <w:lang w:eastAsia="en-GB"/>
              </w:rPr>
            </w:pPr>
          </w:p>
        </w:tc>
        <w:tc>
          <w:tcPr>
            <w:tcW w:w="4080" w:type="dxa"/>
            <w:shd w:val="clear" w:color="auto" w:fill="auto"/>
            <w:noWrap/>
            <w:vAlign w:val="bottom"/>
          </w:tcPr>
          <w:p w14:paraId="6D147F81" w14:textId="77777777" w:rsidR="00EB21C3" w:rsidRPr="00EB21C3" w:rsidRDefault="00EB21C3" w:rsidP="00461C9A">
            <w:pPr>
              <w:spacing w:after="0" w:line="360" w:lineRule="auto"/>
              <w:rPr>
                <w:color w:val="000000"/>
                <w:lang w:eastAsia="en-GB"/>
              </w:rPr>
            </w:pPr>
            <w:r w:rsidRPr="00EB21C3">
              <w:rPr>
                <w:color w:val="000000"/>
                <w:lang w:eastAsia="en-GB"/>
              </w:rPr>
              <w:t>Drug effects</w:t>
            </w:r>
          </w:p>
        </w:tc>
        <w:tc>
          <w:tcPr>
            <w:tcW w:w="1271" w:type="dxa"/>
          </w:tcPr>
          <w:p w14:paraId="466C61F6" w14:textId="77777777" w:rsidR="00EB21C3" w:rsidRPr="00EB21C3" w:rsidRDefault="00EB21C3" w:rsidP="00461C9A">
            <w:pPr>
              <w:spacing w:after="0" w:line="360" w:lineRule="auto"/>
              <w:rPr>
                <w:color w:val="000000"/>
                <w:lang w:eastAsia="en-GB"/>
              </w:rPr>
            </w:pPr>
            <w:r w:rsidRPr="00EB21C3">
              <w:rPr>
                <w:color w:val="000000"/>
                <w:lang w:eastAsia="en-GB"/>
              </w:rPr>
              <w:t>1</w:t>
            </w:r>
          </w:p>
        </w:tc>
        <w:tc>
          <w:tcPr>
            <w:tcW w:w="895" w:type="dxa"/>
            <w:shd w:val="clear" w:color="auto" w:fill="auto"/>
            <w:vAlign w:val="bottom"/>
          </w:tcPr>
          <w:p w14:paraId="46F6FC00" w14:textId="77777777" w:rsidR="00EB21C3" w:rsidRPr="00EB21C3" w:rsidRDefault="00EB21C3" w:rsidP="00461C9A">
            <w:pPr>
              <w:spacing w:after="0" w:line="360" w:lineRule="auto"/>
              <w:rPr>
                <w:color w:val="000000"/>
                <w:lang w:eastAsia="en-GB"/>
              </w:rPr>
            </w:pPr>
            <w:r w:rsidRPr="00EB21C3">
              <w:rPr>
                <w:color w:val="000000"/>
                <w:lang w:eastAsia="en-GB"/>
              </w:rPr>
              <w:t>4</w:t>
            </w:r>
          </w:p>
        </w:tc>
      </w:tr>
      <w:tr w:rsidR="00EB21C3" w:rsidRPr="00EB21C3" w14:paraId="776CD0C1" w14:textId="77777777" w:rsidTr="00EB21C3">
        <w:trPr>
          <w:trHeight w:val="290"/>
        </w:trPr>
        <w:tc>
          <w:tcPr>
            <w:tcW w:w="2188" w:type="dxa"/>
            <w:shd w:val="clear" w:color="auto" w:fill="auto"/>
            <w:noWrap/>
            <w:vAlign w:val="bottom"/>
          </w:tcPr>
          <w:p w14:paraId="692B701D"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4278FDB9" w14:textId="77777777" w:rsidR="00EB21C3" w:rsidRPr="00EB21C3" w:rsidRDefault="00EB21C3" w:rsidP="00461C9A">
            <w:pPr>
              <w:spacing w:after="0" w:line="360" w:lineRule="auto"/>
              <w:jc w:val="right"/>
              <w:rPr>
                <w:b/>
                <w:szCs w:val="20"/>
                <w:lang w:eastAsia="en-GB"/>
              </w:rPr>
            </w:pPr>
          </w:p>
        </w:tc>
        <w:tc>
          <w:tcPr>
            <w:tcW w:w="4080" w:type="dxa"/>
            <w:shd w:val="clear" w:color="auto" w:fill="auto"/>
            <w:noWrap/>
            <w:vAlign w:val="bottom"/>
          </w:tcPr>
          <w:p w14:paraId="36AA7F58" w14:textId="77777777" w:rsidR="00EB21C3" w:rsidRPr="00EB21C3" w:rsidRDefault="00EB21C3" w:rsidP="00461C9A">
            <w:pPr>
              <w:spacing w:after="0" w:line="360" w:lineRule="auto"/>
              <w:rPr>
                <w:color w:val="000000"/>
                <w:lang w:eastAsia="en-GB"/>
              </w:rPr>
            </w:pPr>
            <w:r w:rsidRPr="00EB21C3">
              <w:rPr>
                <w:color w:val="000000"/>
                <w:lang w:eastAsia="en-GB"/>
              </w:rPr>
              <w:t>Identity</w:t>
            </w:r>
          </w:p>
        </w:tc>
        <w:tc>
          <w:tcPr>
            <w:tcW w:w="1271" w:type="dxa"/>
          </w:tcPr>
          <w:p w14:paraId="45E42457" w14:textId="77777777" w:rsidR="00EB21C3" w:rsidRPr="00EB21C3" w:rsidRDefault="00EB21C3" w:rsidP="00461C9A">
            <w:pPr>
              <w:spacing w:after="0" w:line="360" w:lineRule="auto"/>
              <w:rPr>
                <w:color w:val="000000"/>
                <w:lang w:eastAsia="en-GB"/>
              </w:rPr>
            </w:pPr>
            <w:r w:rsidRPr="00EB21C3">
              <w:rPr>
                <w:color w:val="000000"/>
                <w:lang w:eastAsia="en-GB"/>
              </w:rPr>
              <w:t>1</w:t>
            </w:r>
          </w:p>
        </w:tc>
        <w:tc>
          <w:tcPr>
            <w:tcW w:w="895" w:type="dxa"/>
            <w:shd w:val="clear" w:color="auto" w:fill="auto"/>
            <w:vAlign w:val="bottom"/>
          </w:tcPr>
          <w:p w14:paraId="5C53017C" w14:textId="77777777" w:rsidR="00EB21C3" w:rsidRPr="00EB21C3" w:rsidRDefault="00EB21C3" w:rsidP="00461C9A">
            <w:pPr>
              <w:spacing w:after="0" w:line="360" w:lineRule="auto"/>
              <w:rPr>
                <w:color w:val="000000"/>
                <w:lang w:eastAsia="en-GB"/>
              </w:rPr>
            </w:pPr>
            <w:r w:rsidRPr="00EB21C3">
              <w:rPr>
                <w:color w:val="000000"/>
                <w:lang w:eastAsia="en-GB"/>
              </w:rPr>
              <w:t>3</w:t>
            </w:r>
          </w:p>
        </w:tc>
      </w:tr>
      <w:tr w:rsidR="00EB21C3" w:rsidRPr="00EB21C3" w14:paraId="392C310C" w14:textId="77777777" w:rsidTr="00EB21C3">
        <w:trPr>
          <w:trHeight w:val="77"/>
        </w:trPr>
        <w:tc>
          <w:tcPr>
            <w:tcW w:w="7114" w:type="dxa"/>
            <w:gridSpan w:val="3"/>
            <w:tcBorders>
              <w:bottom w:val="single" w:sz="4" w:space="0" w:color="auto"/>
            </w:tcBorders>
            <w:shd w:val="clear" w:color="auto" w:fill="auto"/>
            <w:noWrap/>
            <w:vAlign w:val="bottom"/>
          </w:tcPr>
          <w:p w14:paraId="24916CBC" w14:textId="77777777" w:rsidR="00EB21C3" w:rsidRPr="00EB21C3" w:rsidRDefault="00EB21C3" w:rsidP="00461C9A">
            <w:pPr>
              <w:spacing w:after="0" w:line="360" w:lineRule="auto"/>
              <w:rPr>
                <w:b/>
                <w:color w:val="FFFFFF" w:themeColor="background1"/>
                <w:sz w:val="2"/>
                <w:szCs w:val="2"/>
                <w:lang w:eastAsia="en-GB"/>
              </w:rPr>
            </w:pPr>
          </w:p>
        </w:tc>
        <w:tc>
          <w:tcPr>
            <w:tcW w:w="1271" w:type="dxa"/>
            <w:tcBorders>
              <w:bottom w:val="single" w:sz="4" w:space="0" w:color="auto"/>
            </w:tcBorders>
          </w:tcPr>
          <w:p w14:paraId="7A051C12" w14:textId="77777777" w:rsidR="00EB21C3" w:rsidRPr="00EB21C3" w:rsidRDefault="00EB21C3" w:rsidP="00461C9A">
            <w:pPr>
              <w:spacing w:after="0" w:line="360" w:lineRule="auto"/>
              <w:rPr>
                <w:b/>
                <w:color w:val="000000"/>
                <w:sz w:val="2"/>
                <w:szCs w:val="2"/>
                <w:lang w:eastAsia="en-GB"/>
              </w:rPr>
            </w:pPr>
          </w:p>
        </w:tc>
        <w:tc>
          <w:tcPr>
            <w:tcW w:w="895" w:type="dxa"/>
            <w:tcBorders>
              <w:bottom w:val="single" w:sz="4" w:space="0" w:color="auto"/>
            </w:tcBorders>
            <w:shd w:val="clear" w:color="auto" w:fill="auto"/>
            <w:vAlign w:val="bottom"/>
          </w:tcPr>
          <w:p w14:paraId="3112CC16" w14:textId="77777777" w:rsidR="00EB21C3" w:rsidRPr="00EB21C3" w:rsidRDefault="00EB21C3" w:rsidP="00461C9A">
            <w:pPr>
              <w:spacing w:after="0" w:line="360" w:lineRule="auto"/>
              <w:rPr>
                <w:b/>
                <w:color w:val="000000"/>
                <w:sz w:val="2"/>
                <w:szCs w:val="2"/>
                <w:lang w:eastAsia="en-GB"/>
              </w:rPr>
            </w:pPr>
          </w:p>
        </w:tc>
      </w:tr>
      <w:tr w:rsidR="00EB21C3" w:rsidRPr="00EB21C3" w14:paraId="6C592DCE" w14:textId="77777777" w:rsidTr="00EB21C3">
        <w:trPr>
          <w:trHeight w:val="70"/>
        </w:trPr>
        <w:tc>
          <w:tcPr>
            <w:tcW w:w="7114" w:type="dxa"/>
            <w:gridSpan w:val="3"/>
            <w:tcBorders>
              <w:top w:val="single" w:sz="4" w:space="0" w:color="auto"/>
            </w:tcBorders>
            <w:shd w:val="clear" w:color="auto" w:fill="auto"/>
            <w:noWrap/>
            <w:vAlign w:val="bottom"/>
          </w:tcPr>
          <w:p w14:paraId="6F627704" w14:textId="77777777" w:rsidR="00EB21C3" w:rsidRPr="00EB21C3" w:rsidRDefault="00EB21C3" w:rsidP="00461C9A">
            <w:pPr>
              <w:spacing w:after="0" w:line="360" w:lineRule="auto"/>
              <w:rPr>
                <w:b/>
                <w:color w:val="000000"/>
                <w:sz w:val="2"/>
                <w:szCs w:val="2"/>
                <w:lang w:eastAsia="en-GB"/>
              </w:rPr>
            </w:pPr>
          </w:p>
        </w:tc>
        <w:tc>
          <w:tcPr>
            <w:tcW w:w="1271" w:type="dxa"/>
            <w:tcBorders>
              <w:top w:val="single" w:sz="4" w:space="0" w:color="auto"/>
            </w:tcBorders>
          </w:tcPr>
          <w:p w14:paraId="2F7CD69B" w14:textId="77777777" w:rsidR="00EB21C3" w:rsidRPr="00EB21C3" w:rsidRDefault="00EB21C3" w:rsidP="00461C9A">
            <w:pPr>
              <w:spacing w:after="0" w:line="360" w:lineRule="auto"/>
              <w:rPr>
                <w:b/>
                <w:color w:val="000000"/>
                <w:sz w:val="2"/>
                <w:szCs w:val="2"/>
                <w:lang w:eastAsia="en-GB"/>
              </w:rPr>
            </w:pPr>
          </w:p>
        </w:tc>
        <w:tc>
          <w:tcPr>
            <w:tcW w:w="895" w:type="dxa"/>
            <w:tcBorders>
              <w:top w:val="single" w:sz="4" w:space="0" w:color="auto"/>
            </w:tcBorders>
            <w:shd w:val="clear" w:color="auto" w:fill="auto"/>
            <w:vAlign w:val="bottom"/>
          </w:tcPr>
          <w:p w14:paraId="6341BF6A" w14:textId="77777777" w:rsidR="00EB21C3" w:rsidRPr="00EB21C3" w:rsidRDefault="00EB21C3" w:rsidP="00461C9A">
            <w:pPr>
              <w:spacing w:after="0" w:line="360" w:lineRule="auto"/>
              <w:rPr>
                <w:b/>
                <w:color w:val="000000"/>
                <w:sz w:val="2"/>
                <w:szCs w:val="2"/>
                <w:lang w:eastAsia="en-GB"/>
              </w:rPr>
            </w:pPr>
          </w:p>
        </w:tc>
      </w:tr>
      <w:tr w:rsidR="00EB21C3" w:rsidRPr="00EB21C3" w14:paraId="0D0EF0E7" w14:textId="77777777" w:rsidTr="00EB21C3">
        <w:trPr>
          <w:trHeight w:val="290"/>
        </w:trPr>
        <w:tc>
          <w:tcPr>
            <w:tcW w:w="2188" w:type="dxa"/>
            <w:shd w:val="clear" w:color="auto" w:fill="auto"/>
            <w:noWrap/>
            <w:vAlign w:val="bottom"/>
          </w:tcPr>
          <w:p w14:paraId="343F320C" w14:textId="77777777" w:rsidR="00EB21C3" w:rsidRPr="00EB21C3" w:rsidRDefault="00EB21C3" w:rsidP="00461C9A">
            <w:pPr>
              <w:spacing w:after="0" w:line="360" w:lineRule="auto"/>
              <w:rPr>
                <w:color w:val="000000"/>
                <w:lang w:eastAsia="en-GB"/>
              </w:rPr>
            </w:pPr>
            <w:r w:rsidRPr="00EB21C3">
              <w:rPr>
                <w:b/>
                <w:color w:val="000000"/>
                <w:lang w:eastAsia="en-GB"/>
              </w:rPr>
              <w:t xml:space="preserve">Setting  </w:t>
            </w:r>
          </w:p>
        </w:tc>
        <w:tc>
          <w:tcPr>
            <w:tcW w:w="846" w:type="dxa"/>
            <w:shd w:val="clear" w:color="auto" w:fill="auto"/>
            <w:vAlign w:val="center"/>
          </w:tcPr>
          <w:p w14:paraId="776FB3B9" w14:textId="77777777" w:rsidR="00EB21C3" w:rsidRPr="00EB21C3" w:rsidRDefault="00EB21C3" w:rsidP="00461C9A">
            <w:pPr>
              <w:spacing w:after="0" w:line="360" w:lineRule="auto"/>
              <w:jc w:val="right"/>
              <w:rPr>
                <w:color w:val="000000"/>
                <w:lang w:eastAsia="en-GB"/>
              </w:rPr>
            </w:pPr>
            <w:r w:rsidRPr="00EB21C3">
              <w:rPr>
                <w:b/>
                <w:color w:val="000000"/>
                <w:lang w:eastAsia="en-GB"/>
              </w:rPr>
              <w:t>33</w:t>
            </w:r>
          </w:p>
        </w:tc>
        <w:tc>
          <w:tcPr>
            <w:tcW w:w="4080" w:type="dxa"/>
            <w:shd w:val="clear" w:color="auto" w:fill="auto"/>
            <w:noWrap/>
            <w:vAlign w:val="bottom"/>
          </w:tcPr>
          <w:p w14:paraId="134EB759" w14:textId="77777777" w:rsidR="00EB21C3" w:rsidRPr="00EB21C3" w:rsidRDefault="00EB21C3" w:rsidP="00461C9A">
            <w:pPr>
              <w:spacing w:after="0" w:line="360" w:lineRule="auto"/>
              <w:rPr>
                <w:color w:val="000000"/>
                <w:lang w:eastAsia="en-GB"/>
              </w:rPr>
            </w:pPr>
            <w:r w:rsidRPr="00EB21C3">
              <w:rPr>
                <w:color w:val="000000"/>
                <w:lang w:eastAsia="en-GB"/>
              </w:rPr>
              <w:t>Social media / documentaries</w:t>
            </w:r>
          </w:p>
        </w:tc>
        <w:tc>
          <w:tcPr>
            <w:tcW w:w="1271" w:type="dxa"/>
          </w:tcPr>
          <w:p w14:paraId="4DDC7D9D" w14:textId="77777777" w:rsidR="00EB21C3" w:rsidRPr="00EB21C3" w:rsidRDefault="00EB21C3" w:rsidP="00461C9A">
            <w:pPr>
              <w:spacing w:after="0" w:line="360" w:lineRule="auto"/>
              <w:rPr>
                <w:color w:val="000000"/>
                <w:lang w:eastAsia="en-GB"/>
              </w:rPr>
            </w:pPr>
            <w:r w:rsidRPr="00EB21C3">
              <w:rPr>
                <w:color w:val="000000"/>
                <w:lang w:eastAsia="en-GB"/>
              </w:rPr>
              <w:t>3</w:t>
            </w:r>
          </w:p>
        </w:tc>
        <w:tc>
          <w:tcPr>
            <w:tcW w:w="895" w:type="dxa"/>
            <w:shd w:val="clear" w:color="auto" w:fill="auto"/>
            <w:vAlign w:val="bottom"/>
          </w:tcPr>
          <w:p w14:paraId="1ECBD74A" w14:textId="77777777" w:rsidR="00EB21C3" w:rsidRPr="00EB21C3" w:rsidRDefault="00EB21C3" w:rsidP="00461C9A">
            <w:pPr>
              <w:spacing w:after="0" w:line="360" w:lineRule="auto"/>
              <w:rPr>
                <w:color w:val="000000"/>
                <w:lang w:eastAsia="en-GB"/>
              </w:rPr>
            </w:pPr>
            <w:r w:rsidRPr="00EB21C3">
              <w:rPr>
                <w:color w:val="000000"/>
                <w:lang w:eastAsia="en-GB"/>
              </w:rPr>
              <w:t>20</w:t>
            </w:r>
          </w:p>
        </w:tc>
      </w:tr>
      <w:tr w:rsidR="00EB21C3" w:rsidRPr="00EB21C3" w14:paraId="0FE9C605" w14:textId="77777777" w:rsidTr="00EB21C3">
        <w:trPr>
          <w:trHeight w:val="290"/>
        </w:trPr>
        <w:tc>
          <w:tcPr>
            <w:tcW w:w="2188" w:type="dxa"/>
            <w:shd w:val="clear" w:color="auto" w:fill="auto"/>
            <w:noWrap/>
            <w:vAlign w:val="bottom"/>
          </w:tcPr>
          <w:p w14:paraId="113C782E"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57DB4145" w14:textId="77777777" w:rsidR="00EB21C3" w:rsidRPr="00EB21C3" w:rsidRDefault="00EB21C3" w:rsidP="00461C9A">
            <w:pPr>
              <w:spacing w:after="0" w:line="360" w:lineRule="auto"/>
              <w:jc w:val="right"/>
              <w:rPr>
                <w:b/>
                <w:color w:val="000000"/>
                <w:lang w:eastAsia="en-GB"/>
              </w:rPr>
            </w:pPr>
          </w:p>
        </w:tc>
        <w:tc>
          <w:tcPr>
            <w:tcW w:w="4080" w:type="dxa"/>
            <w:shd w:val="clear" w:color="auto" w:fill="auto"/>
            <w:noWrap/>
            <w:vAlign w:val="bottom"/>
          </w:tcPr>
          <w:p w14:paraId="1163D5A0" w14:textId="77777777" w:rsidR="00EB21C3" w:rsidRPr="00EB21C3" w:rsidRDefault="00EB21C3" w:rsidP="00461C9A">
            <w:pPr>
              <w:spacing w:after="0" w:line="360" w:lineRule="auto"/>
              <w:rPr>
                <w:color w:val="000000"/>
                <w:lang w:eastAsia="en-GB"/>
              </w:rPr>
            </w:pPr>
            <w:r w:rsidRPr="00EB21C3">
              <w:rPr>
                <w:color w:val="000000"/>
                <w:lang w:eastAsia="en-GB"/>
              </w:rPr>
              <w:t>School</w:t>
            </w:r>
          </w:p>
        </w:tc>
        <w:tc>
          <w:tcPr>
            <w:tcW w:w="1271" w:type="dxa"/>
          </w:tcPr>
          <w:p w14:paraId="3E0721A2"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32A21AC5" w14:textId="77777777" w:rsidR="00EB21C3" w:rsidRPr="00EB21C3" w:rsidRDefault="00EB21C3" w:rsidP="00461C9A">
            <w:pPr>
              <w:spacing w:after="0" w:line="360" w:lineRule="auto"/>
              <w:rPr>
                <w:color w:val="000000"/>
                <w:lang w:eastAsia="en-GB"/>
              </w:rPr>
            </w:pPr>
            <w:r w:rsidRPr="00EB21C3">
              <w:rPr>
                <w:color w:val="000000"/>
                <w:lang w:eastAsia="en-GB"/>
              </w:rPr>
              <w:t>6</w:t>
            </w:r>
          </w:p>
        </w:tc>
      </w:tr>
      <w:tr w:rsidR="00EB21C3" w:rsidRPr="00EB21C3" w14:paraId="4A82E3ED" w14:textId="77777777" w:rsidTr="00EB21C3">
        <w:trPr>
          <w:trHeight w:val="290"/>
        </w:trPr>
        <w:tc>
          <w:tcPr>
            <w:tcW w:w="2188" w:type="dxa"/>
            <w:shd w:val="clear" w:color="auto" w:fill="auto"/>
            <w:noWrap/>
            <w:vAlign w:val="bottom"/>
          </w:tcPr>
          <w:p w14:paraId="165E681D" w14:textId="77777777" w:rsidR="00EB21C3" w:rsidRPr="00EB21C3" w:rsidRDefault="00EB21C3" w:rsidP="00461C9A">
            <w:pPr>
              <w:spacing w:after="0" w:line="360" w:lineRule="auto"/>
              <w:rPr>
                <w:color w:val="000000"/>
                <w:lang w:eastAsia="en-GB"/>
              </w:rPr>
            </w:pPr>
          </w:p>
        </w:tc>
        <w:tc>
          <w:tcPr>
            <w:tcW w:w="846" w:type="dxa"/>
            <w:shd w:val="clear" w:color="auto" w:fill="auto"/>
            <w:vAlign w:val="bottom"/>
          </w:tcPr>
          <w:p w14:paraId="3ECCE026" w14:textId="77777777" w:rsidR="00EB21C3" w:rsidRPr="00EB21C3" w:rsidRDefault="00EB21C3" w:rsidP="00461C9A">
            <w:pPr>
              <w:spacing w:after="0" w:line="360" w:lineRule="auto"/>
              <w:rPr>
                <w:color w:val="000000"/>
                <w:lang w:eastAsia="en-GB"/>
              </w:rPr>
            </w:pPr>
          </w:p>
        </w:tc>
        <w:tc>
          <w:tcPr>
            <w:tcW w:w="4080" w:type="dxa"/>
            <w:shd w:val="clear" w:color="auto" w:fill="auto"/>
            <w:noWrap/>
            <w:vAlign w:val="bottom"/>
          </w:tcPr>
          <w:p w14:paraId="54BFF3CF" w14:textId="77777777" w:rsidR="00EB21C3" w:rsidRPr="00EB21C3" w:rsidRDefault="00EB21C3" w:rsidP="00461C9A">
            <w:pPr>
              <w:spacing w:after="0" w:line="360" w:lineRule="auto"/>
              <w:rPr>
                <w:color w:val="000000"/>
                <w:lang w:eastAsia="en-GB"/>
              </w:rPr>
            </w:pPr>
            <w:r w:rsidRPr="00EB21C3">
              <w:rPr>
                <w:color w:val="000000"/>
                <w:lang w:eastAsia="en-GB"/>
              </w:rPr>
              <w:t>Nightlife venues</w:t>
            </w:r>
          </w:p>
        </w:tc>
        <w:tc>
          <w:tcPr>
            <w:tcW w:w="1271" w:type="dxa"/>
          </w:tcPr>
          <w:p w14:paraId="62F93C84"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0E937883" w14:textId="77777777" w:rsidR="00EB21C3" w:rsidRPr="00EB21C3" w:rsidRDefault="00EB21C3" w:rsidP="00461C9A">
            <w:pPr>
              <w:spacing w:after="0" w:line="360" w:lineRule="auto"/>
              <w:rPr>
                <w:color w:val="000000"/>
                <w:lang w:eastAsia="en-GB"/>
              </w:rPr>
            </w:pPr>
            <w:r w:rsidRPr="00EB21C3">
              <w:rPr>
                <w:color w:val="000000"/>
                <w:lang w:eastAsia="en-GB"/>
              </w:rPr>
              <w:t>5</w:t>
            </w:r>
          </w:p>
        </w:tc>
      </w:tr>
      <w:tr w:rsidR="00EB21C3" w:rsidRPr="00EB21C3" w14:paraId="3C930D8F" w14:textId="77777777" w:rsidTr="00EB21C3">
        <w:trPr>
          <w:trHeight w:val="77"/>
        </w:trPr>
        <w:tc>
          <w:tcPr>
            <w:tcW w:w="7114" w:type="dxa"/>
            <w:gridSpan w:val="3"/>
            <w:tcBorders>
              <w:bottom w:val="single" w:sz="4" w:space="0" w:color="auto"/>
            </w:tcBorders>
            <w:shd w:val="clear" w:color="auto" w:fill="auto"/>
            <w:noWrap/>
            <w:vAlign w:val="bottom"/>
          </w:tcPr>
          <w:p w14:paraId="1A6EC6A1" w14:textId="77777777" w:rsidR="00EB21C3" w:rsidRPr="00EB21C3" w:rsidRDefault="00EB21C3" w:rsidP="00461C9A">
            <w:pPr>
              <w:spacing w:after="0" w:line="360" w:lineRule="auto"/>
              <w:rPr>
                <w:b/>
                <w:color w:val="000000"/>
                <w:sz w:val="2"/>
                <w:szCs w:val="2"/>
                <w:lang w:eastAsia="en-GB"/>
              </w:rPr>
            </w:pPr>
          </w:p>
        </w:tc>
        <w:tc>
          <w:tcPr>
            <w:tcW w:w="1271" w:type="dxa"/>
            <w:tcBorders>
              <w:bottom w:val="single" w:sz="4" w:space="0" w:color="auto"/>
            </w:tcBorders>
          </w:tcPr>
          <w:p w14:paraId="26C6C590" w14:textId="77777777" w:rsidR="00EB21C3" w:rsidRPr="00EB21C3" w:rsidRDefault="00EB21C3" w:rsidP="00461C9A">
            <w:pPr>
              <w:spacing w:after="0" w:line="360" w:lineRule="auto"/>
              <w:rPr>
                <w:b/>
                <w:color w:val="000000"/>
                <w:sz w:val="2"/>
                <w:szCs w:val="2"/>
                <w:lang w:eastAsia="en-GB"/>
              </w:rPr>
            </w:pPr>
          </w:p>
        </w:tc>
        <w:tc>
          <w:tcPr>
            <w:tcW w:w="895" w:type="dxa"/>
            <w:tcBorders>
              <w:bottom w:val="single" w:sz="4" w:space="0" w:color="auto"/>
            </w:tcBorders>
            <w:shd w:val="clear" w:color="auto" w:fill="auto"/>
            <w:vAlign w:val="bottom"/>
          </w:tcPr>
          <w:p w14:paraId="3295EC32" w14:textId="77777777" w:rsidR="00EB21C3" w:rsidRPr="00EB21C3" w:rsidRDefault="00EB21C3" w:rsidP="00461C9A">
            <w:pPr>
              <w:spacing w:after="0" w:line="360" w:lineRule="auto"/>
              <w:rPr>
                <w:b/>
                <w:color w:val="000000"/>
                <w:sz w:val="2"/>
                <w:szCs w:val="2"/>
                <w:lang w:eastAsia="en-GB"/>
              </w:rPr>
            </w:pPr>
          </w:p>
        </w:tc>
      </w:tr>
      <w:tr w:rsidR="00EB21C3" w:rsidRPr="00EB21C3" w14:paraId="200E90A7" w14:textId="77777777" w:rsidTr="00EB21C3">
        <w:trPr>
          <w:trHeight w:val="77"/>
        </w:trPr>
        <w:tc>
          <w:tcPr>
            <w:tcW w:w="7114" w:type="dxa"/>
            <w:gridSpan w:val="3"/>
            <w:tcBorders>
              <w:top w:val="single" w:sz="4" w:space="0" w:color="auto"/>
            </w:tcBorders>
            <w:shd w:val="clear" w:color="auto" w:fill="auto"/>
            <w:noWrap/>
            <w:vAlign w:val="bottom"/>
          </w:tcPr>
          <w:p w14:paraId="707C0728" w14:textId="77777777" w:rsidR="00EB21C3" w:rsidRPr="00EB21C3" w:rsidRDefault="00EB21C3" w:rsidP="00461C9A">
            <w:pPr>
              <w:spacing w:after="0" w:line="360" w:lineRule="auto"/>
              <w:rPr>
                <w:b/>
                <w:color w:val="000000"/>
                <w:sz w:val="2"/>
                <w:szCs w:val="2"/>
                <w:lang w:eastAsia="en-GB"/>
              </w:rPr>
            </w:pPr>
          </w:p>
        </w:tc>
        <w:tc>
          <w:tcPr>
            <w:tcW w:w="1271" w:type="dxa"/>
            <w:tcBorders>
              <w:top w:val="single" w:sz="4" w:space="0" w:color="auto"/>
            </w:tcBorders>
          </w:tcPr>
          <w:p w14:paraId="612B6C0F" w14:textId="77777777" w:rsidR="00EB21C3" w:rsidRPr="00EB21C3" w:rsidRDefault="00EB21C3" w:rsidP="00461C9A">
            <w:pPr>
              <w:spacing w:after="0" w:line="360" w:lineRule="auto"/>
              <w:rPr>
                <w:b/>
                <w:color w:val="000000"/>
                <w:sz w:val="2"/>
                <w:szCs w:val="2"/>
                <w:lang w:eastAsia="en-GB"/>
              </w:rPr>
            </w:pPr>
          </w:p>
        </w:tc>
        <w:tc>
          <w:tcPr>
            <w:tcW w:w="895" w:type="dxa"/>
            <w:tcBorders>
              <w:top w:val="single" w:sz="4" w:space="0" w:color="auto"/>
            </w:tcBorders>
            <w:shd w:val="clear" w:color="auto" w:fill="auto"/>
            <w:vAlign w:val="bottom"/>
          </w:tcPr>
          <w:p w14:paraId="59DD7641" w14:textId="77777777" w:rsidR="00EB21C3" w:rsidRPr="00EB21C3" w:rsidRDefault="00EB21C3" w:rsidP="00461C9A">
            <w:pPr>
              <w:spacing w:after="0" w:line="360" w:lineRule="auto"/>
              <w:rPr>
                <w:b/>
                <w:color w:val="000000"/>
                <w:sz w:val="2"/>
                <w:szCs w:val="2"/>
                <w:lang w:eastAsia="en-GB"/>
              </w:rPr>
            </w:pPr>
          </w:p>
        </w:tc>
      </w:tr>
      <w:tr w:rsidR="00EB21C3" w:rsidRPr="00EB21C3" w14:paraId="76A1A287" w14:textId="77777777" w:rsidTr="00EB21C3">
        <w:trPr>
          <w:trHeight w:val="290"/>
        </w:trPr>
        <w:tc>
          <w:tcPr>
            <w:tcW w:w="2188" w:type="dxa"/>
            <w:shd w:val="clear" w:color="auto" w:fill="auto"/>
            <w:noWrap/>
            <w:vAlign w:val="bottom"/>
          </w:tcPr>
          <w:p w14:paraId="69D025DD" w14:textId="77777777" w:rsidR="00EB21C3" w:rsidRPr="00EB21C3" w:rsidRDefault="00EB21C3" w:rsidP="00461C9A">
            <w:pPr>
              <w:spacing w:after="0" w:line="360" w:lineRule="auto"/>
              <w:rPr>
                <w:sz w:val="20"/>
                <w:szCs w:val="20"/>
                <w:lang w:eastAsia="en-GB"/>
              </w:rPr>
            </w:pPr>
            <w:r w:rsidRPr="00EB21C3">
              <w:rPr>
                <w:b/>
                <w:color w:val="000000"/>
                <w:lang w:eastAsia="en-GB"/>
              </w:rPr>
              <w:t>Method</w:t>
            </w:r>
          </w:p>
        </w:tc>
        <w:tc>
          <w:tcPr>
            <w:tcW w:w="846" w:type="dxa"/>
            <w:shd w:val="clear" w:color="auto" w:fill="auto"/>
            <w:vAlign w:val="center"/>
          </w:tcPr>
          <w:p w14:paraId="71498F43" w14:textId="77777777" w:rsidR="00EB21C3" w:rsidRPr="00EB21C3" w:rsidRDefault="00EB21C3" w:rsidP="00461C9A">
            <w:pPr>
              <w:spacing w:after="0" w:line="360" w:lineRule="auto"/>
              <w:jc w:val="right"/>
              <w:rPr>
                <w:b/>
                <w:sz w:val="20"/>
                <w:szCs w:val="20"/>
                <w:lang w:eastAsia="en-GB"/>
              </w:rPr>
            </w:pPr>
            <w:r w:rsidRPr="00EB21C3">
              <w:rPr>
                <w:b/>
                <w:color w:val="000000"/>
                <w:lang w:eastAsia="en-GB"/>
              </w:rPr>
              <w:t>30</w:t>
            </w:r>
          </w:p>
        </w:tc>
        <w:tc>
          <w:tcPr>
            <w:tcW w:w="4080" w:type="dxa"/>
            <w:shd w:val="clear" w:color="auto" w:fill="auto"/>
            <w:noWrap/>
            <w:vAlign w:val="bottom"/>
          </w:tcPr>
          <w:p w14:paraId="2E09E079" w14:textId="77777777" w:rsidR="00EB21C3" w:rsidRPr="00EB21C3" w:rsidRDefault="00EB21C3" w:rsidP="00461C9A">
            <w:pPr>
              <w:spacing w:after="0" w:line="360" w:lineRule="auto"/>
              <w:rPr>
                <w:color w:val="000000"/>
                <w:lang w:eastAsia="en-GB"/>
              </w:rPr>
            </w:pPr>
            <w:r w:rsidRPr="00EB21C3">
              <w:rPr>
                <w:color w:val="000000"/>
                <w:lang w:eastAsia="en-GB"/>
              </w:rPr>
              <w:t xml:space="preserve">Drug testing and safe spaces </w:t>
            </w:r>
          </w:p>
        </w:tc>
        <w:tc>
          <w:tcPr>
            <w:tcW w:w="1271" w:type="dxa"/>
          </w:tcPr>
          <w:p w14:paraId="4BF5416C" w14:textId="77777777" w:rsidR="00EB21C3" w:rsidRPr="00EB21C3" w:rsidRDefault="00EB21C3" w:rsidP="00461C9A">
            <w:pPr>
              <w:spacing w:after="0" w:line="360" w:lineRule="auto"/>
              <w:rPr>
                <w:color w:val="000000"/>
                <w:lang w:eastAsia="en-GB"/>
              </w:rPr>
            </w:pPr>
            <w:r w:rsidRPr="00EB21C3">
              <w:rPr>
                <w:color w:val="000000"/>
                <w:lang w:eastAsia="en-GB"/>
              </w:rPr>
              <w:t>3</w:t>
            </w:r>
          </w:p>
        </w:tc>
        <w:tc>
          <w:tcPr>
            <w:tcW w:w="895" w:type="dxa"/>
            <w:shd w:val="clear" w:color="auto" w:fill="auto"/>
            <w:vAlign w:val="bottom"/>
          </w:tcPr>
          <w:p w14:paraId="1ADBA04E" w14:textId="77777777" w:rsidR="00EB21C3" w:rsidRPr="00EB21C3" w:rsidRDefault="00EB21C3" w:rsidP="00461C9A">
            <w:pPr>
              <w:spacing w:after="0" w:line="360" w:lineRule="auto"/>
              <w:rPr>
                <w:color w:val="000000"/>
                <w:lang w:eastAsia="en-GB"/>
              </w:rPr>
            </w:pPr>
            <w:r w:rsidRPr="00EB21C3">
              <w:rPr>
                <w:color w:val="000000"/>
                <w:lang w:eastAsia="en-GB"/>
              </w:rPr>
              <w:t>8</w:t>
            </w:r>
          </w:p>
        </w:tc>
      </w:tr>
      <w:tr w:rsidR="00EB21C3" w:rsidRPr="00EB21C3" w14:paraId="56FDBDF6" w14:textId="77777777" w:rsidTr="00EB21C3">
        <w:trPr>
          <w:trHeight w:val="290"/>
        </w:trPr>
        <w:tc>
          <w:tcPr>
            <w:tcW w:w="2188" w:type="dxa"/>
            <w:shd w:val="clear" w:color="auto" w:fill="auto"/>
            <w:noWrap/>
            <w:vAlign w:val="bottom"/>
          </w:tcPr>
          <w:p w14:paraId="31E51F36"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3DEB325C" w14:textId="77777777" w:rsidR="00EB21C3" w:rsidRPr="00EB21C3" w:rsidRDefault="00EB21C3" w:rsidP="00461C9A">
            <w:pPr>
              <w:spacing w:after="0" w:line="360" w:lineRule="auto"/>
              <w:jc w:val="right"/>
              <w:rPr>
                <w:b/>
                <w:color w:val="000000"/>
                <w:lang w:eastAsia="en-GB"/>
              </w:rPr>
            </w:pPr>
          </w:p>
        </w:tc>
        <w:tc>
          <w:tcPr>
            <w:tcW w:w="4080" w:type="dxa"/>
            <w:shd w:val="clear" w:color="auto" w:fill="auto"/>
            <w:noWrap/>
            <w:vAlign w:val="bottom"/>
          </w:tcPr>
          <w:p w14:paraId="02F7C1CD" w14:textId="77777777" w:rsidR="00EB21C3" w:rsidRPr="00EB21C3" w:rsidRDefault="00EB21C3" w:rsidP="00461C9A">
            <w:pPr>
              <w:spacing w:after="0" w:line="360" w:lineRule="auto"/>
              <w:rPr>
                <w:color w:val="000000"/>
                <w:lang w:eastAsia="en-GB"/>
              </w:rPr>
            </w:pPr>
            <w:r w:rsidRPr="00EB21C3">
              <w:rPr>
                <w:color w:val="000000"/>
                <w:lang w:eastAsia="en-GB"/>
              </w:rPr>
              <w:t>Peer-based</w:t>
            </w:r>
          </w:p>
        </w:tc>
        <w:tc>
          <w:tcPr>
            <w:tcW w:w="1271" w:type="dxa"/>
          </w:tcPr>
          <w:p w14:paraId="75D288CC"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28D6E436" w14:textId="77777777" w:rsidR="00EB21C3" w:rsidRPr="00EB21C3" w:rsidRDefault="00EB21C3" w:rsidP="00461C9A">
            <w:pPr>
              <w:spacing w:after="0" w:line="360" w:lineRule="auto"/>
              <w:rPr>
                <w:color w:val="000000"/>
                <w:lang w:eastAsia="en-GB"/>
              </w:rPr>
            </w:pPr>
            <w:r w:rsidRPr="00EB21C3">
              <w:rPr>
                <w:color w:val="000000"/>
                <w:lang w:eastAsia="en-GB"/>
              </w:rPr>
              <w:t>5</w:t>
            </w:r>
          </w:p>
        </w:tc>
      </w:tr>
      <w:tr w:rsidR="00EB21C3" w:rsidRPr="00EB21C3" w14:paraId="18B8513A" w14:textId="77777777" w:rsidTr="00EB21C3">
        <w:trPr>
          <w:trHeight w:val="290"/>
        </w:trPr>
        <w:tc>
          <w:tcPr>
            <w:tcW w:w="2188" w:type="dxa"/>
            <w:shd w:val="clear" w:color="auto" w:fill="auto"/>
            <w:noWrap/>
            <w:vAlign w:val="bottom"/>
          </w:tcPr>
          <w:p w14:paraId="5F6D781B"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05A599AD" w14:textId="77777777" w:rsidR="00EB21C3" w:rsidRPr="00EB21C3" w:rsidRDefault="00EB21C3" w:rsidP="00461C9A">
            <w:pPr>
              <w:spacing w:after="0" w:line="360" w:lineRule="auto"/>
              <w:jc w:val="right"/>
              <w:rPr>
                <w:b/>
                <w:color w:val="000000"/>
                <w:lang w:eastAsia="en-GB"/>
              </w:rPr>
            </w:pPr>
          </w:p>
        </w:tc>
        <w:tc>
          <w:tcPr>
            <w:tcW w:w="4080" w:type="dxa"/>
            <w:shd w:val="clear" w:color="auto" w:fill="auto"/>
            <w:noWrap/>
            <w:vAlign w:val="bottom"/>
          </w:tcPr>
          <w:p w14:paraId="3D052A9C" w14:textId="77777777" w:rsidR="00EB21C3" w:rsidRPr="00EB21C3" w:rsidRDefault="00EB21C3" w:rsidP="00461C9A">
            <w:pPr>
              <w:spacing w:after="0" w:line="360" w:lineRule="auto"/>
              <w:rPr>
                <w:color w:val="000000"/>
                <w:lang w:eastAsia="en-GB"/>
              </w:rPr>
            </w:pPr>
            <w:r w:rsidRPr="00EB21C3">
              <w:rPr>
                <w:color w:val="000000"/>
                <w:lang w:eastAsia="en-GB"/>
              </w:rPr>
              <w:t xml:space="preserve">Interactive methods </w:t>
            </w:r>
          </w:p>
        </w:tc>
        <w:tc>
          <w:tcPr>
            <w:tcW w:w="1271" w:type="dxa"/>
          </w:tcPr>
          <w:p w14:paraId="0A407552"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65E18BAD" w14:textId="77777777" w:rsidR="00EB21C3" w:rsidRPr="00EB21C3" w:rsidRDefault="00EB21C3" w:rsidP="00461C9A">
            <w:pPr>
              <w:spacing w:after="0" w:line="360" w:lineRule="auto"/>
              <w:rPr>
                <w:color w:val="000000"/>
                <w:lang w:eastAsia="en-GB"/>
              </w:rPr>
            </w:pPr>
            <w:r w:rsidRPr="00EB21C3">
              <w:rPr>
                <w:color w:val="000000"/>
                <w:lang w:eastAsia="en-GB"/>
              </w:rPr>
              <w:t>5</w:t>
            </w:r>
          </w:p>
        </w:tc>
      </w:tr>
      <w:tr w:rsidR="00EB21C3" w:rsidRPr="00EB21C3" w14:paraId="50AE7E3D" w14:textId="77777777" w:rsidTr="00EB21C3">
        <w:trPr>
          <w:trHeight w:val="290"/>
        </w:trPr>
        <w:tc>
          <w:tcPr>
            <w:tcW w:w="2188" w:type="dxa"/>
            <w:shd w:val="clear" w:color="auto" w:fill="auto"/>
            <w:noWrap/>
            <w:vAlign w:val="bottom"/>
          </w:tcPr>
          <w:p w14:paraId="7210EEB1" w14:textId="77777777" w:rsidR="00EB21C3" w:rsidRPr="00EB21C3" w:rsidRDefault="00EB21C3" w:rsidP="00461C9A">
            <w:pPr>
              <w:spacing w:after="0" w:line="360" w:lineRule="auto"/>
              <w:rPr>
                <w:b/>
                <w:color w:val="000000"/>
                <w:lang w:eastAsia="en-GB"/>
              </w:rPr>
            </w:pPr>
          </w:p>
        </w:tc>
        <w:tc>
          <w:tcPr>
            <w:tcW w:w="846" w:type="dxa"/>
            <w:shd w:val="clear" w:color="auto" w:fill="auto"/>
            <w:vAlign w:val="center"/>
          </w:tcPr>
          <w:p w14:paraId="0EA1E73A" w14:textId="77777777" w:rsidR="00EB21C3" w:rsidRPr="00EB21C3" w:rsidRDefault="00EB21C3" w:rsidP="00461C9A">
            <w:pPr>
              <w:spacing w:after="0" w:line="360" w:lineRule="auto"/>
              <w:jc w:val="right"/>
              <w:rPr>
                <w:b/>
                <w:color w:val="000000"/>
                <w:lang w:eastAsia="en-GB"/>
              </w:rPr>
            </w:pPr>
          </w:p>
        </w:tc>
        <w:tc>
          <w:tcPr>
            <w:tcW w:w="4080" w:type="dxa"/>
            <w:shd w:val="clear" w:color="auto" w:fill="auto"/>
            <w:noWrap/>
            <w:vAlign w:val="bottom"/>
          </w:tcPr>
          <w:p w14:paraId="74305756" w14:textId="77777777" w:rsidR="00EB21C3" w:rsidRPr="00EB21C3" w:rsidRDefault="00EB21C3" w:rsidP="00461C9A">
            <w:pPr>
              <w:spacing w:after="0" w:line="360" w:lineRule="auto"/>
              <w:rPr>
                <w:color w:val="000000"/>
                <w:lang w:eastAsia="en-GB"/>
              </w:rPr>
            </w:pPr>
            <w:r w:rsidRPr="00EB21C3">
              <w:rPr>
                <w:color w:val="000000"/>
                <w:lang w:eastAsia="en-GB"/>
              </w:rPr>
              <w:t>Informed choice</w:t>
            </w:r>
          </w:p>
        </w:tc>
        <w:tc>
          <w:tcPr>
            <w:tcW w:w="1271" w:type="dxa"/>
          </w:tcPr>
          <w:p w14:paraId="7D937214" w14:textId="77777777" w:rsidR="00EB21C3" w:rsidRPr="00EB21C3" w:rsidRDefault="00EB21C3" w:rsidP="00461C9A">
            <w:pPr>
              <w:spacing w:after="0" w:line="360" w:lineRule="auto"/>
              <w:rPr>
                <w:color w:val="000000"/>
                <w:lang w:eastAsia="en-GB"/>
              </w:rPr>
            </w:pPr>
            <w:r w:rsidRPr="00EB21C3">
              <w:rPr>
                <w:color w:val="000000"/>
                <w:lang w:eastAsia="en-GB"/>
              </w:rPr>
              <w:t>2</w:t>
            </w:r>
          </w:p>
        </w:tc>
        <w:tc>
          <w:tcPr>
            <w:tcW w:w="895" w:type="dxa"/>
            <w:shd w:val="clear" w:color="auto" w:fill="auto"/>
            <w:vAlign w:val="bottom"/>
          </w:tcPr>
          <w:p w14:paraId="1C8C6294" w14:textId="77777777" w:rsidR="00EB21C3" w:rsidRPr="00EB21C3" w:rsidRDefault="00EB21C3" w:rsidP="00461C9A">
            <w:pPr>
              <w:spacing w:after="0" w:line="360" w:lineRule="auto"/>
              <w:rPr>
                <w:color w:val="000000"/>
                <w:lang w:eastAsia="en-GB"/>
              </w:rPr>
            </w:pPr>
            <w:r w:rsidRPr="00EB21C3">
              <w:rPr>
                <w:color w:val="000000"/>
                <w:lang w:eastAsia="en-GB"/>
              </w:rPr>
              <w:t>5</w:t>
            </w:r>
          </w:p>
        </w:tc>
      </w:tr>
      <w:tr w:rsidR="00EB21C3" w:rsidRPr="00EB21C3" w14:paraId="123E8514" w14:textId="77777777" w:rsidTr="00EB21C3">
        <w:trPr>
          <w:trHeight w:val="77"/>
        </w:trPr>
        <w:tc>
          <w:tcPr>
            <w:tcW w:w="7114" w:type="dxa"/>
            <w:gridSpan w:val="3"/>
            <w:tcBorders>
              <w:bottom w:val="single" w:sz="4" w:space="0" w:color="auto"/>
            </w:tcBorders>
            <w:shd w:val="clear" w:color="auto" w:fill="auto"/>
            <w:noWrap/>
            <w:vAlign w:val="bottom"/>
          </w:tcPr>
          <w:p w14:paraId="512DC606" w14:textId="77777777" w:rsidR="00EB21C3" w:rsidRPr="00EB21C3" w:rsidRDefault="00EB21C3" w:rsidP="00461C9A">
            <w:pPr>
              <w:spacing w:after="0" w:line="360" w:lineRule="auto"/>
              <w:rPr>
                <w:b/>
                <w:color w:val="000000"/>
                <w:sz w:val="2"/>
                <w:szCs w:val="2"/>
                <w:lang w:eastAsia="en-GB"/>
              </w:rPr>
            </w:pPr>
          </w:p>
        </w:tc>
        <w:tc>
          <w:tcPr>
            <w:tcW w:w="1271" w:type="dxa"/>
            <w:tcBorders>
              <w:bottom w:val="single" w:sz="4" w:space="0" w:color="auto"/>
            </w:tcBorders>
          </w:tcPr>
          <w:p w14:paraId="6412A22E" w14:textId="77777777" w:rsidR="00EB21C3" w:rsidRPr="00EB21C3" w:rsidRDefault="00EB21C3" w:rsidP="00461C9A">
            <w:pPr>
              <w:spacing w:after="0" w:line="360" w:lineRule="auto"/>
              <w:rPr>
                <w:b/>
                <w:color w:val="000000"/>
                <w:sz w:val="2"/>
                <w:szCs w:val="2"/>
                <w:lang w:eastAsia="en-GB"/>
              </w:rPr>
            </w:pPr>
          </w:p>
        </w:tc>
        <w:tc>
          <w:tcPr>
            <w:tcW w:w="895" w:type="dxa"/>
            <w:tcBorders>
              <w:bottom w:val="single" w:sz="4" w:space="0" w:color="auto"/>
            </w:tcBorders>
            <w:shd w:val="clear" w:color="auto" w:fill="auto"/>
            <w:vAlign w:val="bottom"/>
          </w:tcPr>
          <w:p w14:paraId="39E49BEC" w14:textId="77777777" w:rsidR="00EB21C3" w:rsidRPr="00EB21C3" w:rsidRDefault="00EB21C3" w:rsidP="00461C9A">
            <w:pPr>
              <w:spacing w:after="0" w:line="360" w:lineRule="auto"/>
              <w:rPr>
                <w:b/>
                <w:color w:val="000000"/>
                <w:sz w:val="2"/>
                <w:szCs w:val="2"/>
                <w:lang w:eastAsia="en-GB"/>
              </w:rPr>
            </w:pPr>
          </w:p>
        </w:tc>
      </w:tr>
    </w:tbl>
    <w:p w14:paraId="038409AA" w14:textId="77777777" w:rsidR="00EB21C3" w:rsidRPr="00EB21C3" w:rsidRDefault="00EB21C3" w:rsidP="00EB21C3">
      <w:pPr>
        <w:rPr>
          <w:b/>
        </w:rPr>
      </w:pPr>
    </w:p>
    <w:p w14:paraId="7B73777A" w14:textId="17BFF270" w:rsidR="00EB21C3" w:rsidRPr="00EB21C3" w:rsidRDefault="00EB21C3" w:rsidP="00EB21C3">
      <w:pPr>
        <w:keepNext/>
        <w:keepLines/>
        <w:numPr>
          <w:ilvl w:val="2"/>
          <w:numId w:val="2"/>
        </w:numPr>
        <w:spacing w:before="480" w:after="100" w:afterAutospacing="1" w:line="240" w:lineRule="auto"/>
        <w:outlineLvl w:val="2"/>
        <w:rPr>
          <w:b/>
        </w:rPr>
      </w:pPr>
      <w:bookmarkStart w:id="532" w:name="_Toc35892758"/>
      <w:r w:rsidRPr="00EB21C3">
        <w:rPr>
          <w:b/>
        </w:rPr>
        <w:t xml:space="preserve">Intervention </w:t>
      </w:r>
      <w:r w:rsidR="003B1F04">
        <w:rPr>
          <w:b/>
        </w:rPr>
        <w:t>C</w:t>
      </w:r>
      <w:r w:rsidRPr="00EB21C3">
        <w:rPr>
          <w:b/>
        </w:rPr>
        <w:t>ontent</w:t>
      </w:r>
      <w:bookmarkEnd w:id="532"/>
    </w:p>
    <w:p w14:paraId="17BB706B"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Bad and unknown ingredients</w:t>
      </w:r>
    </w:p>
    <w:p w14:paraId="0CD47E55" w14:textId="1AC226B2" w:rsidR="00EB21C3" w:rsidRPr="00EB21C3" w:rsidRDefault="00EB21C3" w:rsidP="00EB21C3">
      <w:pPr>
        <w:spacing w:line="480" w:lineRule="auto"/>
        <w:rPr>
          <w:b/>
          <w:bCs/>
          <w:color w:val="000000"/>
        </w:rPr>
      </w:pPr>
      <w:r w:rsidRPr="00EB21C3">
        <w:t>NPS were frequently associated with bad and unknown ingredients. participants referred to inconsistent potency, use of mixtures and unknown ingredients of unknown effects.  However, the young people in the focus group predominantly focused on the use of harmful chemicals in the production of NPS and the unscrupulous practices of black</w:t>
      </w:r>
      <w:r w:rsidR="003A0F49">
        <w:t>-</w:t>
      </w:r>
      <w:r w:rsidRPr="00EB21C3">
        <w:t>market producers and sellers.  Participants expressed a cynical attitude towards producers with negative perceptions of the types of chemicals use to adulterate NPS.  Producers were described as ‘bashing’ and ‘corrupting’. Several participants talked about the use of bleach, battery acid, poison and nasty chemicals.  In contrast with the negative perceptions of ‘chemicals’, natural substances were talked about positively, but sellers were described as bashing and corrupting natural substances with dirty impurities.  Although participants were concerned about potency, they seemed more concerned about the use of adulterants. Potency was also related to purity which appeared to have more positive associations.</w:t>
      </w:r>
    </w:p>
    <w:p w14:paraId="4EFF44F7" w14:textId="77777777" w:rsidR="00EB21C3" w:rsidRPr="00461C9A" w:rsidRDefault="00EB21C3" w:rsidP="00EB21C3">
      <w:pPr>
        <w:keepNext/>
        <w:keepLines/>
        <w:numPr>
          <w:ilvl w:val="3"/>
          <w:numId w:val="2"/>
        </w:numPr>
        <w:spacing w:before="200" w:after="100" w:afterAutospacing="1"/>
        <w:outlineLvl w:val="3"/>
        <w:rPr>
          <w:b/>
          <w:iCs/>
        </w:rPr>
      </w:pPr>
      <w:r w:rsidRPr="00461C9A">
        <w:rPr>
          <w:b/>
          <w:iCs/>
        </w:rPr>
        <w:t>Risk information</w:t>
      </w:r>
    </w:p>
    <w:p w14:paraId="32059983" w14:textId="037FA85B" w:rsidR="00EB21C3" w:rsidRPr="00EB21C3" w:rsidRDefault="00EB21C3" w:rsidP="00EB21C3">
      <w:pPr>
        <w:spacing w:line="480" w:lineRule="auto"/>
        <w:rPr>
          <w:b/>
        </w:rPr>
      </w:pPr>
      <w:r w:rsidRPr="00EB21C3">
        <w:rPr>
          <w:color w:val="000000"/>
        </w:rPr>
        <w:t>Risk information focused on deaths and harm, harms caused by drugs or injury.  Information about harms suitable for intervention was linked to individual substances and participants talked about the importance of informed choice.  Injury was associated with street uses of NPS and participants thought that imagery of injured people lying on the streets would be off</w:t>
      </w:r>
      <w:r w:rsidR="003A0F49">
        <w:rPr>
          <w:color w:val="000000"/>
        </w:rPr>
        <w:t>-</w:t>
      </w:r>
      <w:r w:rsidRPr="00EB21C3">
        <w:rPr>
          <w:color w:val="000000"/>
        </w:rPr>
        <w:t>putting.   Young people taking part in focus groups felt that risk information would need to emphasise the severity of the risks to have impact.</w:t>
      </w:r>
    </w:p>
    <w:p w14:paraId="1BDF1201" w14:textId="77777777" w:rsidR="00EB21C3" w:rsidRPr="00461C9A" w:rsidRDefault="00EB21C3" w:rsidP="00EB21C3">
      <w:pPr>
        <w:keepNext/>
        <w:keepLines/>
        <w:numPr>
          <w:ilvl w:val="3"/>
          <w:numId w:val="2"/>
        </w:numPr>
        <w:spacing w:before="200" w:after="100" w:afterAutospacing="1"/>
        <w:outlineLvl w:val="3"/>
        <w:rPr>
          <w:b/>
          <w:iCs/>
        </w:rPr>
      </w:pPr>
      <w:r w:rsidRPr="00461C9A">
        <w:rPr>
          <w:b/>
          <w:iCs/>
        </w:rPr>
        <w:t>Harm reduction</w:t>
      </w:r>
    </w:p>
    <w:p w14:paraId="57C27AEA" w14:textId="77777777" w:rsidR="00EB21C3" w:rsidRPr="00EB21C3" w:rsidRDefault="00EB21C3" w:rsidP="00EB21C3">
      <w:pPr>
        <w:spacing w:line="480" w:lineRule="auto"/>
        <w:rPr>
          <w:color w:val="000000"/>
        </w:rPr>
      </w:pPr>
      <w:r w:rsidRPr="00EB21C3">
        <w:rPr>
          <w:color w:val="000000"/>
        </w:rPr>
        <w:t>Participants emphasised the importance of harm reduction information for informed decision-making and responsible drug use.  They stressed the importance of non-judgemental environments and safe spaces where people could be supported and get help. Although the groups were generally supportive of harm reduction approaches, they expressed concern that the stigma associated with drug use might prevent people from being honest about what they and all their friends have taken if it is illegal.</w:t>
      </w:r>
    </w:p>
    <w:p w14:paraId="5AF258F2" w14:textId="77777777" w:rsidR="00EB21C3" w:rsidRPr="00461C9A" w:rsidRDefault="00EB21C3" w:rsidP="00EB21C3">
      <w:pPr>
        <w:keepNext/>
        <w:keepLines/>
        <w:numPr>
          <w:ilvl w:val="3"/>
          <w:numId w:val="2"/>
        </w:numPr>
        <w:spacing w:before="200" w:after="100" w:afterAutospacing="1"/>
        <w:outlineLvl w:val="3"/>
        <w:rPr>
          <w:b/>
          <w:bCs/>
          <w:iCs/>
          <w:lang w:eastAsia="en-GB"/>
        </w:rPr>
      </w:pPr>
      <w:r w:rsidRPr="00461C9A">
        <w:rPr>
          <w:b/>
          <w:bCs/>
          <w:iCs/>
          <w:lang w:eastAsia="en-GB"/>
        </w:rPr>
        <w:t>Legal status</w:t>
      </w:r>
    </w:p>
    <w:p w14:paraId="1E4B1202" w14:textId="77777777" w:rsidR="00EB21C3" w:rsidRPr="00EB21C3" w:rsidRDefault="00EB21C3" w:rsidP="00EB21C3">
      <w:pPr>
        <w:spacing w:line="480" w:lineRule="auto"/>
      </w:pPr>
      <w:r w:rsidRPr="00EB21C3">
        <w:t xml:space="preserve"> Participants thought that it would be beneficial to improve people's awareness around the legal status of NPS as the situation was thought to be confusing.  They felt that many people think it's a grey area and young people might be unaware of the strength of spice because of its reputation as a once legal drug.  The use of the term ‘legal highs’ was thought to be especially confusing. </w:t>
      </w:r>
    </w:p>
    <w:p w14:paraId="40FEA540"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Drug effects</w:t>
      </w:r>
    </w:p>
    <w:p w14:paraId="04166FE1" w14:textId="474792ED" w:rsidR="00EB21C3" w:rsidRDefault="00EB21C3" w:rsidP="00EB21C3">
      <w:pPr>
        <w:spacing w:line="480" w:lineRule="auto"/>
      </w:pPr>
      <w:r w:rsidRPr="00EB21C3">
        <w:t>Some participants felt that realistic information about the effects of different drugs would be beneficial to users.  It was thought that information about drug effects should focus on personal tolerances and individual variability in reactions to drugs.</w:t>
      </w:r>
    </w:p>
    <w:p w14:paraId="64054572" w14:textId="77777777" w:rsidR="00E954B0" w:rsidRPr="00461C9A" w:rsidRDefault="00E954B0" w:rsidP="00E954B0">
      <w:pPr>
        <w:keepNext/>
        <w:keepLines/>
        <w:numPr>
          <w:ilvl w:val="2"/>
          <w:numId w:val="2"/>
        </w:numPr>
        <w:spacing w:before="480" w:after="100" w:afterAutospacing="1" w:line="240" w:lineRule="auto"/>
        <w:outlineLvl w:val="2"/>
        <w:rPr>
          <w:b/>
          <w:bCs/>
          <w:color w:val="000000"/>
        </w:rPr>
      </w:pPr>
      <w:bookmarkStart w:id="533" w:name="_Toc35892759"/>
      <w:r w:rsidRPr="00461C9A">
        <w:rPr>
          <w:b/>
          <w:bCs/>
          <w:color w:val="000000"/>
        </w:rPr>
        <w:t>Intervention Setting</w:t>
      </w:r>
      <w:bookmarkEnd w:id="533"/>
    </w:p>
    <w:p w14:paraId="3946172F" w14:textId="77777777" w:rsidR="00E954B0" w:rsidRPr="00461C9A" w:rsidRDefault="00E954B0" w:rsidP="00E954B0">
      <w:pPr>
        <w:keepNext/>
        <w:keepLines/>
        <w:numPr>
          <w:ilvl w:val="3"/>
          <w:numId w:val="2"/>
        </w:numPr>
        <w:spacing w:before="200" w:after="100" w:afterAutospacing="1"/>
        <w:outlineLvl w:val="3"/>
        <w:rPr>
          <w:b/>
          <w:bCs/>
          <w:iCs/>
        </w:rPr>
      </w:pPr>
      <w:r w:rsidRPr="00461C9A">
        <w:rPr>
          <w:b/>
          <w:bCs/>
          <w:iCs/>
        </w:rPr>
        <w:t>Online and social media</w:t>
      </w:r>
    </w:p>
    <w:p w14:paraId="50F427B6" w14:textId="77777777" w:rsidR="00E954B0" w:rsidRPr="00EB21C3" w:rsidRDefault="00E954B0" w:rsidP="00E954B0">
      <w:pPr>
        <w:spacing w:line="480" w:lineRule="auto"/>
        <w:rPr>
          <w:color w:val="000000"/>
        </w:rPr>
      </w:pPr>
      <w:r w:rsidRPr="00EB21C3">
        <w:rPr>
          <w:color w:val="000000"/>
        </w:rPr>
        <w:t>Online settings such as social media platforms were strongly endorsed by young people.  Participants felt that online settings were appropriate for use with interventions as they are private, safe, non-stigmatizing and allow people see things in their own time. Young people in the focus group also commented on the high use of social media platforms such as Snapchat and Instagram for drug dealing and felt that it would be beneficial to counteract influencers in the same setting.</w:t>
      </w:r>
    </w:p>
    <w:p w14:paraId="41A44F74" w14:textId="77777777" w:rsidR="00E954B0" w:rsidRPr="00EB21C3" w:rsidRDefault="00E954B0" w:rsidP="00E954B0">
      <w:pPr>
        <w:keepNext/>
        <w:keepLines/>
        <w:numPr>
          <w:ilvl w:val="3"/>
          <w:numId w:val="2"/>
        </w:numPr>
        <w:spacing w:before="200" w:after="100" w:afterAutospacing="1"/>
        <w:outlineLvl w:val="3"/>
        <w:rPr>
          <w:b/>
          <w:sz w:val="22"/>
        </w:rPr>
      </w:pPr>
      <w:r w:rsidRPr="00EB21C3">
        <w:rPr>
          <w:b/>
          <w:sz w:val="22"/>
        </w:rPr>
        <w:t>Schools</w:t>
      </w:r>
    </w:p>
    <w:p w14:paraId="5788E2EA" w14:textId="77777777" w:rsidR="00E954B0" w:rsidRPr="00EB21C3" w:rsidRDefault="00E954B0" w:rsidP="00E954B0">
      <w:pPr>
        <w:spacing w:line="480" w:lineRule="auto"/>
        <w:rPr>
          <w:b/>
        </w:rPr>
      </w:pPr>
      <w:r w:rsidRPr="00EB21C3">
        <w:rPr>
          <w:color w:val="000000"/>
        </w:rPr>
        <w:t>Participants emphasised the need for education in schools but also expressed concerns about its effectiveness.  They felt that young people have become numb to lectures in schools and are very likely to disengage or react against authority by doing what they are told not to do.</w:t>
      </w:r>
    </w:p>
    <w:p w14:paraId="6BCEC63B" w14:textId="4C1E2281" w:rsidR="00EB21C3" w:rsidRPr="00461C9A" w:rsidRDefault="00EB21C3" w:rsidP="00EB21C3">
      <w:pPr>
        <w:keepNext/>
        <w:keepLines/>
        <w:numPr>
          <w:ilvl w:val="2"/>
          <w:numId w:val="2"/>
        </w:numPr>
        <w:spacing w:before="480" w:after="100" w:afterAutospacing="1" w:line="240" w:lineRule="auto"/>
        <w:outlineLvl w:val="2"/>
        <w:rPr>
          <w:b/>
        </w:rPr>
      </w:pPr>
      <w:bookmarkStart w:id="534" w:name="_Toc35892760"/>
      <w:r w:rsidRPr="00461C9A">
        <w:rPr>
          <w:b/>
        </w:rPr>
        <w:t xml:space="preserve">Intervention </w:t>
      </w:r>
      <w:r w:rsidR="00461C9A">
        <w:rPr>
          <w:b/>
        </w:rPr>
        <w:t>m</w:t>
      </w:r>
      <w:r w:rsidRPr="00461C9A">
        <w:rPr>
          <w:b/>
        </w:rPr>
        <w:t>ethod</w:t>
      </w:r>
      <w:bookmarkEnd w:id="534"/>
    </w:p>
    <w:p w14:paraId="7697A7D0" w14:textId="77777777" w:rsidR="00EB21C3" w:rsidRPr="00461C9A" w:rsidRDefault="00EB21C3" w:rsidP="00EB21C3">
      <w:pPr>
        <w:keepNext/>
        <w:keepLines/>
        <w:numPr>
          <w:ilvl w:val="3"/>
          <w:numId w:val="2"/>
        </w:numPr>
        <w:spacing w:before="200" w:after="100" w:afterAutospacing="1"/>
        <w:outlineLvl w:val="3"/>
        <w:rPr>
          <w:b/>
          <w:bCs/>
          <w:iCs/>
          <w:lang w:eastAsia="en-GB"/>
        </w:rPr>
      </w:pPr>
      <w:r w:rsidRPr="00461C9A">
        <w:rPr>
          <w:b/>
          <w:bCs/>
          <w:iCs/>
          <w:lang w:eastAsia="en-GB"/>
        </w:rPr>
        <w:t>Documentaries and videos</w:t>
      </w:r>
    </w:p>
    <w:p w14:paraId="330DC36F" w14:textId="77777777" w:rsidR="00EB21C3" w:rsidRPr="00EB21C3" w:rsidRDefault="00EB21C3" w:rsidP="00EB21C3">
      <w:pPr>
        <w:spacing w:after="0" w:line="480" w:lineRule="auto"/>
        <w:rPr>
          <w:szCs w:val="24"/>
          <w:lang w:eastAsia="en-GB"/>
        </w:rPr>
      </w:pPr>
      <w:r w:rsidRPr="00EB21C3">
        <w:rPr>
          <w:color w:val="000000"/>
          <w:szCs w:val="24"/>
          <w:lang w:eastAsia="en-GB"/>
        </w:rPr>
        <w:t xml:space="preserve"> Participants strongly emphasised the suitability of videos and documentaries as a form of intervention with young people.  Documentaries were seen as an appropriate way to talk about ingredients and unscrupulous production methods.  It was thought that powerful imagery focusing on dangerous chemicals such as bleach and acid would be of high impact and informative. </w:t>
      </w:r>
    </w:p>
    <w:p w14:paraId="320F5051" w14:textId="77777777" w:rsidR="00EB21C3" w:rsidRPr="00461C9A" w:rsidRDefault="00EB21C3" w:rsidP="00EB21C3">
      <w:pPr>
        <w:keepNext/>
        <w:keepLines/>
        <w:numPr>
          <w:ilvl w:val="3"/>
          <w:numId w:val="2"/>
        </w:numPr>
        <w:spacing w:before="200" w:after="100" w:afterAutospacing="1"/>
        <w:outlineLvl w:val="3"/>
        <w:rPr>
          <w:b/>
          <w:bCs/>
          <w:iCs/>
          <w:szCs w:val="24"/>
          <w:lang w:eastAsia="en-GB"/>
        </w:rPr>
      </w:pPr>
      <w:r w:rsidRPr="00461C9A">
        <w:rPr>
          <w:b/>
          <w:bCs/>
          <w:iCs/>
          <w:lang w:eastAsia="en-GB"/>
        </w:rPr>
        <w:t>Peer-led</w:t>
      </w:r>
    </w:p>
    <w:p w14:paraId="108908D9" w14:textId="1F4CFF27" w:rsidR="00EB21C3" w:rsidRPr="00EB21C3" w:rsidRDefault="00EB21C3" w:rsidP="00EB21C3">
      <w:pPr>
        <w:spacing w:line="480" w:lineRule="auto"/>
        <w:rPr>
          <w:lang w:eastAsia="en-GB"/>
        </w:rPr>
      </w:pPr>
      <w:r w:rsidRPr="00EB21C3">
        <w:rPr>
          <w:lang w:eastAsia="en-GB"/>
        </w:rPr>
        <w:t>Participants felt that interventions presented by peers and role models would be the most effective. The use of peers was contrasted with interventions presented by older adults wh</w:t>
      </w:r>
      <w:r w:rsidR="003A0F49">
        <w:rPr>
          <w:lang w:eastAsia="en-GB"/>
        </w:rPr>
        <w:t>ich</w:t>
      </w:r>
      <w:r w:rsidRPr="00EB21C3">
        <w:rPr>
          <w:lang w:eastAsia="en-GB"/>
        </w:rPr>
        <w:t xml:space="preserve"> were not thought to be acceptable, as older people are perceived as being too judgemental.</w:t>
      </w:r>
    </w:p>
    <w:p w14:paraId="74252301" w14:textId="77777777" w:rsidR="00EB21C3" w:rsidRPr="00461C9A" w:rsidRDefault="00EB21C3" w:rsidP="00EB21C3">
      <w:pPr>
        <w:keepNext/>
        <w:keepLines/>
        <w:numPr>
          <w:ilvl w:val="3"/>
          <w:numId w:val="2"/>
        </w:numPr>
        <w:spacing w:before="200" w:after="100" w:afterAutospacing="1"/>
        <w:outlineLvl w:val="3"/>
        <w:rPr>
          <w:b/>
          <w:iCs/>
          <w:color w:val="000000"/>
        </w:rPr>
      </w:pPr>
      <w:r w:rsidRPr="00461C9A">
        <w:rPr>
          <w:b/>
          <w:iCs/>
          <w:color w:val="000000"/>
        </w:rPr>
        <w:t xml:space="preserve">Interactive </w:t>
      </w:r>
    </w:p>
    <w:p w14:paraId="4FBCC3B7" w14:textId="77777777" w:rsidR="00EB21C3" w:rsidRPr="00EB21C3" w:rsidRDefault="00EB21C3" w:rsidP="00EB21C3">
      <w:pPr>
        <w:spacing w:line="480" w:lineRule="auto"/>
        <w:rPr>
          <w:color w:val="000000"/>
        </w:rPr>
      </w:pPr>
      <w:r w:rsidRPr="00EB21C3">
        <w:rPr>
          <w:color w:val="000000"/>
        </w:rPr>
        <w:t>Participants thought about the use of interactive methods would be very beneficial for interventions.  For participants in the focus groups, interactivity was framed as the opportunity to have conversations and ask questions.</w:t>
      </w:r>
    </w:p>
    <w:p w14:paraId="17AD221E"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 xml:space="preserve">Informed choice </w:t>
      </w:r>
    </w:p>
    <w:p w14:paraId="68029C2F" w14:textId="77777777" w:rsidR="00EB21C3" w:rsidRPr="00EB21C3" w:rsidRDefault="00EB21C3" w:rsidP="00EB21C3">
      <w:pPr>
        <w:spacing w:line="480" w:lineRule="auto"/>
        <w:rPr>
          <w:b/>
        </w:rPr>
      </w:pPr>
      <w:r w:rsidRPr="00EB21C3">
        <w:rPr>
          <w:color w:val="000000"/>
        </w:rPr>
        <w:t>Giving young people an informed choice was seen as important and respectful.  Informed choice was linked with drug effects and risks of use.</w:t>
      </w:r>
    </w:p>
    <w:p w14:paraId="472E9542"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 xml:space="preserve">Drug testing and safe spaces </w:t>
      </w:r>
    </w:p>
    <w:p w14:paraId="6120EB2D" w14:textId="77777777" w:rsidR="00EB21C3" w:rsidRPr="00EB21C3" w:rsidRDefault="00EB21C3" w:rsidP="00EB21C3">
      <w:pPr>
        <w:spacing w:line="480" w:lineRule="auto"/>
        <w:rPr>
          <w:color w:val="000000"/>
        </w:rPr>
      </w:pPr>
      <w:r w:rsidRPr="00EB21C3">
        <w:rPr>
          <w:color w:val="000000"/>
        </w:rPr>
        <w:t xml:space="preserve">Several participants talked about drug testing services at festivals. They felt this approach was acceptable and believed it to be high impact. It was thought to encourage responsible drug use and participants emphasised the importance of trust and normalising the use of services. Safe spaces were viewed as an important part of harm reduction approaches. Participants stressed the need for trust and support having a non-judgmental atmosphere. </w:t>
      </w:r>
    </w:p>
    <w:p w14:paraId="00077425" w14:textId="77777777" w:rsidR="00EB21C3" w:rsidRPr="00EB21C3" w:rsidRDefault="00EB21C3" w:rsidP="00EB21C3">
      <w:pPr>
        <w:keepNext/>
        <w:keepLines/>
        <w:numPr>
          <w:ilvl w:val="2"/>
          <w:numId w:val="2"/>
        </w:numPr>
        <w:spacing w:before="480" w:after="100" w:afterAutospacing="1" w:line="240" w:lineRule="auto"/>
        <w:outlineLvl w:val="2"/>
        <w:rPr>
          <w:b/>
          <w:bCs/>
          <w:color w:val="000000"/>
          <w:sz w:val="22"/>
        </w:rPr>
      </w:pPr>
      <w:bookmarkStart w:id="535" w:name="_Toc35892761"/>
      <w:r w:rsidRPr="00EB21C3">
        <w:rPr>
          <w:b/>
        </w:rPr>
        <w:t>Advised against</w:t>
      </w:r>
      <w:bookmarkEnd w:id="535"/>
      <w:r w:rsidRPr="00EB21C3">
        <w:rPr>
          <w:b/>
        </w:rPr>
        <w:t xml:space="preserve"> </w:t>
      </w:r>
    </w:p>
    <w:p w14:paraId="38FF67DD"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Standalone health risk information</w:t>
      </w:r>
    </w:p>
    <w:p w14:paraId="39405A82" w14:textId="77777777" w:rsidR="00EB21C3" w:rsidRPr="00EB21C3" w:rsidRDefault="00EB21C3" w:rsidP="00EB21C3">
      <w:pPr>
        <w:spacing w:line="480" w:lineRule="auto"/>
      </w:pPr>
      <w:r w:rsidRPr="00EB21C3">
        <w:t xml:space="preserve">Participants advised against the use the stand-alone health risk information as they felt that young people would be unlikely to engage with an intervention that was not interactive. </w:t>
      </w:r>
    </w:p>
    <w:p w14:paraId="74DD10CE" w14:textId="77777777" w:rsidR="00EB21C3" w:rsidRPr="00461C9A" w:rsidRDefault="00EB21C3" w:rsidP="00EB21C3">
      <w:pPr>
        <w:keepNext/>
        <w:keepLines/>
        <w:numPr>
          <w:ilvl w:val="3"/>
          <w:numId w:val="2"/>
        </w:numPr>
        <w:spacing w:before="200" w:after="100" w:afterAutospacing="1"/>
        <w:outlineLvl w:val="3"/>
        <w:rPr>
          <w:b/>
          <w:bCs/>
          <w:iCs/>
        </w:rPr>
      </w:pPr>
      <w:r w:rsidRPr="00461C9A">
        <w:rPr>
          <w:b/>
          <w:bCs/>
          <w:iCs/>
        </w:rPr>
        <w:t xml:space="preserve">Authoritative approaches </w:t>
      </w:r>
    </w:p>
    <w:p w14:paraId="5FDA9809" w14:textId="77777777" w:rsidR="00EB21C3" w:rsidRPr="00EB21C3" w:rsidRDefault="00EB21C3" w:rsidP="00EB21C3">
      <w:pPr>
        <w:spacing w:line="480" w:lineRule="auto"/>
      </w:pPr>
      <w:r w:rsidRPr="00EB21C3">
        <w:t>Interventions that use an authoritarian approach were advised against, due to the risk of young people taking NPS as a reaction against authority</w:t>
      </w:r>
    </w:p>
    <w:p w14:paraId="41A7F595" w14:textId="77777777" w:rsidR="00EB21C3" w:rsidRPr="00EB21C3" w:rsidRDefault="00EB21C3" w:rsidP="00EB21C3">
      <w:pPr>
        <w:keepNext/>
        <w:keepLines/>
        <w:numPr>
          <w:ilvl w:val="2"/>
          <w:numId w:val="2"/>
        </w:numPr>
        <w:spacing w:before="480" w:after="100" w:afterAutospacing="1" w:line="240" w:lineRule="auto"/>
        <w:outlineLvl w:val="2"/>
        <w:rPr>
          <w:b/>
          <w:bCs/>
          <w:sz w:val="22"/>
        </w:rPr>
      </w:pPr>
      <w:bookmarkStart w:id="536" w:name="_Toc35892762"/>
      <w:r w:rsidRPr="00EB21C3">
        <w:rPr>
          <w:b/>
          <w:bCs/>
          <w:sz w:val="22"/>
        </w:rPr>
        <w:t>Principal findings</w:t>
      </w:r>
      <w:bookmarkEnd w:id="536"/>
    </w:p>
    <w:p w14:paraId="63851CFC" w14:textId="77777777" w:rsidR="00EB21C3" w:rsidRPr="00EB21C3" w:rsidRDefault="00EB21C3" w:rsidP="00EB21C3">
      <w:pPr>
        <w:spacing w:line="480" w:lineRule="auto"/>
      </w:pPr>
      <w:r w:rsidRPr="00EB21C3">
        <w:t xml:space="preserve">Participants in this study believed that social influences were the most important motives for young people contemplating use of NPS, due to the highly social context of young people's lives and the importance of conforming with peers. Social motives were characterised as encouraging NPS use and were seen as the most problematic when in conflict with health motives. This was largely linked with lack of attention given to health concerns in social contexts but also with deliberate prioritisation of social motivations at important transition times. Young people were thought to be most vulnerable to social pressures to use NPS at times when membership of new peer groups was an important goal (e.g. leaving school or starting university).     </w:t>
      </w:r>
    </w:p>
    <w:p w14:paraId="04B5D0CF" w14:textId="77777777" w:rsidR="00EB21C3" w:rsidRPr="00EB21C3" w:rsidRDefault="00EB21C3" w:rsidP="00EB21C3">
      <w:pPr>
        <w:spacing w:line="480" w:lineRule="auto"/>
      </w:pPr>
      <w:r w:rsidRPr="00EB21C3">
        <w:t>Health motives were seen as the most important for discouraging use of NPS and associated with perceptions of risk and fear of death and injury. Health motives were only considered to be a priority for young people if the threat was believed to be sufficiently severe.</w:t>
      </w:r>
    </w:p>
    <w:p w14:paraId="4E183FD5" w14:textId="77777777" w:rsidR="00EB21C3" w:rsidRPr="00EB21C3" w:rsidRDefault="00EB21C3" w:rsidP="00EB21C3">
      <w:pPr>
        <w:spacing w:line="480" w:lineRule="auto"/>
      </w:pPr>
      <w:r w:rsidRPr="00EB21C3">
        <w:t>Coping was also seen as an important motive encouraging NPS use, which was particularly associated with achievement pressures at school, and although coping motives were expected to override health motives, this conflict was not strongly emphasised by participants. Pleasure motives were considered to be important reasons for use that might conflict with health motives, and while this conflict was salient in young people's conversations it was perceived as less problematic. This was reasoned to be because an NPS perceived as harmful was also expected to be perceived as unpleasant. Curiosity was also thought to be an important motive for use that might conflict with health motives, but this conflict was only described as relevant if the health threat was perceived to be low.  While ease of access was thought to be important it was not presented as a cause of problematic conflict. Identity motives were salient in young people's conversations as a reason for not using NPS, but young people placed little priority on identity motives.</w:t>
      </w:r>
    </w:p>
    <w:p w14:paraId="1355B5C8" w14:textId="3923AE31" w:rsidR="00EB21C3" w:rsidRPr="00EB21C3" w:rsidRDefault="003B1F04" w:rsidP="00EB21C3">
      <w:pPr>
        <w:spacing w:line="480" w:lineRule="auto"/>
      </w:pPr>
      <w:r>
        <w:t>With</w:t>
      </w:r>
      <w:r w:rsidR="00EB21C3" w:rsidRPr="00EB21C3">
        <w:t xml:space="preserve"> regard to the content of interventions, young people mainly highlighted the unknown and bad ingredients of NPS and felt they would be the most suitable focus for intervention. Participants were mostly concerned with the unscrupulous production methods and adulteration of substances with dangerous chemicals. Health risk information, harm reduction information and information on drug effects were also thought to be appropriate for the focus of intervention and were largely presented as relevant for supporting people to make informed choices. Participants also emphasised the suitability of interventions focusing on the legal status of substances as they thought the situation around the legal status of NPS was confusing largely due to use of the term ‘legal </w:t>
      </w:r>
      <w:r w:rsidR="00241FE7" w:rsidRPr="00EB21C3">
        <w:t>highs</w:t>
      </w:r>
      <w:r w:rsidR="003A0F49">
        <w:t>’</w:t>
      </w:r>
      <w:r w:rsidR="00EB21C3" w:rsidRPr="00EB21C3">
        <w:t>.  </w:t>
      </w:r>
    </w:p>
    <w:p w14:paraId="5A2B869B" w14:textId="77777777" w:rsidR="00EB21C3" w:rsidRPr="00EB21C3" w:rsidRDefault="00EB21C3" w:rsidP="00EB21C3">
      <w:pPr>
        <w:spacing w:line="480" w:lineRule="auto"/>
      </w:pPr>
      <w:r w:rsidRPr="00EB21C3">
        <w:t xml:space="preserve">The young people who took part in this study strongly endorsed the use of informative videos and documentaries focusing on the unscrupulous methods of production and harmful adulterants in NPS. They also emphasised the importance of peer-led interventions, interactive methods and a non-judgemental approach that respected young people's right to make an informed choice.  Participants also recommended the use of safe spaces and drug-testing services in entertainment settings. </w:t>
      </w:r>
    </w:p>
    <w:p w14:paraId="52D7D70D" w14:textId="77777777" w:rsidR="00EB21C3" w:rsidRPr="00EB21C3" w:rsidRDefault="00EB21C3" w:rsidP="00EB21C3">
      <w:pPr>
        <w:spacing w:line="480" w:lineRule="auto"/>
      </w:pPr>
      <w:r w:rsidRPr="00EB21C3">
        <w:t>The young people taking part strongly endorsed the use of online settings, particularly social media platforms as they were perceived as safe, interactive and non-stigmatising. School settings were also endorsed, although as a group, the young people were ambivalent about school-based interventions and they were also seen as problematic due to a lack of engagement and the risk of iatrogenic effects. Participants also advised against the use of standalone information and authoritative approaches for similar reasons, i.e. the probability of disengagement and reactions against authority.</w:t>
      </w:r>
    </w:p>
    <w:p w14:paraId="3D61F965" w14:textId="77777777" w:rsidR="00EB21C3" w:rsidRPr="00EB21C3" w:rsidRDefault="00EB21C3" w:rsidP="00EB21C3">
      <w:pPr>
        <w:keepNext/>
        <w:keepLines/>
        <w:numPr>
          <w:ilvl w:val="1"/>
          <w:numId w:val="2"/>
        </w:numPr>
        <w:spacing w:before="480" w:after="100" w:afterAutospacing="1" w:line="240" w:lineRule="auto"/>
        <w:ind w:left="576"/>
        <w:outlineLvl w:val="1"/>
        <w:rPr>
          <w:b/>
          <w:bCs/>
          <w:szCs w:val="26"/>
        </w:rPr>
      </w:pPr>
      <w:r w:rsidRPr="00EB21C3">
        <w:rPr>
          <w:b/>
          <w:bCs/>
          <w:szCs w:val="26"/>
        </w:rPr>
        <w:t xml:space="preserve"> </w:t>
      </w:r>
      <w:bookmarkStart w:id="537" w:name="_Toc35892763"/>
      <w:r w:rsidRPr="00EB21C3">
        <w:rPr>
          <w:b/>
          <w:bCs/>
          <w:szCs w:val="26"/>
        </w:rPr>
        <w:t>Discussion</w:t>
      </w:r>
      <w:bookmarkEnd w:id="537"/>
    </w:p>
    <w:p w14:paraId="72A97234" w14:textId="038AD7E0" w:rsidR="00EB21C3" w:rsidRPr="00EB21C3" w:rsidRDefault="00EB21C3" w:rsidP="00EB21C3">
      <w:pPr>
        <w:spacing w:line="480" w:lineRule="auto"/>
      </w:pPr>
      <w:r w:rsidRPr="00EB21C3">
        <w:t xml:space="preserve">The findings of this study </w:t>
      </w:r>
      <w:r w:rsidR="00EF4448">
        <w:t xml:space="preserve">were broadly consistent </w:t>
      </w:r>
      <w:r w:rsidRPr="00EB21C3">
        <w:t xml:space="preserve">with the findings of Study 2, </w:t>
      </w:r>
      <w:r w:rsidR="00EF4448">
        <w:t>in that</w:t>
      </w:r>
      <w:r w:rsidRPr="00EB21C3">
        <w:t xml:space="preserve"> both studies highlight</w:t>
      </w:r>
      <w:r w:rsidR="00EF4448">
        <w:t>ed</w:t>
      </w:r>
      <w:r w:rsidRPr="00EB21C3">
        <w:t xml:space="preserve"> the particular importance of social influences and coping motives for encouraging the use of NPS, and the importance of risk perceptions and negative perceptions of user identities for discouraging use. This provides </w:t>
      </w:r>
      <w:r w:rsidR="00EF4448">
        <w:t>evidence that the findings across the studies are reliable,</w:t>
      </w:r>
      <w:r w:rsidRPr="00EB21C3">
        <w:t xml:space="preserve"> that is, the salience of themes within young people’s </w:t>
      </w:r>
      <w:r w:rsidR="00EF4448">
        <w:t>discussions reflect their importance</w:t>
      </w:r>
      <w:r w:rsidRPr="00EB21C3">
        <w:t xml:space="preserve"> to young people. </w:t>
      </w:r>
    </w:p>
    <w:p w14:paraId="698F1EE9" w14:textId="75E5F465" w:rsidR="00EB21C3" w:rsidRPr="00EB21C3" w:rsidRDefault="00EB21C3" w:rsidP="00EB21C3">
      <w:pPr>
        <w:spacing w:line="480" w:lineRule="auto"/>
      </w:pPr>
      <w:r w:rsidRPr="00EB21C3">
        <w:t xml:space="preserve">In addition, this study builds on the findings of </w:t>
      </w:r>
      <w:r w:rsidR="00EF4448">
        <w:t>S</w:t>
      </w:r>
      <w:r w:rsidRPr="00EB21C3">
        <w:t xml:space="preserve">tudies 1 and 2, by </w:t>
      </w:r>
      <w:r w:rsidR="00EF4448">
        <w:t>focusing on</w:t>
      </w:r>
      <w:r w:rsidRPr="00EB21C3">
        <w:t xml:space="preserve"> the relationships between the motivational domains. In particular while young people conceived of several motives as potentially conflicting with the health motives that might discourage use, the type of conflict varied as some conflicts were perceived to be more problematic than others. Specifically, the conflicts between health motives and social motives, and health motives and coping motives were presented as problematic. In contrast, the conflicts between health motives and pleasure motives were not considered to be as challenging. The reason for this appears to be related to the type of goal conflict involved as social motives and coping motives in this context were described as avoidance goals, while pleasure motives and curiosity motives were presented as approach goals. Avoidance goals and approach goals are different types of goals and are thought to involve different psychological processes (Carver &amp; Scheier, 1998). Approach goals are desired outcomes that people want to achieve, whereas avoidance goals are undesired outcomes that people want to prevent (Elliot &amp; Thrash 2002). The type of goal being pursued affects prioritisation but when they differ people tend to prioritise loss-focused goals compared to gain-focused goals (Schmidt &amp; DeShon, 2007). </w:t>
      </w:r>
      <w:r w:rsidR="00EF4448">
        <w:t>Therefore</w:t>
      </w:r>
      <w:r w:rsidR="008C0A29">
        <w:t>,</w:t>
      </w:r>
      <w:r w:rsidR="00EF4448">
        <w:t xml:space="preserve"> health motives (avoidance goals) may have a greater inhibitory effect on pleasure motives (approach goals) than social or coping motives (also avoidance goals). </w:t>
      </w:r>
    </w:p>
    <w:p w14:paraId="32A1D1BF" w14:textId="76BF35CF" w:rsidR="00EB21C3" w:rsidRPr="00EB21C3" w:rsidRDefault="00EB21C3" w:rsidP="00EB21C3">
      <w:pPr>
        <w:spacing w:line="480" w:lineRule="auto"/>
      </w:pPr>
      <w:r w:rsidRPr="00EB21C3">
        <w:t>These two forms of motivational conflict described by participants can be differentiated by the type of risk they represent</w:t>
      </w:r>
      <w:r w:rsidR="00EF4448">
        <w:t xml:space="preserve"> </w:t>
      </w:r>
      <w:r w:rsidRPr="00EB21C3">
        <w:t>as, for the motives stimulated by avoidance goals (social rejection and stress), the risks are tangible risks that may deplete a person’s social and affective resources. However, for the approach goals (pleasure and experience) the risks are opportunity costs which do not threaten to deplete a person’s self-resour</w:t>
      </w:r>
      <w:r w:rsidR="003A0F49">
        <w:t>c</w:t>
      </w:r>
      <w:r w:rsidRPr="00EB21C3">
        <w:t>es in the same way.</w:t>
      </w:r>
    </w:p>
    <w:p w14:paraId="04F864F5" w14:textId="20803758" w:rsidR="00EB21C3" w:rsidRPr="00EB21C3" w:rsidRDefault="00EB21C3" w:rsidP="00EB21C3">
      <w:pPr>
        <w:spacing w:line="480" w:lineRule="auto"/>
      </w:pPr>
      <w:r w:rsidRPr="00EB21C3">
        <w:t xml:space="preserve">Participants described social motives as overriding health motives when young people were concerned about failing to conform and losing out on membership of a valued group. For coping motives, young people were described as wanting to avoid negative states of stress, which was thought to motivate people to prioritise the need to forget about their worries, over and above, their health concerns. When conflicting goals are the same type (approach – approach or avoid – avoid) people tend to prioritise the goal with </w:t>
      </w:r>
      <w:r w:rsidR="003A0F49">
        <w:t xml:space="preserve">the </w:t>
      </w:r>
      <w:r w:rsidRPr="00EB21C3">
        <w:t>greatest need (Schmidt &amp; DeShon, 2007). They also tend to prioritise goals where the outcome seems more certain (Ballard et al.</w:t>
      </w:r>
      <w:r w:rsidR="00EF4448">
        <w:t>,</w:t>
      </w:r>
      <w:r w:rsidRPr="00EB21C3">
        <w:t xml:space="preserve"> 2016a) and more immediate (Northcraft et al.</w:t>
      </w:r>
      <w:r w:rsidR="00EF4448">
        <w:t>,</w:t>
      </w:r>
      <w:r w:rsidRPr="00EB21C3">
        <w:t xml:space="preserve"> 2011).  If social rejection or feeling stress seems more certain and immediate than health risks associated with NPS, (which are often characterised by uncertainty) then the social and coping motives </w:t>
      </w:r>
      <w:r w:rsidR="00EF4448">
        <w:t>are</w:t>
      </w:r>
      <w:r w:rsidRPr="00EB21C3">
        <w:t xml:space="preserve"> likely to dominate. </w:t>
      </w:r>
    </w:p>
    <w:p w14:paraId="4845B2F1" w14:textId="77777777" w:rsidR="00EB21C3" w:rsidRPr="00EB21C3" w:rsidRDefault="00EB21C3" w:rsidP="00EB21C3">
      <w:pPr>
        <w:spacing w:line="480" w:lineRule="auto"/>
      </w:pPr>
      <w:r w:rsidRPr="00EB21C3">
        <w:t xml:space="preserve">When health motives and pleasure motives are in conflict, however, the desire to avoid harm may be prioritised more easily over pleasurable approach goals than it would be with other avoidance goals. In other words, although there is conflict, it is more easily resolved. In addition, health concerns were seen as less incongruent with hedonistic desires, as young people thought that NPS perceived to be dangerous would also be expected to be unpleasant. However, the implication is that at a low level of perceived risk, the influence of health might not be enough to override pleasure motives. Health motives and pleasure motives might only be congruent in relation to acute risks, as chronic harms that are cumulative and not seen as immediate and may not be associated with short term unpleasant experiences. When harms are not seen as immediate, the closer temporal proximity of the pleasurable approach goal may take priority. Curiosity motives were also perceived as being congruent with health motives, via the influence of pleasure, as young people’s curiosity was thought to be driven by a desire for pleasure. Consequently, when an NPS was thought to be associated with health risks, it was expected that young people would no longer believe taking it would lead to a pleasurable experience and therefore curiosity would fade. </w:t>
      </w:r>
    </w:p>
    <w:p w14:paraId="34EE9A46" w14:textId="08946CA9" w:rsidR="00EB21C3" w:rsidRPr="00EB21C3" w:rsidRDefault="00EB21C3" w:rsidP="00EB21C3">
      <w:pPr>
        <w:spacing w:line="480" w:lineRule="auto"/>
      </w:pPr>
      <w:r w:rsidRPr="00EB21C3">
        <w:t>In terms of overcoming the barriers caused by the more problematic conflicts, for social risks participants emphasised the need for support and trust, so that they felt more confident that failing to conform would not lead to rejection by their peers. In relation to coping motives</w:t>
      </w:r>
      <w:r w:rsidR="00DB4F25">
        <w:t>,</w:t>
      </w:r>
      <w:r w:rsidRPr="00EB21C3">
        <w:t xml:space="preserve"> participants did not highlight any particular strategies but noted that the root causes underpinning the need to cope might be hard to tackle. </w:t>
      </w:r>
    </w:p>
    <w:p w14:paraId="40A13749" w14:textId="2D567E08" w:rsidR="00EB21C3" w:rsidRPr="00EB21C3" w:rsidRDefault="00EB21C3" w:rsidP="00EB21C3">
      <w:pPr>
        <w:spacing w:line="480" w:lineRule="auto"/>
      </w:pPr>
      <w:r w:rsidRPr="00EB21C3">
        <w:t xml:space="preserve">Turning to the acceptability </w:t>
      </w:r>
      <w:r w:rsidR="0016747E">
        <w:t>of potential interventions to reduce NPS use</w:t>
      </w:r>
      <w:r w:rsidRPr="00EB21C3">
        <w:t xml:space="preserve">, young people taking part had clear ideas about what would and would not be acceptable as an NPS intervention with young people. </w:t>
      </w:r>
      <w:r w:rsidR="0016747E">
        <w:t>Considering</w:t>
      </w:r>
      <w:r w:rsidRPr="00EB21C3">
        <w:t xml:space="preserve"> intervention content, there was a clear consensus that a focus on unscrupulous production methods and harmful ingredients would be most appropriate. This content was clearly linked with the use of videos and documentaries and an online setting. One of the advantages of a focus on production and ingredients was that it appeared to sidestep young people’s concerns about approaches that were overly authoritative as this sort of information was not associated with judgement or being told what to do. </w:t>
      </w:r>
    </w:p>
    <w:p w14:paraId="03D2CCC8" w14:textId="71D7E93B" w:rsidR="00EB21C3" w:rsidRPr="00EB21C3" w:rsidRDefault="00EB21C3" w:rsidP="00EB21C3">
      <w:pPr>
        <w:spacing w:line="480" w:lineRule="auto"/>
      </w:pPr>
      <w:r w:rsidRPr="00EB21C3">
        <w:t>A closer examination of participants</w:t>
      </w:r>
      <w:r w:rsidR="0016747E">
        <w:t>’</w:t>
      </w:r>
      <w:r w:rsidRPr="00EB21C3">
        <w:t xml:space="preserve"> perceptions around ingredients shows that their concerns were predominately oriented towards the adulteration of NPS rather than the variable potency of substances. For young people potency was discussed in terms of purity, and the concept of purity appeared to have both positive and negative connotations, whereas adulteration was presented as uniformly negative. Adulteration appeared to be associated with maliciousness and a lack of care that framed producers and sellers as greedy and exploitative. Participants seemed to view the ‘chemical’ nature of adulterants negatively, which were contrasted with natural products which seemed </w:t>
      </w:r>
      <w:r w:rsidR="003A0F49">
        <w:t xml:space="preserve">to </w:t>
      </w:r>
      <w:r w:rsidRPr="00EB21C3">
        <w:t xml:space="preserve">be associated with positive connotations. One participant even described natural substances being ‘corrupted’ with chemicals while in contrast other participants associated cannabis with nature, trees and saving people from cancer. </w:t>
      </w:r>
    </w:p>
    <w:p w14:paraId="4906BF4A" w14:textId="77777777" w:rsidR="00EB21C3" w:rsidRPr="00EB21C3" w:rsidRDefault="00EB21C3" w:rsidP="00EB21C3">
      <w:pPr>
        <w:spacing w:line="480" w:lineRule="auto"/>
      </w:pPr>
      <w:r w:rsidRPr="00EB21C3">
        <w:t xml:space="preserve">In addition to a focus on health risks and harmful ingredients, participants also suggested that interventions could focus on clarifying the legal status of NPS which was thought to be confusing. The use of the term ‘legal highs’ was presented as particularly misleading.  </w:t>
      </w:r>
    </w:p>
    <w:p w14:paraId="22E56149" w14:textId="401680C5" w:rsidR="00EB21C3" w:rsidRPr="00EB21C3" w:rsidRDefault="00EB21C3" w:rsidP="00EB21C3">
      <w:pPr>
        <w:spacing w:line="480" w:lineRule="auto"/>
      </w:pPr>
      <w:r w:rsidRPr="00EB21C3">
        <w:t xml:space="preserve">Participants felt that interventions needed to be interactive, which they perceived as the ability to talk, have conversations and ask questions. Consequently, interaction was closely linked to safety, and the need for a non-judgemental environment. Evidence from </w:t>
      </w:r>
      <w:r w:rsidR="003A0F49">
        <w:t>several</w:t>
      </w:r>
      <w:r w:rsidRPr="00EB21C3">
        <w:t xml:space="preserve"> reviews on the efficacy of drug prevention interventions show</w:t>
      </w:r>
      <w:r w:rsidR="003A0F49">
        <w:t>s</w:t>
      </w:r>
      <w:r w:rsidRPr="00EB21C3">
        <w:t xml:space="preserve"> positive outcomes for interactive approaches (Ainsworth et al., 2016; Brotherhood, Atkinson, Bates &amp; Sumnall, 2013; EMCDDA, 2011; James, 2011; Novakovic, UNODC, 2018). Evidence also supports the use of non-judgemental approaches which have been shown to have beneficial effects (Ainsworth et al., 2016; James, 2011; Novakovic, UNODC, 2018). Furthermore, both interactive and non-judgemental approaches are endorsed by key drug intervention prevention guidelines (EMCDDA, 2011; Mentor-ADEPIS, 2014; NICE, 2017).</w:t>
      </w:r>
    </w:p>
    <w:p w14:paraId="54D1FA78" w14:textId="3A56D7B0" w:rsidR="00EB21C3" w:rsidRPr="00EB21C3" w:rsidRDefault="00EB21C3" w:rsidP="00EB21C3">
      <w:pPr>
        <w:spacing w:line="480" w:lineRule="auto"/>
      </w:pPr>
      <w:r w:rsidRPr="00EB21C3">
        <w:t>For young people in the focus groups, these attributes (i.e. interaction, safety and lack of judgement) appeared to be associated with social media and online platforms which were seen as private, engaging and non-stigmatising. Although web-based approaches show evidence of inconsistent effects (Novakovic, Rutter, Ainsworth, et al., 2016), web-based inventions a</w:t>
      </w:r>
      <w:r w:rsidR="003A0F49">
        <w:t>r</w:t>
      </w:r>
      <w:r w:rsidRPr="00EB21C3">
        <w:t>e gaining popularity and are endorsed in key drug prevention guidelines (EMCDDA, 2011; NICE, 2017).</w:t>
      </w:r>
    </w:p>
    <w:p w14:paraId="1682BC57" w14:textId="6CF3C753" w:rsidR="00EB21C3" w:rsidRPr="00EB21C3" w:rsidRDefault="00EB21C3" w:rsidP="00EB21C3">
      <w:pPr>
        <w:spacing w:line="480" w:lineRule="auto"/>
      </w:pPr>
      <w:r w:rsidRPr="00EB21C3">
        <w:t>Young people’s comfort with online settings was largely contrasted with school settings, which were seen as important places where interventions should take place, but also problematic due to the lack of engagement and more judgmental environment. Lack of engagement was linked with the use of standalone health information which participants thought young people would filter out and dismiss due to the volume of instructions they receive from adults and teachers. Participants</w:t>
      </w:r>
      <w:r w:rsidR="0016747E">
        <w:t>’</w:t>
      </w:r>
      <w:r w:rsidRPr="00EB21C3">
        <w:t xml:space="preserve"> lack of endorsement of standalone informational approaches is in line with both the evidence and recommendations of drug prevention guidelines that do not support the use of these approaches (ACMD, 2011; EMCDDA, 2011; Mentor-ADEPIS, 2014; NICE, 2017).</w:t>
      </w:r>
    </w:p>
    <w:p w14:paraId="30801AEA" w14:textId="1CE9A47C" w:rsidR="00EB21C3" w:rsidRPr="00EB21C3" w:rsidRDefault="00EB21C3" w:rsidP="00EB21C3">
      <w:pPr>
        <w:spacing w:line="480" w:lineRule="auto"/>
      </w:pPr>
      <w:r w:rsidRPr="00EB21C3">
        <w:t xml:space="preserve">In place of approaches led by teachers, participants endorsed the use of peer-led approaches in which the most important attribute was thought to be a good match in age between provider and recipient. While participants noted that it was important for people to be able to identify with the provider, the greater issue was thought to a lack of trust toward older adults who are seen as judgemental. Peer-led intentions are also supported by good evidence for their effectiveness and are </w:t>
      </w:r>
      <w:r w:rsidR="00E954B0" w:rsidRPr="00EB21C3">
        <w:t>recommended</w:t>
      </w:r>
      <w:r w:rsidRPr="00EB21C3">
        <w:t xml:space="preserve"> in key guidelines approaches (ACMD, 2011; EMCDDA, 2011; Mentor-ADEPIS, 2014; NICE, 2017).</w:t>
      </w:r>
    </w:p>
    <w:p w14:paraId="2631A158" w14:textId="5294ADBE" w:rsidR="00EB21C3" w:rsidRPr="00EB21C3" w:rsidRDefault="00EB21C3" w:rsidP="00EB21C3">
      <w:pPr>
        <w:spacing w:line="480" w:lineRule="auto"/>
      </w:pPr>
      <w:r w:rsidRPr="00EB21C3">
        <w:t>In addition to information-based approaches, there was also a cluster of approaches endorsed by young people that centred on safe spaces in entertainment settings, drug-testing services and harm-reduction information. These interventions were seen as supportive and respectful by caring for young people by providing help and information. However, there were concerns about whether young people would feel safe talking about their own or their friends’ consumption of illegal substances. Evidence for the effectiveness of interventions in night-life settings is mixed but some programs are associated with positive outcomes while drug-testing services show evidence of positive harm-reduction outcomes and are specifically recommended for use with NPS interventions (Pirona et al., 2016).</w:t>
      </w:r>
    </w:p>
    <w:p w14:paraId="59076144" w14:textId="77777777" w:rsidR="00EB21C3" w:rsidRPr="008C0A29" w:rsidRDefault="00EB21C3" w:rsidP="00EB21C3">
      <w:pPr>
        <w:keepNext/>
        <w:keepLines/>
        <w:numPr>
          <w:ilvl w:val="2"/>
          <w:numId w:val="2"/>
        </w:numPr>
        <w:spacing w:before="480" w:after="100" w:afterAutospacing="1" w:line="240" w:lineRule="auto"/>
        <w:outlineLvl w:val="2"/>
        <w:rPr>
          <w:b/>
          <w:bCs/>
          <w:color w:val="000000"/>
        </w:rPr>
      </w:pPr>
      <w:bookmarkStart w:id="538" w:name="_Toc35892764"/>
      <w:r w:rsidRPr="008C0A29">
        <w:rPr>
          <w:b/>
          <w:bCs/>
          <w:color w:val="000000"/>
        </w:rPr>
        <w:t>Implications</w:t>
      </w:r>
      <w:bookmarkEnd w:id="538"/>
      <w:r w:rsidRPr="008C0A29">
        <w:rPr>
          <w:b/>
          <w:bCs/>
          <w:color w:val="000000"/>
        </w:rPr>
        <w:t xml:space="preserve"> </w:t>
      </w:r>
    </w:p>
    <w:p w14:paraId="0B2B65AB" w14:textId="77777777" w:rsidR="00EB21C3" w:rsidRPr="00EB21C3" w:rsidRDefault="00EB21C3" w:rsidP="00EB21C3">
      <w:pPr>
        <w:spacing w:line="480" w:lineRule="auto"/>
      </w:pPr>
      <w:r w:rsidRPr="00EB21C3">
        <w:t xml:space="preserve">The intervention approaches recommended by young people in the focus groups showed strong alignment with both the evidence base and the recommendations of key drug intervention prevention guidelines. This indicates that there are a variety of acceptable approaches that have the potential to be effective where young people and researchers can find common ground. </w:t>
      </w:r>
    </w:p>
    <w:p w14:paraId="1AE7FD2E" w14:textId="77777777" w:rsidR="00EB21C3" w:rsidRPr="008C0A29" w:rsidRDefault="00EB21C3" w:rsidP="00EB21C3">
      <w:pPr>
        <w:keepNext/>
        <w:keepLines/>
        <w:numPr>
          <w:ilvl w:val="2"/>
          <w:numId w:val="2"/>
        </w:numPr>
        <w:spacing w:before="480" w:after="100" w:afterAutospacing="1" w:line="240" w:lineRule="auto"/>
        <w:outlineLvl w:val="2"/>
        <w:rPr>
          <w:b/>
          <w:bCs/>
          <w:color w:val="000000" w:themeColor="text1"/>
        </w:rPr>
      </w:pPr>
      <w:bookmarkStart w:id="539" w:name="_Toc35892765"/>
      <w:r w:rsidRPr="008C0A29">
        <w:rPr>
          <w:b/>
          <w:bCs/>
          <w:color w:val="000000" w:themeColor="text1"/>
        </w:rPr>
        <w:t>Strengths and limitations</w:t>
      </w:r>
      <w:bookmarkEnd w:id="539"/>
    </w:p>
    <w:p w14:paraId="505EC233" w14:textId="6F04EEBB" w:rsidR="008B697C" w:rsidRDefault="008B697C" w:rsidP="00EB21C3">
      <w:pPr>
        <w:spacing w:line="480" w:lineRule="auto"/>
      </w:pPr>
      <w:r>
        <w:t>The study has some strengths to report. Working in a community setting was a good way to reach a variety of young people from a range of backgrounds.  Therefore, the approaches they endorsed may have wide appeal for a range of young people.  By talking to young people at the outset of intervention design and using an open-ended approach, young people’s responses were not constrained.  The ideas they generated</w:t>
      </w:r>
      <w:r w:rsidR="003F3A08">
        <w:t>, therefore,</w:t>
      </w:r>
      <w:r>
        <w:t xml:space="preserve"> represent a good indication of what is acceptable or unacceptable to </w:t>
      </w:r>
      <w:r w:rsidR="000244D9">
        <w:t>this population.</w:t>
      </w:r>
    </w:p>
    <w:p w14:paraId="50E8A00E" w14:textId="2B4775D8" w:rsidR="00EB21C3" w:rsidRPr="00EB21C3" w:rsidRDefault="00EB21C3" w:rsidP="00EB21C3">
      <w:pPr>
        <w:spacing w:line="480" w:lineRule="auto"/>
      </w:pPr>
      <w:r w:rsidRPr="00EB21C3">
        <w:t xml:space="preserve">The study has a number of limitations to take into consideration. First, as a group the participants had low rates of NPS use (in total 10% had used an NPS either before or after the ban) and therefore the findings may not be applicable to typical users of NPS. However, the prevalence of illicit drug use was greater than their use of NPS (29%) and 65 % of the sample had friends that have </w:t>
      </w:r>
      <w:r w:rsidR="0016747E">
        <w:t xml:space="preserve">taken </w:t>
      </w:r>
      <w:r w:rsidRPr="00EB21C3">
        <w:t xml:space="preserve">drugs so they </w:t>
      </w:r>
      <w:r w:rsidR="0016747E">
        <w:t xml:space="preserve">are likely to </w:t>
      </w:r>
      <w:r w:rsidRPr="00EB21C3">
        <w:t xml:space="preserve">be able to empathise with young people contemplating use of NPS. </w:t>
      </w:r>
    </w:p>
    <w:p w14:paraId="07512AD5" w14:textId="6F80A753" w:rsidR="00EB21C3" w:rsidRPr="00EB21C3" w:rsidRDefault="00EB21C3" w:rsidP="00EB21C3">
      <w:pPr>
        <w:spacing w:line="480" w:lineRule="auto"/>
      </w:pPr>
      <w:r w:rsidRPr="00EB21C3">
        <w:t>Second</w:t>
      </w:r>
      <w:r w:rsidR="008B697C">
        <w:t>,</w:t>
      </w:r>
      <w:r w:rsidRPr="00EB21C3">
        <w:t xml:space="preserve"> the study used a semi-structured approach for the focus group sessions, but the questions used were broad in scope with the intention that this would stimulate young people's creativity. </w:t>
      </w:r>
      <w:r w:rsidR="008B697C">
        <w:t xml:space="preserve">It is possible </w:t>
      </w:r>
      <w:r w:rsidRPr="00EB21C3">
        <w:t xml:space="preserve">a more structured approach to the session might have better suited the research questions to maintain more focus and encourage greater depth in relation to the key areas of interest. </w:t>
      </w:r>
    </w:p>
    <w:p w14:paraId="4FE4D684" w14:textId="5A9A0B4F" w:rsidR="00EB21C3" w:rsidRPr="00EB21C3" w:rsidRDefault="00EB21C3" w:rsidP="00EB21C3">
      <w:pPr>
        <w:spacing w:line="480" w:lineRule="auto"/>
      </w:pPr>
      <w:r w:rsidRPr="00EB21C3">
        <w:t xml:space="preserve">Third, unlike Studies 1 and 2, the focus group questions were not developed in consultation with the young people's advisory group and as a result, participants had some difficulty understanding some of the questions. However, based on feedback from the first </w:t>
      </w:r>
      <w:r w:rsidR="008B697C">
        <w:t xml:space="preserve">focus </w:t>
      </w:r>
      <w:r w:rsidRPr="00EB21C3">
        <w:t xml:space="preserve">group the questions were adjusted to make them more straightforward for the second and third groups. As the study was not designed to compare responses between the groups the difference in questions </w:t>
      </w:r>
      <w:r w:rsidR="008B697C">
        <w:t>unlikely</w:t>
      </w:r>
      <w:r w:rsidRPr="00EB21C3">
        <w:t xml:space="preserve"> to compromise the findings.</w:t>
      </w:r>
    </w:p>
    <w:p w14:paraId="19065515" w14:textId="62B0B7C7" w:rsidR="00EB21C3" w:rsidRPr="00EB21C3" w:rsidRDefault="00EB21C3" w:rsidP="00EB21C3">
      <w:pPr>
        <w:spacing w:line="480" w:lineRule="auto"/>
      </w:pPr>
      <w:r w:rsidRPr="00EB21C3">
        <w:t xml:space="preserve">Fourth, the study used self-report measures to collect information about participants’ use of psychoactive substances and therefore the findings may be biased by self-presentation concerns. As with Studies 1 and 2, the impact of self-presentation concerns was limited by the use of self-administered anonymous questionnaires. </w:t>
      </w:r>
    </w:p>
    <w:p w14:paraId="22FAB2EA" w14:textId="77777777" w:rsidR="00EB21C3" w:rsidRPr="00EB21C3" w:rsidRDefault="00EB21C3" w:rsidP="00EB21C3">
      <w:pPr>
        <w:keepNext/>
        <w:keepLines/>
        <w:numPr>
          <w:ilvl w:val="1"/>
          <w:numId w:val="2"/>
        </w:numPr>
        <w:spacing w:before="480" w:after="100" w:afterAutospacing="1" w:line="240" w:lineRule="auto"/>
        <w:ind w:left="576"/>
        <w:outlineLvl w:val="1"/>
        <w:rPr>
          <w:b/>
          <w:bCs/>
          <w:color w:val="000000" w:themeColor="text1"/>
          <w:szCs w:val="26"/>
        </w:rPr>
      </w:pPr>
      <w:bookmarkStart w:id="540" w:name="_Toc35892766"/>
      <w:r w:rsidRPr="00EB21C3">
        <w:rPr>
          <w:b/>
          <w:bCs/>
          <w:color w:val="000000" w:themeColor="text1"/>
          <w:szCs w:val="26"/>
        </w:rPr>
        <w:t>Conclusions</w:t>
      </w:r>
      <w:bookmarkEnd w:id="540"/>
    </w:p>
    <w:p w14:paraId="65648959" w14:textId="55A3194A" w:rsidR="00577D9C" w:rsidRDefault="00EB21C3" w:rsidP="00EB21C3">
      <w:pPr>
        <w:spacing w:line="480" w:lineRule="auto"/>
        <w:rPr>
          <w:color w:val="000000"/>
        </w:rPr>
      </w:pPr>
      <w:r w:rsidRPr="00EB21C3">
        <w:rPr>
          <w:color w:val="000000"/>
        </w:rPr>
        <w:t xml:space="preserve">The findings suggest that young people would find informative documentary or </w:t>
      </w:r>
      <w:r w:rsidR="00241FE7" w:rsidRPr="00EB21C3">
        <w:rPr>
          <w:color w:val="000000"/>
        </w:rPr>
        <w:t>video-based</w:t>
      </w:r>
      <w:r w:rsidRPr="00EB21C3">
        <w:rPr>
          <w:color w:val="000000"/>
        </w:rPr>
        <w:t xml:space="preserve"> interventions focusing on unscrupulous production methods of NPS, harmful ingredients, health risks and/or harm-reduction information an acceptable form of intervention for addressing young people's use of NPS. Interventions addressing the confusing situation around the legal status of NPS may also well accepted. Online and social media-based interventions are strongly endorsed with online settings being perceived as safe, interactive and non-stigmatising. In addition, interventions such as drug-testing services and safe-spaces in entertainment settings are considered suitable and acceptable. The findings indicate that the best</w:t>
      </w:r>
      <w:r w:rsidR="003F3A08">
        <w:rPr>
          <w:color w:val="000000"/>
        </w:rPr>
        <w:t>-</w:t>
      </w:r>
      <w:r w:rsidRPr="00EB21C3">
        <w:rPr>
          <w:color w:val="000000"/>
        </w:rPr>
        <w:t>received interventions would involve peers in delivery as well as being interactive, non-judgemental, and avoiding the use of standalone risk information or overly authoritative approaches.</w:t>
      </w:r>
    </w:p>
    <w:p w14:paraId="3FF3AF38" w14:textId="77777777" w:rsidR="00577D9C" w:rsidRDefault="00577D9C">
      <w:pPr>
        <w:rPr>
          <w:color w:val="000000"/>
        </w:rPr>
      </w:pPr>
      <w:r>
        <w:rPr>
          <w:color w:val="000000"/>
        </w:rPr>
        <w:br w:type="page"/>
      </w:r>
    </w:p>
    <w:p w14:paraId="0295D0AA" w14:textId="77777777" w:rsidR="00577D9C" w:rsidRDefault="00577D9C" w:rsidP="00577D9C">
      <w:pPr>
        <w:jc w:val="center"/>
        <w:rPr>
          <w:rFonts w:cs="Arial"/>
          <w:b/>
          <w:bCs/>
          <w:sz w:val="28"/>
          <w:szCs w:val="28"/>
        </w:rPr>
      </w:pPr>
    </w:p>
    <w:p w14:paraId="4872AAA7" w14:textId="77777777" w:rsidR="00577D9C" w:rsidRDefault="00577D9C" w:rsidP="00577D9C">
      <w:pPr>
        <w:jc w:val="center"/>
        <w:rPr>
          <w:rFonts w:cs="Arial"/>
          <w:b/>
          <w:bCs/>
          <w:sz w:val="28"/>
          <w:szCs w:val="28"/>
        </w:rPr>
      </w:pPr>
    </w:p>
    <w:p w14:paraId="7209988B" w14:textId="77777777" w:rsidR="00577D9C" w:rsidRDefault="00577D9C" w:rsidP="00577D9C">
      <w:pPr>
        <w:jc w:val="center"/>
        <w:rPr>
          <w:rFonts w:cs="Arial"/>
          <w:b/>
          <w:bCs/>
          <w:sz w:val="28"/>
          <w:szCs w:val="28"/>
        </w:rPr>
      </w:pPr>
    </w:p>
    <w:p w14:paraId="752DEF19" w14:textId="77777777" w:rsidR="00577D9C" w:rsidRDefault="00577D9C" w:rsidP="00577D9C">
      <w:pPr>
        <w:jc w:val="center"/>
        <w:rPr>
          <w:rFonts w:cs="Arial"/>
          <w:b/>
          <w:bCs/>
          <w:sz w:val="28"/>
          <w:szCs w:val="28"/>
        </w:rPr>
      </w:pPr>
    </w:p>
    <w:p w14:paraId="7E3A93C8" w14:textId="77777777" w:rsidR="00577D9C" w:rsidRDefault="00577D9C" w:rsidP="00577D9C">
      <w:pPr>
        <w:jc w:val="center"/>
        <w:rPr>
          <w:rFonts w:cs="Arial"/>
          <w:b/>
          <w:bCs/>
          <w:sz w:val="28"/>
          <w:szCs w:val="28"/>
        </w:rPr>
      </w:pPr>
    </w:p>
    <w:p w14:paraId="284449AE" w14:textId="77777777" w:rsidR="00577D9C" w:rsidRDefault="00577D9C" w:rsidP="00577D9C">
      <w:pPr>
        <w:jc w:val="center"/>
        <w:rPr>
          <w:rFonts w:cs="Arial"/>
          <w:b/>
          <w:bCs/>
          <w:sz w:val="28"/>
          <w:szCs w:val="28"/>
        </w:rPr>
      </w:pPr>
    </w:p>
    <w:p w14:paraId="5ECB72F3" w14:textId="77777777" w:rsidR="00577D9C" w:rsidRDefault="00577D9C" w:rsidP="00577D9C">
      <w:pPr>
        <w:jc w:val="center"/>
        <w:rPr>
          <w:rFonts w:cs="Arial"/>
          <w:b/>
          <w:bCs/>
          <w:sz w:val="28"/>
          <w:szCs w:val="28"/>
        </w:rPr>
      </w:pPr>
    </w:p>
    <w:p w14:paraId="3E05ACD8" w14:textId="77777777" w:rsidR="00577D9C" w:rsidRDefault="00577D9C" w:rsidP="00577D9C">
      <w:pPr>
        <w:jc w:val="center"/>
      </w:pPr>
      <w:r w:rsidRPr="005A7BA5">
        <w:t>[This page intentionally blank]</w:t>
      </w:r>
    </w:p>
    <w:p w14:paraId="5ADE23F2" w14:textId="77777777" w:rsidR="00EB21C3" w:rsidRDefault="00EB21C3" w:rsidP="00EB21C3">
      <w:pPr>
        <w:spacing w:line="480" w:lineRule="auto"/>
      </w:pPr>
    </w:p>
    <w:p w14:paraId="5CF612B1" w14:textId="77777777" w:rsidR="00EB21C3" w:rsidRPr="0071392B" w:rsidRDefault="00EB21C3" w:rsidP="00EB21C3">
      <w:pPr>
        <w:spacing w:line="480" w:lineRule="auto"/>
        <w:sectPr w:rsidR="00EB21C3" w:rsidRPr="0071392B" w:rsidSect="007E1D13">
          <w:headerReference w:type="default" r:id="rId73"/>
          <w:pgSz w:w="11900" w:h="16840"/>
          <w:pgMar w:top="1418" w:right="1418" w:bottom="1560" w:left="1418" w:header="709" w:footer="709" w:gutter="0"/>
          <w:cols w:space="708"/>
          <w:docGrid w:linePitch="360"/>
        </w:sectPr>
      </w:pPr>
    </w:p>
    <w:p w14:paraId="1A51DCA9" w14:textId="77777777" w:rsidR="00F54415" w:rsidRPr="0033479F" w:rsidRDefault="00F54415" w:rsidP="00F54415">
      <w:pPr>
        <w:pStyle w:val="Heading1"/>
        <w:ind w:left="432"/>
      </w:pPr>
      <w:bookmarkStart w:id="541" w:name="_Toc9328580"/>
      <w:bookmarkStart w:id="542" w:name="_Toc35892767"/>
      <w:r>
        <w:t>Discussion</w:t>
      </w:r>
      <w:bookmarkEnd w:id="541"/>
      <w:bookmarkEnd w:id="542"/>
    </w:p>
    <w:p w14:paraId="13D701D4" w14:textId="65DEAA07" w:rsidR="00D454BA" w:rsidRDefault="00D454BA" w:rsidP="00D454BA">
      <w:pPr>
        <w:pStyle w:val="Heading2"/>
      </w:pPr>
      <w:bookmarkStart w:id="543" w:name="_Toc9328581"/>
      <w:bookmarkStart w:id="544" w:name="_Toc35892768"/>
      <w:r w:rsidRPr="000F503C">
        <w:t>Introduction</w:t>
      </w:r>
      <w:bookmarkEnd w:id="543"/>
      <w:bookmarkEnd w:id="544"/>
    </w:p>
    <w:p w14:paraId="11F55132" w14:textId="77777777" w:rsidR="00C65FD3" w:rsidRDefault="00C65FD3" w:rsidP="00C65FD3">
      <w:pPr>
        <w:spacing w:line="480" w:lineRule="auto"/>
      </w:pPr>
      <w:r>
        <w:t xml:space="preserve">The main aim of this thesis was to inform the development of interventions that seek to address young people’s use of NPS. The current research set out to explore: the beliefs, motivations and reasons underlying young people’s NPS use and non- use; how they were impacted by the implementation of the Psychoactive Substances Act 2016; what approaches young people find acceptable; and which theories of health behaviour are most suitable for use in intervention development in relation to NPS use. </w:t>
      </w:r>
    </w:p>
    <w:p w14:paraId="0B389A99" w14:textId="77777777" w:rsidR="00C65FD3" w:rsidRDefault="00C65FD3" w:rsidP="00C65FD3">
      <w:pPr>
        <w:spacing w:line="480" w:lineRule="auto"/>
      </w:pPr>
      <w:r>
        <w:t>This chapter first presents a summary of the principal findings in relation to the research questions then discusses in more detail the issues relevant to intervening with young people’s NPS behaviour. It then looks at the impact of the PS Act, with a focus on the unintended negative consequences and what needs to be addressed in future interventions as a consequence. Next it discusses the need to take account of wider factors and considers the value of a systems approach. This is followed by an example intervention that incorporates suggested approaches before consideration of the strengths and limitations of the research project. Finally, the chapter presents its conclusions and recommendations for future work.</w:t>
      </w:r>
    </w:p>
    <w:p w14:paraId="158F923D" w14:textId="77777777" w:rsidR="00C65FD3" w:rsidRDefault="00C65FD3" w:rsidP="00C65FD3">
      <w:pPr>
        <w:pStyle w:val="Heading2"/>
        <w:tabs>
          <w:tab w:val="left" w:pos="720"/>
        </w:tabs>
      </w:pPr>
      <w:bookmarkStart w:id="545" w:name="_Toc9509002"/>
      <w:bookmarkStart w:id="546" w:name="_Toc9328582"/>
      <w:bookmarkStart w:id="547" w:name="_Toc35892769"/>
      <w:r>
        <w:t>Principal findings</w:t>
      </w:r>
      <w:bookmarkEnd w:id="545"/>
      <w:bookmarkEnd w:id="546"/>
      <w:bookmarkEnd w:id="547"/>
    </w:p>
    <w:p w14:paraId="3FE9D98B" w14:textId="77777777" w:rsidR="00C65FD3" w:rsidRDefault="00C65FD3" w:rsidP="00C65FD3">
      <w:pPr>
        <w:pStyle w:val="Heading3"/>
        <w:tabs>
          <w:tab w:val="left" w:pos="720"/>
        </w:tabs>
      </w:pPr>
      <w:bookmarkStart w:id="548" w:name="_Toc9509003"/>
      <w:bookmarkStart w:id="549" w:name="_Toc9328583"/>
      <w:bookmarkStart w:id="550" w:name="_Toc35892770"/>
      <w:r>
        <w:t>Why do young people use or not use NPS?</w:t>
      </w:r>
      <w:bookmarkEnd w:id="548"/>
      <w:bookmarkEnd w:id="549"/>
      <w:bookmarkEnd w:id="550"/>
    </w:p>
    <w:p w14:paraId="094B89DC" w14:textId="77777777" w:rsidR="00C65FD3" w:rsidRDefault="00C65FD3" w:rsidP="00C65FD3">
      <w:pPr>
        <w:spacing w:line="480" w:lineRule="auto"/>
      </w:pPr>
      <w:r>
        <w:t xml:space="preserve">Qualitive analysis of young people’s semi-structured discussions identified ten motivational domains that appeared to shape their behavioural decisions around NPS use: health protection motives; coping-based motives; the desire for friends’ approval; the desire to conserve money; the desire to conserve effort; the desire to avoid parents’ disapproval; the desire to protect and enhance identity; the desire for autonomy; pleasure motives; and curiosity (see Study 1). </w:t>
      </w:r>
    </w:p>
    <w:p w14:paraId="31F460AA" w14:textId="77777777" w:rsidR="00C65FD3" w:rsidRDefault="00C65FD3" w:rsidP="00C65FD3">
      <w:pPr>
        <w:spacing w:line="480" w:lineRule="auto"/>
      </w:pPr>
      <w:r>
        <w:t xml:space="preserve">The ten motivational domains showed consistency across all three studies; however, notable differences were found in the emphasis placed on the various motives in relation to behavioural outcomes (i.e. taking or not taking NPS) as well as in relation to changes following introduction of the ban. While the use of NPS appeared to be most frequently associated with motives to cope, gain friends’ approval, protect health and to conserve money and effort, avoidance of NPS use was predominantly linked with health protection motivation and to a lesser extent, the desire to avoid a negative identity (see Study 1 ). </w:t>
      </w:r>
    </w:p>
    <w:p w14:paraId="072D25E4" w14:textId="77777777" w:rsidR="00C65FD3" w:rsidRDefault="00C65FD3" w:rsidP="00C65FD3">
      <w:pPr>
        <w:spacing w:line="480" w:lineRule="auto"/>
      </w:pPr>
      <w:r>
        <w:t xml:space="preserve">While interactions between these ten motivational domains provide a good framework for understanding the motives that direct and constrain young people’s NPS related behaviour, their motivation also appeared to interact in important ways with wider structural and environmental factors. In particular, these include the legal status and accessibility of NPS and traditional illicit drugs, as well as young people’s relationships with authority. </w:t>
      </w:r>
    </w:p>
    <w:p w14:paraId="6A133DEB" w14:textId="77777777" w:rsidR="00C65FD3" w:rsidRDefault="00C65FD3" w:rsidP="00C65FD3">
      <w:pPr>
        <w:spacing w:line="480" w:lineRule="auto"/>
      </w:pPr>
      <w:r>
        <w:t>Analysis identified several NPS-specific beliefs linked with young people’s motives which largely centered on the nature of the health and punitive risks associated with use, and crucially, these risks relative to use of traditional illicit drugs (see Studies 1 and 2). The harmfulness of NPS was connected to beliefs about the unknown nature of their ingredients, potency and consistency resulting from a lack of regulation, while perceptions of safety were, to some extent, linked with their perceived legal status.</w:t>
      </w:r>
    </w:p>
    <w:p w14:paraId="7F3B5302" w14:textId="77777777" w:rsidR="00C65FD3" w:rsidRDefault="00C65FD3" w:rsidP="00C65FD3">
      <w:pPr>
        <w:pStyle w:val="Heading3"/>
        <w:tabs>
          <w:tab w:val="left" w:pos="720"/>
        </w:tabs>
      </w:pPr>
      <w:bookmarkStart w:id="551" w:name="_Toc9509004"/>
      <w:bookmarkStart w:id="552" w:name="_Toc9328584"/>
      <w:bookmarkStart w:id="553" w:name="_Toc35892771"/>
      <w:r>
        <w:t>How has implementation of the PS Act affected young people’s beliefs?</w:t>
      </w:r>
      <w:bookmarkEnd w:id="551"/>
      <w:bookmarkEnd w:id="552"/>
      <w:bookmarkEnd w:id="553"/>
      <w:r>
        <w:t xml:space="preserve"> </w:t>
      </w:r>
    </w:p>
    <w:p w14:paraId="21EC707C" w14:textId="77777777" w:rsidR="00C65FD3" w:rsidRDefault="00C65FD3" w:rsidP="00C65FD3">
      <w:pPr>
        <w:spacing w:line="480" w:lineRule="auto"/>
      </w:pPr>
      <w:r>
        <w:t xml:space="preserve">The emphasis placed on coping and social motives in explanations of NPS use was considerably greater following the ban, while the emphasis on avoiding parent’s disapproval, pleasure motives, and the appeal of a positive user identity were notably reduced (see Study 2). In relation to avoidance of NPS use, the salience of risk perceptions remained consistently high both before and after the ban, however, the frequency with which young people emphasised negative user identities was noticeably greater after the ban. </w:t>
      </w:r>
    </w:p>
    <w:p w14:paraId="06A40929" w14:textId="77777777" w:rsidR="00C65FD3" w:rsidRDefault="00C65FD3" w:rsidP="00C65FD3">
      <w:pPr>
        <w:spacing w:line="480" w:lineRule="auto"/>
      </w:pPr>
      <w:r>
        <w:t xml:space="preserve">Prior to the ban, legal status was more frequently linked with beliefs about the lack of punitive consequences of use associated with NPS than the lack of health risks. Conversely, the ban was linked with perceptions of illegal status, which were associated with increased risks to health, and to a lesser extent, an increased likelihood of getting in trouble. </w:t>
      </w:r>
    </w:p>
    <w:p w14:paraId="5E0021A4" w14:textId="77777777" w:rsidR="00C65FD3" w:rsidRDefault="00C65FD3" w:rsidP="00C65FD3">
      <w:pPr>
        <w:spacing w:line="480" w:lineRule="auto"/>
      </w:pPr>
      <w:r>
        <w:t xml:space="preserve">Despite the association of perceived illicit status with beliefs about risk, young people’s perceptions of the health risks of NPS use were relatively unaffected by the ban, and young people in the studies expressed the belief that many people remain unaware of the change in legal status, owing in part to continued use of the term ‘legal highs’. Following the ban, more significant changes in young people’s perceptions of NPS were observed in relation to perceptions of user types, which appeared to match the shifting media depictions of NPS users. A shift in NPS user populations away from more affluent recreational users toward more disadvantaged problem-drug users was apparent in young people’s perceptions and appeared to explain their greater emphasis on coping as a reason for use and the corresponding decrease in the emphasis they placed on pleasure motives. </w:t>
      </w:r>
    </w:p>
    <w:p w14:paraId="46176FD0" w14:textId="77777777" w:rsidR="00C65FD3" w:rsidRDefault="00C65FD3" w:rsidP="00C65FD3">
      <w:pPr>
        <w:pStyle w:val="Heading3"/>
        <w:tabs>
          <w:tab w:val="left" w:pos="720"/>
        </w:tabs>
      </w:pPr>
      <w:bookmarkStart w:id="554" w:name="_Toc9509005"/>
      <w:bookmarkStart w:id="555" w:name="_Toc9328585"/>
      <w:bookmarkStart w:id="556" w:name="_Toc35892772"/>
      <w:r>
        <w:t>What approach to NPS intervention do young people think is acceptable?</w:t>
      </w:r>
      <w:bookmarkEnd w:id="554"/>
      <w:bookmarkEnd w:id="555"/>
      <w:bookmarkEnd w:id="556"/>
    </w:p>
    <w:p w14:paraId="0C29533C" w14:textId="77777777" w:rsidR="00C65FD3" w:rsidRDefault="00C65FD3" w:rsidP="00C65FD3">
      <w:pPr>
        <w:spacing w:line="480" w:lineRule="auto"/>
      </w:pPr>
      <w:r>
        <w:t xml:space="preserve">Regarding young people’s perspectives on the suitability of NPS interventions, they recommended a focus on raising awareness of the health and legal implications of NPS use, with a particular focus on the dangerous chemicals used in NPS products and the dangerous, unregulated methods used for production. Young people recommended the use of videos and documentaries focusing on the dubious production methods of NPS traders. Barriers to intervention were identified as the importance of pleasure and social motives to young people and they cautioned against using standalone health information and authoritative approaches. </w:t>
      </w:r>
    </w:p>
    <w:p w14:paraId="286AE204" w14:textId="77777777" w:rsidR="00C65FD3" w:rsidRDefault="00C65FD3" w:rsidP="00C65FD3">
      <w:pPr>
        <w:pStyle w:val="Heading3"/>
        <w:tabs>
          <w:tab w:val="left" w:pos="720"/>
        </w:tabs>
      </w:pPr>
      <w:bookmarkStart w:id="557" w:name="_Toc9509006"/>
      <w:bookmarkStart w:id="558" w:name="_Toc9328586"/>
      <w:bookmarkStart w:id="559" w:name="_Toc35892773"/>
      <w:r>
        <w:t>Which theoretical frameworks are appropriate for use with NPS interventions?</w:t>
      </w:r>
      <w:bookmarkEnd w:id="557"/>
      <w:bookmarkEnd w:id="558"/>
      <w:bookmarkEnd w:id="559"/>
    </w:p>
    <w:p w14:paraId="276D764A" w14:textId="77777777" w:rsidR="00C65FD3" w:rsidRDefault="00C65FD3" w:rsidP="00C65FD3">
      <w:pPr>
        <w:spacing w:line="480" w:lineRule="auto"/>
      </w:pPr>
      <w:r>
        <w:t xml:space="preserve">Considering the suitability of different theories for use in intervention, the theory of planned behaviour offered a good fit with the range of motivations identified in the studies. More specifically, the importance of context-specific reasons for understanding NPS behaviour highlighted the suitability of behavioural reasoning theory, and the significance of perceived user types emphasised the suitability of prototype willingness theory. Also, the importance of young people’s autonomy pointed to the value of including a self-efficacy element such as that outlined in the health belief model. </w:t>
      </w:r>
    </w:p>
    <w:p w14:paraId="2D5FCF9F" w14:textId="77777777" w:rsidR="00C65FD3" w:rsidRDefault="00C65FD3" w:rsidP="00C65FD3">
      <w:pPr>
        <w:pStyle w:val="Heading2"/>
        <w:tabs>
          <w:tab w:val="left" w:pos="720"/>
        </w:tabs>
        <w:ind w:left="576" w:hanging="576"/>
      </w:pPr>
      <w:bookmarkStart w:id="560" w:name="_Toc9509007"/>
      <w:bookmarkStart w:id="561" w:name="_Toc9328587"/>
      <w:bookmarkStart w:id="562" w:name="_Toc35892774"/>
      <w:r>
        <w:t>Intervening with young people’s NPS behaviour</w:t>
      </w:r>
      <w:bookmarkEnd w:id="560"/>
      <w:bookmarkEnd w:id="561"/>
      <w:bookmarkEnd w:id="562"/>
      <w:r>
        <w:t xml:space="preserve"> </w:t>
      </w:r>
    </w:p>
    <w:p w14:paraId="4FACDF54" w14:textId="77777777" w:rsidR="00C65FD3" w:rsidRDefault="00C65FD3" w:rsidP="00C65FD3">
      <w:pPr>
        <w:spacing w:line="480" w:lineRule="auto"/>
      </w:pPr>
      <w:r>
        <w:t>The current research sought to inform the development of behaviour change interventions to prevent or reduce young people’s NPS use. In the following sub-sections, the findings of the three studies undertaken as part of this research are drawn together and some of the key issues relevant to interventions addressing young people’s use of NPS are highlighted and discussed.</w:t>
      </w:r>
    </w:p>
    <w:p w14:paraId="360067D1" w14:textId="77777777" w:rsidR="00C65FD3" w:rsidRDefault="00C65FD3" w:rsidP="00C65FD3">
      <w:pPr>
        <w:pStyle w:val="Heading3"/>
        <w:tabs>
          <w:tab w:val="left" w:pos="720"/>
        </w:tabs>
      </w:pPr>
      <w:bookmarkStart w:id="563" w:name="_Toc9509008"/>
      <w:bookmarkStart w:id="564" w:name="_Toc9328588"/>
      <w:bookmarkStart w:id="565" w:name="_Toc35892775"/>
      <w:r>
        <w:t>Issues of relevance to young people</w:t>
      </w:r>
      <w:bookmarkEnd w:id="563"/>
      <w:bookmarkEnd w:id="564"/>
      <w:bookmarkEnd w:id="565"/>
      <w:r>
        <w:t xml:space="preserve"> </w:t>
      </w:r>
    </w:p>
    <w:p w14:paraId="489B8FA5" w14:textId="77777777" w:rsidR="00C65FD3" w:rsidRDefault="00C65FD3" w:rsidP="00C65FD3">
      <w:pPr>
        <w:pStyle w:val="Notesstructure"/>
        <w:spacing w:line="480" w:lineRule="auto"/>
        <w:rPr>
          <w:color w:val="auto"/>
        </w:rPr>
      </w:pPr>
      <w:r>
        <w:rPr>
          <w:color w:val="auto"/>
        </w:rPr>
        <w:t xml:space="preserve">The review of the NPS literature base conducted as part of this research project established that relatively few studies focused exclusively on young people and most studies examined the motives of older, more experienced drug users (See Chapter 3, Part II). As interventions based on older, experienced drug users might not be relevant to young people in the general population, the research within this project focused explicitly on young people, drawing on a diverse sample of NPS users and non-users from the general population. Over the course of the studies several issues emerged as particularly relevant to this population that would be useful for NPS interventionists to consider, namely; legal status, authority, social influences, identity, coping and health. </w:t>
      </w:r>
    </w:p>
    <w:p w14:paraId="12E29B2A" w14:textId="77777777" w:rsidR="00C65FD3" w:rsidRDefault="00C65FD3" w:rsidP="00575857">
      <w:pPr>
        <w:pStyle w:val="Heading2"/>
      </w:pPr>
      <w:r>
        <w:t xml:space="preserve">Young people’s reasons for using NPS </w:t>
      </w:r>
    </w:p>
    <w:p w14:paraId="1A675527" w14:textId="732890A9" w:rsidR="00C65FD3" w:rsidRPr="00F85A3E" w:rsidRDefault="00C65FD3" w:rsidP="00C65FD3">
      <w:pPr>
        <w:spacing w:line="480" w:lineRule="auto"/>
      </w:pPr>
      <w:r w:rsidRPr="00F85A3E">
        <w:t xml:space="preserve">Existing literature presents various reasons why people use NPS, many of which are noted in the literature review documented in Chapter 4. Following completion of the review, additional relevant papers came to the attention of the author, a number relating to specific substances and therefore missed by the general descriptions used for searches, and several published after the inclusion period for the review (see Appendix </w:t>
      </w:r>
      <w:r w:rsidR="00F918BF" w:rsidRPr="00F85A3E">
        <w:t>E</w:t>
      </w:r>
      <w:r w:rsidRPr="00F85A3E">
        <w:t xml:space="preserve"> Table </w:t>
      </w:r>
      <w:r w:rsidR="00F918BF" w:rsidRPr="00F85A3E">
        <w:t>E</w:t>
      </w:r>
      <w:r w:rsidRPr="00F85A3E">
        <w:t>.</w:t>
      </w:r>
      <w:r w:rsidR="00F918BF" w:rsidRPr="00F85A3E">
        <w:t>1</w:t>
      </w:r>
      <w:r w:rsidRPr="00F85A3E">
        <w:t>). The reasons identified in the additional set of studies confirmed those previously extracted, with the addition of 11 novel reasons. The reasons for NPS use expressed in the evidence base are listed in table 9.</w:t>
      </w:r>
      <w:r w:rsidR="00A34BAD" w:rsidRPr="00F85A3E">
        <w:t>1</w:t>
      </w:r>
      <w:r w:rsidRPr="00F85A3E">
        <w:t xml:space="preserve"> alongside the reasons found in the present research. To aid interpretation, those noted in the existing literature but absent in the focus group data are highlighted in red, and those expressed in the focus groups but not apparent in previous studies, in green. Table 9.</w:t>
      </w:r>
      <w:r w:rsidR="00A34BAD" w:rsidRPr="00F85A3E">
        <w:t>2</w:t>
      </w:r>
      <w:r w:rsidRPr="00F85A3E">
        <w:t xml:space="preserve"> presents the same information for reasons relevant to non-use of NPS.  </w:t>
      </w:r>
    </w:p>
    <w:p w14:paraId="093A8A2B" w14:textId="77777777" w:rsidR="00C65FD3" w:rsidRDefault="00C65FD3" w:rsidP="00C65FD3">
      <w:pPr>
        <w:spacing w:line="480" w:lineRule="auto"/>
        <w:rPr>
          <w:b/>
        </w:rPr>
      </w:pPr>
      <w:r w:rsidRPr="00F85A3E">
        <w:t xml:space="preserve">Participants explanations for why young people use NPS closely echo the findings of other studies in relation to social reasons, coping mechanisms, ease of access, perceptions of safety, legal status, pleasure, curiosity and as an alternative to traditional illicit drugs. These factors appeared frequently in other studies, but whereas some sources placed a strong emphasis on external circumstances for use, such as legal status and availability, others put greater emphasis on more internal motivations such as pleasure, curiosity, coping and enhancement of social situations (Corazza, Simonato, Corkery, Trincas, &amp; Shifano, 2014; Measham, Moore, Newcombe, &amp; Welch, 2010; Soussan &amp; Kjellgren, 2016; Werse &amp; </w:t>
      </w:r>
      <w:r>
        <w:rPr>
          <w:b/>
        </w:rPr>
        <w:br w:type="page"/>
      </w:r>
    </w:p>
    <w:p w14:paraId="25D354A9" w14:textId="77777777" w:rsidR="00C65FD3" w:rsidRDefault="00C65FD3" w:rsidP="00C65FD3">
      <w:pPr>
        <w:pStyle w:val="TableHeader"/>
        <w:spacing w:line="240" w:lineRule="auto"/>
        <w:rPr>
          <w:b/>
        </w:rPr>
      </w:pPr>
      <w:r>
        <w:rPr>
          <w:b/>
        </w:rPr>
        <w:t xml:space="preserve">Table 9.1. Reasons for use of NPS organised by theme </w:t>
      </w:r>
    </w:p>
    <w:tbl>
      <w:tblPr>
        <w:tblStyle w:val="TableGrid"/>
        <w:tblW w:w="89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2"/>
        <w:gridCol w:w="4108"/>
        <w:gridCol w:w="1422"/>
        <w:gridCol w:w="1133"/>
      </w:tblGrid>
      <w:tr w:rsidR="00C65FD3" w14:paraId="46CDDC69" w14:textId="77777777" w:rsidTr="00A34BAD">
        <w:trPr>
          <w:trHeight w:val="366"/>
        </w:trPr>
        <w:tc>
          <w:tcPr>
            <w:tcW w:w="2262" w:type="dxa"/>
            <w:tcBorders>
              <w:top w:val="single" w:sz="4" w:space="0" w:color="auto"/>
              <w:left w:val="nil"/>
              <w:bottom w:val="single" w:sz="4" w:space="0" w:color="auto"/>
              <w:right w:val="nil"/>
            </w:tcBorders>
            <w:hideMark/>
          </w:tcPr>
          <w:p w14:paraId="3763A459" w14:textId="77777777" w:rsidR="00C65FD3" w:rsidRDefault="00C65FD3">
            <w:pPr>
              <w:spacing w:after="120"/>
              <w:rPr>
                <w:b/>
              </w:rPr>
            </w:pPr>
            <w:r>
              <w:rPr>
                <w:b/>
              </w:rPr>
              <w:t>Theme</w:t>
            </w:r>
          </w:p>
        </w:tc>
        <w:tc>
          <w:tcPr>
            <w:tcW w:w="4108" w:type="dxa"/>
            <w:tcBorders>
              <w:top w:val="single" w:sz="4" w:space="0" w:color="auto"/>
              <w:left w:val="nil"/>
              <w:bottom w:val="single" w:sz="4" w:space="0" w:color="auto"/>
              <w:right w:val="nil"/>
            </w:tcBorders>
            <w:hideMark/>
          </w:tcPr>
          <w:p w14:paraId="04A4B2B7" w14:textId="77777777" w:rsidR="00C65FD3" w:rsidRDefault="00C65FD3">
            <w:pPr>
              <w:spacing w:after="120"/>
              <w:rPr>
                <w:b/>
              </w:rPr>
            </w:pPr>
            <w:r>
              <w:rPr>
                <w:b/>
              </w:rPr>
              <w:t xml:space="preserve">Reason for use </w:t>
            </w:r>
          </w:p>
        </w:tc>
        <w:tc>
          <w:tcPr>
            <w:tcW w:w="1422" w:type="dxa"/>
            <w:tcBorders>
              <w:top w:val="single" w:sz="4" w:space="0" w:color="auto"/>
              <w:left w:val="nil"/>
              <w:bottom w:val="single" w:sz="4" w:space="0" w:color="auto"/>
              <w:right w:val="nil"/>
            </w:tcBorders>
            <w:hideMark/>
          </w:tcPr>
          <w:p w14:paraId="3D68DBCA" w14:textId="77777777" w:rsidR="00C65FD3" w:rsidRDefault="00C65FD3">
            <w:pPr>
              <w:jc w:val="center"/>
              <w:rPr>
                <w:b/>
              </w:rPr>
            </w:pPr>
            <w:r>
              <w:rPr>
                <w:b/>
              </w:rPr>
              <w:t>Previous</w:t>
            </w:r>
          </w:p>
          <w:p w14:paraId="7AC4AEE5" w14:textId="77777777" w:rsidR="00C65FD3" w:rsidRDefault="00C65FD3">
            <w:pPr>
              <w:jc w:val="center"/>
              <w:rPr>
                <w:b/>
              </w:rPr>
            </w:pPr>
            <w:r>
              <w:rPr>
                <w:b/>
              </w:rPr>
              <w:t>research</w:t>
            </w:r>
          </w:p>
        </w:tc>
        <w:tc>
          <w:tcPr>
            <w:tcW w:w="1133" w:type="dxa"/>
            <w:tcBorders>
              <w:top w:val="single" w:sz="4" w:space="0" w:color="auto"/>
              <w:left w:val="nil"/>
              <w:bottom w:val="single" w:sz="4" w:space="0" w:color="auto"/>
              <w:right w:val="nil"/>
            </w:tcBorders>
            <w:hideMark/>
          </w:tcPr>
          <w:p w14:paraId="66767137" w14:textId="77777777" w:rsidR="00C65FD3" w:rsidRDefault="00C65FD3">
            <w:pPr>
              <w:jc w:val="center"/>
              <w:rPr>
                <w:b/>
              </w:rPr>
            </w:pPr>
            <w:r>
              <w:rPr>
                <w:b/>
              </w:rPr>
              <w:t>Current</w:t>
            </w:r>
          </w:p>
          <w:p w14:paraId="68E225B7" w14:textId="77777777" w:rsidR="00C65FD3" w:rsidRDefault="00C65FD3">
            <w:pPr>
              <w:spacing w:after="120"/>
              <w:jc w:val="center"/>
              <w:rPr>
                <w:b/>
              </w:rPr>
            </w:pPr>
            <w:r>
              <w:rPr>
                <w:b/>
              </w:rPr>
              <w:t>research</w:t>
            </w:r>
          </w:p>
        </w:tc>
      </w:tr>
      <w:tr w:rsidR="00C65FD3" w14:paraId="65E6429B" w14:textId="77777777" w:rsidTr="00A34BAD">
        <w:trPr>
          <w:trHeight w:val="282"/>
        </w:trPr>
        <w:tc>
          <w:tcPr>
            <w:tcW w:w="2262" w:type="dxa"/>
            <w:tcBorders>
              <w:top w:val="nil"/>
              <w:left w:val="nil"/>
              <w:bottom w:val="nil"/>
              <w:right w:val="nil"/>
            </w:tcBorders>
            <w:hideMark/>
          </w:tcPr>
          <w:p w14:paraId="628D7671" w14:textId="77777777" w:rsidR="00C65FD3" w:rsidRDefault="00C65FD3">
            <w:pPr>
              <w:spacing w:before="120" w:after="120"/>
              <w:rPr>
                <w:sz w:val="20"/>
              </w:rPr>
            </w:pPr>
            <w:r>
              <w:rPr>
                <w:b/>
              </w:rPr>
              <w:t xml:space="preserve">Accessibility </w:t>
            </w:r>
          </w:p>
        </w:tc>
        <w:tc>
          <w:tcPr>
            <w:tcW w:w="4108" w:type="dxa"/>
            <w:tcBorders>
              <w:top w:val="nil"/>
              <w:left w:val="nil"/>
              <w:bottom w:val="nil"/>
              <w:right w:val="nil"/>
            </w:tcBorders>
            <w:hideMark/>
          </w:tcPr>
          <w:p w14:paraId="6805C622" w14:textId="77777777" w:rsidR="00C65FD3" w:rsidRDefault="00C65FD3">
            <w:pPr>
              <w:spacing w:before="120" w:after="120"/>
              <w:rPr>
                <w:sz w:val="22"/>
              </w:rPr>
            </w:pPr>
            <w:r>
              <w:t>Easy availability (shops/online/dealers)</w:t>
            </w:r>
          </w:p>
        </w:tc>
        <w:tc>
          <w:tcPr>
            <w:tcW w:w="1422" w:type="dxa"/>
            <w:tcBorders>
              <w:top w:val="nil"/>
              <w:left w:val="nil"/>
              <w:bottom w:val="nil"/>
              <w:right w:val="nil"/>
            </w:tcBorders>
            <w:vAlign w:val="center"/>
            <w:hideMark/>
          </w:tcPr>
          <w:p w14:paraId="408EF492" w14:textId="77777777" w:rsidR="00C65FD3" w:rsidRDefault="00C65FD3">
            <w:pPr>
              <w:spacing w:before="120" w:after="120"/>
              <w:jc w:val="center"/>
              <w:rPr>
                <w:sz w:val="18"/>
                <w:szCs w:val="18"/>
              </w:rPr>
            </w:pPr>
            <w:r>
              <w:rPr>
                <w:sz w:val="18"/>
                <w:szCs w:val="18"/>
              </w:rPr>
              <w:sym w:font="Wingdings" w:char="F0FC"/>
            </w:r>
          </w:p>
        </w:tc>
        <w:tc>
          <w:tcPr>
            <w:tcW w:w="1133" w:type="dxa"/>
            <w:tcBorders>
              <w:top w:val="nil"/>
              <w:left w:val="nil"/>
              <w:bottom w:val="nil"/>
              <w:right w:val="nil"/>
            </w:tcBorders>
            <w:vAlign w:val="center"/>
            <w:hideMark/>
          </w:tcPr>
          <w:p w14:paraId="4749664C" w14:textId="77777777" w:rsidR="00C65FD3" w:rsidRDefault="00C65FD3">
            <w:pPr>
              <w:spacing w:before="120" w:after="120"/>
              <w:jc w:val="center"/>
              <w:rPr>
                <w:sz w:val="18"/>
                <w:szCs w:val="18"/>
              </w:rPr>
            </w:pPr>
            <w:r>
              <w:rPr>
                <w:sz w:val="18"/>
                <w:szCs w:val="18"/>
              </w:rPr>
              <w:sym w:font="Wingdings" w:char="F0FC"/>
            </w:r>
          </w:p>
        </w:tc>
      </w:tr>
      <w:tr w:rsidR="00C65FD3" w14:paraId="6EFF6B82" w14:textId="77777777" w:rsidTr="00A34BAD">
        <w:trPr>
          <w:trHeight w:val="282"/>
        </w:trPr>
        <w:tc>
          <w:tcPr>
            <w:tcW w:w="2262" w:type="dxa"/>
            <w:tcBorders>
              <w:top w:val="nil"/>
              <w:left w:val="nil"/>
              <w:bottom w:val="single" w:sz="4" w:space="0" w:color="auto"/>
              <w:right w:val="nil"/>
            </w:tcBorders>
          </w:tcPr>
          <w:p w14:paraId="4D961BB6"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12B1E212" w14:textId="77777777" w:rsidR="00C65FD3" w:rsidRDefault="00C65FD3">
            <w:pPr>
              <w:spacing w:before="120" w:after="120"/>
              <w:rPr>
                <w:sz w:val="22"/>
              </w:rPr>
            </w:pPr>
            <w:r>
              <w:t>Low cost / value for money</w:t>
            </w:r>
          </w:p>
        </w:tc>
        <w:tc>
          <w:tcPr>
            <w:tcW w:w="1422" w:type="dxa"/>
            <w:tcBorders>
              <w:top w:val="nil"/>
              <w:left w:val="nil"/>
              <w:bottom w:val="single" w:sz="4" w:space="0" w:color="auto"/>
              <w:right w:val="nil"/>
            </w:tcBorders>
            <w:vAlign w:val="center"/>
            <w:hideMark/>
          </w:tcPr>
          <w:p w14:paraId="4D3A94EB" w14:textId="77777777" w:rsidR="00C65FD3" w:rsidRDefault="00C65FD3">
            <w:pPr>
              <w:spacing w:before="120" w:after="120"/>
              <w:jc w:val="center"/>
              <w:rPr>
                <w:sz w:val="18"/>
                <w:szCs w:val="18"/>
              </w:rPr>
            </w:pPr>
            <w:r>
              <w:rPr>
                <w:sz w:val="18"/>
                <w:szCs w:val="18"/>
              </w:rPr>
              <w:sym w:font="Wingdings" w:char="F0FC"/>
            </w:r>
          </w:p>
        </w:tc>
        <w:tc>
          <w:tcPr>
            <w:tcW w:w="1133" w:type="dxa"/>
            <w:tcBorders>
              <w:top w:val="nil"/>
              <w:left w:val="nil"/>
              <w:bottom w:val="single" w:sz="4" w:space="0" w:color="auto"/>
              <w:right w:val="nil"/>
            </w:tcBorders>
            <w:vAlign w:val="center"/>
            <w:hideMark/>
          </w:tcPr>
          <w:p w14:paraId="5B6FE70B" w14:textId="77777777" w:rsidR="00C65FD3" w:rsidRDefault="00C65FD3">
            <w:pPr>
              <w:spacing w:before="120" w:after="120"/>
              <w:jc w:val="center"/>
              <w:rPr>
                <w:sz w:val="18"/>
                <w:szCs w:val="18"/>
              </w:rPr>
            </w:pPr>
            <w:r>
              <w:rPr>
                <w:sz w:val="18"/>
                <w:szCs w:val="18"/>
              </w:rPr>
              <w:sym w:font="Wingdings" w:char="F0FC"/>
            </w:r>
          </w:p>
        </w:tc>
      </w:tr>
      <w:tr w:rsidR="00C65FD3" w14:paraId="349FAF7C" w14:textId="77777777" w:rsidTr="00A34BAD">
        <w:trPr>
          <w:trHeight w:val="282"/>
        </w:trPr>
        <w:tc>
          <w:tcPr>
            <w:tcW w:w="2262" w:type="dxa"/>
            <w:tcBorders>
              <w:top w:val="nil"/>
              <w:left w:val="nil"/>
              <w:bottom w:val="nil"/>
              <w:right w:val="nil"/>
            </w:tcBorders>
            <w:hideMark/>
          </w:tcPr>
          <w:p w14:paraId="57CC4440" w14:textId="77777777" w:rsidR="00C65FD3" w:rsidRDefault="00C65FD3">
            <w:pPr>
              <w:spacing w:before="120" w:after="120"/>
              <w:rPr>
                <w:sz w:val="22"/>
              </w:rPr>
            </w:pPr>
            <w:r>
              <w:rPr>
                <w:b/>
              </w:rPr>
              <w:t>Substitution</w:t>
            </w:r>
          </w:p>
        </w:tc>
        <w:tc>
          <w:tcPr>
            <w:tcW w:w="4108" w:type="dxa"/>
            <w:tcBorders>
              <w:top w:val="nil"/>
              <w:left w:val="nil"/>
              <w:bottom w:val="nil"/>
              <w:right w:val="nil"/>
            </w:tcBorders>
            <w:hideMark/>
          </w:tcPr>
          <w:p w14:paraId="526325FD" w14:textId="77777777" w:rsidR="00C65FD3" w:rsidRDefault="00C65FD3">
            <w:pPr>
              <w:spacing w:before="120" w:after="120"/>
              <w:rPr>
                <w:sz w:val="22"/>
              </w:rPr>
            </w:pPr>
            <w:r>
              <w:t xml:space="preserve">Illicit drugs unavailable </w:t>
            </w:r>
          </w:p>
        </w:tc>
        <w:tc>
          <w:tcPr>
            <w:tcW w:w="1422" w:type="dxa"/>
            <w:tcBorders>
              <w:top w:val="nil"/>
              <w:left w:val="nil"/>
              <w:bottom w:val="nil"/>
              <w:right w:val="nil"/>
            </w:tcBorders>
            <w:vAlign w:val="center"/>
            <w:hideMark/>
          </w:tcPr>
          <w:p w14:paraId="40B5337A" w14:textId="77777777" w:rsidR="00C65FD3" w:rsidRDefault="00C65FD3">
            <w:pPr>
              <w:spacing w:before="120" w:after="120"/>
              <w:jc w:val="center"/>
              <w:rPr>
                <w:sz w:val="22"/>
              </w:rPr>
            </w:pPr>
            <w:r>
              <w:rPr>
                <w:sz w:val="18"/>
                <w:szCs w:val="18"/>
              </w:rPr>
              <w:sym w:font="Wingdings" w:char="F0FC"/>
            </w:r>
          </w:p>
        </w:tc>
        <w:tc>
          <w:tcPr>
            <w:tcW w:w="1133" w:type="dxa"/>
            <w:tcBorders>
              <w:top w:val="nil"/>
              <w:left w:val="nil"/>
              <w:bottom w:val="nil"/>
              <w:right w:val="nil"/>
            </w:tcBorders>
            <w:vAlign w:val="center"/>
            <w:hideMark/>
          </w:tcPr>
          <w:p w14:paraId="02849DA0" w14:textId="77777777" w:rsidR="00C65FD3" w:rsidRDefault="00C65FD3">
            <w:pPr>
              <w:spacing w:before="120" w:after="120"/>
              <w:jc w:val="center"/>
              <w:rPr>
                <w:sz w:val="22"/>
              </w:rPr>
            </w:pPr>
            <w:r>
              <w:rPr>
                <w:sz w:val="18"/>
                <w:szCs w:val="18"/>
              </w:rPr>
              <w:sym w:font="Wingdings" w:char="F0FC"/>
            </w:r>
          </w:p>
        </w:tc>
      </w:tr>
      <w:tr w:rsidR="00C65FD3" w14:paraId="1AD4DD9B" w14:textId="77777777" w:rsidTr="00A34BAD">
        <w:trPr>
          <w:trHeight w:val="282"/>
        </w:trPr>
        <w:tc>
          <w:tcPr>
            <w:tcW w:w="2262" w:type="dxa"/>
            <w:tcBorders>
              <w:top w:val="nil"/>
              <w:left w:val="nil"/>
              <w:bottom w:val="nil"/>
              <w:right w:val="nil"/>
            </w:tcBorders>
          </w:tcPr>
          <w:p w14:paraId="6D1BEFE7" w14:textId="77777777" w:rsidR="00C65FD3" w:rsidRDefault="00C65FD3">
            <w:pPr>
              <w:spacing w:before="120" w:after="120"/>
              <w:rPr>
                <w:b/>
              </w:rPr>
            </w:pPr>
          </w:p>
        </w:tc>
        <w:tc>
          <w:tcPr>
            <w:tcW w:w="4108" w:type="dxa"/>
            <w:tcBorders>
              <w:top w:val="nil"/>
              <w:left w:val="nil"/>
              <w:bottom w:val="nil"/>
              <w:right w:val="nil"/>
            </w:tcBorders>
            <w:hideMark/>
          </w:tcPr>
          <w:p w14:paraId="63CF692D" w14:textId="77777777" w:rsidR="00C65FD3" w:rsidRDefault="00C65FD3">
            <w:pPr>
              <w:spacing w:before="120" w:after="120"/>
              <w:rPr>
                <w:sz w:val="22"/>
              </w:rPr>
            </w:pPr>
            <w:r>
              <w:t xml:space="preserve">Cheaper than traditional drugs </w:t>
            </w:r>
          </w:p>
        </w:tc>
        <w:tc>
          <w:tcPr>
            <w:tcW w:w="1422" w:type="dxa"/>
            <w:tcBorders>
              <w:top w:val="nil"/>
              <w:left w:val="nil"/>
              <w:bottom w:val="nil"/>
              <w:right w:val="nil"/>
            </w:tcBorders>
            <w:vAlign w:val="center"/>
            <w:hideMark/>
          </w:tcPr>
          <w:p w14:paraId="2702D1B8"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323448AD" w14:textId="77777777" w:rsidR="00C65FD3" w:rsidRDefault="00C65FD3">
            <w:pPr>
              <w:spacing w:before="120" w:after="120"/>
              <w:jc w:val="center"/>
              <w:rPr>
                <w:sz w:val="18"/>
              </w:rPr>
            </w:pPr>
            <w:r>
              <w:rPr>
                <w:sz w:val="18"/>
                <w:szCs w:val="18"/>
              </w:rPr>
              <w:sym w:font="Wingdings" w:char="F0FC"/>
            </w:r>
          </w:p>
        </w:tc>
      </w:tr>
      <w:tr w:rsidR="00C65FD3" w14:paraId="72990129" w14:textId="77777777" w:rsidTr="00A34BAD">
        <w:trPr>
          <w:trHeight w:val="282"/>
        </w:trPr>
        <w:tc>
          <w:tcPr>
            <w:tcW w:w="2262" w:type="dxa"/>
            <w:tcBorders>
              <w:top w:val="nil"/>
              <w:left w:val="nil"/>
              <w:bottom w:val="nil"/>
              <w:right w:val="nil"/>
            </w:tcBorders>
          </w:tcPr>
          <w:p w14:paraId="73464518" w14:textId="77777777" w:rsidR="00C65FD3" w:rsidRDefault="00C65FD3">
            <w:pPr>
              <w:spacing w:before="120" w:after="120"/>
              <w:rPr>
                <w:sz w:val="22"/>
              </w:rPr>
            </w:pPr>
          </w:p>
        </w:tc>
        <w:tc>
          <w:tcPr>
            <w:tcW w:w="4108" w:type="dxa"/>
            <w:tcBorders>
              <w:top w:val="nil"/>
              <w:left w:val="nil"/>
              <w:bottom w:val="nil"/>
              <w:right w:val="nil"/>
            </w:tcBorders>
            <w:hideMark/>
          </w:tcPr>
          <w:p w14:paraId="69D595FD" w14:textId="77777777" w:rsidR="00C65FD3" w:rsidRDefault="00C65FD3">
            <w:pPr>
              <w:spacing w:before="120" w:after="120"/>
              <w:rPr>
                <w:sz w:val="22"/>
              </w:rPr>
            </w:pPr>
            <w:r>
              <w:t>Safer than traditional drugs</w:t>
            </w:r>
          </w:p>
        </w:tc>
        <w:tc>
          <w:tcPr>
            <w:tcW w:w="1422" w:type="dxa"/>
            <w:tcBorders>
              <w:top w:val="nil"/>
              <w:left w:val="nil"/>
              <w:bottom w:val="nil"/>
              <w:right w:val="nil"/>
            </w:tcBorders>
            <w:vAlign w:val="center"/>
            <w:hideMark/>
          </w:tcPr>
          <w:p w14:paraId="41E7F6E2" w14:textId="77777777" w:rsidR="00C65FD3" w:rsidRDefault="00C65FD3">
            <w:pPr>
              <w:spacing w:before="120" w:after="120"/>
              <w:jc w:val="center"/>
              <w:rPr>
                <w:sz w:val="22"/>
              </w:rPr>
            </w:pPr>
            <w:r>
              <w:rPr>
                <w:sz w:val="18"/>
                <w:szCs w:val="18"/>
              </w:rPr>
              <w:sym w:font="Wingdings" w:char="F0FC"/>
            </w:r>
          </w:p>
        </w:tc>
        <w:tc>
          <w:tcPr>
            <w:tcW w:w="1133" w:type="dxa"/>
            <w:tcBorders>
              <w:top w:val="nil"/>
              <w:left w:val="nil"/>
              <w:bottom w:val="nil"/>
              <w:right w:val="nil"/>
            </w:tcBorders>
            <w:vAlign w:val="center"/>
            <w:hideMark/>
          </w:tcPr>
          <w:p w14:paraId="7AF70C1F" w14:textId="77777777" w:rsidR="00C65FD3" w:rsidRDefault="00C65FD3">
            <w:pPr>
              <w:spacing w:before="120" w:after="120"/>
              <w:jc w:val="center"/>
              <w:rPr>
                <w:sz w:val="22"/>
              </w:rPr>
            </w:pPr>
            <w:r>
              <w:rPr>
                <w:sz w:val="18"/>
                <w:szCs w:val="18"/>
              </w:rPr>
              <w:sym w:font="Wingdings" w:char="F0FC"/>
            </w:r>
          </w:p>
        </w:tc>
      </w:tr>
      <w:tr w:rsidR="00C65FD3" w14:paraId="5E9519E1" w14:textId="77777777" w:rsidTr="00A34BAD">
        <w:trPr>
          <w:trHeight w:val="282"/>
        </w:trPr>
        <w:tc>
          <w:tcPr>
            <w:tcW w:w="2262" w:type="dxa"/>
            <w:tcBorders>
              <w:top w:val="nil"/>
              <w:left w:val="nil"/>
              <w:bottom w:val="single" w:sz="4" w:space="0" w:color="auto"/>
              <w:right w:val="nil"/>
            </w:tcBorders>
          </w:tcPr>
          <w:p w14:paraId="72CE847E" w14:textId="77777777" w:rsidR="00C65FD3" w:rsidRDefault="00C65FD3">
            <w:pPr>
              <w:spacing w:before="120" w:after="120"/>
              <w:rPr>
                <w:b/>
              </w:rPr>
            </w:pPr>
          </w:p>
        </w:tc>
        <w:tc>
          <w:tcPr>
            <w:tcW w:w="4108" w:type="dxa"/>
            <w:tcBorders>
              <w:top w:val="nil"/>
              <w:left w:val="nil"/>
              <w:bottom w:val="single" w:sz="4" w:space="0" w:color="auto"/>
              <w:right w:val="nil"/>
            </w:tcBorders>
            <w:hideMark/>
          </w:tcPr>
          <w:p w14:paraId="77BDC6B0" w14:textId="77777777" w:rsidR="00C65FD3" w:rsidRDefault="00C65FD3">
            <w:pPr>
              <w:spacing w:before="120" w:after="120"/>
              <w:rPr>
                <w:sz w:val="22"/>
              </w:rPr>
            </w:pPr>
            <w:r>
              <w:t xml:space="preserve">Better than traditional drugs </w:t>
            </w:r>
          </w:p>
        </w:tc>
        <w:tc>
          <w:tcPr>
            <w:tcW w:w="1422" w:type="dxa"/>
            <w:tcBorders>
              <w:top w:val="nil"/>
              <w:left w:val="nil"/>
              <w:bottom w:val="single" w:sz="4" w:space="0" w:color="auto"/>
              <w:right w:val="nil"/>
            </w:tcBorders>
            <w:vAlign w:val="center"/>
            <w:hideMark/>
          </w:tcPr>
          <w:p w14:paraId="467C43F3" w14:textId="77777777" w:rsidR="00C65FD3" w:rsidRDefault="00C65FD3">
            <w:pPr>
              <w:spacing w:before="120" w:after="120"/>
              <w:jc w:val="center"/>
              <w:rPr>
                <w:color w:val="C00000"/>
                <w:sz w:val="18"/>
              </w:rPr>
            </w:pPr>
            <w:r>
              <w:rPr>
                <w:sz w:val="18"/>
                <w:szCs w:val="18"/>
              </w:rPr>
              <w:sym w:font="Wingdings" w:char="F0FC"/>
            </w:r>
          </w:p>
        </w:tc>
        <w:tc>
          <w:tcPr>
            <w:tcW w:w="1133" w:type="dxa"/>
            <w:tcBorders>
              <w:top w:val="nil"/>
              <w:left w:val="nil"/>
              <w:bottom w:val="single" w:sz="4" w:space="0" w:color="auto"/>
              <w:right w:val="nil"/>
            </w:tcBorders>
            <w:vAlign w:val="center"/>
            <w:hideMark/>
          </w:tcPr>
          <w:p w14:paraId="28479E6A" w14:textId="77777777" w:rsidR="00C65FD3" w:rsidRDefault="00C65FD3">
            <w:pPr>
              <w:spacing w:before="120" w:after="120"/>
              <w:jc w:val="center"/>
              <w:rPr>
                <w:sz w:val="18"/>
              </w:rPr>
            </w:pPr>
            <w:r>
              <w:rPr>
                <w:sz w:val="18"/>
                <w:szCs w:val="18"/>
              </w:rPr>
              <w:sym w:font="Wingdings" w:char="F0FC"/>
            </w:r>
          </w:p>
        </w:tc>
      </w:tr>
      <w:tr w:rsidR="00C65FD3" w14:paraId="6F0094F8" w14:textId="77777777" w:rsidTr="00A34BAD">
        <w:trPr>
          <w:trHeight w:val="282"/>
        </w:trPr>
        <w:tc>
          <w:tcPr>
            <w:tcW w:w="2262" w:type="dxa"/>
            <w:tcBorders>
              <w:top w:val="single" w:sz="4" w:space="0" w:color="auto"/>
              <w:left w:val="nil"/>
              <w:bottom w:val="nil"/>
              <w:right w:val="nil"/>
            </w:tcBorders>
            <w:hideMark/>
          </w:tcPr>
          <w:p w14:paraId="190EB09F" w14:textId="77777777" w:rsidR="00C65FD3" w:rsidRDefault="00C65FD3">
            <w:pPr>
              <w:spacing w:before="120" w:after="120"/>
              <w:rPr>
                <w:sz w:val="18"/>
              </w:rPr>
            </w:pPr>
            <w:r>
              <w:rPr>
                <w:b/>
              </w:rPr>
              <w:t>Risk perception</w:t>
            </w:r>
          </w:p>
        </w:tc>
        <w:tc>
          <w:tcPr>
            <w:tcW w:w="4108" w:type="dxa"/>
            <w:tcBorders>
              <w:top w:val="single" w:sz="4" w:space="0" w:color="auto"/>
              <w:left w:val="nil"/>
              <w:bottom w:val="nil"/>
              <w:right w:val="nil"/>
            </w:tcBorders>
            <w:hideMark/>
          </w:tcPr>
          <w:p w14:paraId="639A7C1B" w14:textId="77777777" w:rsidR="00C65FD3" w:rsidRDefault="00C65FD3">
            <w:pPr>
              <w:spacing w:before="120" w:after="120"/>
            </w:pPr>
            <w:r>
              <w:t>Perceived safety / risk denial</w:t>
            </w:r>
          </w:p>
        </w:tc>
        <w:tc>
          <w:tcPr>
            <w:tcW w:w="1422" w:type="dxa"/>
            <w:tcBorders>
              <w:top w:val="single" w:sz="4" w:space="0" w:color="auto"/>
              <w:left w:val="nil"/>
              <w:bottom w:val="nil"/>
              <w:right w:val="nil"/>
            </w:tcBorders>
            <w:vAlign w:val="center"/>
            <w:hideMark/>
          </w:tcPr>
          <w:p w14:paraId="3898086D" w14:textId="77777777" w:rsidR="00C65FD3" w:rsidRDefault="00C65FD3">
            <w:pPr>
              <w:spacing w:before="120" w:after="120"/>
              <w:jc w:val="center"/>
              <w:rPr>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3B8817A9" w14:textId="77777777" w:rsidR="00C65FD3" w:rsidRDefault="00C65FD3">
            <w:pPr>
              <w:spacing w:before="120" w:after="120"/>
              <w:jc w:val="center"/>
              <w:rPr>
                <w:sz w:val="18"/>
              </w:rPr>
            </w:pPr>
            <w:r>
              <w:rPr>
                <w:sz w:val="18"/>
                <w:szCs w:val="18"/>
              </w:rPr>
              <w:sym w:font="Wingdings" w:char="F0FC"/>
            </w:r>
          </w:p>
        </w:tc>
      </w:tr>
      <w:tr w:rsidR="00C65FD3" w14:paraId="6D9C5263" w14:textId="77777777" w:rsidTr="00A34BAD">
        <w:trPr>
          <w:trHeight w:val="425"/>
        </w:trPr>
        <w:tc>
          <w:tcPr>
            <w:tcW w:w="2262" w:type="dxa"/>
            <w:tcBorders>
              <w:top w:val="nil"/>
              <w:left w:val="nil"/>
              <w:bottom w:val="single" w:sz="4" w:space="0" w:color="auto"/>
              <w:right w:val="nil"/>
            </w:tcBorders>
          </w:tcPr>
          <w:p w14:paraId="045FE17D"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6D5A2165" w14:textId="77777777" w:rsidR="00C65FD3" w:rsidRDefault="00C65FD3">
            <w:pPr>
              <w:spacing w:before="120" w:after="120"/>
            </w:pPr>
            <w:r>
              <w:t xml:space="preserve">Lack of risk awareness/education </w:t>
            </w:r>
          </w:p>
        </w:tc>
        <w:tc>
          <w:tcPr>
            <w:tcW w:w="1422" w:type="dxa"/>
            <w:tcBorders>
              <w:top w:val="nil"/>
              <w:left w:val="nil"/>
              <w:bottom w:val="single" w:sz="4" w:space="0" w:color="auto"/>
              <w:right w:val="nil"/>
            </w:tcBorders>
            <w:vAlign w:val="center"/>
            <w:hideMark/>
          </w:tcPr>
          <w:p w14:paraId="35C0073E"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single" w:sz="4" w:space="0" w:color="auto"/>
              <w:right w:val="nil"/>
            </w:tcBorders>
            <w:vAlign w:val="center"/>
            <w:hideMark/>
          </w:tcPr>
          <w:p w14:paraId="22E2B090" w14:textId="77777777" w:rsidR="00C65FD3" w:rsidRDefault="00C65FD3">
            <w:pPr>
              <w:spacing w:before="120" w:after="120"/>
              <w:jc w:val="center"/>
              <w:rPr>
                <w:sz w:val="18"/>
              </w:rPr>
            </w:pPr>
            <w:r>
              <w:rPr>
                <w:sz w:val="18"/>
                <w:szCs w:val="18"/>
              </w:rPr>
              <w:sym w:font="Wingdings" w:char="F0FC"/>
            </w:r>
          </w:p>
        </w:tc>
      </w:tr>
      <w:tr w:rsidR="00C65FD3" w14:paraId="2E5B0B01" w14:textId="77777777" w:rsidTr="00A34BAD">
        <w:trPr>
          <w:trHeight w:val="282"/>
        </w:trPr>
        <w:tc>
          <w:tcPr>
            <w:tcW w:w="2262" w:type="dxa"/>
            <w:tcBorders>
              <w:top w:val="single" w:sz="4" w:space="0" w:color="auto"/>
              <w:left w:val="nil"/>
              <w:bottom w:val="nil"/>
              <w:right w:val="nil"/>
            </w:tcBorders>
            <w:hideMark/>
          </w:tcPr>
          <w:p w14:paraId="21118425" w14:textId="77777777" w:rsidR="00C65FD3" w:rsidRDefault="00C65FD3">
            <w:pPr>
              <w:spacing w:before="120" w:after="120"/>
              <w:rPr>
                <w:sz w:val="18"/>
              </w:rPr>
            </w:pPr>
            <w:r>
              <w:rPr>
                <w:b/>
              </w:rPr>
              <w:t>Social influences</w:t>
            </w:r>
          </w:p>
        </w:tc>
        <w:tc>
          <w:tcPr>
            <w:tcW w:w="4108" w:type="dxa"/>
            <w:tcBorders>
              <w:top w:val="single" w:sz="4" w:space="0" w:color="auto"/>
              <w:left w:val="nil"/>
              <w:bottom w:val="nil"/>
              <w:right w:val="nil"/>
            </w:tcBorders>
            <w:hideMark/>
          </w:tcPr>
          <w:p w14:paraId="380753BD" w14:textId="77777777" w:rsidR="00C65FD3" w:rsidRDefault="00C65FD3">
            <w:pPr>
              <w:spacing w:before="120" w:after="120"/>
            </w:pPr>
            <w:r>
              <w:t>Fit in with friends / conformity</w:t>
            </w:r>
          </w:p>
        </w:tc>
        <w:tc>
          <w:tcPr>
            <w:tcW w:w="1422" w:type="dxa"/>
            <w:tcBorders>
              <w:top w:val="single" w:sz="4" w:space="0" w:color="auto"/>
              <w:left w:val="nil"/>
              <w:bottom w:val="nil"/>
              <w:right w:val="nil"/>
            </w:tcBorders>
            <w:vAlign w:val="center"/>
            <w:hideMark/>
          </w:tcPr>
          <w:p w14:paraId="0C243A67" w14:textId="77777777" w:rsidR="00C65FD3" w:rsidRDefault="00C65FD3">
            <w:pPr>
              <w:spacing w:before="120" w:after="120"/>
              <w:jc w:val="center"/>
              <w:rPr>
                <w:color w:val="C00000"/>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64E1327E" w14:textId="77777777" w:rsidR="00C65FD3" w:rsidRDefault="00C65FD3">
            <w:pPr>
              <w:spacing w:before="120" w:after="120"/>
              <w:jc w:val="center"/>
              <w:rPr>
                <w:sz w:val="18"/>
              </w:rPr>
            </w:pPr>
            <w:r>
              <w:rPr>
                <w:sz w:val="18"/>
                <w:szCs w:val="18"/>
              </w:rPr>
              <w:sym w:font="Wingdings" w:char="F0FC"/>
            </w:r>
          </w:p>
        </w:tc>
      </w:tr>
      <w:tr w:rsidR="00C65FD3" w14:paraId="152C3DAB" w14:textId="77777777" w:rsidTr="00A34BAD">
        <w:trPr>
          <w:trHeight w:val="282"/>
        </w:trPr>
        <w:tc>
          <w:tcPr>
            <w:tcW w:w="2262" w:type="dxa"/>
            <w:tcBorders>
              <w:top w:val="nil"/>
              <w:left w:val="nil"/>
              <w:bottom w:val="nil"/>
              <w:right w:val="nil"/>
            </w:tcBorders>
          </w:tcPr>
          <w:p w14:paraId="75C1E92C" w14:textId="77777777" w:rsidR="00C65FD3" w:rsidRDefault="00C65FD3">
            <w:pPr>
              <w:spacing w:before="120" w:after="120"/>
              <w:rPr>
                <w:b/>
              </w:rPr>
            </w:pPr>
          </w:p>
        </w:tc>
        <w:tc>
          <w:tcPr>
            <w:tcW w:w="4108" w:type="dxa"/>
            <w:tcBorders>
              <w:top w:val="nil"/>
              <w:left w:val="nil"/>
              <w:bottom w:val="nil"/>
              <w:right w:val="nil"/>
            </w:tcBorders>
            <w:hideMark/>
          </w:tcPr>
          <w:p w14:paraId="2B1B2596" w14:textId="77777777" w:rsidR="00C65FD3" w:rsidRDefault="00C65FD3">
            <w:pPr>
              <w:spacing w:before="120" w:after="120"/>
            </w:pPr>
            <w:r>
              <w:t xml:space="preserve">Social acceptability </w:t>
            </w:r>
          </w:p>
        </w:tc>
        <w:tc>
          <w:tcPr>
            <w:tcW w:w="1422" w:type="dxa"/>
            <w:tcBorders>
              <w:top w:val="nil"/>
              <w:left w:val="nil"/>
              <w:bottom w:val="nil"/>
              <w:right w:val="nil"/>
            </w:tcBorders>
            <w:vAlign w:val="center"/>
            <w:hideMark/>
          </w:tcPr>
          <w:p w14:paraId="4B7DB4D9"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308FBC01" w14:textId="77777777" w:rsidR="00C65FD3" w:rsidRDefault="00C65FD3">
            <w:pPr>
              <w:spacing w:before="120" w:after="120"/>
              <w:jc w:val="center"/>
              <w:rPr>
                <w:sz w:val="18"/>
              </w:rPr>
            </w:pPr>
            <w:r>
              <w:rPr>
                <w:sz w:val="18"/>
                <w:szCs w:val="18"/>
              </w:rPr>
              <w:sym w:font="Wingdings" w:char="F0FC"/>
            </w:r>
          </w:p>
        </w:tc>
      </w:tr>
      <w:tr w:rsidR="00C65FD3" w14:paraId="2133BD0A" w14:textId="77777777" w:rsidTr="00A34BAD">
        <w:trPr>
          <w:trHeight w:val="282"/>
        </w:trPr>
        <w:tc>
          <w:tcPr>
            <w:tcW w:w="2262" w:type="dxa"/>
            <w:tcBorders>
              <w:top w:val="single" w:sz="4" w:space="0" w:color="auto"/>
              <w:left w:val="nil"/>
              <w:bottom w:val="nil"/>
              <w:right w:val="nil"/>
            </w:tcBorders>
            <w:hideMark/>
          </w:tcPr>
          <w:p w14:paraId="5D4691A6" w14:textId="77777777" w:rsidR="00C65FD3" w:rsidRDefault="00C65FD3">
            <w:pPr>
              <w:spacing w:before="120" w:after="120"/>
              <w:rPr>
                <w:sz w:val="18"/>
              </w:rPr>
            </w:pPr>
            <w:r>
              <w:rPr>
                <w:b/>
              </w:rPr>
              <w:t xml:space="preserve">Curiosity </w:t>
            </w:r>
          </w:p>
        </w:tc>
        <w:tc>
          <w:tcPr>
            <w:tcW w:w="4108" w:type="dxa"/>
            <w:tcBorders>
              <w:top w:val="single" w:sz="4" w:space="0" w:color="auto"/>
              <w:left w:val="nil"/>
              <w:bottom w:val="nil"/>
              <w:right w:val="nil"/>
            </w:tcBorders>
            <w:hideMark/>
          </w:tcPr>
          <w:p w14:paraId="774E86E9" w14:textId="77777777" w:rsidR="00C65FD3" w:rsidRDefault="00C65FD3">
            <w:pPr>
              <w:spacing w:before="120" w:after="120"/>
            </w:pPr>
            <w:r>
              <w:t>Curiosity / novel experiences</w:t>
            </w:r>
          </w:p>
        </w:tc>
        <w:tc>
          <w:tcPr>
            <w:tcW w:w="1422" w:type="dxa"/>
            <w:tcBorders>
              <w:top w:val="single" w:sz="4" w:space="0" w:color="auto"/>
              <w:left w:val="nil"/>
              <w:bottom w:val="nil"/>
              <w:right w:val="nil"/>
            </w:tcBorders>
            <w:vAlign w:val="center"/>
            <w:hideMark/>
          </w:tcPr>
          <w:p w14:paraId="1A9A9148" w14:textId="77777777" w:rsidR="00C65FD3" w:rsidRDefault="00C65FD3">
            <w:pPr>
              <w:spacing w:before="120" w:after="120"/>
              <w:jc w:val="center"/>
              <w:rPr>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36C43BB7" w14:textId="77777777" w:rsidR="00C65FD3" w:rsidRDefault="00C65FD3">
            <w:pPr>
              <w:spacing w:before="120" w:after="120"/>
              <w:jc w:val="center"/>
              <w:rPr>
                <w:sz w:val="18"/>
              </w:rPr>
            </w:pPr>
            <w:r>
              <w:rPr>
                <w:sz w:val="18"/>
                <w:szCs w:val="18"/>
              </w:rPr>
              <w:sym w:font="Wingdings" w:char="F0FC"/>
            </w:r>
          </w:p>
        </w:tc>
      </w:tr>
      <w:tr w:rsidR="00C65FD3" w14:paraId="4443F549" w14:textId="77777777" w:rsidTr="00A34BAD">
        <w:trPr>
          <w:trHeight w:val="261"/>
        </w:trPr>
        <w:tc>
          <w:tcPr>
            <w:tcW w:w="2262" w:type="dxa"/>
            <w:tcBorders>
              <w:top w:val="nil"/>
              <w:left w:val="nil"/>
              <w:bottom w:val="nil"/>
              <w:right w:val="nil"/>
            </w:tcBorders>
          </w:tcPr>
          <w:p w14:paraId="58E7EF24" w14:textId="77777777" w:rsidR="00C65FD3" w:rsidRDefault="00C65FD3">
            <w:pPr>
              <w:spacing w:before="120" w:after="120"/>
              <w:rPr>
                <w:sz w:val="18"/>
              </w:rPr>
            </w:pPr>
          </w:p>
        </w:tc>
        <w:tc>
          <w:tcPr>
            <w:tcW w:w="4108" w:type="dxa"/>
            <w:tcBorders>
              <w:top w:val="nil"/>
              <w:left w:val="nil"/>
              <w:bottom w:val="nil"/>
              <w:right w:val="nil"/>
            </w:tcBorders>
            <w:hideMark/>
          </w:tcPr>
          <w:p w14:paraId="54CE0EFE" w14:textId="77777777" w:rsidR="00C65FD3" w:rsidRDefault="00C65FD3">
            <w:pPr>
              <w:spacing w:before="120" w:after="120"/>
            </w:pPr>
            <w:r>
              <w:t xml:space="preserve">Attractive packaging </w:t>
            </w:r>
          </w:p>
        </w:tc>
        <w:tc>
          <w:tcPr>
            <w:tcW w:w="1422" w:type="dxa"/>
            <w:tcBorders>
              <w:top w:val="nil"/>
              <w:left w:val="nil"/>
              <w:bottom w:val="nil"/>
              <w:right w:val="nil"/>
            </w:tcBorders>
            <w:vAlign w:val="center"/>
            <w:hideMark/>
          </w:tcPr>
          <w:p w14:paraId="00221B17"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3775FBA7" w14:textId="77777777" w:rsidR="00C65FD3" w:rsidRDefault="00C65FD3">
            <w:pPr>
              <w:spacing w:before="120" w:after="120"/>
              <w:jc w:val="center"/>
              <w:rPr>
                <w:sz w:val="18"/>
              </w:rPr>
            </w:pPr>
            <w:r>
              <w:rPr>
                <w:sz w:val="18"/>
                <w:szCs w:val="18"/>
              </w:rPr>
              <w:sym w:font="Wingdings" w:char="F0FC"/>
            </w:r>
          </w:p>
        </w:tc>
      </w:tr>
      <w:tr w:rsidR="00C65FD3" w14:paraId="03363FD8" w14:textId="77777777" w:rsidTr="00A34BAD">
        <w:trPr>
          <w:trHeight w:val="282"/>
        </w:trPr>
        <w:tc>
          <w:tcPr>
            <w:tcW w:w="2262" w:type="dxa"/>
            <w:tcBorders>
              <w:top w:val="single" w:sz="4" w:space="0" w:color="auto"/>
              <w:left w:val="nil"/>
              <w:bottom w:val="nil"/>
              <w:right w:val="nil"/>
            </w:tcBorders>
            <w:hideMark/>
          </w:tcPr>
          <w:p w14:paraId="7E25BB8C" w14:textId="77777777" w:rsidR="00C65FD3" w:rsidRDefault="00C65FD3">
            <w:pPr>
              <w:spacing w:before="120" w:after="120"/>
              <w:rPr>
                <w:sz w:val="18"/>
              </w:rPr>
            </w:pPr>
            <w:r>
              <w:rPr>
                <w:b/>
              </w:rPr>
              <w:t xml:space="preserve">Pleasurable effects </w:t>
            </w:r>
          </w:p>
        </w:tc>
        <w:tc>
          <w:tcPr>
            <w:tcW w:w="4108" w:type="dxa"/>
            <w:tcBorders>
              <w:top w:val="single" w:sz="4" w:space="0" w:color="auto"/>
              <w:left w:val="nil"/>
              <w:bottom w:val="nil"/>
              <w:right w:val="nil"/>
            </w:tcBorders>
            <w:hideMark/>
          </w:tcPr>
          <w:p w14:paraId="0898D563" w14:textId="77777777" w:rsidR="00C65FD3" w:rsidRDefault="00C65FD3">
            <w:pPr>
              <w:spacing w:before="120" w:after="120"/>
              <w:rPr>
                <w:sz w:val="20"/>
              </w:rPr>
            </w:pPr>
            <w:r>
              <w:rPr>
                <w:szCs w:val="24"/>
              </w:rPr>
              <w:t xml:space="preserve">Pleasure / to get high </w:t>
            </w:r>
          </w:p>
        </w:tc>
        <w:tc>
          <w:tcPr>
            <w:tcW w:w="1422" w:type="dxa"/>
            <w:tcBorders>
              <w:top w:val="single" w:sz="4" w:space="0" w:color="auto"/>
              <w:left w:val="nil"/>
              <w:bottom w:val="nil"/>
              <w:right w:val="nil"/>
            </w:tcBorders>
            <w:vAlign w:val="center"/>
            <w:hideMark/>
          </w:tcPr>
          <w:p w14:paraId="6A3EDD40" w14:textId="77777777" w:rsidR="00C65FD3" w:rsidRDefault="00C65FD3">
            <w:pPr>
              <w:spacing w:before="120" w:after="120"/>
              <w:jc w:val="center"/>
              <w:rPr>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08BAD97D" w14:textId="77777777" w:rsidR="00C65FD3" w:rsidRDefault="00C65FD3">
            <w:pPr>
              <w:spacing w:before="120" w:after="120"/>
              <w:jc w:val="center"/>
              <w:rPr>
                <w:sz w:val="18"/>
              </w:rPr>
            </w:pPr>
            <w:r>
              <w:rPr>
                <w:sz w:val="18"/>
                <w:szCs w:val="18"/>
              </w:rPr>
              <w:sym w:font="Wingdings" w:char="F0FC"/>
            </w:r>
          </w:p>
        </w:tc>
      </w:tr>
      <w:tr w:rsidR="00C65FD3" w14:paraId="709C61A4" w14:textId="77777777" w:rsidTr="00A34BAD">
        <w:trPr>
          <w:trHeight w:val="282"/>
        </w:trPr>
        <w:tc>
          <w:tcPr>
            <w:tcW w:w="2262" w:type="dxa"/>
            <w:tcBorders>
              <w:top w:val="nil"/>
              <w:left w:val="nil"/>
              <w:bottom w:val="nil"/>
              <w:right w:val="nil"/>
            </w:tcBorders>
          </w:tcPr>
          <w:p w14:paraId="533BF41F" w14:textId="77777777" w:rsidR="00C65FD3" w:rsidRDefault="00C65FD3">
            <w:pPr>
              <w:spacing w:before="120" w:after="120"/>
              <w:rPr>
                <w:sz w:val="18"/>
              </w:rPr>
            </w:pPr>
          </w:p>
        </w:tc>
        <w:tc>
          <w:tcPr>
            <w:tcW w:w="4108" w:type="dxa"/>
            <w:tcBorders>
              <w:top w:val="nil"/>
              <w:left w:val="nil"/>
              <w:bottom w:val="nil"/>
              <w:right w:val="nil"/>
            </w:tcBorders>
            <w:hideMark/>
          </w:tcPr>
          <w:p w14:paraId="3E111B03" w14:textId="77777777" w:rsidR="00C65FD3" w:rsidRDefault="00C65FD3">
            <w:pPr>
              <w:spacing w:before="120" w:after="120"/>
              <w:rPr>
                <w:szCs w:val="24"/>
              </w:rPr>
            </w:pPr>
            <w:r>
              <w:rPr>
                <w:szCs w:val="24"/>
              </w:rPr>
              <w:t xml:space="preserve">Enjoyment / fun / excitement </w:t>
            </w:r>
          </w:p>
        </w:tc>
        <w:tc>
          <w:tcPr>
            <w:tcW w:w="1422" w:type="dxa"/>
            <w:tcBorders>
              <w:top w:val="nil"/>
              <w:left w:val="nil"/>
              <w:bottom w:val="nil"/>
              <w:right w:val="nil"/>
            </w:tcBorders>
            <w:vAlign w:val="center"/>
            <w:hideMark/>
          </w:tcPr>
          <w:p w14:paraId="31461317" w14:textId="77777777" w:rsidR="00C65FD3" w:rsidRDefault="00C65FD3">
            <w:pPr>
              <w:spacing w:before="120" w:after="120"/>
              <w:jc w:val="center"/>
              <w:rPr>
                <w:sz w:val="18"/>
                <w:szCs w:val="18"/>
              </w:rPr>
            </w:pPr>
            <w:r>
              <w:rPr>
                <w:sz w:val="18"/>
                <w:szCs w:val="18"/>
              </w:rPr>
              <w:sym w:font="Wingdings" w:char="F0FC"/>
            </w:r>
          </w:p>
        </w:tc>
        <w:tc>
          <w:tcPr>
            <w:tcW w:w="1133" w:type="dxa"/>
            <w:tcBorders>
              <w:top w:val="nil"/>
              <w:left w:val="nil"/>
              <w:bottom w:val="nil"/>
              <w:right w:val="nil"/>
            </w:tcBorders>
            <w:vAlign w:val="center"/>
            <w:hideMark/>
          </w:tcPr>
          <w:p w14:paraId="68571A64" w14:textId="77777777" w:rsidR="00C65FD3" w:rsidRDefault="00C65FD3">
            <w:pPr>
              <w:spacing w:before="120" w:after="120"/>
              <w:jc w:val="center"/>
              <w:rPr>
                <w:sz w:val="18"/>
              </w:rPr>
            </w:pPr>
            <w:r>
              <w:rPr>
                <w:sz w:val="18"/>
                <w:szCs w:val="18"/>
              </w:rPr>
              <w:sym w:font="Wingdings" w:char="F0FC"/>
            </w:r>
          </w:p>
        </w:tc>
      </w:tr>
      <w:tr w:rsidR="00C65FD3" w14:paraId="09ADD56A" w14:textId="77777777" w:rsidTr="00A34BAD">
        <w:trPr>
          <w:trHeight w:val="282"/>
        </w:trPr>
        <w:tc>
          <w:tcPr>
            <w:tcW w:w="2262" w:type="dxa"/>
            <w:tcBorders>
              <w:top w:val="nil"/>
              <w:left w:val="nil"/>
              <w:bottom w:val="single" w:sz="4" w:space="0" w:color="auto"/>
              <w:right w:val="nil"/>
            </w:tcBorders>
          </w:tcPr>
          <w:p w14:paraId="3A5ABF53"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466A989C" w14:textId="77777777" w:rsidR="00C65FD3" w:rsidRDefault="00C65FD3">
            <w:pPr>
              <w:spacing w:before="120" w:after="120"/>
              <w:rPr>
                <w:szCs w:val="24"/>
              </w:rPr>
            </w:pPr>
            <w:r>
              <w:rPr>
                <w:color w:val="C00000"/>
                <w:szCs w:val="24"/>
              </w:rPr>
              <w:t>Expansion*</w:t>
            </w:r>
          </w:p>
        </w:tc>
        <w:tc>
          <w:tcPr>
            <w:tcW w:w="1422" w:type="dxa"/>
            <w:tcBorders>
              <w:top w:val="nil"/>
              <w:left w:val="nil"/>
              <w:bottom w:val="single" w:sz="4" w:space="0" w:color="auto"/>
              <w:right w:val="nil"/>
            </w:tcBorders>
            <w:vAlign w:val="center"/>
            <w:hideMark/>
          </w:tcPr>
          <w:p w14:paraId="026D8120"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single" w:sz="4" w:space="0" w:color="auto"/>
              <w:right w:val="nil"/>
            </w:tcBorders>
            <w:vAlign w:val="center"/>
          </w:tcPr>
          <w:p w14:paraId="3DFF640B" w14:textId="77777777" w:rsidR="00C65FD3" w:rsidRDefault="00C65FD3">
            <w:pPr>
              <w:spacing w:before="120" w:after="120"/>
              <w:jc w:val="center"/>
              <w:rPr>
                <w:sz w:val="18"/>
              </w:rPr>
            </w:pPr>
          </w:p>
        </w:tc>
      </w:tr>
      <w:tr w:rsidR="00C65FD3" w14:paraId="1DDA6755" w14:textId="77777777" w:rsidTr="00A34BAD">
        <w:trPr>
          <w:trHeight w:val="282"/>
        </w:trPr>
        <w:tc>
          <w:tcPr>
            <w:tcW w:w="2262" w:type="dxa"/>
            <w:tcBorders>
              <w:top w:val="single" w:sz="4" w:space="0" w:color="auto"/>
              <w:left w:val="nil"/>
              <w:bottom w:val="nil"/>
              <w:right w:val="nil"/>
            </w:tcBorders>
            <w:hideMark/>
          </w:tcPr>
          <w:p w14:paraId="6CE0FEB3" w14:textId="77777777" w:rsidR="00C65FD3" w:rsidRDefault="00C65FD3">
            <w:pPr>
              <w:spacing w:before="120" w:after="120"/>
              <w:rPr>
                <w:sz w:val="18"/>
              </w:rPr>
            </w:pPr>
            <w:r>
              <w:rPr>
                <w:b/>
              </w:rPr>
              <w:t xml:space="preserve">Coping </w:t>
            </w:r>
          </w:p>
        </w:tc>
        <w:tc>
          <w:tcPr>
            <w:tcW w:w="4108" w:type="dxa"/>
            <w:tcBorders>
              <w:top w:val="single" w:sz="4" w:space="0" w:color="auto"/>
              <w:left w:val="nil"/>
              <w:bottom w:val="nil"/>
              <w:right w:val="nil"/>
            </w:tcBorders>
            <w:hideMark/>
          </w:tcPr>
          <w:p w14:paraId="0E9805E7" w14:textId="77777777" w:rsidR="00C65FD3" w:rsidRDefault="00C65FD3">
            <w:pPr>
              <w:spacing w:before="120" w:after="120"/>
            </w:pPr>
            <w:r>
              <w:t>Coping / relaxation / escapism</w:t>
            </w:r>
          </w:p>
        </w:tc>
        <w:tc>
          <w:tcPr>
            <w:tcW w:w="1422" w:type="dxa"/>
            <w:tcBorders>
              <w:top w:val="single" w:sz="4" w:space="0" w:color="auto"/>
              <w:left w:val="nil"/>
              <w:bottom w:val="nil"/>
              <w:right w:val="nil"/>
            </w:tcBorders>
            <w:vAlign w:val="center"/>
            <w:hideMark/>
          </w:tcPr>
          <w:p w14:paraId="79271F8B" w14:textId="77777777" w:rsidR="00C65FD3" w:rsidRDefault="00C65FD3">
            <w:pPr>
              <w:spacing w:before="120" w:after="120"/>
              <w:jc w:val="center"/>
              <w:rPr>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6CF21346" w14:textId="77777777" w:rsidR="00C65FD3" w:rsidRDefault="00C65FD3">
            <w:pPr>
              <w:spacing w:before="120" w:after="120"/>
              <w:jc w:val="center"/>
              <w:rPr>
                <w:sz w:val="18"/>
              </w:rPr>
            </w:pPr>
            <w:r>
              <w:rPr>
                <w:sz w:val="18"/>
                <w:szCs w:val="18"/>
              </w:rPr>
              <w:sym w:font="Wingdings" w:char="F0FC"/>
            </w:r>
          </w:p>
        </w:tc>
      </w:tr>
      <w:tr w:rsidR="00C65FD3" w14:paraId="1F9056FC" w14:textId="77777777" w:rsidTr="00A34BAD">
        <w:trPr>
          <w:trHeight w:val="282"/>
        </w:trPr>
        <w:tc>
          <w:tcPr>
            <w:tcW w:w="2262" w:type="dxa"/>
            <w:tcBorders>
              <w:top w:val="nil"/>
              <w:left w:val="nil"/>
              <w:bottom w:val="nil"/>
              <w:right w:val="nil"/>
            </w:tcBorders>
          </w:tcPr>
          <w:p w14:paraId="5EBAE7F1" w14:textId="77777777" w:rsidR="00C65FD3" w:rsidRDefault="00C65FD3">
            <w:pPr>
              <w:spacing w:before="120" w:after="120"/>
              <w:rPr>
                <w:b/>
              </w:rPr>
            </w:pPr>
          </w:p>
        </w:tc>
        <w:tc>
          <w:tcPr>
            <w:tcW w:w="4108" w:type="dxa"/>
            <w:tcBorders>
              <w:top w:val="nil"/>
              <w:left w:val="nil"/>
              <w:bottom w:val="nil"/>
              <w:right w:val="nil"/>
            </w:tcBorders>
            <w:hideMark/>
          </w:tcPr>
          <w:p w14:paraId="4360EE01" w14:textId="77777777" w:rsidR="00C65FD3" w:rsidRDefault="00C65FD3">
            <w:pPr>
              <w:spacing w:before="120" w:after="120"/>
            </w:pPr>
            <w:r>
              <w:t xml:space="preserve">Boredom </w:t>
            </w:r>
          </w:p>
        </w:tc>
        <w:tc>
          <w:tcPr>
            <w:tcW w:w="1422" w:type="dxa"/>
            <w:tcBorders>
              <w:top w:val="nil"/>
              <w:left w:val="nil"/>
              <w:bottom w:val="nil"/>
              <w:right w:val="nil"/>
            </w:tcBorders>
            <w:vAlign w:val="center"/>
            <w:hideMark/>
          </w:tcPr>
          <w:p w14:paraId="789773F4"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65483E71" w14:textId="77777777" w:rsidR="00C65FD3" w:rsidRDefault="00C65FD3">
            <w:pPr>
              <w:spacing w:before="120" w:after="120"/>
              <w:jc w:val="center"/>
              <w:rPr>
                <w:sz w:val="18"/>
              </w:rPr>
            </w:pPr>
            <w:r>
              <w:rPr>
                <w:sz w:val="18"/>
                <w:szCs w:val="18"/>
              </w:rPr>
              <w:sym w:font="Wingdings" w:char="F0FC"/>
            </w:r>
          </w:p>
        </w:tc>
      </w:tr>
      <w:tr w:rsidR="00C65FD3" w14:paraId="0C49F1BE" w14:textId="77777777" w:rsidTr="00A34BAD">
        <w:trPr>
          <w:trHeight w:val="282"/>
        </w:trPr>
        <w:tc>
          <w:tcPr>
            <w:tcW w:w="2262" w:type="dxa"/>
            <w:tcBorders>
              <w:top w:val="nil"/>
              <w:left w:val="nil"/>
              <w:bottom w:val="nil"/>
              <w:right w:val="nil"/>
            </w:tcBorders>
          </w:tcPr>
          <w:p w14:paraId="7F65C487" w14:textId="77777777" w:rsidR="00C65FD3" w:rsidRDefault="00C65FD3">
            <w:pPr>
              <w:spacing w:before="120" w:after="120"/>
              <w:rPr>
                <w:sz w:val="18"/>
              </w:rPr>
            </w:pPr>
          </w:p>
        </w:tc>
        <w:tc>
          <w:tcPr>
            <w:tcW w:w="4108" w:type="dxa"/>
            <w:tcBorders>
              <w:top w:val="nil"/>
              <w:left w:val="nil"/>
              <w:bottom w:val="nil"/>
              <w:right w:val="nil"/>
            </w:tcBorders>
            <w:hideMark/>
          </w:tcPr>
          <w:p w14:paraId="7E317E14" w14:textId="77777777" w:rsidR="00C65FD3" w:rsidRDefault="00C65FD3">
            <w:pPr>
              <w:spacing w:before="120" w:after="120"/>
            </w:pPr>
            <w:r>
              <w:t>Addiction / vulnerability</w:t>
            </w:r>
          </w:p>
        </w:tc>
        <w:tc>
          <w:tcPr>
            <w:tcW w:w="1422" w:type="dxa"/>
            <w:tcBorders>
              <w:top w:val="nil"/>
              <w:left w:val="nil"/>
              <w:bottom w:val="nil"/>
              <w:right w:val="nil"/>
            </w:tcBorders>
            <w:vAlign w:val="center"/>
            <w:hideMark/>
          </w:tcPr>
          <w:p w14:paraId="4BBEBC07"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6F402EA2" w14:textId="77777777" w:rsidR="00C65FD3" w:rsidRDefault="00C65FD3">
            <w:pPr>
              <w:spacing w:before="120" w:after="120"/>
              <w:jc w:val="center"/>
              <w:rPr>
                <w:sz w:val="18"/>
              </w:rPr>
            </w:pPr>
            <w:r>
              <w:rPr>
                <w:sz w:val="18"/>
                <w:szCs w:val="18"/>
              </w:rPr>
              <w:sym w:font="Wingdings" w:char="F0FC"/>
            </w:r>
          </w:p>
        </w:tc>
      </w:tr>
      <w:tr w:rsidR="00C65FD3" w14:paraId="6CE40C17" w14:textId="77777777" w:rsidTr="00A34BAD">
        <w:trPr>
          <w:trHeight w:val="282"/>
        </w:trPr>
        <w:tc>
          <w:tcPr>
            <w:tcW w:w="2262" w:type="dxa"/>
            <w:tcBorders>
              <w:top w:val="nil"/>
              <w:left w:val="nil"/>
              <w:bottom w:val="nil"/>
              <w:right w:val="nil"/>
            </w:tcBorders>
          </w:tcPr>
          <w:p w14:paraId="0BCBC74A" w14:textId="77777777" w:rsidR="00C65FD3" w:rsidRDefault="00C65FD3">
            <w:pPr>
              <w:spacing w:before="120" w:after="120"/>
              <w:rPr>
                <w:sz w:val="18"/>
              </w:rPr>
            </w:pPr>
          </w:p>
        </w:tc>
        <w:tc>
          <w:tcPr>
            <w:tcW w:w="4108" w:type="dxa"/>
            <w:tcBorders>
              <w:top w:val="nil"/>
              <w:left w:val="nil"/>
              <w:bottom w:val="nil"/>
              <w:right w:val="nil"/>
            </w:tcBorders>
            <w:hideMark/>
          </w:tcPr>
          <w:p w14:paraId="23A91D61" w14:textId="77777777" w:rsidR="00C65FD3" w:rsidRDefault="00C65FD3">
            <w:pPr>
              <w:spacing w:before="120" w:after="120"/>
              <w:rPr>
                <w:color w:val="C00000"/>
              </w:rPr>
            </w:pPr>
            <w:r>
              <w:rPr>
                <w:color w:val="C00000"/>
              </w:rPr>
              <w:t>Habit / compulsion*</w:t>
            </w:r>
          </w:p>
        </w:tc>
        <w:tc>
          <w:tcPr>
            <w:tcW w:w="1422" w:type="dxa"/>
            <w:tcBorders>
              <w:top w:val="nil"/>
              <w:left w:val="nil"/>
              <w:bottom w:val="nil"/>
              <w:right w:val="nil"/>
            </w:tcBorders>
            <w:vAlign w:val="center"/>
            <w:hideMark/>
          </w:tcPr>
          <w:p w14:paraId="29D8CE42" w14:textId="77777777" w:rsidR="00C65FD3" w:rsidRDefault="00C65FD3">
            <w:pPr>
              <w:spacing w:before="120" w:after="120"/>
              <w:jc w:val="center"/>
              <w:rPr>
                <w:sz w:val="18"/>
                <w:szCs w:val="18"/>
              </w:rPr>
            </w:pPr>
            <w:r>
              <w:rPr>
                <w:color w:val="C00000"/>
                <w:sz w:val="18"/>
                <w:szCs w:val="18"/>
              </w:rPr>
              <w:sym w:font="Wingdings" w:char="F0FC"/>
            </w:r>
          </w:p>
        </w:tc>
        <w:tc>
          <w:tcPr>
            <w:tcW w:w="1133" w:type="dxa"/>
            <w:tcBorders>
              <w:top w:val="nil"/>
              <w:left w:val="nil"/>
              <w:bottom w:val="nil"/>
              <w:right w:val="nil"/>
            </w:tcBorders>
            <w:vAlign w:val="center"/>
          </w:tcPr>
          <w:p w14:paraId="7D6D8068" w14:textId="77777777" w:rsidR="00C65FD3" w:rsidRDefault="00C65FD3">
            <w:pPr>
              <w:spacing w:before="120" w:after="120"/>
              <w:jc w:val="center"/>
              <w:rPr>
                <w:sz w:val="18"/>
                <w:szCs w:val="18"/>
              </w:rPr>
            </w:pPr>
          </w:p>
        </w:tc>
      </w:tr>
      <w:tr w:rsidR="00C65FD3" w14:paraId="4F240739" w14:textId="77777777" w:rsidTr="00A34BAD">
        <w:trPr>
          <w:trHeight w:val="282"/>
        </w:trPr>
        <w:tc>
          <w:tcPr>
            <w:tcW w:w="2262" w:type="dxa"/>
            <w:tcBorders>
              <w:top w:val="nil"/>
              <w:left w:val="nil"/>
              <w:bottom w:val="nil"/>
              <w:right w:val="nil"/>
            </w:tcBorders>
          </w:tcPr>
          <w:p w14:paraId="03B0C75E" w14:textId="77777777" w:rsidR="00C65FD3" w:rsidRDefault="00C65FD3">
            <w:pPr>
              <w:spacing w:before="120" w:after="120"/>
              <w:rPr>
                <w:b/>
              </w:rPr>
            </w:pPr>
          </w:p>
        </w:tc>
        <w:tc>
          <w:tcPr>
            <w:tcW w:w="4108" w:type="dxa"/>
            <w:tcBorders>
              <w:top w:val="nil"/>
              <w:left w:val="nil"/>
              <w:bottom w:val="nil"/>
              <w:right w:val="nil"/>
            </w:tcBorders>
            <w:hideMark/>
          </w:tcPr>
          <w:p w14:paraId="2FDD221D" w14:textId="77777777" w:rsidR="00C65FD3" w:rsidRDefault="00C65FD3">
            <w:pPr>
              <w:spacing w:before="120" w:after="120"/>
              <w:rPr>
                <w:color w:val="C00000"/>
              </w:rPr>
            </w:pPr>
            <w:r>
              <w:rPr>
                <w:color w:val="C00000"/>
              </w:rPr>
              <w:t>Self-medication / anxiety prevention*</w:t>
            </w:r>
          </w:p>
        </w:tc>
        <w:tc>
          <w:tcPr>
            <w:tcW w:w="1422" w:type="dxa"/>
            <w:tcBorders>
              <w:top w:val="nil"/>
              <w:left w:val="nil"/>
              <w:bottom w:val="nil"/>
              <w:right w:val="nil"/>
            </w:tcBorders>
            <w:vAlign w:val="center"/>
            <w:hideMark/>
          </w:tcPr>
          <w:p w14:paraId="51727884"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nil"/>
              <w:right w:val="nil"/>
            </w:tcBorders>
            <w:vAlign w:val="center"/>
          </w:tcPr>
          <w:p w14:paraId="2F8652D2" w14:textId="77777777" w:rsidR="00C65FD3" w:rsidRDefault="00C65FD3">
            <w:pPr>
              <w:spacing w:before="120" w:after="120"/>
              <w:jc w:val="center"/>
              <w:rPr>
                <w:sz w:val="18"/>
              </w:rPr>
            </w:pPr>
          </w:p>
        </w:tc>
      </w:tr>
      <w:tr w:rsidR="00C65FD3" w14:paraId="3E6D50A9" w14:textId="77777777" w:rsidTr="00A34BAD">
        <w:trPr>
          <w:trHeight w:val="282"/>
        </w:trPr>
        <w:tc>
          <w:tcPr>
            <w:tcW w:w="2262" w:type="dxa"/>
            <w:tcBorders>
              <w:top w:val="nil"/>
              <w:left w:val="nil"/>
              <w:bottom w:val="single" w:sz="4" w:space="0" w:color="auto"/>
              <w:right w:val="nil"/>
            </w:tcBorders>
          </w:tcPr>
          <w:p w14:paraId="3435F3BE" w14:textId="77777777" w:rsidR="00C65FD3" w:rsidRDefault="00C65FD3">
            <w:pPr>
              <w:spacing w:before="120" w:after="120"/>
              <w:rPr>
                <w:b/>
              </w:rPr>
            </w:pPr>
          </w:p>
        </w:tc>
        <w:tc>
          <w:tcPr>
            <w:tcW w:w="4108" w:type="dxa"/>
            <w:tcBorders>
              <w:top w:val="nil"/>
              <w:left w:val="nil"/>
              <w:bottom w:val="single" w:sz="4" w:space="0" w:color="auto"/>
              <w:right w:val="nil"/>
            </w:tcBorders>
            <w:hideMark/>
          </w:tcPr>
          <w:p w14:paraId="14D4984B" w14:textId="77777777" w:rsidR="00C65FD3" w:rsidRDefault="00C65FD3">
            <w:pPr>
              <w:tabs>
                <w:tab w:val="center" w:pos="1947"/>
              </w:tabs>
              <w:spacing w:before="120" w:after="120"/>
              <w:rPr>
                <w:color w:val="C00000"/>
              </w:rPr>
            </w:pPr>
            <w:r>
              <w:rPr>
                <w:color w:val="C00000"/>
              </w:rPr>
              <w:t>Sleep aid / sedation*</w:t>
            </w:r>
          </w:p>
        </w:tc>
        <w:tc>
          <w:tcPr>
            <w:tcW w:w="1422" w:type="dxa"/>
            <w:tcBorders>
              <w:top w:val="nil"/>
              <w:left w:val="nil"/>
              <w:bottom w:val="single" w:sz="4" w:space="0" w:color="auto"/>
              <w:right w:val="nil"/>
            </w:tcBorders>
            <w:vAlign w:val="center"/>
            <w:hideMark/>
          </w:tcPr>
          <w:p w14:paraId="3AE327AC"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single" w:sz="4" w:space="0" w:color="auto"/>
              <w:right w:val="nil"/>
            </w:tcBorders>
            <w:vAlign w:val="center"/>
          </w:tcPr>
          <w:p w14:paraId="3775D4B1" w14:textId="77777777" w:rsidR="00C65FD3" w:rsidRDefault="00C65FD3">
            <w:pPr>
              <w:spacing w:before="120" w:after="120"/>
              <w:jc w:val="center"/>
              <w:rPr>
                <w:sz w:val="18"/>
              </w:rPr>
            </w:pPr>
          </w:p>
        </w:tc>
      </w:tr>
      <w:tr w:rsidR="00C65FD3" w14:paraId="2E3A42F2" w14:textId="77777777" w:rsidTr="00A34BAD">
        <w:trPr>
          <w:trHeight w:val="282"/>
        </w:trPr>
        <w:tc>
          <w:tcPr>
            <w:tcW w:w="2262" w:type="dxa"/>
            <w:tcBorders>
              <w:top w:val="single" w:sz="4" w:space="0" w:color="auto"/>
              <w:left w:val="nil"/>
              <w:bottom w:val="nil"/>
              <w:right w:val="nil"/>
            </w:tcBorders>
            <w:hideMark/>
          </w:tcPr>
          <w:p w14:paraId="02BC2C61" w14:textId="77777777" w:rsidR="00C65FD3" w:rsidRDefault="00C65FD3">
            <w:pPr>
              <w:spacing w:before="120" w:after="120"/>
              <w:rPr>
                <w:sz w:val="18"/>
              </w:rPr>
            </w:pPr>
            <w:r>
              <w:rPr>
                <w:b/>
              </w:rPr>
              <w:t xml:space="preserve">Managing drug use </w:t>
            </w:r>
          </w:p>
        </w:tc>
        <w:tc>
          <w:tcPr>
            <w:tcW w:w="4108" w:type="dxa"/>
            <w:tcBorders>
              <w:top w:val="single" w:sz="4" w:space="0" w:color="auto"/>
              <w:left w:val="nil"/>
              <w:bottom w:val="nil"/>
              <w:right w:val="nil"/>
            </w:tcBorders>
            <w:hideMark/>
          </w:tcPr>
          <w:p w14:paraId="07FF3592" w14:textId="77777777" w:rsidR="00C65FD3" w:rsidRDefault="00C65FD3">
            <w:pPr>
              <w:spacing w:before="120" w:after="120"/>
              <w:rPr>
                <w:color w:val="C00000"/>
              </w:rPr>
            </w:pPr>
            <w:r>
              <w:rPr>
                <w:color w:val="C00000"/>
              </w:rPr>
              <w:t xml:space="preserve">Manage effects of other drugs </w:t>
            </w:r>
          </w:p>
        </w:tc>
        <w:tc>
          <w:tcPr>
            <w:tcW w:w="1422" w:type="dxa"/>
            <w:tcBorders>
              <w:top w:val="single" w:sz="4" w:space="0" w:color="auto"/>
              <w:left w:val="nil"/>
              <w:bottom w:val="nil"/>
              <w:right w:val="nil"/>
            </w:tcBorders>
            <w:vAlign w:val="center"/>
            <w:hideMark/>
          </w:tcPr>
          <w:p w14:paraId="64B6DB96"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single" w:sz="4" w:space="0" w:color="auto"/>
              <w:left w:val="nil"/>
              <w:bottom w:val="nil"/>
              <w:right w:val="nil"/>
            </w:tcBorders>
            <w:vAlign w:val="center"/>
          </w:tcPr>
          <w:p w14:paraId="5612E724" w14:textId="77777777" w:rsidR="00C65FD3" w:rsidRDefault="00C65FD3">
            <w:pPr>
              <w:spacing w:before="120" w:after="120"/>
              <w:jc w:val="center"/>
              <w:rPr>
                <w:sz w:val="18"/>
              </w:rPr>
            </w:pPr>
          </w:p>
        </w:tc>
      </w:tr>
      <w:tr w:rsidR="00C65FD3" w14:paraId="7E22A250" w14:textId="77777777" w:rsidTr="00A34BAD">
        <w:trPr>
          <w:trHeight w:val="282"/>
        </w:trPr>
        <w:tc>
          <w:tcPr>
            <w:tcW w:w="2262" w:type="dxa"/>
            <w:tcBorders>
              <w:top w:val="nil"/>
              <w:left w:val="nil"/>
              <w:bottom w:val="single" w:sz="4" w:space="0" w:color="auto"/>
              <w:right w:val="nil"/>
            </w:tcBorders>
          </w:tcPr>
          <w:p w14:paraId="0C2702DA"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4FA51CDE" w14:textId="77777777" w:rsidR="00C65FD3" w:rsidRDefault="00C65FD3">
            <w:pPr>
              <w:spacing w:before="120" w:after="120"/>
              <w:rPr>
                <w:color w:val="C00000"/>
              </w:rPr>
            </w:pPr>
            <w:r>
              <w:rPr>
                <w:color w:val="C00000"/>
              </w:rPr>
              <w:t xml:space="preserve">Manage addiction /withdrawal </w:t>
            </w:r>
          </w:p>
        </w:tc>
        <w:tc>
          <w:tcPr>
            <w:tcW w:w="1422" w:type="dxa"/>
            <w:tcBorders>
              <w:top w:val="nil"/>
              <w:left w:val="nil"/>
              <w:bottom w:val="single" w:sz="4" w:space="0" w:color="auto"/>
              <w:right w:val="nil"/>
            </w:tcBorders>
            <w:vAlign w:val="center"/>
            <w:hideMark/>
          </w:tcPr>
          <w:p w14:paraId="0C5148EB"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single" w:sz="4" w:space="0" w:color="auto"/>
              <w:right w:val="nil"/>
            </w:tcBorders>
            <w:vAlign w:val="center"/>
          </w:tcPr>
          <w:p w14:paraId="256711CD" w14:textId="77777777" w:rsidR="00C65FD3" w:rsidRDefault="00C65FD3">
            <w:pPr>
              <w:spacing w:before="120" w:after="120"/>
              <w:jc w:val="center"/>
              <w:rPr>
                <w:sz w:val="18"/>
              </w:rPr>
            </w:pPr>
          </w:p>
        </w:tc>
      </w:tr>
      <w:tr w:rsidR="00C65FD3" w14:paraId="1E98BF14" w14:textId="77777777" w:rsidTr="00A34BAD">
        <w:trPr>
          <w:trHeight w:val="239"/>
        </w:trPr>
        <w:tc>
          <w:tcPr>
            <w:tcW w:w="8925" w:type="dxa"/>
            <w:gridSpan w:val="4"/>
            <w:tcBorders>
              <w:top w:val="single" w:sz="4" w:space="0" w:color="auto"/>
              <w:left w:val="nil"/>
              <w:bottom w:val="nil"/>
              <w:right w:val="nil"/>
            </w:tcBorders>
            <w:hideMark/>
          </w:tcPr>
          <w:p w14:paraId="11B9C3C9" w14:textId="77777777" w:rsidR="00C65FD3" w:rsidRDefault="00C65FD3">
            <w:pPr>
              <w:spacing w:before="120"/>
              <w:rPr>
                <w:bCs/>
              </w:rPr>
            </w:pPr>
            <w:r>
              <w:rPr>
                <w:bCs/>
              </w:rPr>
              <w:t xml:space="preserve">* denotes novel reason extracted from studies excluded from literature review see Appendix X Table X.X for list of additional studies </w:t>
            </w:r>
          </w:p>
        </w:tc>
      </w:tr>
      <w:tr w:rsidR="00C65FD3" w14:paraId="10CC851A" w14:textId="77777777" w:rsidTr="00A34BAD">
        <w:trPr>
          <w:trHeight w:val="426"/>
        </w:trPr>
        <w:tc>
          <w:tcPr>
            <w:tcW w:w="8925" w:type="dxa"/>
            <w:gridSpan w:val="4"/>
            <w:tcBorders>
              <w:top w:val="nil"/>
              <w:left w:val="nil"/>
              <w:bottom w:val="single" w:sz="4" w:space="0" w:color="auto"/>
              <w:right w:val="nil"/>
            </w:tcBorders>
            <w:hideMark/>
          </w:tcPr>
          <w:p w14:paraId="64E71990" w14:textId="77777777" w:rsidR="00C65FD3" w:rsidRDefault="00C65FD3">
            <w:pPr>
              <w:pStyle w:val="TableHeader"/>
              <w:spacing w:line="240" w:lineRule="auto"/>
              <w:rPr>
                <w:b/>
              </w:rPr>
            </w:pPr>
            <w:r>
              <w:rPr>
                <w:b/>
              </w:rPr>
              <w:t>Table 9.1 Reasons for use of NPS organised by theme - Continued</w:t>
            </w:r>
          </w:p>
        </w:tc>
      </w:tr>
      <w:tr w:rsidR="00C65FD3" w14:paraId="00E6CFAF" w14:textId="77777777" w:rsidTr="00A34BAD">
        <w:trPr>
          <w:trHeight w:val="239"/>
        </w:trPr>
        <w:tc>
          <w:tcPr>
            <w:tcW w:w="2262" w:type="dxa"/>
            <w:tcBorders>
              <w:top w:val="single" w:sz="4" w:space="0" w:color="auto"/>
              <w:left w:val="nil"/>
              <w:bottom w:val="single" w:sz="4" w:space="0" w:color="auto"/>
              <w:right w:val="nil"/>
            </w:tcBorders>
            <w:hideMark/>
          </w:tcPr>
          <w:p w14:paraId="111AFD7B" w14:textId="77777777" w:rsidR="00C65FD3" w:rsidRDefault="00C65FD3">
            <w:pPr>
              <w:spacing w:before="120" w:after="120"/>
              <w:rPr>
                <w:sz w:val="18"/>
              </w:rPr>
            </w:pPr>
            <w:r>
              <w:rPr>
                <w:b/>
              </w:rPr>
              <w:t xml:space="preserve">Avoiding detection </w:t>
            </w:r>
          </w:p>
        </w:tc>
        <w:tc>
          <w:tcPr>
            <w:tcW w:w="4108" w:type="dxa"/>
            <w:tcBorders>
              <w:top w:val="single" w:sz="4" w:space="0" w:color="auto"/>
              <w:left w:val="nil"/>
              <w:bottom w:val="single" w:sz="4" w:space="0" w:color="auto"/>
              <w:right w:val="nil"/>
            </w:tcBorders>
            <w:hideMark/>
          </w:tcPr>
          <w:p w14:paraId="537B12A7" w14:textId="77777777" w:rsidR="00C65FD3" w:rsidRDefault="00C65FD3">
            <w:pPr>
              <w:spacing w:before="120" w:after="120"/>
              <w:rPr>
                <w:sz w:val="20"/>
              </w:rPr>
            </w:pPr>
            <w:r>
              <w:rPr>
                <w:color w:val="C00000"/>
              </w:rPr>
              <w:t xml:space="preserve">Not detected in drug tests </w:t>
            </w:r>
          </w:p>
        </w:tc>
        <w:tc>
          <w:tcPr>
            <w:tcW w:w="1422" w:type="dxa"/>
            <w:tcBorders>
              <w:top w:val="single" w:sz="4" w:space="0" w:color="auto"/>
              <w:left w:val="nil"/>
              <w:bottom w:val="single" w:sz="4" w:space="0" w:color="auto"/>
              <w:right w:val="nil"/>
            </w:tcBorders>
            <w:vAlign w:val="center"/>
            <w:hideMark/>
          </w:tcPr>
          <w:p w14:paraId="338768A3" w14:textId="77777777" w:rsidR="00C65FD3" w:rsidRDefault="00C65FD3">
            <w:pPr>
              <w:spacing w:before="120" w:after="120"/>
              <w:jc w:val="center"/>
              <w:rPr>
                <w:sz w:val="20"/>
              </w:rPr>
            </w:pPr>
            <w:r>
              <w:rPr>
                <w:color w:val="C00000"/>
                <w:sz w:val="18"/>
                <w:szCs w:val="18"/>
              </w:rPr>
              <w:sym w:font="Wingdings" w:char="F0FC"/>
            </w:r>
          </w:p>
        </w:tc>
        <w:tc>
          <w:tcPr>
            <w:tcW w:w="1133" w:type="dxa"/>
            <w:tcBorders>
              <w:top w:val="single" w:sz="4" w:space="0" w:color="auto"/>
              <w:left w:val="nil"/>
              <w:bottom w:val="single" w:sz="4" w:space="0" w:color="auto"/>
              <w:right w:val="nil"/>
            </w:tcBorders>
            <w:vAlign w:val="center"/>
          </w:tcPr>
          <w:p w14:paraId="6CC5F221" w14:textId="77777777" w:rsidR="00C65FD3" w:rsidRDefault="00C65FD3">
            <w:pPr>
              <w:spacing w:before="120" w:after="120"/>
              <w:jc w:val="center"/>
              <w:rPr>
                <w:sz w:val="20"/>
              </w:rPr>
            </w:pPr>
          </w:p>
        </w:tc>
      </w:tr>
      <w:tr w:rsidR="00C65FD3" w14:paraId="3B9C1325" w14:textId="77777777" w:rsidTr="00A34BAD">
        <w:trPr>
          <w:trHeight w:val="282"/>
        </w:trPr>
        <w:tc>
          <w:tcPr>
            <w:tcW w:w="2262" w:type="dxa"/>
            <w:tcBorders>
              <w:top w:val="single" w:sz="4" w:space="0" w:color="auto"/>
              <w:left w:val="nil"/>
              <w:bottom w:val="nil"/>
              <w:right w:val="nil"/>
            </w:tcBorders>
            <w:hideMark/>
          </w:tcPr>
          <w:p w14:paraId="31BA0B12" w14:textId="77777777" w:rsidR="00C65FD3" w:rsidRDefault="00C65FD3">
            <w:pPr>
              <w:spacing w:before="120" w:after="120"/>
              <w:rPr>
                <w:sz w:val="18"/>
              </w:rPr>
            </w:pPr>
            <w:r>
              <w:rPr>
                <w:b/>
              </w:rPr>
              <w:t xml:space="preserve">Quality reasons </w:t>
            </w:r>
          </w:p>
        </w:tc>
        <w:tc>
          <w:tcPr>
            <w:tcW w:w="4108" w:type="dxa"/>
            <w:tcBorders>
              <w:top w:val="single" w:sz="4" w:space="0" w:color="auto"/>
              <w:left w:val="nil"/>
              <w:bottom w:val="nil"/>
              <w:right w:val="nil"/>
            </w:tcBorders>
            <w:hideMark/>
          </w:tcPr>
          <w:p w14:paraId="4947889B" w14:textId="77777777" w:rsidR="00C65FD3" w:rsidRDefault="00C65FD3">
            <w:pPr>
              <w:spacing w:before="120" w:after="120"/>
              <w:rPr>
                <w:color w:val="C00000"/>
              </w:rPr>
            </w:pPr>
            <w:r>
              <w:rPr>
                <w:color w:val="C00000"/>
              </w:rPr>
              <w:t xml:space="preserve">Consistency / reliability of effect </w:t>
            </w:r>
          </w:p>
        </w:tc>
        <w:tc>
          <w:tcPr>
            <w:tcW w:w="1422" w:type="dxa"/>
            <w:tcBorders>
              <w:top w:val="single" w:sz="4" w:space="0" w:color="auto"/>
              <w:left w:val="nil"/>
              <w:bottom w:val="nil"/>
              <w:right w:val="nil"/>
            </w:tcBorders>
            <w:vAlign w:val="center"/>
            <w:hideMark/>
          </w:tcPr>
          <w:p w14:paraId="58508A32"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single" w:sz="4" w:space="0" w:color="auto"/>
              <w:left w:val="nil"/>
              <w:bottom w:val="nil"/>
              <w:right w:val="nil"/>
            </w:tcBorders>
            <w:vAlign w:val="center"/>
          </w:tcPr>
          <w:p w14:paraId="24D28744" w14:textId="77777777" w:rsidR="00C65FD3" w:rsidRDefault="00C65FD3">
            <w:pPr>
              <w:spacing w:before="120" w:after="120"/>
              <w:jc w:val="center"/>
              <w:rPr>
                <w:sz w:val="18"/>
              </w:rPr>
            </w:pPr>
          </w:p>
        </w:tc>
      </w:tr>
      <w:tr w:rsidR="00C65FD3" w14:paraId="7DA60792" w14:textId="77777777" w:rsidTr="00A34BAD">
        <w:trPr>
          <w:trHeight w:val="282"/>
        </w:trPr>
        <w:tc>
          <w:tcPr>
            <w:tcW w:w="2262" w:type="dxa"/>
            <w:tcBorders>
              <w:top w:val="nil"/>
              <w:left w:val="nil"/>
              <w:bottom w:val="nil"/>
              <w:right w:val="nil"/>
            </w:tcBorders>
          </w:tcPr>
          <w:p w14:paraId="6D974B4E" w14:textId="77777777" w:rsidR="00C65FD3" w:rsidRDefault="00C65FD3">
            <w:pPr>
              <w:spacing w:before="120" w:after="120"/>
              <w:rPr>
                <w:b/>
              </w:rPr>
            </w:pPr>
          </w:p>
        </w:tc>
        <w:tc>
          <w:tcPr>
            <w:tcW w:w="4108" w:type="dxa"/>
            <w:tcBorders>
              <w:top w:val="nil"/>
              <w:left w:val="nil"/>
              <w:bottom w:val="nil"/>
              <w:right w:val="nil"/>
            </w:tcBorders>
            <w:hideMark/>
          </w:tcPr>
          <w:p w14:paraId="6030D982" w14:textId="77777777" w:rsidR="00C65FD3" w:rsidRDefault="00C65FD3">
            <w:pPr>
              <w:spacing w:before="120" w:after="120"/>
              <w:rPr>
                <w:color w:val="C00000"/>
              </w:rPr>
            </w:pPr>
            <w:r>
              <w:rPr>
                <w:color w:val="C00000"/>
              </w:rPr>
              <w:t xml:space="preserve">High quality / purity </w:t>
            </w:r>
          </w:p>
        </w:tc>
        <w:tc>
          <w:tcPr>
            <w:tcW w:w="1422" w:type="dxa"/>
            <w:tcBorders>
              <w:top w:val="nil"/>
              <w:left w:val="nil"/>
              <w:bottom w:val="nil"/>
              <w:right w:val="nil"/>
            </w:tcBorders>
            <w:vAlign w:val="center"/>
            <w:hideMark/>
          </w:tcPr>
          <w:p w14:paraId="4D1538E7"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nil"/>
              <w:right w:val="nil"/>
            </w:tcBorders>
            <w:vAlign w:val="center"/>
          </w:tcPr>
          <w:p w14:paraId="4234C63E" w14:textId="77777777" w:rsidR="00C65FD3" w:rsidRDefault="00C65FD3">
            <w:pPr>
              <w:spacing w:before="120" w:after="120"/>
              <w:jc w:val="center"/>
              <w:rPr>
                <w:sz w:val="18"/>
              </w:rPr>
            </w:pPr>
          </w:p>
        </w:tc>
      </w:tr>
      <w:tr w:rsidR="00C65FD3" w14:paraId="0AE03EFC" w14:textId="77777777" w:rsidTr="00A34BAD">
        <w:trPr>
          <w:trHeight w:val="80"/>
        </w:trPr>
        <w:tc>
          <w:tcPr>
            <w:tcW w:w="2262" w:type="dxa"/>
            <w:tcBorders>
              <w:top w:val="nil"/>
              <w:left w:val="nil"/>
              <w:bottom w:val="single" w:sz="4" w:space="0" w:color="auto"/>
              <w:right w:val="nil"/>
            </w:tcBorders>
          </w:tcPr>
          <w:p w14:paraId="657D5E14"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158F10CA" w14:textId="77777777" w:rsidR="00C65FD3" w:rsidRDefault="00C65FD3">
            <w:pPr>
              <w:spacing w:before="120" w:after="120"/>
              <w:rPr>
                <w:color w:val="C00000"/>
              </w:rPr>
            </w:pPr>
            <w:r>
              <w:rPr>
                <w:color w:val="C00000"/>
              </w:rPr>
              <w:t>Good reputation / recommended</w:t>
            </w:r>
          </w:p>
        </w:tc>
        <w:tc>
          <w:tcPr>
            <w:tcW w:w="1422" w:type="dxa"/>
            <w:tcBorders>
              <w:top w:val="nil"/>
              <w:left w:val="nil"/>
              <w:bottom w:val="single" w:sz="4" w:space="0" w:color="auto"/>
              <w:right w:val="nil"/>
            </w:tcBorders>
            <w:vAlign w:val="center"/>
            <w:hideMark/>
          </w:tcPr>
          <w:p w14:paraId="2C83E1F6"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single" w:sz="4" w:space="0" w:color="auto"/>
              <w:right w:val="nil"/>
            </w:tcBorders>
            <w:vAlign w:val="center"/>
          </w:tcPr>
          <w:p w14:paraId="5A806645" w14:textId="77777777" w:rsidR="00C65FD3" w:rsidRDefault="00C65FD3">
            <w:pPr>
              <w:spacing w:before="120" w:after="120"/>
              <w:jc w:val="center"/>
              <w:rPr>
                <w:sz w:val="18"/>
              </w:rPr>
            </w:pPr>
          </w:p>
        </w:tc>
      </w:tr>
      <w:tr w:rsidR="00C65FD3" w14:paraId="758D12E3" w14:textId="77777777" w:rsidTr="00A34BAD">
        <w:trPr>
          <w:trHeight w:val="282"/>
        </w:trPr>
        <w:tc>
          <w:tcPr>
            <w:tcW w:w="2262" w:type="dxa"/>
            <w:tcBorders>
              <w:top w:val="single" w:sz="4" w:space="0" w:color="auto"/>
              <w:left w:val="nil"/>
              <w:bottom w:val="nil"/>
              <w:right w:val="nil"/>
            </w:tcBorders>
            <w:hideMark/>
          </w:tcPr>
          <w:p w14:paraId="78726D0E" w14:textId="77777777" w:rsidR="00C65FD3" w:rsidRDefault="00C65FD3">
            <w:pPr>
              <w:spacing w:before="120" w:after="120"/>
              <w:rPr>
                <w:sz w:val="18"/>
              </w:rPr>
            </w:pPr>
            <w:r>
              <w:rPr>
                <w:b/>
              </w:rPr>
              <w:t>Enhancement</w:t>
            </w:r>
          </w:p>
        </w:tc>
        <w:tc>
          <w:tcPr>
            <w:tcW w:w="4108" w:type="dxa"/>
            <w:tcBorders>
              <w:top w:val="single" w:sz="4" w:space="0" w:color="auto"/>
              <w:left w:val="nil"/>
              <w:bottom w:val="nil"/>
              <w:right w:val="nil"/>
            </w:tcBorders>
            <w:hideMark/>
          </w:tcPr>
          <w:p w14:paraId="58CE9B5C" w14:textId="77777777" w:rsidR="00C65FD3" w:rsidRDefault="00C65FD3">
            <w:pPr>
              <w:spacing w:before="120" w:after="120"/>
              <w:rPr>
                <w:color w:val="C00000"/>
              </w:rPr>
            </w:pPr>
            <w:r>
              <w:rPr>
                <w:color w:val="C00000"/>
              </w:rPr>
              <w:t xml:space="preserve">Sexual enhancement </w:t>
            </w:r>
          </w:p>
        </w:tc>
        <w:tc>
          <w:tcPr>
            <w:tcW w:w="1422" w:type="dxa"/>
            <w:tcBorders>
              <w:top w:val="single" w:sz="4" w:space="0" w:color="auto"/>
              <w:left w:val="nil"/>
              <w:bottom w:val="nil"/>
              <w:right w:val="nil"/>
            </w:tcBorders>
            <w:vAlign w:val="center"/>
            <w:hideMark/>
          </w:tcPr>
          <w:p w14:paraId="092AFA35"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single" w:sz="4" w:space="0" w:color="auto"/>
              <w:left w:val="nil"/>
              <w:bottom w:val="nil"/>
              <w:right w:val="nil"/>
            </w:tcBorders>
            <w:vAlign w:val="center"/>
          </w:tcPr>
          <w:p w14:paraId="50CD784D" w14:textId="77777777" w:rsidR="00C65FD3" w:rsidRDefault="00C65FD3">
            <w:pPr>
              <w:spacing w:before="120" w:after="120"/>
              <w:jc w:val="center"/>
              <w:rPr>
                <w:sz w:val="18"/>
              </w:rPr>
            </w:pPr>
          </w:p>
        </w:tc>
      </w:tr>
      <w:tr w:rsidR="00C65FD3" w14:paraId="52CEF428" w14:textId="77777777" w:rsidTr="00A34BAD">
        <w:trPr>
          <w:trHeight w:val="282"/>
        </w:trPr>
        <w:tc>
          <w:tcPr>
            <w:tcW w:w="2262" w:type="dxa"/>
            <w:tcBorders>
              <w:top w:val="nil"/>
              <w:left w:val="nil"/>
              <w:bottom w:val="nil"/>
              <w:right w:val="nil"/>
            </w:tcBorders>
          </w:tcPr>
          <w:p w14:paraId="401A8467" w14:textId="77777777" w:rsidR="00C65FD3" w:rsidRDefault="00C65FD3">
            <w:pPr>
              <w:spacing w:before="120" w:after="120"/>
              <w:rPr>
                <w:sz w:val="18"/>
              </w:rPr>
            </w:pPr>
          </w:p>
        </w:tc>
        <w:tc>
          <w:tcPr>
            <w:tcW w:w="4108" w:type="dxa"/>
            <w:tcBorders>
              <w:top w:val="nil"/>
              <w:left w:val="nil"/>
              <w:bottom w:val="nil"/>
              <w:right w:val="nil"/>
            </w:tcBorders>
            <w:hideMark/>
          </w:tcPr>
          <w:p w14:paraId="545639A9" w14:textId="77777777" w:rsidR="00C65FD3" w:rsidRDefault="00C65FD3">
            <w:pPr>
              <w:spacing w:before="120" w:after="120"/>
              <w:rPr>
                <w:color w:val="C00000"/>
              </w:rPr>
            </w:pPr>
            <w:r>
              <w:rPr>
                <w:color w:val="C00000"/>
              </w:rPr>
              <w:t>Cognitive enhancement*</w:t>
            </w:r>
          </w:p>
        </w:tc>
        <w:tc>
          <w:tcPr>
            <w:tcW w:w="1422" w:type="dxa"/>
            <w:tcBorders>
              <w:top w:val="nil"/>
              <w:left w:val="nil"/>
              <w:bottom w:val="nil"/>
              <w:right w:val="nil"/>
            </w:tcBorders>
            <w:vAlign w:val="center"/>
            <w:hideMark/>
          </w:tcPr>
          <w:p w14:paraId="0AEEE4DC"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nil"/>
              <w:right w:val="nil"/>
            </w:tcBorders>
            <w:vAlign w:val="center"/>
          </w:tcPr>
          <w:p w14:paraId="09CE84F2" w14:textId="77777777" w:rsidR="00C65FD3" w:rsidRDefault="00C65FD3">
            <w:pPr>
              <w:spacing w:before="120" w:after="120"/>
              <w:jc w:val="center"/>
              <w:rPr>
                <w:sz w:val="18"/>
              </w:rPr>
            </w:pPr>
          </w:p>
        </w:tc>
      </w:tr>
      <w:tr w:rsidR="00C65FD3" w14:paraId="747DE4A2" w14:textId="77777777" w:rsidTr="00A34BAD">
        <w:trPr>
          <w:trHeight w:val="171"/>
        </w:trPr>
        <w:tc>
          <w:tcPr>
            <w:tcW w:w="2262" w:type="dxa"/>
            <w:tcBorders>
              <w:top w:val="nil"/>
              <w:left w:val="nil"/>
              <w:bottom w:val="nil"/>
              <w:right w:val="nil"/>
            </w:tcBorders>
          </w:tcPr>
          <w:p w14:paraId="68797DDE" w14:textId="77777777" w:rsidR="00C65FD3" w:rsidRDefault="00C65FD3">
            <w:pPr>
              <w:spacing w:before="120" w:after="120"/>
              <w:rPr>
                <w:sz w:val="18"/>
              </w:rPr>
            </w:pPr>
          </w:p>
        </w:tc>
        <w:tc>
          <w:tcPr>
            <w:tcW w:w="4108" w:type="dxa"/>
            <w:tcBorders>
              <w:top w:val="nil"/>
              <w:left w:val="nil"/>
              <w:bottom w:val="nil"/>
              <w:right w:val="nil"/>
            </w:tcBorders>
            <w:hideMark/>
          </w:tcPr>
          <w:p w14:paraId="17DE979A" w14:textId="77777777" w:rsidR="00C65FD3" w:rsidRDefault="00C65FD3">
            <w:pPr>
              <w:spacing w:before="120" w:after="120"/>
              <w:rPr>
                <w:color w:val="C00000"/>
              </w:rPr>
            </w:pPr>
            <w:r>
              <w:rPr>
                <w:color w:val="C00000"/>
              </w:rPr>
              <w:t>Enhance abilities and performance*</w:t>
            </w:r>
          </w:p>
        </w:tc>
        <w:tc>
          <w:tcPr>
            <w:tcW w:w="1422" w:type="dxa"/>
            <w:tcBorders>
              <w:top w:val="nil"/>
              <w:left w:val="nil"/>
              <w:bottom w:val="nil"/>
              <w:right w:val="nil"/>
            </w:tcBorders>
            <w:vAlign w:val="center"/>
            <w:hideMark/>
          </w:tcPr>
          <w:p w14:paraId="516A9C47" w14:textId="77777777" w:rsidR="00C65FD3" w:rsidRDefault="00C65FD3">
            <w:pPr>
              <w:spacing w:before="120" w:after="120"/>
              <w:jc w:val="center"/>
              <w:rPr>
                <w:color w:val="C00000"/>
                <w:sz w:val="18"/>
              </w:rPr>
            </w:pPr>
            <w:r>
              <w:rPr>
                <w:color w:val="C00000"/>
                <w:sz w:val="18"/>
                <w:szCs w:val="18"/>
              </w:rPr>
              <w:sym w:font="Wingdings" w:char="F0FC"/>
            </w:r>
          </w:p>
        </w:tc>
        <w:tc>
          <w:tcPr>
            <w:tcW w:w="1133" w:type="dxa"/>
            <w:tcBorders>
              <w:top w:val="nil"/>
              <w:left w:val="nil"/>
              <w:bottom w:val="nil"/>
              <w:right w:val="nil"/>
            </w:tcBorders>
            <w:vAlign w:val="center"/>
          </w:tcPr>
          <w:p w14:paraId="01FA2584" w14:textId="77777777" w:rsidR="00C65FD3" w:rsidRDefault="00C65FD3">
            <w:pPr>
              <w:spacing w:before="120" w:after="120"/>
              <w:jc w:val="center"/>
              <w:rPr>
                <w:sz w:val="18"/>
              </w:rPr>
            </w:pPr>
          </w:p>
        </w:tc>
      </w:tr>
      <w:tr w:rsidR="00C65FD3" w14:paraId="5E99EF05" w14:textId="77777777" w:rsidTr="00A34BAD">
        <w:trPr>
          <w:trHeight w:val="289"/>
        </w:trPr>
        <w:tc>
          <w:tcPr>
            <w:tcW w:w="2262" w:type="dxa"/>
            <w:tcBorders>
              <w:top w:val="nil"/>
              <w:left w:val="nil"/>
              <w:bottom w:val="nil"/>
              <w:right w:val="nil"/>
            </w:tcBorders>
          </w:tcPr>
          <w:p w14:paraId="1CB91716" w14:textId="77777777" w:rsidR="00C65FD3" w:rsidRDefault="00C65FD3">
            <w:pPr>
              <w:spacing w:before="120" w:after="120"/>
              <w:rPr>
                <w:sz w:val="18"/>
              </w:rPr>
            </w:pPr>
          </w:p>
        </w:tc>
        <w:tc>
          <w:tcPr>
            <w:tcW w:w="4108" w:type="dxa"/>
            <w:tcBorders>
              <w:top w:val="nil"/>
              <w:left w:val="nil"/>
              <w:bottom w:val="nil"/>
              <w:right w:val="nil"/>
            </w:tcBorders>
            <w:hideMark/>
          </w:tcPr>
          <w:p w14:paraId="03B777B2" w14:textId="77777777" w:rsidR="00C65FD3" w:rsidRDefault="00C65FD3">
            <w:pPr>
              <w:spacing w:before="120" w:after="120"/>
              <w:rPr>
                <w:color w:val="C00000"/>
              </w:rPr>
            </w:pPr>
            <w:r>
              <w:rPr>
                <w:color w:val="C00000"/>
              </w:rPr>
              <w:t xml:space="preserve">Spiritual attainment* </w:t>
            </w:r>
          </w:p>
        </w:tc>
        <w:tc>
          <w:tcPr>
            <w:tcW w:w="1422" w:type="dxa"/>
            <w:tcBorders>
              <w:top w:val="nil"/>
              <w:left w:val="nil"/>
              <w:bottom w:val="nil"/>
              <w:right w:val="nil"/>
            </w:tcBorders>
            <w:vAlign w:val="center"/>
            <w:hideMark/>
          </w:tcPr>
          <w:p w14:paraId="30778CD4"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nil"/>
              <w:right w:val="nil"/>
            </w:tcBorders>
            <w:vAlign w:val="center"/>
          </w:tcPr>
          <w:p w14:paraId="75627E73" w14:textId="77777777" w:rsidR="00C65FD3" w:rsidRDefault="00C65FD3">
            <w:pPr>
              <w:spacing w:before="120" w:after="120"/>
              <w:jc w:val="center"/>
              <w:rPr>
                <w:sz w:val="18"/>
              </w:rPr>
            </w:pPr>
          </w:p>
        </w:tc>
      </w:tr>
      <w:tr w:rsidR="00C65FD3" w14:paraId="1F2FADCA" w14:textId="77777777" w:rsidTr="00A34BAD">
        <w:trPr>
          <w:trHeight w:val="231"/>
        </w:trPr>
        <w:tc>
          <w:tcPr>
            <w:tcW w:w="2262" w:type="dxa"/>
            <w:tcBorders>
              <w:top w:val="nil"/>
              <w:left w:val="nil"/>
              <w:bottom w:val="nil"/>
              <w:right w:val="nil"/>
            </w:tcBorders>
          </w:tcPr>
          <w:p w14:paraId="52738CB9" w14:textId="77777777" w:rsidR="00C65FD3" w:rsidRDefault="00C65FD3">
            <w:pPr>
              <w:spacing w:before="120" w:after="120"/>
              <w:rPr>
                <w:sz w:val="18"/>
              </w:rPr>
            </w:pPr>
          </w:p>
        </w:tc>
        <w:tc>
          <w:tcPr>
            <w:tcW w:w="4108" w:type="dxa"/>
            <w:tcBorders>
              <w:top w:val="nil"/>
              <w:left w:val="nil"/>
              <w:bottom w:val="nil"/>
              <w:right w:val="nil"/>
            </w:tcBorders>
            <w:hideMark/>
          </w:tcPr>
          <w:p w14:paraId="35EA835A" w14:textId="77777777" w:rsidR="00C65FD3" w:rsidRDefault="00C65FD3">
            <w:pPr>
              <w:spacing w:before="120" w:after="120"/>
              <w:rPr>
                <w:color w:val="C00000"/>
              </w:rPr>
            </w:pPr>
            <w:r>
              <w:rPr>
                <w:color w:val="C00000"/>
              </w:rPr>
              <w:t>Improve well-being*</w:t>
            </w:r>
          </w:p>
        </w:tc>
        <w:tc>
          <w:tcPr>
            <w:tcW w:w="1422" w:type="dxa"/>
            <w:tcBorders>
              <w:top w:val="nil"/>
              <w:left w:val="nil"/>
              <w:bottom w:val="nil"/>
              <w:right w:val="nil"/>
            </w:tcBorders>
            <w:vAlign w:val="center"/>
            <w:hideMark/>
          </w:tcPr>
          <w:p w14:paraId="00BDEDFD" w14:textId="77777777" w:rsidR="00C65FD3" w:rsidRDefault="00C65FD3">
            <w:pPr>
              <w:spacing w:before="120" w:after="120"/>
              <w:jc w:val="center"/>
              <w:rPr>
                <w:sz w:val="18"/>
              </w:rPr>
            </w:pPr>
            <w:r>
              <w:rPr>
                <w:color w:val="C00000"/>
                <w:sz w:val="18"/>
                <w:szCs w:val="18"/>
              </w:rPr>
              <w:sym w:font="Wingdings" w:char="F0FC"/>
            </w:r>
          </w:p>
        </w:tc>
        <w:tc>
          <w:tcPr>
            <w:tcW w:w="1133" w:type="dxa"/>
            <w:tcBorders>
              <w:top w:val="nil"/>
              <w:left w:val="nil"/>
              <w:bottom w:val="nil"/>
              <w:right w:val="nil"/>
            </w:tcBorders>
            <w:vAlign w:val="center"/>
          </w:tcPr>
          <w:p w14:paraId="115FB1AB" w14:textId="77777777" w:rsidR="00C65FD3" w:rsidRDefault="00C65FD3">
            <w:pPr>
              <w:spacing w:before="120" w:after="120"/>
              <w:jc w:val="center"/>
              <w:rPr>
                <w:sz w:val="18"/>
              </w:rPr>
            </w:pPr>
          </w:p>
        </w:tc>
      </w:tr>
      <w:tr w:rsidR="00C65FD3" w14:paraId="7A93999E" w14:textId="77777777" w:rsidTr="00A34BAD">
        <w:trPr>
          <w:trHeight w:val="231"/>
        </w:trPr>
        <w:tc>
          <w:tcPr>
            <w:tcW w:w="2262" w:type="dxa"/>
            <w:tcBorders>
              <w:top w:val="nil"/>
              <w:left w:val="nil"/>
              <w:bottom w:val="nil"/>
              <w:right w:val="nil"/>
            </w:tcBorders>
          </w:tcPr>
          <w:p w14:paraId="032AD400" w14:textId="77777777" w:rsidR="00C65FD3" w:rsidRDefault="00C65FD3">
            <w:pPr>
              <w:spacing w:before="120" w:after="120"/>
              <w:rPr>
                <w:sz w:val="18"/>
              </w:rPr>
            </w:pPr>
          </w:p>
        </w:tc>
        <w:tc>
          <w:tcPr>
            <w:tcW w:w="4108" w:type="dxa"/>
            <w:tcBorders>
              <w:top w:val="nil"/>
              <w:left w:val="nil"/>
              <w:bottom w:val="nil"/>
              <w:right w:val="nil"/>
            </w:tcBorders>
            <w:hideMark/>
          </w:tcPr>
          <w:p w14:paraId="1D13A2E9" w14:textId="77777777" w:rsidR="00C65FD3" w:rsidRDefault="00C65FD3">
            <w:pPr>
              <w:spacing w:before="120" w:after="120"/>
              <w:rPr>
                <w:color w:val="C00000"/>
              </w:rPr>
            </w:pPr>
            <w:r>
              <w:rPr>
                <w:color w:val="C00000"/>
              </w:rPr>
              <w:t>Enhance creativity*</w:t>
            </w:r>
          </w:p>
        </w:tc>
        <w:tc>
          <w:tcPr>
            <w:tcW w:w="1422" w:type="dxa"/>
            <w:tcBorders>
              <w:top w:val="nil"/>
              <w:left w:val="nil"/>
              <w:bottom w:val="nil"/>
              <w:right w:val="nil"/>
            </w:tcBorders>
            <w:vAlign w:val="center"/>
            <w:hideMark/>
          </w:tcPr>
          <w:p w14:paraId="155D887F" w14:textId="77777777" w:rsidR="00C65FD3" w:rsidRDefault="00C65FD3">
            <w:pPr>
              <w:spacing w:before="120" w:after="120"/>
              <w:jc w:val="center"/>
              <w:rPr>
                <w:sz w:val="18"/>
              </w:rPr>
            </w:pPr>
            <w:r>
              <w:rPr>
                <w:color w:val="C00000"/>
                <w:sz w:val="18"/>
                <w:szCs w:val="18"/>
              </w:rPr>
              <w:sym w:font="Wingdings" w:char="F0FC"/>
            </w:r>
          </w:p>
        </w:tc>
        <w:tc>
          <w:tcPr>
            <w:tcW w:w="1133" w:type="dxa"/>
            <w:tcBorders>
              <w:top w:val="nil"/>
              <w:left w:val="nil"/>
              <w:bottom w:val="nil"/>
              <w:right w:val="nil"/>
            </w:tcBorders>
            <w:vAlign w:val="center"/>
          </w:tcPr>
          <w:p w14:paraId="404A39AE" w14:textId="77777777" w:rsidR="00C65FD3" w:rsidRDefault="00C65FD3">
            <w:pPr>
              <w:spacing w:before="120" w:after="120"/>
              <w:jc w:val="center"/>
              <w:rPr>
                <w:sz w:val="18"/>
              </w:rPr>
            </w:pPr>
          </w:p>
        </w:tc>
      </w:tr>
      <w:tr w:rsidR="00C65FD3" w14:paraId="67408BBF" w14:textId="77777777" w:rsidTr="00A34BAD">
        <w:trPr>
          <w:trHeight w:val="289"/>
        </w:trPr>
        <w:tc>
          <w:tcPr>
            <w:tcW w:w="2262" w:type="dxa"/>
            <w:tcBorders>
              <w:top w:val="nil"/>
              <w:left w:val="nil"/>
              <w:bottom w:val="nil"/>
              <w:right w:val="nil"/>
            </w:tcBorders>
          </w:tcPr>
          <w:p w14:paraId="0B793CFC" w14:textId="77777777" w:rsidR="00C65FD3" w:rsidRDefault="00C65FD3">
            <w:pPr>
              <w:spacing w:before="120" w:after="120"/>
              <w:rPr>
                <w:sz w:val="18"/>
              </w:rPr>
            </w:pPr>
          </w:p>
        </w:tc>
        <w:tc>
          <w:tcPr>
            <w:tcW w:w="4108" w:type="dxa"/>
            <w:tcBorders>
              <w:top w:val="nil"/>
              <w:left w:val="nil"/>
              <w:bottom w:val="nil"/>
              <w:right w:val="nil"/>
            </w:tcBorders>
            <w:hideMark/>
          </w:tcPr>
          <w:p w14:paraId="45254951" w14:textId="77777777" w:rsidR="00C65FD3" w:rsidRDefault="00C65FD3">
            <w:pPr>
              <w:spacing w:before="120" w:after="120"/>
              <w:rPr>
                <w:color w:val="C00000"/>
              </w:rPr>
            </w:pPr>
            <w:r>
              <w:rPr>
                <w:color w:val="C00000"/>
              </w:rPr>
              <w:t xml:space="preserve">Enhance socialization* </w:t>
            </w:r>
          </w:p>
        </w:tc>
        <w:tc>
          <w:tcPr>
            <w:tcW w:w="1422" w:type="dxa"/>
            <w:tcBorders>
              <w:top w:val="nil"/>
              <w:left w:val="nil"/>
              <w:bottom w:val="nil"/>
              <w:right w:val="nil"/>
            </w:tcBorders>
            <w:vAlign w:val="center"/>
            <w:hideMark/>
          </w:tcPr>
          <w:p w14:paraId="427A83FD"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nil"/>
              <w:right w:val="nil"/>
            </w:tcBorders>
            <w:vAlign w:val="center"/>
          </w:tcPr>
          <w:p w14:paraId="71265966" w14:textId="77777777" w:rsidR="00C65FD3" w:rsidRDefault="00C65FD3">
            <w:pPr>
              <w:spacing w:before="120" w:after="120"/>
              <w:jc w:val="center"/>
              <w:rPr>
                <w:sz w:val="18"/>
              </w:rPr>
            </w:pPr>
          </w:p>
        </w:tc>
      </w:tr>
      <w:tr w:rsidR="00C65FD3" w14:paraId="60986237" w14:textId="77777777" w:rsidTr="00A34BAD">
        <w:trPr>
          <w:trHeight w:val="289"/>
        </w:trPr>
        <w:tc>
          <w:tcPr>
            <w:tcW w:w="2262" w:type="dxa"/>
            <w:tcBorders>
              <w:top w:val="nil"/>
              <w:left w:val="nil"/>
              <w:bottom w:val="nil"/>
              <w:right w:val="nil"/>
            </w:tcBorders>
          </w:tcPr>
          <w:p w14:paraId="323E1B98" w14:textId="77777777" w:rsidR="00C65FD3" w:rsidRDefault="00C65FD3">
            <w:pPr>
              <w:spacing w:before="120" w:after="120"/>
              <w:rPr>
                <w:sz w:val="18"/>
              </w:rPr>
            </w:pPr>
          </w:p>
        </w:tc>
        <w:tc>
          <w:tcPr>
            <w:tcW w:w="4108" w:type="dxa"/>
            <w:tcBorders>
              <w:top w:val="nil"/>
              <w:left w:val="nil"/>
              <w:bottom w:val="nil"/>
              <w:right w:val="nil"/>
            </w:tcBorders>
            <w:hideMark/>
          </w:tcPr>
          <w:p w14:paraId="13B55DB4" w14:textId="77777777" w:rsidR="00C65FD3" w:rsidRDefault="00C65FD3">
            <w:pPr>
              <w:spacing w:before="120" w:after="120"/>
              <w:rPr>
                <w:color w:val="C00000"/>
              </w:rPr>
            </w:pPr>
            <w:r>
              <w:rPr>
                <w:color w:val="C00000"/>
              </w:rPr>
              <w:t xml:space="preserve">Enhance intimacy* </w:t>
            </w:r>
          </w:p>
        </w:tc>
        <w:tc>
          <w:tcPr>
            <w:tcW w:w="1422" w:type="dxa"/>
            <w:tcBorders>
              <w:top w:val="nil"/>
              <w:left w:val="nil"/>
              <w:bottom w:val="nil"/>
              <w:right w:val="nil"/>
            </w:tcBorders>
            <w:vAlign w:val="center"/>
            <w:hideMark/>
          </w:tcPr>
          <w:p w14:paraId="2FD880CF"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nil"/>
              <w:right w:val="nil"/>
            </w:tcBorders>
            <w:vAlign w:val="center"/>
          </w:tcPr>
          <w:p w14:paraId="1FD24471" w14:textId="77777777" w:rsidR="00C65FD3" w:rsidRDefault="00C65FD3">
            <w:pPr>
              <w:spacing w:before="120" w:after="120"/>
              <w:jc w:val="center"/>
              <w:rPr>
                <w:sz w:val="18"/>
              </w:rPr>
            </w:pPr>
          </w:p>
        </w:tc>
      </w:tr>
      <w:tr w:rsidR="00C65FD3" w14:paraId="5F01F963" w14:textId="77777777" w:rsidTr="00A34BAD">
        <w:trPr>
          <w:trHeight w:val="289"/>
        </w:trPr>
        <w:tc>
          <w:tcPr>
            <w:tcW w:w="2262" w:type="dxa"/>
            <w:tcBorders>
              <w:top w:val="nil"/>
              <w:left w:val="nil"/>
              <w:bottom w:val="nil"/>
              <w:right w:val="nil"/>
            </w:tcBorders>
          </w:tcPr>
          <w:p w14:paraId="50FCB68A" w14:textId="77777777" w:rsidR="00C65FD3" w:rsidRDefault="00C65FD3">
            <w:pPr>
              <w:spacing w:before="120" w:after="120"/>
              <w:rPr>
                <w:sz w:val="18"/>
              </w:rPr>
            </w:pPr>
          </w:p>
        </w:tc>
        <w:tc>
          <w:tcPr>
            <w:tcW w:w="4108" w:type="dxa"/>
            <w:tcBorders>
              <w:top w:val="nil"/>
              <w:left w:val="nil"/>
              <w:bottom w:val="nil"/>
              <w:right w:val="nil"/>
            </w:tcBorders>
            <w:hideMark/>
          </w:tcPr>
          <w:p w14:paraId="09F3AED1" w14:textId="77777777" w:rsidR="00C65FD3" w:rsidRDefault="00C65FD3">
            <w:pPr>
              <w:spacing w:before="120" w:after="120"/>
              <w:rPr>
                <w:color w:val="C00000"/>
              </w:rPr>
            </w:pPr>
            <w:r>
              <w:rPr>
                <w:color w:val="C00000"/>
              </w:rPr>
              <w:t>Self-exploration /personal growth *</w:t>
            </w:r>
          </w:p>
        </w:tc>
        <w:tc>
          <w:tcPr>
            <w:tcW w:w="1422" w:type="dxa"/>
            <w:tcBorders>
              <w:top w:val="nil"/>
              <w:left w:val="nil"/>
              <w:bottom w:val="nil"/>
              <w:right w:val="nil"/>
            </w:tcBorders>
            <w:vAlign w:val="center"/>
            <w:hideMark/>
          </w:tcPr>
          <w:p w14:paraId="648643DE"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nil"/>
              <w:right w:val="nil"/>
            </w:tcBorders>
            <w:vAlign w:val="center"/>
          </w:tcPr>
          <w:p w14:paraId="0DE6817B" w14:textId="77777777" w:rsidR="00C65FD3" w:rsidRDefault="00C65FD3">
            <w:pPr>
              <w:spacing w:before="120" w:after="120"/>
              <w:jc w:val="center"/>
              <w:rPr>
                <w:sz w:val="18"/>
              </w:rPr>
            </w:pPr>
          </w:p>
        </w:tc>
      </w:tr>
      <w:tr w:rsidR="00C65FD3" w14:paraId="59B32A50" w14:textId="77777777" w:rsidTr="00A34BAD">
        <w:trPr>
          <w:trHeight w:val="289"/>
        </w:trPr>
        <w:tc>
          <w:tcPr>
            <w:tcW w:w="2262" w:type="dxa"/>
            <w:tcBorders>
              <w:top w:val="nil"/>
              <w:left w:val="nil"/>
              <w:bottom w:val="single" w:sz="4" w:space="0" w:color="auto"/>
              <w:right w:val="nil"/>
            </w:tcBorders>
          </w:tcPr>
          <w:p w14:paraId="69C94386"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69304F7B" w14:textId="77777777" w:rsidR="00C65FD3" w:rsidRDefault="00C65FD3">
            <w:pPr>
              <w:spacing w:before="120" w:after="120"/>
              <w:rPr>
                <w:color w:val="C00000"/>
              </w:rPr>
            </w:pPr>
            <w:r>
              <w:rPr>
                <w:color w:val="C00000"/>
              </w:rPr>
              <w:t xml:space="preserve">Sensory intensification* </w:t>
            </w:r>
          </w:p>
        </w:tc>
        <w:tc>
          <w:tcPr>
            <w:tcW w:w="1422" w:type="dxa"/>
            <w:tcBorders>
              <w:top w:val="nil"/>
              <w:left w:val="nil"/>
              <w:bottom w:val="single" w:sz="4" w:space="0" w:color="auto"/>
              <w:right w:val="nil"/>
            </w:tcBorders>
            <w:vAlign w:val="center"/>
            <w:hideMark/>
          </w:tcPr>
          <w:p w14:paraId="7D661FC9" w14:textId="77777777" w:rsidR="00C65FD3" w:rsidRDefault="00C65FD3">
            <w:pPr>
              <w:spacing w:before="120" w:after="120"/>
              <w:jc w:val="center"/>
              <w:rPr>
                <w:color w:val="C00000"/>
                <w:sz w:val="18"/>
                <w:szCs w:val="18"/>
              </w:rPr>
            </w:pPr>
            <w:r>
              <w:rPr>
                <w:color w:val="C00000"/>
                <w:sz w:val="18"/>
                <w:szCs w:val="18"/>
              </w:rPr>
              <w:sym w:font="Wingdings" w:char="F0FC"/>
            </w:r>
          </w:p>
        </w:tc>
        <w:tc>
          <w:tcPr>
            <w:tcW w:w="1133" w:type="dxa"/>
            <w:tcBorders>
              <w:top w:val="nil"/>
              <w:left w:val="nil"/>
              <w:bottom w:val="single" w:sz="4" w:space="0" w:color="auto"/>
              <w:right w:val="nil"/>
            </w:tcBorders>
            <w:vAlign w:val="center"/>
          </w:tcPr>
          <w:p w14:paraId="51DE56C2" w14:textId="77777777" w:rsidR="00C65FD3" w:rsidRDefault="00C65FD3">
            <w:pPr>
              <w:spacing w:before="120" w:after="120"/>
              <w:jc w:val="center"/>
              <w:rPr>
                <w:sz w:val="18"/>
              </w:rPr>
            </w:pPr>
          </w:p>
        </w:tc>
      </w:tr>
      <w:tr w:rsidR="00C65FD3" w14:paraId="4F5B9DFE" w14:textId="77777777" w:rsidTr="00A34BAD">
        <w:trPr>
          <w:trHeight w:val="282"/>
        </w:trPr>
        <w:tc>
          <w:tcPr>
            <w:tcW w:w="2262" w:type="dxa"/>
            <w:tcBorders>
              <w:top w:val="nil"/>
              <w:left w:val="nil"/>
              <w:bottom w:val="nil"/>
              <w:right w:val="nil"/>
            </w:tcBorders>
            <w:hideMark/>
          </w:tcPr>
          <w:p w14:paraId="496B3719" w14:textId="77777777" w:rsidR="00C65FD3" w:rsidRDefault="00C65FD3">
            <w:pPr>
              <w:spacing w:before="120" w:after="120"/>
              <w:rPr>
                <w:sz w:val="18"/>
              </w:rPr>
            </w:pPr>
            <w:r>
              <w:rPr>
                <w:b/>
                <w:szCs w:val="24"/>
              </w:rPr>
              <w:t>Legal</w:t>
            </w:r>
            <w:r>
              <w:rPr>
                <w:b/>
              </w:rPr>
              <w:t xml:space="preserve"> status</w:t>
            </w:r>
          </w:p>
        </w:tc>
        <w:tc>
          <w:tcPr>
            <w:tcW w:w="4108" w:type="dxa"/>
            <w:tcBorders>
              <w:top w:val="nil"/>
              <w:left w:val="nil"/>
              <w:bottom w:val="nil"/>
              <w:right w:val="nil"/>
            </w:tcBorders>
            <w:hideMark/>
          </w:tcPr>
          <w:p w14:paraId="312D9379" w14:textId="77777777" w:rsidR="00C65FD3" w:rsidRDefault="00C65FD3">
            <w:pPr>
              <w:spacing w:before="120" w:after="120"/>
            </w:pPr>
            <w:r>
              <w:t>Because they are legal / not illegal</w:t>
            </w:r>
          </w:p>
        </w:tc>
        <w:tc>
          <w:tcPr>
            <w:tcW w:w="1422" w:type="dxa"/>
            <w:tcBorders>
              <w:top w:val="nil"/>
              <w:left w:val="nil"/>
              <w:bottom w:val="nil"/>
              <w:right w:val="nil"/>
            </w:tcBorders>
            <w:vAlign w:val="center"/>
            <w:hideMark/>
          </w:tcPr>
          <w:p w14:paraId="3C7F572F"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7C4071D3" w14:textId="77777777" w:rsidR="00C65FD3" w:rsidRDefault="00C65FD3">
            <w:pPr>
              <w:spacing w:before="120" w:after="120"/>
              <w:jc w:val="center"/>
              <w:rPr>
                <w:sz w:val="18"/>
              </w:rPr>
            </w:pPr>
            <w:r>
              <w:rPr>
                <w:sz w:val="18"/>
                <w:szCs w:val="18"/>
              </w:rPr>
              <w:sym w:font="Wingdings" w:char="F0FC"/>
            </w:r>
          </w:p>
        </w:tc>
      </w:tr>
      <w:tr w:rsidR="00C65FD3" w14:paraId="4CA437CC" w14:textId="77777777" w:rsidTr="00A34BAD">
        <w:trPr>
          <w:trHeight w:val="282"/>
        </w:trPr>
        <w:tc>
          <w:tcPr>
            <w:tcW w:w="2262" w:type="dxa"/>
            <w:tcBorders>
              <w:top w:val="nil"/>
              <w:left w:val="nil"/>
              <w:bottom w:val="nil"/>
              <w:right w:val="nil"/>
            </w:tcBorders>
          </w:tcPr>
          <w:p w14:paraId="08C8FA4F" w14:textId="77777777" w:rsidR="00C65FD3" w:rsidRDefault="00C65FD3">
            <w:pPr>
              <w:spacing w:before="120" w:after="120"/>
              <w:rPr>
                <w:b/>
                <w:szCs w:val="24"/>
              </w:rPr>
            </w:pPr>
          </w:p>
        </w:tc>
        <w:tc>
          <w:tcPr>
            <w:tcW w:w="4108" w:type="dxa"/>
            <w:tcBorders>
              <w:top w:val="nil"/>
              <w:left w:val="nil"/>
              <w:bottom w:val="nil"/>
              <w:right w:val="nil"/>
            </w:tcBorders>
            <w:hideMark/>
          </w:tcPr>
          <w:p w14:paraId="213764CB" w14:textId="77777777" w:rsidR="00C65FD3" w:rsidRDefault="00C65FD3">
            <w:pPr>
              <w:spacing w:before="120" w:after="120"/>
            </w:pPr>
            <w:r>
              <w:t>Avoid legal consequences / exclusion</w:t>
            </w:r>
          </w:p>
        </w:tc>
        <w:tc>
          <w:tcPr>
            <w:tcW w:w="1422" w:type="dxa"/>
            <w:tcBorders>
              <w:top w:val="nil"/>
              <w:left w:val="nil"/>
              <w:bottom w:val="nil"/>
              <w:right w:val="nil"/>
            </w:tcBorders>
            <w:vAlign w:val="center"/>
            <w:hideMark/>
          </w:tcPr>
          <w:p w14:paraId="65228D25" w14:textId="77777777" w:rsidR="00C65FD3" w:rsidRDefault="00C65FD3">
            <w:pPr>
              <w:spacing w:before="120" w:after="120"/>
              <w:jc w:val="center"/>
              <w:rPr>
                <w:sz w:val="18"/>
              </w:rPr>
            </w:pPr>
            <w:r>
              <w:rPr>
                <w:sz w:val="18"/>
                <w:szCs w:val="18"/>
              </w:rPr>
              <w:sym w:font="Wingdings" w:char="F0FC"/>
            </w:r>
          </w:p>
        </w:tc>
        <w:tc>
          <w:tcPr>
            <w:tcW w:w="1133" w:type="dxa"/>
            <w:tcBorders>
              <w:top w:val="nil"/>
              <w:left w:val="nil"/>
              <w:bottom w:val="nil"/>
              <w:right w:val="nil"/>
            </w:tcBorders>
            <w:vAlign w:val="center"/>
            <w:hideMark/>
          </w:tcPr>
          <w:p w14:paraId="798DB6A1" w14:textId="77777777" w:rsidR="00C65FD3" w:rsidRDefault="00C65FD3">
            <w:pPr>
              <w:spacing w:before="120" w:after="120"/>
              <w:jc w:val="center"/>
              <w:rPr>
                <w:sz w:val="18"/>
              </w:rPr>
            </w:pPr>
            <w:r>
              <w:rPr>
                <w:sz w:val="18"/>
                <w:szCs w:val="18"/>
              </w:rPr>
              <w:sym w:font="Wingdings" w:char="F0FC"/>
            </w:r>
          </w:p>
        </w:tc>
      </w:tr>
      <w:tr w:rsidR="00C65FD3" w14:paraId="7EA2C6D7" w14:textId="77777777" w:rsidTr="00A34BAD">
        <w:trPr>
          <w:trHeight w:val="282"/>
        </w:trPr>
        <w:tc>
          <w:tcPr>
            <w:tcW w:w="2262" w:type="dxa"/>
            <w:tcBorders>
              <w:top w:val="single" w:sz="4" w:space="0" w:color="auto"/>
              <w:left w:val="nil"/>
              <w:bottom w:val="nil"/>
              <w:right w:val="nil"/>
            </w:tcBorders>
            <w:hideMark/>
          </w:tcPr>
          <w:p w14:paraId="52FD69F2" w14:textId="77777777" w:rsidR="00C65FD3" w:rsidRDefault="00C65FD3">
            <w:pPr>
              <w:spacing w:before="120" w:after="120"/>
              <w:rPr>
                <w:sz w:val="18"/>
              </w:rPr>
            </w:pPr>
            <w:r>
              <w:rPr>
                <w:b/>
              </w:rPr>
              <w:t xml:space="preserve">Authority </w:t>
            </w:r>
          </w:p>
        </w:tc>
        <w:tc>
          <w:tcPr>
            <w:tcW w:w="4108" w:type="dxa"/>
            <w:tcBorders>
              <w:top w:val="single" w:sz="4" w:space="0" w:color="auto"/>
              <w:left w:val="nil"/>
              <w:bottom w:val="nil"/>
              <w:right w:val="nil"/>
            </w:tcBorders>
            <w:hideMark/>
          </w:tcPr>
          <w:p w14:paraId="5ED644C6" w14:textId="77777777" w:rsidR="00C65FD3" w:rsidRDefault="00C65FD3">
            <w:pPr>
              <w:spacing w:before="120" w:after="120"/>
            </w:pPr>
            <w:r>
              <w:t xml:space="preserve">Rebellion </w:t>
            </w:r>
          </w:p>
        </w:tc>
        <w:tc>
          <w:tcPr>
            <w:tcW w:w="1422" w:type="dxa"/>
            <w:tcBorders>
              <w:top w:val="single" w:sz="4" w:space="0" w:color="auto"/>
              <w:left w:val="nil"/>
              <w:bottom w:val="nil"/>
              <w:right w:val="nil"/>
            </w:tcBorders>
            <w:vAlign w:val="center"/>
            <w:hideMark/>
          </w:tcPr>
          <w:p w14:paraId="5D19544B" w14:textId="77777777" w:rsidR="00C65FD3" w:rsidRDefault="00C65FD3">
            <w:pPr>
              <w:spacing w:before="120" w:after="120"/>
              <w:jc w:val="center"/>
              <w:rPr>
                <w:sz w:val="18"/>
              </w:rPr>
            </w:pPr>
            <w:r>
              <w:rPr>
                <w:sz w:val="18"/>
                <w:szCs w:val="18"/>
              </w:rPr>
              <w:sym w:font="Wingdings" w:char="F0FC"/>
            </w:r>
          </w:p>
        </w:tc>
        <w:tc>
          <w:tcPr>
            <w:tcW w:w="1133" w:type="dxa"/>
            <w:tcBorders>
              <w:top w:val="single" w:sz="4" w:space="0" w:color="auto"/>
              <w:left w:val="nil"/>
              <w:bottom w:val="nil"/>
              <w:right w:val="nil"/>
            </w:tcBorders>
            <w:vAlign w:val="center"/>
            <w:hideMark/>
          </w:tcPr>
          <w:p w14:paraId="2FC39E75" w14:textId="77777777" w:rsidR="00C65FD3" w:rsidRDefault="00C65FD3">
            <w:pPr>
              <w:spacing w:before="120" w:after="120"/>
              <w:jc w:val="center"/>
              <w:rPr>
                <w:sz w:val="18"/>
              </w:rPr>
            </w:pPr>
            <w:r>
              <w:rPr>
                <w:sz w:val="18"/>
                <w:szCs w:val="18"/>
              </w:rPr>
              <w:sym w:font="Wingdings" w:char="F0FC"/>
            </w:r>
          </w:p>
        </w:tc>
      </w:tr>
      <w:tr w:rsidR="00C65FD3" w14:paraId="079B74D4" w14:textId="77777777" w:rsidTr="00A34BAD">
        <w:trPr>
          <w:trHeight w:val="282"/>
        </w:trPr>
        <w:tc>
          <w:tcPr>
            <w:tcW w:w="2262" w:type="dxa"/>
            <w:tcBorders>
              <w:top w:val="nil"/>
              <w:left w:val="nil"/>
              <w:bottom w:val="single" w:sz="4" w:space="0" w:color="auto"/>
              <w:right w:val="nil"/>
            </w:tcBorders>
          </w:tcPr>
          <w:p w14:paraId="45B32C3A"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05B48C4F" w14:textId="77777777" w:rsidR="00C65FD3" w:rsidRDefault="00C65FD3">
            <w:pPr>
              <w:spacing w:before="120" w:after="120"/>
            </w:pPr>
            <w:r>
              <w:rPr>
                <w:color w:val="00B050"/>
              </w:rPr>
              <w:t>Avoid trouble with authority figures</w:t>
            </w:r>
          </w:p>
        </w:tc>
        <w:tc>
          <w:tcPr>
            <w:tcW w:w="1422" w:type="dxa"/>
            <w:tcBorders>
              <w:top w:val="nil"/>
              <w:left w:val="nil"/>
              <w:bottom w:val="single" w:sz="4" w:space="0" w:color="auto"/>
              <w:right w:val="nil"/>
            </w:tcBorders>
            <w:vAlign w:val="center"/>
          </w:tcPr>
          <w:p w14:paraId="7A776100" w14:textId="77777777" w:rsidR="00C65FD3" w:rsidRDefault="00C65FD3">
            <w:pPr>
              <w:spacing w:before="120" w:after="120"/>
              <w:jc w:val="center"/>
              <w:rPr>
                <w:sz w:val="18"/>
              </w:rPr>
            </w:pPr>
          </w:p>
        </w:tc>
        <w:tc>
          <w:tcPr>
            <w:tcW w:w="1133" w:type="dxa"/>
            <w:tcBorders>
              <w:top w:val="nil"/>
              <w:left w:val="nil"/>
              <w:bottom w:val="single" w:sz="4" w:space="0" w:color="auto"/>
              <w:right w:val="nil"/>
            </w:tcBorders>
            <w:vAlign w:val="center"/>
            <w:hideMark/>
          </w:tcPr>
          <w:p w14:paraId="50D146F1" w14:textId="77777777" w:rsidR="00C65FD3" w:rsidRDefault="00C65FD3">
            <w:pPr>
              <w:spacing w:before="120" w:after="120"/>
              <w:jc w:val="center"/>
              <w:rPr>
                <w:color w:val="00B050"/>
                <w:sz w:val="18"/>
                <w:szCs w:val="18"/>
              </w:rPr>
            </w:pPr>
            <w:r>
              <w:rPr>
                <w:color w:val="00B050"/>
                <w:sz w:val="18"/>
                <w:szCs w:val="18"/>
              </w:rPr>
              <w:sym w:font="Wingdings" w:char="F0FC"/>
            </w:r>
          </w:p>
        </w:tc>
      </w:tr>
      <w:tr w:rsidR="00C65FD3" w14:paraId="05368334" w14:textId="77777777" w:rsidTr="00A34BAD">
        <w:trPr>
          <w:trHeight w:val="282"/>
        </w:trPr>
        <w:tc>
          <w:tcPr>
            <w:tcW w:w="2262" w:type="dxa"/>
            <w:tcBorders>
              <w:top w:val="single" w:sz="4" w:space="0" w:color="auto"/>
              <w:left w:val="nil"/>
              <w:bottom w:val="nil"/>
              <w:right w:val="nil"/>
            </w:tcBorders>
            <w:hideMark/>
          </w:tcPr>
          <w:p w14:paraId="71DDA45B" w14:textId="77777777" w:rsidR="00C65FD3" w:rsidRDefault="00C65FD3">
            <w:pPr>
              <w:spacing w:before="120" w:after="120"/>
              <w:rPr>
                <w:sz w:val="18"/>
              </w:rPr>
            </w:pPr>
            <w:r>
              <w:rPr>
                <w:b/>
              </w:rPr>
              <w:t>Identity</w:t>
            </w:r>
          </w:p>
        </w:tc>
        <w:tc>
          <w:tcPr>
            <w:tcW w:w="4108" w:type="dxa"/>
            <w:tcBorders>
              <w:top w:val="single" w:sz="4" w:space="0" w:color="auto"/>
              <w:left w:val="nil"/>
              <w:bottom w:val="nil"/>
              <w:right w:val="nil"/>
            </w:tcBorders>
            <w:hideMark/>
          </w:tcPr>
          <w:p w14:paraId="5EF731DD" w14:textId="77777777" w:rsidR="00C65FD3" w:rsidRDefault="00C65FD3">
            <w:pPr>
              <w:spacing w:before="120" w:after="120"/>
              <w:rPr>
                <w:color w:val="00B050"/>
              </w:rPr>
            </w:pPr>
            <w:r>
              <w:rPr>
                <w:color w:val="00B050"/>
              </w:rPr>
              <w:t>Positive user identity / good background</w:t>
            </w:r>
          </w:p>
        </w:tc>
        <w:tc>
          <w:tcPr>
            <w:tcW w:w="1422" w:type="dxa"/>
            <w:tcBorders>
              <w:top w:val="single" w:sz="4" w:space="0" w:color="auto"/>
              <w:left w:val="nil"/>
              <w:bottom w:val="nil"/>
              <w:right w:val="nil"/>
            </w:tcBorders>
          </w:tcPr>
          <w:p w14:paraId="4C40E066" w14:textId="77777777" w:rsidR="00C65FD3" w:rsidRDefault="00C65FD3">
            <w:pPr>
              <w:spacing w:before="120" w:after="120"/>
              <w:jc w:val="center"/>
              <w:rPr>
                <w:sz w:val="18"/>
              </w:rPr>
            </w:pPr>
          </w:p>
        </w:tc>
        <w:tc>
          <w:tcPr>
            <w:tcW w:w="1133" w:type="dxa"/>
            <w:tcBorders>
              <w:top w:val="single" w:sz="4" w:space="0" w:color="auto"/>
              <w:left w:val="nil"/>
              <w:bottom w:val="nil"/>
              <w:right w:val="nil"/>
            </w:tcBorders>
            <w:hideMark/>
          </w:tcPr>
          <w:p w14:paraId="6FED7F38" w14:textId="77777777" w:rsidR="00C65FD3" w:rsidRDefault="00C65FD3">
            <w:pPr>
              <w:spacing w:before="120" w:after="120"/>
              <w:jc w:val="center"/>
              <w:rPr>
                <w:color w:val="00B050"/>
                <w:sz w:val="18"/>
              </w:rPr>
            </w:pPr>
            <w:r>
              <w:rPr>
                <w:color w:val="00B050"/>
                <w:sz w:val="18"/>
                <w:szCs w:val="18"/>
              </w:rPr>
              <w:sym w:font="Wingdings" w:char="F0FC"/>
            </w:r>
          </w:p>
        </w:tc>
      </w:tr>
      <w:tr w:rsidR="00C65FD3" w14:paraId="08FFF06A" w14:textId="77777777" w:rsidTr="00A34BAD">
        <w:trPr>
          <w:trHeight w:val="171"/>
        </w:trPr>
        <w:tc>
          <w:tcPr>
            <w:tcW w:w="2262" w:type="dxa"/>
            <w:tcBorders>
              <w:top w:val="nil"/>
              <w:left w:val="nil"/>
              <w:bottom w:val="nil"/>
              <w:right w:val="nil"/>
            </w:tcBorders>
          </w:tcPr>
          <w:p w14:paraId="17541F1C" w14:textId="77777777" w:rsidR="00C65FD3" w:rsidRDefault="00C65FD3">
            <w:pPr>
              <w:spacing w:before="120" w:after="120"/>
              <w:rPr>
                <w:sz w:val="18"/>
              </w:rPr>
            </w:pPr>
          </w:p>
        </w:tc>
        <w:tc>
          <w:tcPr>
            <w:tcW w:w="4108" w:type="dxa"/>
            <w:tcBorders>
              <w:top w:val="nil"/>
              <w:left w:val="nil"/>
              <w:bottom w:val="nil"/>
              <w:right w:val="nil"/>
            </w:tcBorders>
            <w:hideMark/>
          </w:tcPr>
          <w:p w14:paraId="113A3803" w14:textId="77777777" w:rsidR="00C65FD3" w:rsidRDefault="00C65FD3">
            <w:pPr>
              <w:spacing w:before="120" w:after="120"/>
              <w:rPr>
                <w:color w:val="00B050"/>
              </w:rPr>
            </w:pPr>
            <w:r>
              <w:rPr>
                <w:color w:val="00B050"/>
              </w:rPr>
              <w:t>Negative non-user identity / too straight</w:t>
            </w:r>
          </w:p>
        </w:tc>
        <w:tc>
          <w:tcPr>
            <w:tcW w:w="1422" w:type="dxa"/>
            <w:tcBorders>
              <w:top w:val="nil"/>
              <w:left w:val="nil"/>
              <w:bottom w:val="nil"/>
              <w:right w:val="nil"/>
            </w:tcBorders>
          </w:tcPr>
          <w:p w14:paraId="01837F78" w14:textId="77777777" w:rsidR="00C65FD3" w:rsidRDefault="00C65FD3">
            <w:pPr>
              <w:spacing w:before="120" w:after="120"/>
              <w:jc w:val="center"/>
              <w:rPr>
                <w:sz w:val="18"/>
              </w:rPr>
            </w:pPr>
          </w:p>
        </w:tc>
        <w:tc>
          <w:tcPr>
            <w:tcW w:w="1133" w:type="dxa"/>
            <w:tcBorders>
              <w:top w:val="nil"/>
              <w:left w:val="nil"/>
              <w:bottom w:val="nil"/>
              <w:right w:val="nil"/>
            </w:tcBorders>
            <w:hideMark/>
          </w:tcPr>
          <w:p w14:paraId="2CBDD0CC" w14:textId="77777777" w:rsidR="00C65FD3" w:rsidRDefault="00C65FD3">
            <w:pPr>
              <w:spacing w:before="120" w:after="120"/>
              <w:jc w:val="center"/>
              <w:rPr>
                <w:color w:val="00B050"/>
                <w:sz w:val="18"/>
              </w:rPr>
            </w:pPr>
            <w:r>
              <w:rPr>
                <w:color w:val="00B050"/>
                <w:sz w:val="18"/>
                <w:szCs w:val="18"/>
              </w:rPr>
              <w:sym w:font="Wingdings" w:char="F0FC"/>
            </w:r>
          </w:p>
        </w:tc>
      </w:tr>
      <w:tr w:rsidR="00C65FD3" w14:paraId="4498C177" w14:textId="77777777" w:rsidTr="00A34BAD">
        <w:trPr>
          <w:trHeight w:val="289"/>
        </w:trPr>
        <w:tc>
          <w:tcPr>
            <w:tcW w:w="2262" w:type="dxa"/>
            <w:tcBorders>
              <w:top w:val="nil"/>
              <w:left w:val="nil"/>
              <w:bottom w:val="single" w:sz="4" w:space="0" w:color="auto"/>
              <w:right w:val="nil"/>
            </w:tcBorders>
          </w:tcPr>
          <w:p w14:paraId="5DB6CA5E" w14:textId="77777777" w:rsidR="00C65FD3" w:rsidRDefault="00C65FD3">
            <w:pPr>
              <w:spacing w:before="120" w:after="120"/>
              <w:rPr>
                <w:sz w:val="18"/>
              </w:rPr>
            </w:pPr>
          </w:p>
        </w:tc>
        <w:tc>
          <w:tcPr>
            <w:tcW w:w="4108" w:type="dxa"/>
            <w:tcBorders>
              <w:top w:val="nil"/>
              <w:left w:val="nil"/>
              <w:bottom w:val="single" w:sz="4" w:space="0" w:color="auto"/>
              <w:right w:val="nil"/>
            </w:tcBorders>
            <w:hideMark/>
          </w:tcPr>
          <w:p w14:paraId="487E4EA7" w14:textId="77777777" w:rsidR="00C65FD3" w:rsidRDefault="00C65FD3">
            <w:pPr>
              <w:spacing w:before="120" w:after="120"/>
              <w:rPr>
                <w:color w:val="00B050"/>
              </w:rPr>
            </w:pPr>
            <w:r>
              <w:rPr>
                <w:color w:val="00B050"/>
              </w:rPr>
              <w:t>No stereotypes</w:t>
            </w:r>
          </w:p>
        </w:tc>
        <w:tc>
          <w:tcPr>
            <w:tcW w:w="1422" w:type="dxa"/>
            <w:tcBorders>
              <w:top w:val="nil"/>
              <w:left w:val="nil"/>
              <w:bottom w:val="single" w:sz="4" w:space="0" w:color="auto"/>
              <w:right w:val="nil"/>
            </w:tcBorders>
          </w:tcPr>
          <w:p w14:paraId="309C3E60" w14:textId="77777777" w:rsidR="00C65FD3" w:rsidRDefault="00C65FD3">
            <w:pPr>
              <w:spacing w:before="120" w:after="120"/>
              <w:jc w:val="center"/>
              <w:rPr>
                <w:sz w:val="18"/>
              </w:rPr>
            </w:pPr>
          </w:p>
        </w:tc>
        <w:tc>
          <w:tcPr>
            <w:tcW w:w="1133" w:type="dxa"/>
            <w:tcBorders>
              <w:top w:val="nil"/>
              <w:left w:val="nil"/>
              <w:bottom w:val="single" w:sz="4" w:space="0" w:color="auto"/>
              <w:right w:val="nil"/>
            </w:tcBorders>
            <w:hideMark/>
          </w:tcPr>
          <w:p w14:paraId="7511BD51" w14:textId="77777777" w:rsidR="00C65FD3" w:rsidRDefault="00C65FD3">
            <w:pPr>
              <w:spacing w:before="120" w:after="120"/>
              <w:jc w:val="center"/>
              <w:rPr>
                <w:color w:val="00B050"/>
                <w:sz w:val="18"/>
              </w:rPr>
            </w:pPr>
            <w:r>
              <w:rPr>
                <w:color w:val="00B050"/>
                <w:sz w:val="18"/>
                <w:szCs w:val="18"/>
              </w:rPr>
              <w:sym w:font="Wingdings" w:char="F0FC"/>
            </w:r>
          </w:p>
        </w:tc>
      </w:tr>
    </w:tbl>
    <w:p w14:paraId="3342C195" w14:textId="77777777" w:rsidR="00C65FD3" w:rsidRDefault="00C65FD3" w:rsidP="00C65FD3">
      <w:pPr>
        <w:spacing w:before="120" w:after="0" w:line="240" w:lineRule="auto"/>
        <w:rPr>
          <w:bCs/>
        </w:rPr>
      </w:pPr>
      <w:r>
        <w:rPr>
          <w:bCs/>
        </w:rPr>
        <w:t xml:space="preserve">* denotes novel reason extracted from studies excluded from literature review see Appendix X Table X.X for list of additional studies </w:t>
      </w:r>
    </w:p>
    <w:p w14:paraId="23093252" w14:textId="77777777" w:rsidR="00C65FD3" w:rsidRDefault="00C65FD3" w:rsidP="00C65FD3">
      <w:pPr>
        <w:rPr>
          <w:b/>
        </w:rPr>
      </w:pPr>
    </w:p>
    <w:p w14:paraId="32DC2851" w14:textId="77777777" w:rsidR="00C65FD3" w:rsidRDefault="00C65FD3" w:rsidP="00C65FD3">
      <w:pPr>
        <w:spacing w:after="160" w:line="256" w:lineRule="auto"/>
        <w:rPr>
          <w:b/>
        </w:rPr>
      </w:pPr>
      <w:r>
        <w:rPr>
          <w:b/>
        </w:rPr>
        <w:br w:type="page"/>
      </w:r>
    </w:p>
    <w:p w14:paraId="43036B91" w14:textId="77777777" w:rsidR="00C65FD3" w:rsidRDefault="00C65FD3" w:rsidP="00C65FD3">
      <w:pPr>
        <w:pStyle w:val="TableHeader"/>
        <w:spacing w:line="240" w:lineRule="auto"/>
        <w:rPr>
          <w:b/>
        </w:rPr>
      </w:pPr>
      <w:r>
        <w:rPr>
          <w:b/>
        </w:rPr>
        <w:t xml:space="preserve">Table 9.2. Reasons against use of NPS organised by theme </w:t>
      </w:r>
    </w:p>
    <w:tbl>
      <w:tblPr>
        <w:tblStyle w:val="TableGrid"/>
        <w:tblW w:w="89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2"/>
        <w:gridCol w:w="4108"/>
        <w:gridCol w:w="1422"/>
        <w:gridCol w:w="1133"/>
      </w:tblGrid>
      <w:tr w:rsidR="00C65FD3" w14:paraId="313D73D5" w14:textId="77777777" w:rsidTr="00C65FD3">
        <w:trPr>
          <w:trHeight w:val="366"/>
        </w:trPr>
        <w:tc>
          <w:tcPr>
            <w:tcW w:w="2263" w:type="dxa"/>
            <w:tcBorders>
              <w:top w:val="single" w:sz="4" w:space="0" w:color="auto"/>
              <w:left w:val="nil"/>
              <w:bottom w:val="single" w:sz="4" w:space="0" w:color="auto"/>
              <w:right w:val="nil"/>
            </w:tcBorders>
            <w:vAlign w:val="center"/>
            <w:hideMark/>
          </w:tcPr>
          <w:p w14:paraId="75425FBB" w14:textId="77777777" w:rsidR="00C65FD3" w:rsidRDefault="00C65FD3">
            <w:pPr>
              <w:spacing w:before="120" w:after="120"/>
              <w:rPr>
                <w:b/>
              </w:rPr>
            </w:pPr>
            <w:r>
              <w:rPr>
                <w:b/>
              </w:rPr>
              <w:t>Theme</w:t>
            </w:r>
          </w:p>
        </w:tc>
        <w:tc>
          <w:tcPr>
            <w:tcW w:w="4111" w:type="dxa"/>
            <w:tcBorders>
              <w:top w:val="single" w:sz="4" w:space="0" w:color="auto"/>
              <w:left w:val="nil"/>
              <w:bottom w:val="single" w:sz="4" w:space="0" w:color="auto"/>
              <w:right w:val="nil"/>
            </w:tcBorders>
            <w:vAlign w:val="center"/>
            <w:hideMark/>
          </w:tcPr>
          <w:p w14:paraId="0E5F82C5" w14:textId="77777777" w:rsidR="00C65FD3" w:rsidRDefault="00C65FD3">
            <w:pPr>
              <w:spacing w:before="120" w:after="120"/>
              <w:rPr>
                <w:b/>
              </w:rPr>
            </w:pPr>
            <w:r>
              <w:rPr>
                <w:b/>
              </w:rPr>
              <w:t xml:space="preserve">Reason for use </w:t>
            </w:r>
          </w:p>
        </w:tc>
        <w:tc>
          <w:tcPr>
            <w:tcW w:w="1423" w:type="dxa"/>
            <w:tcBorders>
              <w:top w:val="single" w:sz="4" w:space="0" w:color="auto"/>
              <w:left w:val="nil"/>
              <w:bottom w:val="single" w:sz="4" w:space="0" w:color="auto"/>
              <w:right w:val="nil"/>
            </w:tcBorders>
            <w:vAlign w:val="center"/>
            <w:hideMark/>
          </w:tcPr>
          <w:p w14:paraId="01288089" w14:textId="77777777" w:rsidR="00C65FD3" w:rsidRDefault="00C65FD3">
            <w:pPr>
              <w:spacing w:before="120" w:after="120"/>
              <w:jc w:val="center"/>
              <w:rPr>
                <w:b/>
              </w:rPr>
            </w:pPr>
            <w:r>
              <w:rPr>
                <w:b/>
              </w:rPr>
              <w:t>Previous</w:t>
            </w:r>
          </w:p>
        </w:tc>
        <w:tc>
          <w:tcPr>
            <w:tcW w:w="1134" w:type="dxa"/>
            <w:tcBorders>
              <w:top w:val="single" w:sz="4" w:space="0" w:color="auto"/>
              <w:left w:val="nil"/>
              <w:bottom w:val="single" w:sz="4" w:space="0" w:color="auto"/>
              <w:right w:val="nil"/>
            </w:tcBorders>
            <w:vAlign w:val="center"/>
            <w:hideMark/>
          </w:tcPr>
          <w:p w14:paraId="09D7A765" w14:textId="77777777" w:rsidR="00C65FD3" w:rsidRDefault="00C65FD3">
            <w:pPr>
              <w:spacing w:before="120" w:after="120"/>
              <w:jc w:val="center"/>
              <w:rPr>
                <w:b/>
              </w:rPr>
            </w:pPr>
            <w:r>
              <w:rPr>
                <w:b/>
              </w:rPr>
              <w:t>Current</w:t>
            </w:r>
          </w:p>
        </w:tc>
      </w:tr>
      <w:tr w:rsidR="00C65FD3" w14:paraId="76BA2B8A" w14:textId="77777777" w:rsidTr="00C65FD3">
        <w:trPr>
          <w:trHeight w:val="282"/>
        </w:trPr>
        <w:tc>
          <w:tcPr>
            <w:tcW w:w="2263" w:type="dxa"/>
            <w:tcBorders>
              <w:top w:val="nil"/>
              <w:left w:val="nil"/>
              <w:bottom w:val="nil"/>
              <w:right w:val="nil"/>
            </w:tcBorders>
            <w:hideMark/>
          </w:tcPr>
          <w:p w14:paraId="1D9182D1" w14:textId="77777777" w:rsidR="00C65FD3" w:rsidRDefault="00C65FD3">
            <w:pPr>
              <w:spacing w:before="120" w:after="120"/>
              <w:rPr>
                <w:sz w:val="20"/>
              </w:rPr>
            </w:pPr>
            <w:r>
              <w:rPr>
                <w:b/>
              </w:rPr>
              <w:t xml:space="preserve">Risk Perceptions </w:t>
            </w:r>
          </w:p>
        </w:tc>
        <w:tc>
          <w:tcPr>
            <w:tcW w:w="4111" w:type="dxa"/>
            <w:tcBorders>
              <w:top w:val="nil"/>
              <w:left w:val="nil"/>
              <w:bottom w:val="nil"/>
              <w:right w:val="nil"/>
            </w:tcBorders>
            <w:hideMark/>
          </w:tcPr>
          <w:p w14:paraId="7254523E" w14:textId="77777777" w:rsidR="00C65FD3" w:rsidRDefault="00C65FD3">
            <w:pPr>
              <w:spacing w:before="120" w:after="120"/>
              <w:rPr>
                <w:sz w:val="22"/>
              </w:rPr>
            </w:pPr>
            <w:r>
              <w:t>Dangerous / harmful / too strong</w:t>
            </w:r>
          </w:p>
        </w:tc>
        <w:tc>
          <w:tcPr>
            <w:tcW w:w="1423" w:type="dxa"/>
            <w:tcBorders>
              <w:top w:val="nil"/>
              <w:left w:val="nil"/>
              <w:bottom w:val="nil"/>
              <w:right w:val="nil"/>
            </w:tcBorders>
            <w:vAlign w:val="center"/>
            <w:hideMark/>
          </w:tcPr>
          <w:p w14:paraId="27E41391" w14:textId="77777777" w:rsidR="00C65FD3" w:rsidRDefault="00C65FD3">
            <w:pPr>
              <w:spacing w:before="120" w:after="120"/>
              <w:jc w:val="center"/>
              <w:rPr>
                <w:sz w:val="18"/>
                <w:szCs w:val="18"/>
              </w:rPr>
            </w:pPr>
            <w:r>
              <w:rPr>
                <w:sz w:val="18"/>
                <w:szCs w:val="18"/>
              </w:rPr>
              <w:sym w:font="Wingdings" w:char="F0FC"/>
            </w:r>
          </w:p>
        </w:tc>
        <w:tc>
          <w:tcPr>
            <w:tcW w:w="1134" w:type="dxa"/>
            <w:tcBorders>
              <w:top w:val="nil"/>
              <w:left w:val="nil"/>
              <w:bottom w:val="nil"/>
              <w:right w:val="nil"/>
            </w:tcBorders>
            <w:vAlign w:val="center"/>
            <w:hideMark/>
          </w:tcPr>
          <w:p w14:paraId="73CF6748" w14:textId="77777777" w:rsidR="00C65FD3" w:rsidRDefault="00C65FD3">
            <w:pPr>
              <w:spacing w:before="120" w:after="120"/>
              <w:jc w:val="center"/>
              <w:rPr>
                <w:sz w:val="18"/>
                <w:szCs w:val="18"/>
              </w:rPr>
            </w:pPr>
            <w:r>
              <w:rPr>
                <w:sz w:val="18"/>
                <w:szCs w:val="18"/>
              </w:rPr>
              <w:sym w:font="Wingdings" w:char="F0FC"/>
            </w:r>
          </w:p>
        </w:tc>
      </w:tr>
      <w:tr w:rsidR="00C65FD3" w14:paraId="1E6EFEA3" w14:textId="77777777" w:rsidTr="00C65FD3">
        <w:trPr>
          <w:trHeight w:val="282"/>
        </w:trPr>
        <w:tc>
          <w:tcPr>
            <w:tcW w:w="2263" w:type="dxa"/>
            <w:tcBorders>
              <w:top w:val="nil"/>
              <w:left w:val="nil"/>
              <w:bottom w:val="nil"/>
              <w:right w:val="nil"/>
            </w:tcBorders>
          </w:tcPr>
          <w:p w14:paraId="5F254D09" w14:textId="77777777" w:rsidR="00C65FD3" w:rsidRDefault="00C65FD3">
            <w:pPr>
              <w:spacing w:before="120" w:after="120"/>
              <w:rPr>
                <w:sz w:val="18"/>
              </w:rPr>
            </w:pPr>
          </w:p>
        </w:tc>
        <w:tc>
          <w:tcPr>
            <w:tcW w:w="4111" w:type="dxa"/>
            <w:tcBorders>
              <w:top w:val="nil"/>
              <w:left w:val="nil"/>
              <w:bottom w:val="nil"/>
              <w:right w:val="nil"/>
            </w:tcBorders>
            <w:hideMark/>
          </w:tcPr>
          <w:p w14:paraId="35092E82" w14:textId="77777777" w:rsidR="00C65FD3" w:rsidRDefault="00C65FD3">
            <w:pPr>
              <w:spacing w:before="120" w:after="120"/>
              <w:rPr>
                <w:sz w:val="22"/>
              </w:rPr>
            </w:pPr>
            <w:r>
              <w:t>Unknown ingredients /unregulated</w:t>
            </w:r>
          </w:p>
        </w:tc>
        <w:tc>
          <w:tcPr>
            <w:tcW w:w="1423" w:type="dxa"/>
            <w:tcBorders>
              <w:top w:val="nil"/>
              <w:left w:val="nil"/>
              <w:bottom w:val="nil"/>
              <w:right w:val="nil"/>
            </w:tcBorders>
            <w:vAlign w:val="center"/>
            <w:hideMark/>
          </w:tcPr>
          <w:p w14:paraId="3C49FBB5" w14:textId="77777777" w:rsidR="00C65FD3" w:rsidRDefault="00C65FD3">
            <w:pPr>
              <w:spacing w:before="120" w:after="120"/>
              <w:jc w:val="center"/>
              <w:rPr>
                <w:sz w:val="18"/>
                <w:szCs w:val="18"/>
              </w:rPr>
            </w:pPr>
            <w:r>
              <w:rPr>
                <w:sz w:val="18"/>
                <w:szCs w:val="18"/>
              </w:rPr>
              <w:sym w:font="Wingdings" w:char="F0FC"/>
            </w:r>
          </w:p>
        </w:tc>
        <w:tc>
          <w:tcPr>
            <w:tcW w:w="1134" w:type="dxa"/>
            <w:tcBorders>
              <w:top w:val="nil"/>
              <w:left w:val="nil"/>
              <w:bottom w:val="nil"/>
              <w:right w:val="nil"/>
            </w:tcBorders>
            <w:vAlign w:val="center"/>
            <w:hideMark/>
          </w:tcPr>
          <w:p w14:paraId="7D4A175B" w14:textId="77777777" w:rsidR="00C65FD3" w:rsidRDefault="00C65FD3">
            <w:pPr>
              <w:spacing w:before="120" w:after="120"/>
              <w:jc w:val="center"/>
              <w:rPr>
                <w:sz w:val="18"/>
                <w:szCs w:val="18"/>
              </w:rPr>
            </w:pPr>
            <w:r>
              <w:rPr>
                <w:sz w:val="18"/>
                <w:szCs w:val="18"/>
              </w:rPr>
              <w:sym w:font="Wingdings" w:char="F0FC"/>
            </w:r>
          </w:p>
        </w:tc>
      </w:tr>
      <w:tr w:rsidR="00C65FD3" w14:paraId="4B5FDB90" w14:textId="77777777" w:rsidTr="00C65FD3">
        <w:trPr>
          <w:trHeight w:val="282"/>
        </w:trPr>
        <w:tc>
          <w:tcPr>
            <w:tcW w:w="2263" w:type="dxa"/>
            <w:tcBorders>
              <w:top w:val="nil"/>
              <w:left w:val="nil"/>
              <w:bottom w:val="nil"/>
              <w:right w:val="nil"/>
            </w:tcBorders>
          </w:tcPr>
          <w:p w14:paraId="232B815E" w14:textId="77777777" w:rsidR="00C65FD3" w:rsidRDefault="00C65FD3">
            <w:pPr>
              <w:spacing w:before="120" w:after="120"/>
              <w:rPr>
                <w:sz w:val="18"/>
              </w:rPr>
            </w:pPr>
          </w:p>
        </w:tc>
        <w:tc>
          <w:tcPr>
            <w:tcW w:w="4111" w:type="dxa"/>
            <w:tcBorders>
              <w:top w:val="nil"/>
              <w:left w:val="nil"/>
              <w:bottom w:val="nil"/>
              <w:right w:val="nil"/>
            </w:tcBorders>
            <w:hideMark/>
          </w:tcPr>
          <w:p w14:paraId="570EB7EE" w14:textId="77777777" w:rsidR="00C65FD3" w:rsidRDefault="00C65FD3">
            <w:pPr>
              <w:spacing w:before="120" w:after="120"/>
            </w:pPr>
            <w:r>
              <w:t>Risk aware /educated /media awareness</w:t>
            </w:r>
          </w:p>
        </w:tc>
        <w:tc>
          <w:tcPr>
            <w:tcW w:w="1423" w:type="dxa"/>
            <w:tcBorders>
              <w:top w:val="nil"/>
              <w:left w:val="nil"/>
              <w:bottom w:val="nil"/>
              <w:right w:val="nil"/>
            </w:tcBorders>
            <w:vAlign w:val="center"/>
            <w:hideMark/>
          </w:tcPr>
          <w:p w14:paraId="6AB31BEC" w14:textId="77777777" w:rsidR="00C65FD3" w:rsidRDefault="00C65FD3">
            <w:pPr>
              <w:spacing w:before="120" w:after="120"/>
              <w:jc w:val="center"/>
              <w:rPr>
                <w:sz w:val="18"/>
                <w:szCs w:val="18"/>
              </w:rPr>
            </w:pPr>
            <w:r>
              <w:rPr>
                <w:sz w:val="18"/>
                <w:szCs w:val="18"/>
              </w:rPr>
              <w:sym w:font="Wingdings" w:char="F0FC"/>
            </w:r>
          </w:p>
        </w:tc>
        <w:tc>
          <w:tcPr>
            <w:tcW w:w="1134" w:type="dxa"/>
            <w:tcBorders>
              <w:top w:val="nil"/>
              <w:left w:val="nil"/>
              <w:bottom w:val="nil"/>
              <w:right w:val="nil"/>
            </w:tcBorders>
            <w:vAlign w:val="center"/>
            <w:hideMark/>
          </w:tcPr>
          <w:p w14:paraId="74430D3D" w14:textId="77777777" w:rsidR="00C65FD3" w:rsidRDefault="00C65FD3">
            <w:pPr>
              <w:spacing w:before="120" w:after="120"/>
              <w:jc w:val="center"/>
              <w:rPr>
                <w:sz w:val="18"/>
                <w:szCs w:val="18"/>
              </w:rPr>
            </w:pPr>
            <w:r>
              <w:rPr>
                <w:sz w:val="18"/>
                <w:szCs w:val="18"/>
              </w:rPr>
              <w:sym w:font="Wingdings" w:char="F0FC"/>
            </w:r>
          </w:p>
        </w:tc>
      </w:tr>
      <w:tr w:rsidR="00C65FD3" w14:paraId="5AEFA196" w14:textId="77777777" w:rsidTr="00C65FD3">
        <w:trPr>
          <w:trHeight w:val="282"/>
        </w:trPr>
        <w:tc>
          <w:tcPr>
            <w:tcW w:w="2263" w:type="dxa"/>
            <w:tcBorders>
              <w:top w:val="single" w:sz="4" w:space="0" w:color="auto"/>
              <w:left w:val="nil"/>
              <w:bottom w:val="single" w:sz="4" w:space="0" w:color="auto"/>
              <w:right w:val="nil"/>
            </w:tcBorders>
            <w:hideMark/>
          </w:tcPr>
          <w:p w14:paraId="37770DA3" w14:textId="77777777" w:rsidR="00C65FD3" w:rsidRDefault="00C65FD3">
            <w:pPr>
              <w:spacing w:before="120" w:after="120"/>
              <w:rPr>
                <w:sz w:val="18"/>
              </w:rPr>
            </w:pPr>
            <w:r>
              <w:rPr>
                <w:b/>
                <w:szCs w:val="24"/>
              </w:rPr>
              <w:t>Legal</w:t>
            </w:r>
            <w:r>
              <w:rPr>
                <w:b/>
              </w:rPr>
              <w:t xml:space="preserve"> status</w:t>
            </w:r>
          </w:p>
        </w:tc>
        <w:tc>
          <w:tcPr>
            <w:tcW w:w="4111" w:type="dxa"/>
            <w:tcBorders>
              <w:top w:val="single" w:sz="4" w:space="0" w:color="auto"/>
              <w:left w:val="nil"/>
              <w:bottom w:val="single" w:sz="4" w:space="0" w:color="auto"/>
              <w:right w:val="nil"/>
            </w:tcBorders>
            <w:hideMark/>
          </w:tcPr>
          <w:p w14:paraId="6D52F663" w14:textId="77777777" w:rsidR="00C65FD3" w:rsidRDefault="00C65FD3">
            <w:pPr>
              <w:spacing w:before="120" w:after="120"/>
            </w:pPr>
            <w:r>
              <w:t>Because they are illegal</w:t>
            </w:r>
          </w:p>
        </w:tc>
        <w:tc>
          <w:tcPr>
            <w:tcW w:w="1423" w:type="dxa"/>
            <w:tcBorders>
              <w:top w:val="single" w:sz="4" w:space="0" w:color="auto"/>
              <w:left w:val="nil"/>
              <w:bottom w:val="single" w:sz="4" w:space="0" w:color="auto"/>
              <w:right w:val="nil"/>
            </w:tcBorders>
            <w:vAlign w:val="center"/>
            <w:hideMark/>
          </w:tcPr>
          <w:p w14:paraId="22C31B71" w14:textId="77777777" w:rsidR="00C65FD3" w:rsidRDefault="00C65FD3">
            <w:pPr>
              <w:spacing w:before="120" w:after="120"/>
              <w:jc w:val="center"/>
              <w:rPr>
                <w:sz w:val="18"/>
              </w:rPr>
            </w:pPr>
            <w:r>
              <w:rPr>
                <w:sz w:val="18"/>
                <w:szCs w:val="18"/>
              </w:rPr>
              <w:sym w:font="Wingdings" w:char="F0FC"/>
            </w:r>
          </w:p>
        </w:tc>
        <w:tc>
          <w:tcPr>
            <w:tcW w:w="1134" w:type="dxa"/>
            <w:tcBorders>
              <w:top w:val="single" w:sz="4" w:space="0" w:color="auto"/>
              <w:left w:val="nil"/>
              <w:bottom w:val="single" w:sz="4" w:space="0" w:color="auto"/>
              <w:right w:val="nil"/>
            </w:tcBorders>
            <w:vAlign w:val="center"/>
            <w:hideMark/>
          </w:tcPr>
          <w:p w14:paraId="3200920C" w14:textId="77777777" w:rsidR="00C65FD3" w:rsidRDefault="00C65FD3">
            <w:pPr>
              <w:spacing w:before="120" w:after="120"/>
              <w:jc w:val="center"/>
              <w:rPr>
                <w:sz w:val="18"/>
              </w:rPr>
            </w:pPr>
            <w:r>
              <w:rPr>
                <w:sz w:val="18"/>
                <w:szCs w:val="18"/>
              </w:rPr>
              <w:sym w:font="Wingdings" w:char="F0FC"/>
            </w:r>
          </w:p>
        </w:tc>
      </w:tr>
      <w:tr w:rsidR="00C65FD3" w14:paraId="226C9177" w14:textId="77777777" w:rsidTr="00C65FD3">
        <w:trPr>
          <w:trHeight w:val="282"/>
        </w:trPr>
        <w:tc>
          <w:tcPr>
            <w:tcW w:w="2263" w:type="dxa"/>
            <w:tcBorders>
              <w:top w:val="single" w:sz="4" w:space="0" w:color="auto"/>
              <w:left w:val="nil"/>
              <w:bottom w:val="single" w:sz="4" w:space="0" w:color="auto"/>
              <w:right w:val="nil"/>
            </w:tcBorders>
            <w:hideMark/>
          </w:tcPr>
          <w:p w14:paraId="3616DF6B" w14:textId="77777777" w:rsidR="00C65FD3" w:rsidRDefault="00C65FD3">
            <w:pPr>
              <w:spacing w:before="120" w:after="120"/>
              <w:rPr>
                <w:szCs w:val="24"/>
              </w:rPr>
            </w:pPr>
            <w:r>
              <w:rPr>
                <w:b/>
              </w:rPr>
              <w:t>Unpleasant effects</w:t>
            </w:r>
            <w:r>
              <w:rPr>
                <w:b/>
                <w:sz w:val="28"/>
                <w:szCs w:val="24"/>
              </w:rPr>
              <w:t xml:space="preserve"> </w:t>
            </w:r>
          </w:p>
        </w:tc>
        <w:tc>
          <w:tcPr>
            <w:tcW w:w="4111" w:type="dxa"/>
            <w:tcBorders>
              <w:top w:val="single" w:sz="4" w:space="0" w:color="auto"/>
              <w:left w:val="nil"/>
              <w:bottom w:val="single" w:sz="4" w:space="0" w:color="auto"/>
              <w:right w:val="nil"/>
            </w:tcBorders>
            <w:hideMark/>
          </w:tcPr>
          <w:p w14:paraId="2685E33D" w14:textId="77777777" w:rsidR="00C65FD3" w:rsidRDefault="00C65FD3">
            <w:pPr>
              <w:spacing w:before="120" w:after="120"/>
              <w:rPr>
                <w:sz w:val="22"/>
              </w:rPr>
            </w:pPr>
            <w:r>
              <w:t>Unpleasant experience / bad trip</w:t>
            </w:r>
          </w:p>
        </w:tc>
        <w:tc>
          <w:tcPr>
            <w:tcW w:w="1423" w:type="dxa"/>
            <w:tcBorders>
              <w:top w:val="single" w:sz="4" w:space="0" w:color="auto"/>
              <w:left w:val="nil"/>
              <w:bottom w:val="single" w:sz="4" w:space="0" w:color="auto"/>
              <w:right w:val="nil"/>
            </w:tcBorders>
            <w:vAlign w:val="center"/>
            <w:hideMark/>
          </w:tcPr>
          <w:p w14:paraId="796B6D0E" w14:textId="77777777" w:rsidR="00C65FD3" w:rsidRDefault="00C65FD3">
            <w:pPr>
              <w:spacing w:before="120" w:after="120"/>
              <w:jc w:val="center"/>
              <w:rPr>
                <w:sz w:val="22"/>
              </w:rPr>
            </w:pPr>
            <w:r>
              <w:rPr>
                <w:sz w:val="18"/>
                <w:szCs w:val="18"/>
              </w:rPr>
              <w:sym w:font="Wingdings" w:char="F0FC"/>
            </w:r>
          </w:p>
        </w:tc>
        <w:tc>
          <w:tcPr>
            <w:tcW w:w="1134" w:type="dxa"/>
            <w:tcBorders>
              <w:top w:val="single" w:sz="4" w:space="0" w:color="auto"/>
              <w:left w:val="nil"/>
              <w:bottom w:val="single" w:sz="4" w:space="0" w:color="auto"/>
              <w:right w:val="nil"/>
            </w:tcBorders>
            <w:vAlign w:val="center"/>
            <w:hideMark/>
          </w:tcPr>
          <w:p w14:paraId="2943A062" w14:textId="77777777" w:rsidR="00C65FD3" w:rsidRDefault="00C65FD3">
            <w:pPr>
              <w:spacing w:before="120" w:after="120"/>
              <w:jc w:val="center"/>
              <w:rPr>
                <w:sz w:val="22"/>
              </w:rPr>
            </w:pPr>
            <w:r>
              <w:rPr>
                <w:sz w:val="18"/>
                <w:szCs w:val="18"/>
              </w:rPr>
              <w:sym w:font="Wingdings" w:char="F0FC"/>
            </w:r>
          </w:p>
        </w:tc>
      </w:tr>
      <w:tr w:rsidR="00C65FD3" w14:paraId="645E2C8E" w14:textId="77777777" w:rsidTr="00C65FD3">
        <w:trPr>
          <w:trHeight w:val="282"/>
        </w:trPr>
        <w:tc>
          <w:tcPr>
            <w:tcW w:w="2263" w:type="dxa"/>
            <w:tcBorders>
              <w:top w:val="single" w:sz="4" w:space="0" w:color="auto"/>
              <w:left w:val="nil"/>
              <w:bottom w:val="nil"/>
              <w:right w:val="nil"/>
            </w:tcBorders>
            <w:hideMark/>
          </w:tcPr>
          <w:p w14:paraId="3A154F1C" w14:textId="77777777" w:rsidR="00C65FD3" w:rsidRDefault="00C65FD3">
            <w:pPr>
              <w:spacing w:before="120" w:after="120"/>
              <w:rPr>
                <w:b/>
              </w:rPr>
            </w:pPr>
            <w:r>
              <w:rPr>
                <w:b/>
              </w:rPr>
              <w:t>Social influences</w:t>
            </w:r>
          </w:p>
        </w:tc>
        <w:tc>
          <w:tcPr>
            <w:tcW w:w="4111" w:type="dxa"/>
            <w:tcBorders>
              <w:top w:val="single" w:sz="4" w:space="0" w:color="auto"/>
              <w:left w:val="nil"/>
              <w:bottom w:val="nil"/>
              <w:right w:val="nil"/>
            </w:tcBorders>
            <w:hideMark/>
          </w:tcPr>
          <w:p w14:paraId="5E88A695" w14:textId="77777777" w:rsidR="00C65FD3" w:rsidRDefault="00C65FD3">
            <w:pPr>
              <w:spacing w:before="120" w:after="120"/>
            </w:pPr>
            <w:r>
              <w:rPr>
                <w:szCs w:val="24"/>
              </w:rPr>
              <w:t>Friends disapprove / uncool</w:t>
            </w:r>
          </w:p>
        </w:tc>
        <w:tc>
          <w:tcPr>
            <w:tcW w:w="1423" w:type="dxa"/>
            <w:tcBorders>
              <w:top w:val="single" w:sz="4" w:space="0" w:color="auto"/>
              <w:left w:val="nil"/>
              <w:bottom w:val="nil"/>
              <w:right w:val="nil"/>
            </w:tcBorders>
            <w:vAlign w:val="center"/>
            <w:hideMark/>
          </w:tcPr>
          <w:p w14:paraId="3B6B91EC" w14:textId="77777777" w:rsidR="00C65FD3" w:rsidRDefault="00C65FD3">
            <w:pPr>
              <w:spacing w:before="120" w:after="120"/>
              <w:jc w:val="center"/>
              <w:rPr>
                <w:sz w:val="18"/>
                <w:szCs w:val="18"/>
              </w:rPr>
            </w:pPr>
            <w:r>
              <w:rPr>
                <w:sz w:val="18"/>
                <w:szCs w:val="18"/>
              </w:rPr>
              <w:sym w:font="Wingdings" w:char="F0FC"/>
            </w:r>
          </w:p>
        </w:tc>
        <w:tc>
          <w:tcPr>
            <w:tcW w:w="1134" w:type="dxa"/>
            <w:tcBorders>
              <w:top w:val="single" w:sz="4" w:space="0" w:color="auto"/>
              <w:left w:val="nil"/>
              <w:bottom w:val="nil"/>
              <w:right w:val="nil"/>
            </w:tcBorders>
            <w:vAlign w:val="center"/>
            <w:hideMark/>
          </w:tcPr>
          <w:p w14:paraId="28C9E4E0" w14:textId="77777777" w:rsidR="00C65FD3" w:rsidRDefault="00C65FD3">
            <w:pPr>
              <w:spacing w:before="120" w:after="120"/>
              <w:jc w:val="center"/>
              <w:rPr>
                <w:sz w:val="18"/>
                <w:szCs w:val="18"/>
              </w:rPr>
            </w:pPr>
            <w:r>
              <w:rPr>
                <w:sz w:val="18"/>
                <w:szCs w:val="18"/>
              </w:rPr>
              <w:sym w:font="Wingdings" w:char="F0FC"/>
            </w:r>
          </w:p>
        </w:tc>
      </w:tr>
      <w:tr w:rsidR="00C65FD3" w14:paraId="01F3CB39" w14:textId="77777777" w:rsidTr="00C65FD3">
        <w:trPr>
          <w:trHeight w:val="282"/>
        </w:trPr>
        <w:tc>
          <w:tcPr>
            <w:tcW w:w="2263" w:type="dxa"/>
            <w:tcBorders>
              <w:top w:val="nil"/>
              <w:left w:val="nil"/>
              <w:bottom w:val="nil"/>
              <w:right w:val="nil"/>
            </w:tcBorders>
          </w:tcPr>
          <w:p w14:paraId="0BE032DC" w14:textId="77777777" w:rsidR="00C65FD3" w:rsidRDefault="00C65FD3">
            <w:pPr>
              <w:spacing w:before="120" w:after="120"/>
              <w:rPr>
                <w:b/>
              </w:rPr>
            </w:pPr>
          </w:p>
        </w:tc>
        <w:tc>
          <w:tcPr>
            <w:tcW w:w="4111" w:type="dxa"/>
            <w:tcBorders>
              <w:top w:val="nil"/>
              <w:left w:val="nil"/>
              <w:bottom w:val="nil"/>
              <w:right w:val="nil"/>
            </w:tcBorders>
            <w:hideMark/>
          </w:tcPr>
          <w:p w14:paraId="330BCB49" w14:textId="77777777" w:rsidR="00C65FD3" w:rsidRDefault="00C65FD3">
            <w:pPr>
              <w:spacing w:before="120" w:after="120"/>
            </w:pPr>
            <w:r>
              <w:rPr>
                <w:szCs w:val="24"/>
              </w:rPr>
              <w:t xml:space="preserve">Socially unacceptable  </w:t>
            </w:r>
          </w:p>
        </w:tc>
        <w:tc>
          <w:tcPr>
            <w:tcW w:w="1423" w:type="dxa"/>
            <w:tcBorders>
              <w:top w:val="nil"/>
              <w:left w:val="nil"/>
              <w:bottom w:val="nil"/>
              <w:right w:val="nil"/>
            </w:tcBorders>
            <w:vAlign w:val="center"/>
            <w:hideMark/>
          </w:tcPr>
          <w:p w14:paraId="66826D2F" w14:textId="77777777" w:rsidR="00C65FD3" w:rsidRDefault="00C65FD3">
            <w:pPr>
              <w:spacing w:before="120" w:after="120"/>
              <w:jc w:val="center"/>
              <w:rPr>
                <w:sz w:val="18"/>
                <w:szCs w:val="18"/>
              </w:rPr>
            </w:pPr>
            <w:r>
              <w:rPr>
                <w:sz w:val="18"/>
                <w:szCs w:val="18"/>
              </w:rPr>
              <w:sym w:font="Wingdings" w:char="F0FC"/>
            </w:r>
          </w:p>
        </w:tc>
        <w:tc>
          <w:tcPr>
            <w:tcW w:w="1134" w:type="dxa"/>
            <w:tcBorders>
              <w:top w:val="nil"/>
              <w:left w:val="nil"/>
              <w:bottom w:val="nil"/>
              <w:right w:val="nil"/>
            </w:tcBorders>
            <w:vAlign w:val="center"/>
            <w:hideMark/>
          </w:tcPr>
          <w:p w14:paraId="34A390B9" w14:textId="77777777" w:rsidR="00C65FD3" w:rsidRDefault="00C65FD3">
            <w:pPr>
              <w:spacing w:before="120" w:after="120"/>
              <w:jc w:val="center"/>
              <w:rPr>
                <w:sz w:val="18"/>
                <w:szCs w:val="18"/>
              </w:rPr>
            </w:pPr>
            <w:r>
              <w:rPr>
                <w:sz w:val="18"/>
                <w:szCs w:val="18"/>
              </w:rPr>
              <w:sym w:font="Wingdings" w:char="F0FC"/>
            </w:r>
          </w:p>
        </w:tc>
      </w:tr>
      <w:tr w:rsidR="00C65FD3" w14:paraId="6BD66286" w14:textId="77777777" w:rsidTr="00C65FD3">
        <w:trPr>
          <w:trHeight w:val="282"/>
        </w:trPr>
        <w:tc>
          <w:tcPr>
            <w:tcW w:w="2263" w:type="dxa"/>
            <w:tcBorders>
              <w:top w:val="nil"/>
              <w:left w:val="nil"/>
              <w:bottom w:val="nil"/>
              <w:right w:val="nil"/>
            </w:tcBorders>
          </w:tcPr>
          <w:p w14:paraId="00C7FE29" w14:textId="77777777" w:rsidR="00C65FD3" w:rsidRDefault="00C65FD3">
            <w:pPr>
              <w:spacing w:before="120" w:after="120"/>
              <w:rPr>
                <w:sz w:val="18"/>
              </w:rPr>
            </w:pPr>
          </w:p>
        </w:tc>
        <w:tc>
          <w:tcPr>
            <w:tcW w:w="4111" w:type="dxa"/>
            <w:tcBorders>
              <w:top w:val="nil"/>
              <w:left w:val="nil"/>
              <w:bottom w:val="nil"/>
              <w:right w:val="nil"/>
            </w:tcBorders>
            <w:hideMark/>
          </w:tcPr>
          <w:p w14:paraId="136E2412" w14:textId="77777777" w:rsidR="00C65FD3" w:rsidRDefault="00C65FD3">
            <w:pPr>
              <w:spacing w:before="120" w:after="120"/>
              <w:rPr>
                <w:color w:val="C00000"/>
                <w:sz w:val="20"/>
              </w:rPr>
            </w:pPr>
            <w:r>
              <w:rPr>
                <w:color w:val="C00000"/>
                <w:szCs w:val="24"/>
              </w:rPr>
              <w:t xml:space="preserve">Family responsiblises  </w:t>
            </w:r>
          </w:p>
        </w:tc>
        <w:tc>
          <w:tcPr>
            <w:tcW w:w="1423" w:type="dxa"/>
            <w:tcBorders>
              <w:top w:val="nil"/>
              <w:left w:val="nil"/>
              <w:bottom w:val="nil"/>
              <w:right w:val="nil"/>
            </w:tcBorders>
            <w:vAlign w:val="center"/>
            <w:hideMark/>
          </w:tcPr>
          <w:p w14:paraId="036A815B" w14:textId="77777777" w:rsidR="00C65FD3" w:rsidRDefault="00C65FD3">
            <w:pPr>
              <w:spacing w:before="120" w:after="120"/>
              <w:jc w:val="center"/>
              <w:rPr>
                <w:color w:val="C00000"/>
                <w:sz w:val="18"/>
              </w:rPr>
            </w:pPr>
            <w:r>
              <w:rPr>
                <w:color w:val="C00000"/>
                <w:sz w:val="18"/>
                <w:szCs w:val="18"/>
              </w:rPr>
              <w:sym w:font="Wingdings" w:char="F0FC"/>
            </w:r>
          </w:p>
        </w:tc>
        <w:tc>
          <w:tcPr>
            <w:tcW w:w="1134" w:type="dxa"/>
            <w:tcBorders>
              <w:top w:val="nil"/>
              <w:left w:val="nil"/>
              <w:bottom w:val="nil"/>
              <w:right w:val="nil"/>
            </w:tcBorders>
            <w:vAlign w:val="center"/>
          </w:tcPr>
          <w:p w14:paraId="27F136F7" w14:textId="77777777" w:rsidR="00C65FD3" w:rsidRDefault="00C65FD3">
            <w:pPr>
              <w:spacing w:before="120" w:after="120"/>
              <w:jc w:val="center"/>
              <w:rPr>
                <w:sz w:val="18"/>
              </w:rPr>
            </w:pPr>
          </w:p>
        </w:tc>
      </w:tr>
      <w:tr w:rsidR="00C65FD3" w14:paraId="42573DBC" w14:textId="77777777" w:rsidTr="00C65FD3">
        <w:trPr>
          <w:trHeight w:val="282"/>
        </w:trPr>
        <w:tc>
          <w:tcPr>
            <w:tcW w:w="2263" w:type="dxa"/>
            <w:tcBorders>
              <w:top w:val="nil"/>
              <w:left w:val="nil"/>
              <w:bottom w:val="nil"/>
              <w:right w:val="nil"/>
            </w:tcBorders>
          </w:tcPr>
          <w:p w14:paraId="1A8E94F6" w14:textId="77777777" w:rsidR="00C65FD3" w:rsidRDefault="00C65FD3">
            <w:pPr>
              <w:spacing w:before="120" w:after="120"/>
              <w:rPr>
                <w:sz w:val="18"/>
              </w:rPr>
            </w:pPr>
          </w:p>
        </w:tc>
        <w:tc>
          <w:tcPr>
            <w:tcW w:w="4111" w:type="dxa"/>
            <w:tcBorders>
              <w:top w:val="nil"/>
              <w:left w:val="nil"/>
              <w:bottom w:val="nil"/>
              <w:right w:val="nil"/>
            </w:tcBorders>
            <w:hideMark/>
          </w:tcPr>
          <w:p w14:paraId="6AF55298" w14:textId="77777777" w:rsidR="00C65FD3" w:rsidRDefault="00C65FD3">
            <w:pPr>
              <w:spacing w:before="120" w:after="120"/>
              <w:rPr>
                <w:color w:val="C00000"/>
                <w:szCs w:val="24"/>
              </w:rPr>
            </w:pPr>
            <w:r>
              <w:rPr>
                <w:color w:val="C00000"/>
                <w:szCs w:val="24"/>
              </w:rPr>
              <w:t>Negative social interactions</w:t>
            </w:r>
          </w:p>
        </w:tc>
        <w:tc>
          <w:tcPr>
            <w:tcW w:w="1423" w:type="dxa"/>
            <w:tcBorders>
              <w:top w:val="nil"/>
              <w:left w:val="nil"/>
              <w:bottom w:val="nil"/>
              <w:right w:val="nil"/>
            </w:tcBorders>
            <w:vAlign w:val="center"/>
            <w:hideMark/>
          </w:tcPr>
          <w:p w14:paraId="606E7805" w14:textId="77777777" w:rsidR="00C65FD3" w:rsidRDefault="00C65FD3">
            <w:pPr>
              <w:spacing w:before="120" w:after="120"/>
              <w:jc w:val="center"/>
              <w:rPr>
                <w:color w:val="C00000"/>
                <w:sz w:val="18"/>
                <w:szCs w:val="18"/>
              </w:rPr>
            </w:pPr>
            <w:r>
              <w:rPr>
                <w:color w:val="C00000"/>
                <w:sz w:val="18"/>
                <w:szCs w:val="18"/>
              </w:rPr>
              <w:sym w:font="Wingdings" w:char="F0FC"/>
            </w:r>
          </w:p>
        </w:tc>
        <w:tc>
          <w:tcPr>
            <w:tcW w:w="1134" w:type="dxa"/>
            <w:tcBorders>
              <w:top w:val="nil"/>
              <w:left w:val="nil"/>
              <w:bottom w:val="nil"/>
              <w:right w:val="nil"/>
            </w:tcBorders>
            <w:vAlign w:val="center"/>
          </w:tcPr>
          <w:p w14:paraId="08FF39C0" w14:textId="77777777" w:rsidR="00C65FD3" w:rsidRDefault="00C65FD3">
            <w:pPr>
              <w:spacing w:before="120" w:after="120"/>
              <w:jc w:val="center"/>
              <w:rPr>
                <w:sz w:val="18"/>
              </w:rPr>
            </w:pPr>
          </w:p>
        </w:tc>
      </w:tr>
      <w:tr w:rsidR="00C65FD3" w14:paraId="7E207254" w14:textId="77777777" w:rsidTr="00C65FD3">
        <w:trPr>
          <w:trHeight w:val="282"/>
        </w:trPr>
        <w:tc>
          <w:tcPr>
            <w:tcW w:w="2263" w:type="dxa"/>
            <w:tcBorders>
              <w:top w:val="nil"/>
              <w:left w:val="nil"/>
              <w:bottom w:val="single" w:sz="4" w:space="0" w:color="auto"/>
              <w:right w:val="nil"/>
            </w:tcBorders>
          </w:tcPr>
          <w:p w14:paraId="27E83DF9" w14:textId="77777777" w:rsidR="00C65FD3" w:rsidRDefault="00C65FD3">
            <w:pPr>
              <w:spacing w:before="120" w:after="120"/>
              <w:rPr>
                <w:sz w:val="18"/>
              </w:rPr>
            </w:pPr>
          </w:p>
        </w:tc>
        <w:tc>
          <w:tcPr>
            <w:tcW w:w="4111" w:type="dxa"/>
            <w:tcBorders>
              <w:top w:val="nil"/>
              <w:left w:val="nil"/>
              <w:bottom w:val="single" w:sz="4" w:space="0" w:color="auto"/>
              <w:right w:val="nil"/>
            </w:tcBorders>
            <w:hideMark/>
          </w:tcPr>
          <w:p w14:paraId="139E49C8" w14:textId="77777777" w:rsidR="00C65FD3" w:rsidRDefault="00C65FD3">
            <w:pPr>
              <w:spacing w:before="120" w:after="120"/>
              <w:rPr>
                <w:color w:val="00B050"/>
                <w:szCs w:val="24"/>
              </w:rPr>
            </w:pPr>
            <w:r>
              <w:rPr>
                <w:color w:val="00B050"/>
                <w:szCs w:val="24"/>
              </w:rPr>
              <w:t>Resist social pressure / self-assertion</w:t>
            </w:r>
          </w:p>
        </w:tc>
        <w:tc>
          <w:tcPr>
            <w:tcW w:w="1423" w:type="dxa"/>
            <w:tcBorders>
              <w:top w:val="nil"/>
              <w:left w:val="nil"/>
              <w:bottom w:val="single" w:sz="4" w:space="0" w:color="auto"/>
              <w:right w:val="nil"/>
            </w:tcBorders>
            <w:vAlign w:val="center"/>
          </w:tcPr>
          <w:p w14:paraId="3A814CB5" w14:textId="77777777" w:rsidR="00C65FD3" w:rsidRDefault="00C65FD3">
            <w:pPr>
              <w:spacing w:before="120" w:after="120"/>
              <w:jc w:val="center"/>
              <w:rPr>
                <w:color w:val="00B050"/>
                <w:sz w:val="18"/>
                <w:szCs w:val="18"/>
              </w:rPr>
            </w:pPr>
          </w:p>
        </w:tc>
        <w:tc>
          <w:tcPr>
            <w:tcW w:w="1134" w:type="dxa"/>
            <w:tcBorders>
              <w:top w:val="nil"/>
              <w:left w:val="nil"/>
              <w:bottom w:val="single" w:sz="4" w:space="0" w:color="auto"/>
              <w:right w:val="nil"/>
            </w:tcBorders>
            <w:vAlign w:val="center"/>
            <w:hideMark/>
          </w:tcPr>
          <w:p w14:paraId="0D68876F" w14:textId="77777777" w:rsidR="00C65FD3" w:rsidRDefault="00C65FD3">
            <w:pPr>
              <w:spacing w:before="120" w:after="120"/>
              <w:jc w:val="center"/>
              <w:rPr>
                <w:color w:val="00B050"/>
                <w:sz w:val="18"/>
              </w:rPr>
            </w:pPr>
            <w:r>
              <w:rPr>
                <w:color w:val="00B050"/>
                <w:sz w:val="18"/>
                <w:szCs w:val="18"/>
              </w:rPr>
              <w:sym w:font="Wingdings" w:char="F0FC"/>
            </w:r>
          </w:p>
        </w:tc>
      </w:tr>
      <w:tr w:rsidR="00C65FD3" w14:paraId="6E3B46E5" w14:textId="77777777" w:rsidTr="00C65FD3">
        <w:trPr>
          <w:trHeight w:val="282"/>
        </w:trPr>
        <w:tc>
          <w:tcPr>
            <w:tcW w:w="2263" w:type="dxa"/>
            <w:tcBorders>
              <w:top w:val="single" w:sz="4" w:space="0" w:color="auto"/>
              <w:left w:val="nil"/>
              <w:bottom w:val="nil"/>
              <w:right w:val="nil"/>
            </w:tcBorders>
            <w:hideMark/>
          </w:tcPr>
          <w:p w14:paraId="3DCF0BE2" w14:textId="77777777" w:rsidR="00C65FD3" w:rsidRDefault="00C65FD3">
            <w:pPr>
              <w:spacing w:before="120" w:after="120"/>
              <w:rPr>
                <w:sz w:val="18"/>
              </w:rPr>
            </w:pPr>
            <w:r>
              <w:rPr>
                <w:b/>
              </w:rPr>
              <w:t xml:space="preserve">Accessibility </w:t>
            </w:r>
          </w:p>
        </w:tc>
        <w:tc>
          <w:tcPr>
            <w:tcW w:w="4111" w:type="dxa"/>
            <w:tcBorders>
              <w:top w:val="single" w:sz="4" w:space="0" w:color="auto"/>
              <w:left w:val="nil"/>
              <w:bottom w:val="nil"/>
              <w:right w:val="nil"/>
            </w:tcBorders>
            <w:hideMark/>
          </w:tcPr>
          <w:p w14:paraId="4B07B13F" w14:textId="77777777" w:rsidR="00C65FD3" w:rsidRDefault="00C65FD3">
            <w:pPr>
              <w:spacing w:before="120" w:after="120"/>
              <w:rPr>
                <w:color w:val="C00000"/>
              </w:rPr>
            </w:pPr>
            <w:r>
              <w:t>Unavailable / hard to get</w:t>
            </w:r>
          </w:p>
        </w:tc>
        <w:tc>
          <w:tcPr>
            <w:tcW w:w="1423" w:type="dxa"/>
            <w:tcBorders>
              <w:top w:val="single" w:sz="4" w:space="0" w:color="auto"/>
              <w:left w:val="nil"/>
              <w:bottom w:val="nil"/>
              <w:right w:val="nil"/>
            </w:tcBorders>
            <w:vAlign w:val="center"/>
            <w:hideMark/>
          </w:tcPr>
          <w:p w14:paraId="0127970E" w14:textId="77777777" w:rsidR="00C65FD3" w:rsidRDefault="00C65FD3">
            <w:pPr>
              <w:spacing w:before="120" w:after="120"/>
              <w:jc w:val="center"/>
              <w:rPr>
                <w:color w:val="C00000"/>
                <w:sz w:val="18"/>
              </w:rPr>
            </w:pPr>
            <w:r>
              <w:rPr>
                <w:sz w:val="18"/>
                <w:szCs w:val="18"/>
              </w:rPr>
              <w:sym w:font="Wingdings" w:char="F0FC"/>
            </w:r>
          </w:p>
        </w:tc>
        <w:tc>
          <w:tcPr>
            <w:tcW w:w="1134" w:type="dxa"/>
            <w:tcBorders>
              <w:top w:val="single" w:sz="4" w:space="0" w:color="auto"/>
              <w:left w:val="nil"/>
              <w:bottom w:val="nil"/>
              <w:right w:val="nil"/>
            </w:tcBorders>
            <w:vAlign w:val="center"/>
            <w:hideMark/>
          </w:tcPr>
          <w:p w14:paraId="66DAAD67" w14:textId="77777777" w:rsidR="00C65FD3" w:rsidRDefault="00C65FD3">
            <w:pPr>
              <w:spacing w:before="120" w:after="120"/>
              <w:jc w:val="center"/>
              <w:rPr>
                <w:color w:val="4F81BD" w:themeColor="accent1"/>
                <w:sz w:val="18"/>
              </w:rPr>
            </w:pPr>
            <w:r>
              <w:rPr>
                <w:sz w:val="18"/>
                <w:szCs w:val="18"/>
              </w:rPr>
              <w:sym w:font="Wingdings" w:char="F0FC"/>
            </w:r>
          </w:p>
        </w:tc>
      </w:tr>
      <w:tr w:rsidR="00C65FD3" w14:paraId="11DC12B5" w14:textId="77777777" w:rsidTr="00C65FD3">
        <w:trPr>
          <w:trHeight w:val="80"/>
        </w:trPr>
        <w:tc>
          <w:tcPr>
            <w:tcW w:w="2263" w:type="dxa"/>
            <w:tcBorders>
              <w:top w:val="nil"/>
              <w:left w:val="nil"/>
              <w:bottom w:val="single" w:sz="4" w:space="0" w:color="auto"/>
              <w:right w:val="nil"/>
            </w:tcBorders>
          </w:tcPr>
          <w:p w14:paraId="731BBBDF" w14:textId="77777777" w:rsidR="00C65FD3" w:rsidRDefault="00C65FD3">
            <w:pPr>
              <w:spacing w:before="120" w:after="120"/>
              <w:rPr>
                <w:sz w:val="18"/>
              </w:rPr>
            </w:pPr>
          </w:p>
        </w:tc>
        <w:tc>
          <w:tcPr>
            <w:tcW w:w="4111" w:type="dxa"/>
            <w:tcBorders>
              <w:top w:val="nil"/>
              <w:left w:val="nil"/>
              <w:bottom w:val="single" w:sz="4" w:space="0" w:color="auto"/>
              <w:right w:val="nil"/>
            </w:tcBorders>
            <w:hideMark/>
          </w:tcPr>
          <w:p w14:paraId="0A033D72" w14:textId="77777777" w:rsidR="00C65FD3" w:rsidRDefault="00C65FD3">
            <w:pPr>
              <w:spacing w:before="120" w:after="120"/>
            </w:pPr>
            <w:r>
              <w:rPr>
                <w:color w:val="00B050"/>
              </w:rPr>
              <w:t>Waste of money</w:t>
            </w:r>
          </w:p>
        </w:tc>
        <w:tc>
          <w:tcPr>
            <w:tcW w:w="1423" w:type="dxa"/>
            <w:tcBorders>
              <w:top w:val="nil"/>
              <w:left w:val="nil"/>
              <w:bottom w:val="single" w:sz="4" w:space="0" w:color="auto"/>
              <w:right w:val="nil"/>
            </w:tcBorders>
            <w:vAlign w:val="center"/>
          </w:tcPr>
          <w:p w14:paraId="3958F364" w14:textId="77777777" w:rsidR="00C65FD3" w:rsidRDefault="00C65FD3">
            <w:pPr>
              <w:spacing w:before="120" w:after="120"/>
              <w:jc w:val="center"/>
              <w:rPr>
                <w:color w:val="C00000"/>
                <w:sz w:val="18"/>
              </w:rPr>
            </w:pPr>
          </w:p>
        </w:tc>
        <w:tc>
          <w:tcPr>
            <w:tcW w:w="1134" w:type="dxa"/>
            <w:tcBorders>
              <w:top w:val="nil"/>
              <w:left w:val="nil"/>
              <w:bottom w:val="single" w:sz="4" w:space="0" w:color="auto"/>
              <w:right w:val="nil"/>
            </w:tcBorders>
            <w:vAlign w:val="center"/>
            <w:hideMark/>
          </w:tcPr>
          <w:p w14:paraId="247E06EA" w14:textId="77777777" w:rsidR="00C65FD3" w:rsidRDefault="00C65FD3">
            <w:pPr>
              <w:spacing w:before="120" w:after="120"/>
              <w:jc w:val="center"/>
              <w:rPr>
                <w:sz w:val="18"/>
              </w:rPr>
            </w:pPr>
            <w:r>
              <w:rPr>
                <w:color w:val="00B050"/>
                <w:sz w:val="18"/>
                <w:szCs w:val="18"/>
              </w:rPr>
              <w:sym w:font="Wingdings" w:char="F0FC"/>
            </w:r>
          </w:p>
        </w:tc>
      </w:tr>
      <w:tr w:rsidR="00C65FD3" w14:paraId="541AE392" w14:textId="77777777" w:rsidTr="00C65FD3">
        <w:trPr>
          <w:trHeight w:val="282"/>
        </w:trPr>
        <w:tc>
          <w:tcPr>
            <w:tcW w:w="2263" w:type="dxa"/>
            <w:tcBorders>
              <w:top w:val="single" w:sz="4" w:space="0" w:color="auto"/>
              <w:left w:val="nil"/>
              <w:bottom w:val="nil"/>
              <w:right w:val="nil"/>
            </w:tcBorders>
            <w:hideMark/>
          </w:tcPr>
          <w:p w14:paraId="42C6591C" w14:textId="77777777" w:rsidR="00C65FD3" w:rsidRDefault="00C65FD3">
            <w:pPr>
              <w:spacing w:before="120" w:after="120"/>
              <w:rPr>
                <w:sz w:val="18"/>
              </w:rPr>
            </w:pPr>
            <w:r>
              <w:rPr>
                <w:b/>
              </w:rPr>
              <w:t xml:space="preserve">Substitution </w:t>
            </w:r>
          </w:p>
        </w:tc>
        <w:tc>
          <w:tcPr>
            <w:tcW w:w="4111" w:type="dxa"/>
            <w:tcBorders>
              <w:top w:val="single" w:sz="4" w:space="0" w:color="auto"/>
              <w:left w:val="nil"/>
              <w:bottom w:val="nil"/>
              <w:right w:val="nil"/>
            </w:tcBorders>
            <w:hideMark/>
          </w:tcPr>
          <w:p w14:paraId="4E555938" w14:textId="77777777" w:rsidR="00C65FD3" w:rsidRDefault="00C65FD3">
            <w:pPr>
              <w:spacing w:before="120" w:after="120"/>
            </w:pPr>
            <w:r>
              <w:t xml:space="preserve">More dangerous than illicit drugs  </w:t>
            </w:r>
          </w:p>
        </w:tc>
        <w:tc>
          <w:tcPr>
            <w:tcW w:w="1423" w:type="dxa"/>
            <w:tcBorders>
              <w:top w:val="single" w:sz="4" w:space="0" w:color="auto"/>
              <w:left w:val="nil"/>
              <w:bottom w:val="nil"/>
              <w:right w:val="nil"/>
            </w:tcBorders>
            <w:vAlign w:val="center"/>
            <w:hideMark/>
          </w:tcPr>
          <w:p w14:paraId="3B4C8F36" w14:textId="77777777" w:rsidR="00C65FD3" w:rsidRDefault="00C65FD3">
            <w:pPr>
              <w:spacing w:before="120" w:after="120"/>
              <w:jc w:val="center"/>
              <w:rPr>
                <w:sz w:val="18"/>
              </w:rPr>
            </w:pPr>
            <w:r>
              <w:rPr>
                <w:sz w:val="18"/>
                <w:szCs w:val="18"/>
              </w:rPr>
              <w:sym w:font="Wingdings" w:char="F0FC"/>
            </w:r>
          </w:p>
        </w:tc>
        <w:tc>
          <w:tcPr>
            <w:tcW w:w="1134" w:type="dxa"/>
            <w:tcBorders>
              <w:top w:val="single" w:sz="4" w:space="0" w:color="auto"/>
              <w:left w:val="nil"/>
              <w:bottom w:val="nil"/>
              <w:right w:val="nil"/>
            </w:tcBorders>
            <w:vAlign w:val="center"/>
            <w:hideMark/>
          </w:tcPr>
          <w:p w14:paraId="031EEA9B" w14:textId="77777777" w:rsidR="00C65FD3" w:rsidRDefault="00C65FD3">
            <w:pPr>
              <w:spacing w:before="120" w:after="120"/>
              <w:jc w:val="center"/>
              <w:rPr>
                <w:sz w:val="18"/>
              </w:rPr>
            </w:pPr>
            <w:r>
              <w:rPr>
                <w:sz w:val="18"/>
                <w:szCs w:val="18"/>
              </w:rPr>
              <w:sym w:font="Wingdings" w:char="F0FC"/>
            </w:r>
          </w:p>
        </w:tc>
      </w:tr>
      <w:tr w:rsidR="00C65FD3" w14:paraId="616922A9" w14:textId="77777777" w:rsidTr="00C65FD3">
        <w:trPr>
          <w:trHeight w:val="261"/>
        </w:trPr>
        <w:tc>
          <w:tcPr>
            <w:tcW w:w="2263" w:type="dxa"/>
            <w:tcBorders>
              <w:top w:val="nil"/>
              <w:left w:val="nil"/>
              <w:bottom w:val="nil"/>
              <w:right w:val="nil"/>
            </w:tcBorders>
          </w:tcPr>
          <w:p w14:paraId="269938C7" w14:textId="77777777" w:rsidR="00C65FD3" w:rsidRDefault="00C65FD3">
            <w:pPr>
              <w:spacing w:before="120" w:after="120"/>
              <w:rPr>
                <w:sz w:val="18"/>
              </w:rPr>
            </w:pPr>
          </w:p>
        </w:tc>
        <w:tc>
          <w:tcPr>
            <w:tcW w:w="4111" w:type="dxa"/>
            <w:tcBorders>
              <w:top w:val="nil"/>
              <w:left w:val="nil"/>
              <w:bottom w:val="nil"/>
              <w:right w:val="nil"/>
            </w:tcBorders>
            <w:hideMark/>
          </w:tcPr>
          <w:p w14:paraId="5F23E183" w14:textId="77777777" w:rsidR="00C65FD3" w:rsidRDefault="00C65FD3">
            <w:pPr>
              <w:spacing w:before="120" w:after="120"/>
            </w:pPr>
            <w:r>
              <w:t>Unpleasant /traditional drugs are better</w:t>
            </w:r>
          </w:p>
        </w:tc>
        <w:tc>
          <w:tcPr>
            <w:tcW w:w="1423" w:type="dxa"/>
            <w:tcBorders>
              <w:top w:val="nil"/>
              <w:left w:val="nil"/>
              <w:bottom w:val="nil"/>
              <w:right w:val="nil"/>
            </w:tcBorders>
            <w:vAlign w:val="center"/>
            <w:hideMark/>
          </w:tcPr>
          <w:p w14:paraId="7E8F59C5" w14:textId="77777777" w:rsidR="00C65FD3" w:rsidRDefault="00C65FD3">
            <w:pPr>
              <w:spacing w:before="120" w:after="120"/>
              <w:jc w:val="center"/>
              <w:rPr>
                <w:sz w:val="18"/>
              </w:rPr>
            </w:pPr>
            <w:r>
              <w:rPr>
                <w:sz w:val="18"/>
                <w:szCs w:val="18"/>
              </w:rPr>
              <w:sym w:font="Wingdings" w:char="F0FC"/>
            </w:r>
          </w:p>
        </w:tc>
        <w:tc>
          <w:tcPr>
            <w:tcW w:w="1134" w:type="dxa"/>
            <w:tcBorders>
              <w:top w:val="nil"/>
              <w:left w:val="nil"/>
              <w:bottom w:val="nil"/>
              <w:right w:val="nil"/>
            </w:tcBorders>
            <w:vAlign w:val="center"/>
            <w:hideMark/>
          </w:tcPr>
          <w:p w14:paraId="5C73CC15" w14:textId="77777777" w:rsidR="00C65FD3" w:rsidRDefault="00C65FD3">
            <w:pPr>
              <w:spacing w:before="120" w:after="120"/>
              <w:jc w:val="center"/>
              <w:rPr>
                <w:sz w:val="18"/>
              </w:rPr>
            </w:pPr>
            <w:r>
              <w:rPr>
                <w:sz w:val="18"/>
                <w:szCs w:val="18"/>
              </w:rPr>
              <w:sym w:font="Wingdings" w:char="F0FC"/>
            </w:r>
          </w:p>
        </w:tc>
      </w:tr>
      <w:tr w:rsidR="00C65FD3" w14:paraId="05BF9A1F" w14:textId="77777777" w:rsidTr="00C65FD3">
        <w:trPr>
          <w:trHeight w:val="261"/>
        </w:trPr>
        <w:tc>
          <w:tcPr>
            <w:tcW w:w="2263" w:type="dxa"/>
            <w:tcBorders>
              <w:top w:val="nil"/>
              <w:left w:val="nil"/>
              <w:bottom w:val="nil"/>
              <w:right w:val="nil"/>
            </w:tcBorders>
          </w:tcPr>
          <w:p w14:paraId="19638FDA" w14:textId="77777777" w:rsidR="00C65FD3" w:rsidRDefault="00C65FD3">
            <w:pPr>
              <w:spacing w:before="120" w:after="120"/>
              <w:rPr>
                <w:sz w:val="18"/>
              </w:rPr>
            </w:pPr>
          </w:p>
        </w:tc>
        <w:tc>
          <w:tcPr>
            <w:tcW w:w="4111" w:type="dxa"/>
            <w:tcBorders>
              <w:top w:val="nil"/>
              <w:left w:val="nil"/>
              <w:bottom w:val="nil"/>
              <w:right w:val="nil"/>
            </w:tcBorders>
            <w:hideMark/>
          </w:tcPr>
          <w:p w14:paraId="1B926B99" w14:textId="77777777" w:rsidR="00C65FD3" w:rsidRDefault="00C65FD3">
            <w:pPr>
              <w:spacing w:before="120" w:after="120"/>
              <w:rPr>
                <w:color w:val="00B050"/>
              </w:rPr>
            </w:pPr>
            <w:r>
              <w:rPr>
                <w:color w:val="00B050"/>
              </w:rPr>
              <w:t>Can afford better drugs</w:t>
            </w:r>
          </w:p>
        </w:tc>
        <w:tc>
          <w:tcPr>
            <w:tcW w:w="1423" w:type="dxa"/>
            <w:tcBorders>
              <w:top w:val="nil"/>
              <w:left w:val="nil"/>
              <w:bottom w:val="nil"/>
              <w:right w:val="nil"/>
            </w:tcBorders>
            <w:vAlign w:val="center"/>
          </w:tcPr>
          <w:p w14:paraId="5B369868" w14:textId="77777777" w:rsidR="00C65FD3" w:rsidRDefault="00C65FD3">
            <w:pPr>
              <w:spacing w:before="120" w:after="120"/>
              <w:jc w:val="center"/>
              <w:rPr>
                <w:sz w:val="18"/>
                <w:szCs w:val="18"/>
              </w:rPr>
            </w:pPr>
          </w:p>
        </w:tc>
        <w:tc>
          <w:tcPr>
            <w:tcW w:w="1134" w:type="dxa"/>
            <w:tcBorders>
              <w:top w:val="nil"/>
              <w:left w:val="nil"/>
              <w:bottom w:val="nil"/>
              <w:right w:val="nil"/>
            </w:tcBorders>
            <w:hideMark/>
          </w:tcPr>
          <w:p w14:paraId="5881C717" w14:textId="77777777" w:rsidR="00C65FD3" w:rsidRDefault="00C65FD3">
            <w:pPr>
              <w:spacing w:before="120" w:after="120"/>
              <w:jc w:val="center"/>
              <w:rPr>
                <w:sz w:val="18"/>
                <w:szCs w:val="18"/>
              </w:rPr>
            </w:pPr>
            <w:r>
              <w:rPr>
                <w:color w:val="00B050"/>
                <w:sz w:val="18"/>
                <w:szCs w:val="18"/>
              </w:rPr>
              <w:sym w:font="Wingdings" w:char="F0FC"/>
            </w:r>
          </w:p>
        </w:tc>
      </w:tr>
      <w:tr w:rsidR="00C65FD3" w14:paraId="6053D7A5" w14:textId="77777777" w:rsidTr="00C65FD3">
        <w:trPr>
          <w:trHeight w:val="261"/>
        </w:trPr>
        <w:tc>
          <w:tcPr>
            <w:tcW w:w="2263" w:type="dxa"/>
            <w:tcBorders>
              <w:top w:val="nil"/>
              <w:left w:val="nil"/>
              <w:bottom w:val="single" w:sz="4" w:space="0" w:color="auto"/>
              <w:right w:val="nil"/>
            </w:tcBorders>
          </w:tcPr>
          <w:p w14:paraId="228845CB" w14:textId="77777777" w:rsidR="00C65FD3" w:rsidRDefault="00C65FD3">
            <w:pPr>
              <w:spacing w:before="120" w:after="120"/>
              <w:rPr>
                <w:sz w:val="18"/>
              </w:rPr>
            </w:pPr>
          </w:p>
        </w:tc>
        <w:tc>
          <w:tcPr>
            <w:tcW w:w="4111" w:type="dxa"/>
            <w:tcBorders>
              <w:top w:val="nil"/>
              <w:left w:val="nil"/>
              <w:bottom w:val="single" w:sz="4" w:space="0" w:color="auto"/>
              <w:right w:val="nil"/>
            </w:tcBorders>
            <w:hideMark/>
          </w:tcPr>
          <w:p w14:paraId="60EA4EDE" w14:textId="77777777" w:rsidR="00C65FD3" w:rsidRDefault="00C65FD3">
            <w:pPr>
              <w:spacing w:before="120" w:after="120"/>
              <w:rPr>
                <w:color w:val="00B050"/>
              </w:rPr>
            </w:pPr>
            <w:r>
              <w:rPr>
                <w:color w:val="00B050"/>
              </w:rPr>
              <w:t>Traditional drugs easier to get</w:t>
            </w:r>
          </w:p>
        </w:tc>
        <w:tc>
          <w:tcPr>
            <w:tcW w:w="1423" w:type="dxa"/>
            <w:tcBorders>
              <w:top w:val="nil"/>
              <w:left w:val="nil"/>
              <w:bottom w:val="single" w:sz="4" w:space="0" w:color="auto"/>
              <w:right w:val="nil"/>
            </w:tcBorders>
            <w:vAlign w:val="center"/>
          </w:tcPr>
          <w:p w14:paraId="17E0777D" w14:textId="77777777" w:rsidR="00C65FD3" w:rsidRDefault="00C65FD3">
            <w:pPr>
              <w:spacing w:before="120" w:after="120"/>
              <w:jc w:val="center"/>
              <w:rPr>
                <w:sz w:val="18"/>
                <w:szCs w:val="18"/>
              </w:rPr>
            </w:pPr>
          </w:p>
        </w:tc>
        <w:tc>
          <w:tcPr>
            <w:tcW w:w="1134" w:type="dxa"/>
            <w:tcBorders>
              <w:top w:val="nil"/>
              <w:left w:val="nil"/>
              <w:bottom w:val="single" w:sz="4" w:space="0" w:color="auto"/>
              <w:right w:val="nil"/>
            </w:tcBorders>
            <w:hideMark/>
          </w:tcPr>
          <w:p w14:paraId="1954ABE9" w14:textId="77777777" w:rsidR="00C65FD3" w:rsidRDefault="00C65FD3">
            <w:pPr>
              <w:spacing w:before="120" w:after="120"/>
              <w:jc w:val="center"/>
              <w:rPr>
                <w:sz w:val="18"/>
                <w:szCs w:val="18"/>
              </w:rPr>
            </w:pPr>
            <w:r>
              <w:rPr>
                <w:color w:val="00B050"/>
                <w:sz w:val="18"/>
                <w:szCs w:val="18"/>
              </w:rPr>
              <w:sym w:font="Wingdings" w:char="F0FC"/>
            </w:r>
          </w:p>
        </w:tc>
      </w:tr>
      <w:tr w:rsidR="00C65FD3" w14:paraId="11451354" w14:textId="77777777" w:rsidTr="00C65FD3">
        <w:trPr>
          <w:trHeight w:val="239"/>
        </w:trPr>
        <w:tc>
          <w:tcPr>
            <w:tcW w:w="2263" w:type="dxa"/>
            <w:tcBorders>
              <w:top w:val="single" w:sz="4" w:space="0" w:color="auto"/>
              <w:left w:val="nil"/>
              <w:bottom w:val="nil"/>
              <w:right w:val="nil"/>
            </w:tcBorders>
            <w:hideMark/>
          </w:tcPr>
          <w:p w14:paraId="0B84B228" w14:textId="77777777" w:rsidR="00C65FD3" w:rsidRDefault="00C65FD3">
            <w:pPr>
              <w:spacing w:before="120" w:after="120"/>
              <w:rPr>
                <w:sz w:val="18"/>
              </w:rPr>
            </w:pPr>
            <w:r>
              <w:rPr>
                <w:b/>
                <w:szCs w:val="24"/>
              </w:rPr>
              <w:t>Identity</w:t>
            </w:r>
          </w:p>
        </w:tc>
        <w:tc>
          <w:tcPr>
            <w:tcW w:w="4111" w:type="dxa"/>
            <w:tcBorders>
              <w:top w:val="single" w:sz="4" w:space="0" w:color="auto"/>
              <w:left w:val="nil"/>
              <w:bottom w:val="nil"/>
              <w:right w:val="nil"/>
            </w:tcBorders>
            <w:hideMark/>
          </w:tcPr>
          <w:p w14:paraId="7CB35A81" w14:textId="77777777" w:rsidR="00C65FD3" w:rsidRDefault="00C65FD3">
            <w:pPr>
              <w:spacing w:before="120" w:after="120"/>
              <w:rPr>
                <w:sz w:val="20"/>
              </w:rPr>
            </w:pPr>
            <w:r>
              <w:t>Stigmatised user identity / street users*</w:t>
            </w:r>
          </w:p>
        </w:tc>
        <w:tc>
          <w:tcPr>
            <w:tcW w:w="1423" w:type="dxa"/>
            <w:tcBorders>
              <w:top w:val="single" w:sz="4" w:space="0" w:color="auto"/>
              <w:left w:val="nil"/>
              <w:bottom w:val="nil"/>
              <w:right w:val="nil"/>
            </w:tcBorders>
            <w:vAlign w:val="center"/>
            <w:hideMark/>
          </w:tcPr>
          <w:p w14:paraId="07A40CFD" w14:textId="77777777" w:rsidR="00C65FD3" w:rsidRDefault="00C65FD3">
            <w:pPr>
              <w:spacing w:before="120" w:after="120"/>
              <w:jc w:val="center"/>
              <w:rPr>
                <w:sz w:val="20"/>
              </w:rPr>
            </w:pPr>
            <w:r>
              <w:rPr>
                <w:sz w:val="18"/>
                <w:szCs w:val="18"/>
              </w:rPr>
              <w:sym w:font="Wingdings" w:char="F0FC"/>
            </w:r>
          </w:p>
        </w:tc>
        <w:tc>
          <w:tcPr>
            <w:tcW w:w="1134" w:type="dxa"/>
            <w:tcBorders>
              <w:top w:val="single" w:sz="4" w:space="0" w:color="auto"/>
              <w:left w:val="nil"/>
              <w:bottom w:val="nil"/>
              <w:right w:val="nil"/>
            </w:tcBorders>
            <w:vAlign w:val="center"/>
            <w:hideMark/>
          </w:tcPr>
          <w:p w14:paraId="3B92FEC8" w14:textId="77777777" w:rsidR="00C65FD3" w:rsidRDefault="00C65FD3">
            <w:pPr>
              <w:spacing w:before="120" w:after="120"/>
              <w:jc w:val="center"/>
              <w:rPr>
                <w:sz w:val="20"/>
              </w:rPr>
            </w:pPr>
            <w:r>
              <w:rPr>
                <w:sz w:val="18"/>
                <w:szCs w:val="18"/>
              </w:rPr>
              <w:sym w:font="Wingdings" w:char="F0FC"/>
            </w:r>
          </w:p>
        </w:tc>
      </w:tr>
      <w:tr w:rsidR="00C65FD3" w14:paraId="7A15BDE7" w14:textId="77777777" w:rsidTr="00C65FD3">
        <w:trPr>
          <w:trHeight w:val="282"/>
        </w:trPr>
        <w:tc>
          <w:tcPr>
            <w:tcW w:w="2263" w:type="dxa"/>
            <w:tcBorders>
              <w:top w:val="nil"/>
              <w:left w:val="nil"/>
              <w:bottom w:val="nil"/>
              <w:right w:val="nil"/>
            </w:tcBorders>
          </w:tcPr>
          <w:p w14:paraId="22033ABC" w14:textId="77777777" w:rsidR="00C65FD3" w:rsidRDefault="00C65FD3">
            <w:pPr>
              <w:spacing w:before="120" w:after="120"/>
              <w:rPr>
                <w:sz w:val="18"/>
              </w:rPr>
            </w:pPr>
          </w:p>
        </w:tc>
        <w:tc>
          <w:tcPr>
            <w:tcW w:w="4111" w:type="dxa"/>
            <w:tcBorders>
              <w:top w:val="nil"/>
              <w:left w:val="nil"/>
              <w:bottom w:val="nil"/>
              <w:right w:val="nil"/>
            </w:tcBorders>
            <w:hideMark/>
          </w:tcPr>
          <w:p w14:paraId="70F10121" w14:textId="77777777" w:rsidR="00C65FD3" w:rsidRDefault="00C65FD3">
            <w:pPr>
              <w:spacing w:before="120" w:after="120"/>
              <w:rPr>
                <w:color w:val="00B050"/>
              </w:rPr>
            </w:pPr>
            <w:r>
              <w:rPr>
                <w:color w:val="00B050"/>
              </w:rPr>
              <w:t>Negative user identity / underage kids</w:t>
            </w:r>
          </w:p>
        </w:tc>
        <w:tc>
          <w:tcPr>
            <w:tcW w:w="1423" w:type="dxa"/>
            <w:tcBorders>
              <w:top w:val="nil"/>
              <w:left w:val="nil"/>
              <w:bottom w:val="nil"/>
              <w:right w:val="nil"/>
            </w:tcBorders>
            <w:vAlign w:val="center"/>
          </w:tcPr>
          <w:p w14:paraId="68C55016" w14:textId="77777777" w:rsidR="00C65FD3" w:rsidRDefault="00C65FD3">
            <w:pPr>
              <w:spacing w:before="120" w:after="120"/>
              <w:jc w:val="center"/>
              <w:rPr>
                <w:sz w:val="18"/>
              </w:rPr>
            </w:pPr>
          </w:p>
        </w:tc>
        <w:tc>
          <w:tcPr>
            <w:tcW w:w="1134" w:type="dxa"/>
            <w:tcBorders>
              <w:top w:val="nil"/>
              <w:left w:val="nil"/>
              <w:bottom w:val="nil"/>
              <w:right w:val="nil"/>
            </w:tcBorders>
            <w:vAlign w:val="center"/>
            <w:hideMark/>
          </w:tcPr>
          <w:p w14:paraId="749E5AFE" w14:textId="77777777" w:rsidR="00C65FD3" w:rsidRDefault="00C65FD3">
            <w:pPr>
              <w:spacing w:before="120" w:after="120"/>
              <w:jc w:val="center"/>
              <w:rPr>
                <w:color w:val="00B050"/>
                <w:sz w:val="18"/>
              </w:rPr>
            </w:pPr>
            <w:r>
              <w:rPr>
                <w:color w:val="00B050"/>
                <w:sz w:val="18"/>
                <w:szCs w:val="18"/>
              </w:rPr>
              <w:sym w:font="Wingdings" w:char="F0FC"/>
            </w:r>
          </w:p>
        </w:tc>
      </w:tr>
      <w:tr w:rsidR="00C65FD3" w14:paraId="57746557" w14:textId="77777777" w:rsidTr="00C65FD3">
        <w:trPr>
          <w:trHeight w:val="239"/>
        </w:trPr>
        <w:tc>
          <w:tcPr>
            <w:tcW w:w="2263" w:type="dxa"/>
            <w:tcBorders>
              <w:top w:val="nil"/>
              <w:left w:val="nil"/>
              <w:bottom w:val="nil"/>
              <w:right w:val="nil"/>
            </w:tcBorders>
          </w:tcPr>
          <w:p w14:paraId="2F233C08" w14:textId="77777777" w:rsidR="00C65FD3" w:rsidRDefault="00C65FD3">
            <w:pPr>
              <w:spacing w:before="120" w:after="120"/>
              <w:rPr>
                <w:sz w:val="18"/>
              </w:rPr>
            </w:pPr>
          </w:p>
        </w:tc>
        <w:tc>
          <w:tcPr>
            <w:tcW w:w="4111" w:type="dxa"/>
            <w:tcBorders>
              <w:top w:val="nil"/>
              <w:left w:val="nil"/>
              <w:bottom w:val="nil"/>
              <w:right w:val="nil"/>
            </w:tcBorders>
            <w:hideMark/>
          </w:tcPr>
          <w:p w14:paraId="75C2D525" w14:textId="77777777" w:rsidR="00C65FD3" w:rsidRDefault="00C65FD3">
            <w:pPr>
              <w:spacing w:before="120" w:after="120"/>
              <w:rPr>
                <w:color w:val="00B050"/>
                <w:sz w:val="20"/>
              </w:rPr>
            </w:pPr>
            <w:r>
              <w:rPr>
                <w:color w:val="00B050"/>
              </w:rPr>
              <w:t>Positive non-user identity / clued up</w:t>
            </w:r>
          </w:p>
        </w:tc>
        <w:tc>
          <w:tcPr>
            <w:tcW w:w="1423" w:type="dxa"/>
            <w:tcBorders>
              <w:top w:val="nil"/>
              <w:left w:val="nil"/>
              <w:bottom w:val="nil"/>
              <w:right w:val="nil"/>
            </w:tcBorders>
            <w:vAlign w:val="center"/>
          </w:tcPr>
          <w:p w14:paraId="4E77EF44" w14:textId="77777777" w:rsidR="00C65FD3" w:rsidRDefault="00C65FD3">
            <w:pPr>
              <w:spacing w:before="120" w:after="120"/>
              <w:jc w:val="center"/>
              <w:rPr>
                <w:sz w:val="20"/>
              </w:rPr>
            </w:pPr>
          </w:p>
        </w:tc>
        <w:tc>
          <w:tcPr>
            <w:tcW w:w="1134" w:type="dxa"/>
            <w:tcBorders>
              <w:top w:val="nil"/>
              <w:left w:val="nil"/>
              <w:bottom w:val="nil"/>
              <w:right w:val="nil"/>
            </w:tcBorders>
            <w:vAlign w:val="center"/>
            <w:hideMark/>
          </w:tcPr>
          <w:p w14:paraId="6A22E33C" w14:textId="77777777" w:rsidR="00C65FD3" w:rsidRDefault="00C65FD3">
            <w:pPr>
              <w:spacing w:before="120" w:after="120"/>
              <w:jc w:val="center"/>
              <w:rPr>
                <w:color w:val="00B050"/>
                <w:sz w:val="20"/>
              </w:rPr>
            </w:pPr>
            <w:r>
              <w:rPr>
                <w:color w:val="00B050"/>
                <w:sz w:val="18"/>
                <w:szCs w:val="18"/>
              </w:rPr>
              <w:sym w:font="Wingdings" w:char="F0FC"/>
            </w:r>
          </w:p>
        </w:tc>
      </w:tr>
      <w:tr w:rsidR="00C65FD3" w14:paraId="449BA68F" w14:textId="77777777" w:rsidTr="00C65FD3">
        <w:trPr>
          <w:trHeight w:val="239"/>
        </w:trPr>
        <w:tc>
          <w:tcPr>
            <w:tcW w:w="2263" w:type="dxa"/>
            <w:tcBorders>
              <w:top w:val="nil"/>
              <w:left w:val="nil"/>
              <w:bottom w:val="single" w:sz="4" w:space="0" w:color="auto"/>
              <w:right w:val="nil"/>
            </w:tcBorders>
          </w:tcPr>
          <w:p w14:paraId="27608DB4" w14:textId="77777777" w:rsidR="00C65FD3" w:rsidRDefault="00C65FD3">
            <w:pPr>
              <w:spacing w:before="120" w:after="120"/>
              <w:rPr>
                <w:sz w:val="18"/>
              </w:rPr>
            </w:pPr>
          </w:p>
        </w:tc>
        <w:tc>
          <w:tcPr>
            <w:tcW w:w="4111" w:type="dxa"/>
            <w:tcBorders>
              <w:top w:val="nil"/>
              <w:left w:val="nil"/>
              <w:bottom w:val="single" w:sz="4" w:space="0" w:color="auto"/>
              <w:right w:val="nil"/>
            </w:tcBorders>
            <w:hideMark/>
          </w:tcPr>
          <w:p w14:paraId="3E28F6BA" w14:textId="77777777" w:rsidR="00C65FD3" w:rsidRDefault="00C65FD3">
            <w:pPr>
              <w:spacing w:before="120" w:after="120"/>
              <w:rPr>
                <w:color w:val="00B050"/>
              </w:rPr>
            </w:pPr>
            <w:r>
              <w:rPr>
                <w:color w:val="00B050"/>
              </w:rPr>
              <w:t xml:space="preserve">Positive traditional drug user identity </w:t>
            </w:r>
          </w:p>
        </w:tc>
        <w:tc>
          <w:tcPr>
            <w:tcW w:w="1423" w:type="dxa"/>
            <w:tcBorders>
              <w:top w:val="nil"/>
              <w:left w:val="nil"/>
              <w:bottom w:val="single" w:sz="4" w:space="0" w:color="auto"/>
              <w:right w:val="nil"/>
            </w:tcBorders>
            <w:vAlign w:val="center"/>
          </w:tcPr>
          <w:p w14:paraId="448E0A39" w14:textId="77777777" w:rsidR="00C65FD3" w:rsidRDefault="00C65FD3">
            <w:pPr>
              <w:spacing w:before="120" w:after="120"/>
              <w:jc w:val="center"/>
              <w:rPr>
                <w:sz w:val="20"/>
              </w:rPr>
            </w:pPr>
          </w:p>
        </w:tc>
        <w:tc>
          <w:tcPr>
            <w:tcW w:w="1134" w:type="dxa"/>
            <w:tcBorders>
              <w:top w:val="nil"/>
              <w:left w:val="nil"/>
              <w:bottom w:val="single" w:sz="4" w:space="0" w:color="auto"/>
              <w:right w:val="nil"/>
            </w:tcBorders>
            <w:vAlign w:val="center"/>
            <w:hideMark/>
          </w:tcPr>
          <w:p w14:paraId="182AFF95" w14:textId="77777777" w:rsidR="00C65FD3" w:rsidRDefault="00C65FD3">
            <w:pPr>
              <w:spacing w:before="120" w:after="120"/>
              <w:jc w:val="center"/>
              <w:rPr>
                <w:color w:val="00B050"/>
                <w:sz w:val="18"/>
                <w:szCs w:val="18"/>
              </w:rPr>
            </w:pPr>
            <w:r>
              <w:rPr>
                <w:color w:val="00B050"/>
                <w:sz w:val="18"/>
                <w:szCs w:val="18"/>
              </w:rPr>
              <w:sym w:font="Wingdings" w:char="F0FC"/>
            </w:r>
          </w:p>
        </w:tc>
      </w:tr>
      <w:tr w:rsidR="00C65FD3" w14:paraId="3D8A9DA1" w14:textId="77777777" w:rsidTr="00C65FD3">
        <w:trPr>
          <w:trHeight w:val="282"/>
        </w:trPr>
        <w:tc>
          <w:tcPr>
            <w:tcW w:w="2263" w:type="dxa"/>
            <w:tcBorders>
              <w:top w:val="single" w:sz="4" w:space="0" w:color="auto"/>
              <w:left w:val="nil"/>
              <w:bottom w:val="nil"/>
              <w:right w:val="nil"/>
            </w:tcBorders>
            <w:hideMark/>
          </w:tcPr>
          <w:p w14:paraId="225194F7" w14:textId="77777777" w:rsidR="00C65FD3" w:rsidRDefault="00C65FD3">
            <w:pPr>
              <w:spacing w:before="120" w:after="120"/>
              <w:rPr>
                <w:sz w:val="18"/>
              </w:rPr>
            </w:pPr>
            <w:r>
              <w:rPr>
                <w:b/>
                <w:szCs w:val="24"/>
              </w:rPr>
              <w:t>Authority</w:t>
            </w:r>
          </w:p>
        </w:tc>
        <w:tc>
          <w:tcPr>
            <w:tcW w:w="4111" w:type="dxa"/>
            <w:tcBorders>
              <w:top w:val="single" w:sz="4" w:space="0" w:color="auto"/>
              <w:left w:val="nil"/>
              <w:bottom w:val="nil"/>
              <w:right w:val="nil"/>
            </w:tcBorders>
            <w:hideMark/>
          </w:tcPr>
          <w:p w14:paraId="2ECC997B" w14:textId="77777777" w:rsidR="00C65FD3" w:rsidRDefault="00C65FD3">
            <w:pPr>
              <w:spacing w:before="120" w:after="120"/>
              <w:rPr>
                <w:color w:val="00B050"/>
              </w:rPr>
            </w:pPr>
            <w:r>
              <w:rPr>
                <w:color w:val="00B050"/>
              </w:rPr>
              <w:t>Parents disapprove of use</w:t>
            </w:r>
          </w:p>
        </w:tc>
        <w:tc>
          <w:tcPr>
            <w:tcW w:w="1423" w:type="dxa"/>
            <w:tcBorders>
              <w:top w:val="single" w:sz="4" w:space="0" w:color="auto"/>
              <w:left w:val="nil"/>
              <w:bottom w:val="nil"/>
              <w:right w:val="nil"/>
            </w:tcBorders>
            <w:vAlign w:val="center"/>
          </w:tcPr>
          <w:p w14:paraId="7A28BDAD" w14:textId="77777777" w:rsidR="00C65FD3" w:rsidRDefault="00C65FD3">
            <w:pPr>
              <w:spacing w:before="120" w:after="120"/>
              <w:jc w:val="center"/>
              <w:rPr>
                <w:color w:val="00B050"/>
                <w:sz w:val="18"/>
              </w:rPr>
            </w:pPr>
          </w:p>
        </w:tc>
        <w:tc>
          <w:tcPr>
            <w:tcW w:w="1134" w:type="dxa"/>
            <w:tcBorders>
              <w:top w:val="single" w:sz="4" w:space="0" w:color="auto"/>
              <w:left w:val="nil"/>
              <w:bottom w:val="nil"/>
              <w:right w:val="nil"/>
            </w:tcBorders>
            <w:vAlign w:val="center"/>
            <w:hideMark/>
          </w:tcPr>
          <w:p w14:paraId="08018652" w14:textId="77777777" w:rsidR="00C65FD3" w:rsidRDefault="00C65FD3">
            <w:pPr>
              <w:spacing w:before="120" w:after="120"/>
              <w:jc w:val="center"/>
              <w:rPr>
                <w:color w:val="00B050"/>
                <w:sz w:val="18"/>
              </w:rPr>
            </w:pPr>
            <w:r>
              <w:rPr>
                <w:color w:val="00B050"/>
                <w:sz w:val="18"/>
                <w:szCs w:val="18"/>
              </w:rPr>
              <w:sym w:font="Wingdings" w:char="F0FC"/>
            </w:r>
          </w:p>
        </w:tc>
      </w:tr>
      <w:tr w:rsidR="00C65FD3" w14:paraId="6006E1FC" w14:textId="77777777" w:rsidTr="00C65FD3">
        <w:trPr>
          <w:trHeight w:val="282"/>
        </w:trPr>
        <w:tc>
          <w:tcPr>
            <w:tcW w:w="2263" w:type="dxa"/>
            <w:tcBorders>
              <w:top w:val="nil"/>
              <w:left w:val="nil"/>
              <w:bottom w:val="single" w:sz="4" w:space="0" w:color="auto"/>
              <w:right w:val="nil"/>
            </w:tcBorders>
          </w:tcPr>
          <w:p w14:paraId="09CDF8EA" w14:textId="77777777" w:rsidR="00C65FD3" w:rsidRDefault="00C65FD3">
            <w:pPr>
              <w:spacing w:before="120" w:after="120"/>
              <w:rPr>
                <w:sz w:val="18"/>
              </w:rPr>
            </w:pPr>
          </w:p>
        </w:tc>
        <w:tc>
          <w:tcPr>
            <w:tcW w:w="4111" w:type="dxa"/>
            <w:tcBorders>
              <w:top w:val="nil"/>
              <w:left w:val="nil"/>
              <w:bottom w:val="single" w:sz="4" w:space="0" w:color="auto"/>
              <w:right w:val="nil"/>
            </w:tcBorders>
            <w:hideMark/>
          </w:tcPr>
          <w:p w14:paraId="3DD2F12A" w14:textId="77777777" w:rsidR="00C65FD3" w:rsidRDefault="00C65FD3">
            <w:pPr>
              <w:spacing w:before="120" w:after="120"/>
              <w:rPr>
                <w:color w:val="00B050"/>
              </w:rPr>
            </w:pPr>
            <w:r>
              <w:rPr>
                <w:color w:val="00B050"/>
              </w:rPr>
              <w:t>Authority figures disapprove of use</w:t>
            </w:r>
          </w:p>
        </w:tc>
        <w:tc>
          <w:tcPr>
            <w:tcW w:w="1423" w:type="dxa"/>
            <w:tcBorders>
              <w:top w:val="nil"/>
              <w:left w:val="nil"/>
              <w:bottom w:val="single" w:sz="4" w:space="0" w:color="auto"/>
              <w:right w:val="nil"/>
            </w:tcBorders>
            <w:vAlign w:val="center"/>
          </w:tcPr>
          <w:p w14:paraId="607AAF06" w14:textId="77777777" w:rsidR="00C65FD3" w:rsidRDefault="00C65FD3">
            <w:pPr>
              <w:spacing w:before="120" w:after="120"/>
              <w:jc w:val="center"/>
              <w:rPr>
                <w:color w:val="00B050"/>
                <w:sz w:val="18"/>
              </w:rPr>
            </w:pPr>
          </w:p>
        </w:tc>
        <w:tc>
          <w:tcPr>
            <w:tcW w:w="1134" w:type="dxa"/>
            <w:tcBorders>
              <w:top w:val="nil"/>
              <w:left w:val="nil"/>
              <w:bottom w:val="single" w:sz="4" w:space="0" w:color="auto"/>
              <w:right w:val="nil"/>
            </w:tcBorders>
            <w:vAlign w:val="center"/>
            <w:hideMark/>
          </w:tcPr>
          <w:p w14:paraId="5D99600E" w14:textId="77777777" w:rsidR="00C65FD3" w:rsidRDefault="00C65FD3">
            <w:pPr>
              <w:spacing w:before="120" w:after="120"/>
              <w:jc w:val="center"/>
              <w:rPr>
                <w:color w:val="00B050"/>
                <w:sz w:val="18"/>
              </w:rPr>
            </w:pPr>
            <w:r>
              <w:rPr>
                <w:color w:val="00B050"/>
                <w:sz w:val="18"/>
                <w:szCs w:val="18"/>
              </w:rPr>
              <w:sym w:font="Wingdings" w:char="F0FC"/>
            </w:r>
          </w:p>
        </w:tc>
      </w:tr>
    </w:tbl>
    <w:p w14:paraId="031865C7" w14:textId="77777777" w:rsidR="00C65FD3" w:rsidRDefault="00C65FD3" w:rsidP="00C65FD3">
      <w:pPr>
        <w:spacing w:before="120" w:after="0" w:line="240" w:lineRule="auto"/>
        <w:rPr>
          <w:bCs/>
        </w:rPr>
      </w:pPr>
      <w:r>
        <w:rPr>
          <w:bCs/>
        </w:rPr>
        <w:t xml:space="preserve">* denotes novel reason extracted from studies excluded from literature review see Appendix X Table X.X for list of additional studies </w:t>
      </w:r>
    </w:p>
    <w:p w14:paraId="5A0545FA" w14:textId="77777777" w:rsidR="00C65FD3" w:rsidRDefault="00C65FD3" w:rsidP="00C65FD3">
      <w:pPr>
        <w:rPr>
          <w:color w:val="7030A0"/>
        </w:rPr>
      </w:pPr>
      <w:r>
        <w:rPr>
          <w:color w:val="7030A0"/>
        </w:rPr>
        <w:br w:type="page"/>
      </w:r>
    </w:p>
    <w:p w14:paraId="175A7AFE" w14:textId="77777777" w:rsidR="00C65FD3" w:rsidRPr="00F85A3E" w:rsidRDefault="00C65FD3" w:rsidP="00C65FD3">
      <w:pPr>
        <w:spacing w:line="480" w:lineRule="auto"/>
      </w:pPr>
      <w:r w:rsidRPr="00F85A3E">
        <w:t>Morgenstern, 2012; Winstock, Lawn, Deluca, &amp; Borschmann, 2015). These internal influences are very similar to reasons found for why people use traditional illicit drugs (</w:t>
      </w:r>
      <w:r w:rsidRPr="00F85A3E">
        <w:rPr>
          <w:lang w:eastAsia="en-GB"/>
        </w:rPr>
        <w:t xml:space="preserve">Benschop, </w:t>
      </w:r>
      <w:r w:rsidRPr="00F85A3E">
        <w:rPr>
          <w:szCs w:val="24"/>
          <w:lang w:eastAsia="en-GB"/>
        </w:rPr>
        <w:t>Urbán</w:t>
      </w:r>
      <w:r w:rsidRPr="00F85A3E">
        <w:rPr>
          <w:lang w:eastAsia="en-GB"/>
        </w:rPr>
        <w:t xml:space="preserve">, </w:t>
      </w:r>
      <w:r w:rsidRPr="00F85A3E">
        <w:rPr>
          <w:szCs w:val="24"/>
          <w:lang w:eastAsia="en-GB"/>
        </w:rPr>
        <w:t>Kapitány-Fövény</w:t>
      </w:r>
      <w:r w:rsidRPr="00F85A3E">
        <w:rPr>
          <w:lang w:eastAsia="en-GB"/>
        </w:rPr>
        <w:t xml:space="preserve"> et al., 2020</w:t>
      </w:r>
      <w:r w:rsidRPr="00F85A3E">
        <w:t>; Soussan &amp; Kjellgren, 2016) which typically centre on pleasure and enhancement of positive affect, belonging, self-exploration, coping, habit and addiction (e.g. Boys, Marsden, &amp; Strang, 2001; Nicholson, Duncan, &amp; White, 2002; Novacek, Raskin, &amp; Hogan, 1991).</w:t>
      </w:r>
    </w:p>
    <w:p w14:paraId="1FD4D23C" w14:textId="113CB0C5" w:rsidR="00C65FD3" w:rsidRPr="00F85A3E" w:rsidRDefault="00C65FD3" w:rsidP="00C65FD3">
      <w:pPr>
        <w:spacing w:line="480" w:lineRule="auto"/>
      </w:pPr>
      <w:r w:rsidRPr="00F85A3E">
        <w:t xml:space="preserve">In contrast, external circumstantial factors such as price, legal status, availability or non-detectability in screening tests are those which typically differentiate NPS use from the use of classic illicit drugs (Deligianni et al., 2019). With the exception of avoiding positive drug tests, these factors were all relevant to young people’s explanations of NPS use. The avoidance of detection in drug tests is most strongly related socially marginalised problem-drug users and the use of synthetic cannabinoids (e.g. Assi, Marshall, Bersani et al., 2020; Felvinczi, Benshop, Urban et al., 2019). </w:t>
      </w:r>
      <w:r w:rsidR="00655D83" w:rsidRPr="00F85A3E">
        <w:t>As</w:t>
      </w:r>
      <w:r w:rsidRPr="00F85A3E">
        <w:t xml:space="preserve"> young people in this research were not engaging in problematic drug use, </w:t>
      </w:r>
      <w:r w:rsidR="00655D83" w:rsidRPr="00F85A3E">
        <w:t>it is not surprising that they were not motivated to avoid drug screening.</w:t>
      </w:r>
    </w:p>
    <w:p w14:paraId="16927AD2" w14:textId="77777777" w:rsidR="00C65FD3" w:rsidRPr="00F85A3E" w:rsidRDefault="00C65FD3" w:rsidP="00C65FD3">
      <w:pPr>
        <w:spacing w:line="480" w:lineRule="auto"/>
      </w:pPr>
      <w:r w:rsidRPr="00F85A3E">
        <w:t>Nor is it surprising that the easy accessibility of NPS emerged as a key factor in participants explanations of NPS use. In previous research, the easy accessibly of NPS is emphasised in more studies, across more countries and contexts, than any other reason. In other words, while easy availability and low price are important for understanding NPS use, they are not uniquely important for this population. Despite being heavily emphasised their discussions, participants did not consider accessibility to be the most influential driver for NPS use. Instead, in line with other research, participants regarded other motives to be of greater importance than accessibility (Johnston et al., 2016; Palamar et al., 2020; Sande, 2016; Soussan and Kjellgren, 2016), in particular social influences, coping, and the desire for pleasurable experiences.</w:t>
      </w:r>
    </w:p>
    <w:p w14:paraId="0C7E7560" w14:textId="77777777" w:rsidR="00C65FD3" w:rsidRPr="00F85A3E" w:rsidRDefault="00C65FD3" w:rsidP="00C65FD3">
      <w:pPr>
        <w:spacing w:line="480" w:lineRule="auto"/>
      </w:pPr>
      <w:r w:rsidRPr="00F85A3E">
        <w:t>The influence of accessibility may not be uniquely important to young people, but their relationship with legality does appear unique compared with other key user groups. Although the legal status of NPS appears to be an important consideration for socially marginalised users (see Chapter 4), for most recreational users, the legal status of NPS seems to be of little importance (McElrath &amp; O’Neill, 2010; Measham, 2010; Soussan &amp; Kjellgren, 2016). In contrast, in the current context the legal status of NPS was considered to be a significant motivation for NPS use for young recreational users.</w:t>
      </w:r>
    </w:p>
    <w:p w14:paraId="6A69A85B" w14:textId="77777777" w:rsidR="00C65FD3" w:rsidRPr="00F85A3E" w:rsidRDefault="00C65FD3" w:rsidP="00C65FD3">
      <w:pPr>
        <w:spacing w:line="480" w:lineRule="auto"/>
      </w:pPr>
      <w:r w:rsidRPr="00F85A3E">
        <w:t xml:space="preserve">In support of the assumptions presented in official reports (e.g. ACMD, 2015; HM Government, 2011) young people related the apparent legal status of NPS with both perceptions of safety and a desire to avoid trouble with authority. In contrast to studies of problem drug-users that emphasise undesirable legal repercussions (Barratt et al., 2013; Perrone et al., 2013) participants here framed the negative consequences of illegal drug use as incurring the disapproval or discipline of parents and guardians. Since these negative consequences were said to be easy to avoid, this implies that for the young people central to this research the associations between legality and safety were of greater significance. </w:t>
      </w:r>
    </w:p>
    <w:p w14:paraId="726CAC02" w14:textId="77777777" w:rsidR="00C65FD3" w:rsidRPr="00F85A3E" w:rsidRDefault="00C65FD3" w:rsidP="00C65FD3">
      <w:pPr>
        <w:spacing w:line="480" w:lineRule="auto"/>
      </w:pPr>
      <w:r w:rsidRPr="00F85A3E">
        <w:t xml:space="preserve">The link between legality of a drug and perceptions of its safety is complex. While many recreational users of NPS do not associate legal status with low risk (Deligianni et al., 2017), the perception that legality implies safety has been observed amongst some recreational users (Schifano et al., 2006; Schifano et al., 2009; Corazza et al., 2010; Corazza et al., 2012; Davies et al., 2010; Ramsey et al., 2010). Findings from several studies show that for experienced drug users the link between legal status and perceived safety is often mediated by perceptions of quality (McElrath &amp; O’Neill, 2011; Van Hout &amp; Brennan, 2011). In these studies, legal status was thought to imply the reliable manufacturing of unadulterated substances with high purity and consistent quality, thus enabling more accurate and safer dosing. The quality of NPS has consistently been found to be an important consideration for recreational drug users (see Chapter 4). However, for the relatively drug naïve young people in the present research, the quality of substances did not emerge as an important motivator for use, and there was a notable absence of quality considerations in their discussions. </w:t>
      </w:r>
    </w:p>
    <w:p w14:paraId="05931FFC" w14:textId="77777777" w:rsidR="00A34BAD" w:rsidRPr="00F85A3E" w:rsidRDefault="00C65FD3" w:rsidP="00A34BAD">
      <w:pPr>
        <w:pStyle w:val="NormalWeb"/>
        <w:spacing w:before="0" w:beforeAutospacing="0" w:after="0" w:afterAutospacing="0"/>
      </w:pPr>
      <w:r w:rsidRPr="00F85A3E">
        <w:t>The general naivety of the participants may also explain why they did not refer to enhancement motives (see Table 9.1) or using NPS to manage drug use. Although participants considered the enhancement of positive affect as key for understanding NPS use, their descriptions of affect-based incentives centered on generalised descriptions of pleasure and enjoyment rather than the more detailed descriptions of experiential effects found in recent studies with more experienced drug users (</w:t>
      </w:r>
      <w:r w:rsidRPr="00F85A3E">
        <w:rPr>
          <w:lang w:eastAsia="en-GB"/>
        </w:rPr>
        <w:t xml:space="preserve">Benschop, Urbán, Kapitány-Fövény et al., 2020; </w:t>
      </w:r>
      <w:r w:rsidRPr="00F85A3E">
        <w:t>Soussan, Andersson &amp; Kjellgren, 2018; Soussan &amp; Kjellgren, 2016).</w:t>
      </w:r>
    </w:p>
    <w:p w14:paraId="6D3D3E1C" w14:textId="783EC4CF" w:rsidR="00C65FD3" w:rsidRPr="00F85A3E" w:rsidRDefault="00C65FD3" w:rsidP="00A34BAD">
      <w:pPr>
        <w:pStyle w:val="NormalWeb"/>
        <w:spacing w:before="0" w:beforeAutospacing="0" w:after="0" w:afterAutospacing="0"/>
      </w:pPr>
      <w:r w:rsidRPr="00F85A3E">
        <w:t xml:space="preserve">What does appear to be distinctive about young people in comparison to the user-groups identified in the NPS evidence base, however, are the reasons that emerged in this research which were not strongly associated with any of the user-groups. Specifically, reasons related to authority to identity, and the strong emphasis on social conformity (i.e. peer pressure and social acceptability).  </w:t>
      </w:r>
    </w:p>
    <w:p w14:paraId="61849FB9" w14:textId="77777777" w:rsidR="00C65FD3" w:rsidRDefault="00C65FD3" w:rsidP="00575857">
      <w:pPr>
        <w:pStyle w:val="Heading3"/>
      </w:pPr>
      <w:r>
        <w:t>Authority</w:t>
      </w:r>
    </w:p>
    <w:p w14:paraId="37F0573F" w14:textId="77777777" w:rsidR="00C65FD3" w:rsidRDefault="00C65FD3" w:rsidP="00C65FD3">
      <w:pPr>
        <w:spacing w:line="480" w:lineRule="auto"/>
        <w:rPr>
          <w:szCs w:val="24"/>
        </w:rPr>
      </w:pPr>
      <w:r>
        <w:rPr>
          <w:szCs w:val="24"/>
        </w:rPr>
        <w:t>Young people’s relationship to authority emerged as a prominent feature within the studies conducted as part of this research, with the disapproval of authority figures presented as a frequent concern for young people. This draws attention to the specific context in which young people’s drug-taking behaviour occurs. Young people are significantly more likely to be living with their parents than older adults, with 66% of 15-25-year-olds living in their parental home (ONS, 2017). While young people’s behaviour is more strongly influenced by their peers than older adults, parental opinions continue to be important to them (Commendador, 2010; Galotti &amp; Mark, 1994).</w:t>
      </w:r>
    </w:p>
    <w:p w14:paraId="1A4FD9F7" w14:textId="77777777" w:rsidR="00C65FD3" w:rsidRDefault="00C65FD3" w:rsidP="00C65FD3">
      <w:pPr>
        <w:spacing w:line="480" w:lineRule="auto"/>
        <w:rPr>
          <w:szCs w:val="24"/>
        </w:rPr>
      </w:pPr>
      <w:r>
        <w:rPr>
          <w:szCs w:val="24"/>
        </w:rPr>
        <w:t xml:space="preserve">As noted above, young people’s relationship with authority seems to be an important factor for understanding their attitudes toward the legal status of substances. However, another important aspect of young people’s relationship with authority seems to be reactance against authority. This tendency to rebel against restriction was considered here to be related to their sense of autonomy, and perceived threats to their autonomy. Participants in the research emphasised the importance of offering young people an informed choice, and </w:t>
      </w:r>
      <w:r>
        <w:t xml:space="preserve">consistently warned of the danger of triggering reactance if young people feel they are being told what to do. The endorsement of individual rights to engage in risky behaviour such as drug use has been shown to increase during adolescence (Flanagan et al., 2008), which suggests that young people’s sense of autonomy may feel threatened by overly authoritative approaches to NPS intervention. This highlights the possibility of interventions inadvertently inciting NPS use with the use of overtly authoritative methods. The risk of reactance emphasises the need to work with young people to find acceptable approaches to intervention. The young people in this research emphasised the importance of a non-judgemental perspective, treating young people’s decisions with respect and offering people an informed choice. </w:t>
      </w:r>
    </w:p>
    <w:p w14:paraId="0469968D" w14:textId="77777777" w:rsidR="00C65FD3" w:rsidRDefault="00C65FD3" w:rsidP="00575857">
      <w:pPr>
        <w:pStyle w:val="Heading3"/>
      </w:pPr>
      <w:r>
        <w:t xml:space="preserve">Social influences </w:t>
      </w:r>
    </w:p>
    <w:p w14:paraId="61C14D14" w14:textId="77777777" w:rsidR="00C65FD3" w:rsidRDefault="00C65FD3" w:rsidP="00C65FD3">
      <w:pPr>
        <w:spacing w:line="480" w:lineRule="auto"/>
      </w:pPr>
      <w:r>
        <w:t xml:space="preserve">The role of social influences in NPS use was strongly emphasised in this research, and social motives were described as most important to young people. This contrasts with previous studies of NPS use where social reasons were not strongly highlighted. This is likely to be due to age as previous research has tended to focus on broader age ranges with higher average ages. Adolescence and young adulthood are known to be a time when people are more susceptible to social influences (Costanzo &amp; Shaw, 1966; Hoving, Hamm, &amp; Galvin, 1969) and research shows that adolescents are more likely to engage in drug use when they are with their peers than alone (Dishion &amp; Tipsord, 2011; Gardner &amp; Steinberg, 2005; Simons-Morton, Lerner, &amp; Singer, 2005). Young people framed social motives as both a desire to avoid rejection and a desire to gain approval which corresponds with research that shows that adolescents are both sensitive to rejection by their peers (Peake, Dishion, Stormshak, Moore, &amp; Pfeifer, 2013; Sebastian et al., 2011; Somerville, 2013) and strongly value being accepted by their peer group. (Knoll, Magis-weinberg, Speekenbrink et al., 2015). Participants thought social influences were most likely to be in conflict with risk perceptions and therefore presented the greatest challenge to intervention effectiveness (See Chapter 8). </w:t>
      </w:r>
    </w:p>
    <w:p w14:paraId="4FB6D866" w14:textId="77777777" w:rsidR="00C65FD3" w:rsidRDefault="00C65FD3" w:rsidP="00C65FD3">
      <w:pPr>
        <w:spacing w:line="480" w:lineRule="auto"/>
      </w:pPr>
      <w:r>
        <w:t xml:space="preserve">The increased emphasis placed on social influences after the ban appeared to an artefact of the apparent convergence of NPS with illicit drug markets, as prior to the ban NPS use was distinguished from use of illicit drugs as a niche activity, whereas after the ban NPS was framed as part of normal drug culture. The pervasiveness of drug use which was described by young people as something everyone does, suggests that perceived social norms around NPS use may have been strongly affected by the ban. That social norms influence behaviour is well established by research (e.g. Cialdini &amp; Trost, 1998), so the apparent shift in descriptive norms from a niche activity to normal behaviour could encourage the use of drugs containing NPS. Although the framing of NPS as part of normal behaviour amongst young people’s peers appears to conflict with the apparent move away from NPS, it is important to note that NPS consist of a wide range of substances, and while more highly visible products such as spice may be discriminated against, other substances containing NPS may be part of the normal repertoire amongst particular drug sub-cultures (e.g. clubbers). </w:t>
      </w:r>
    </w:p>
    <w:p w14:paraId="34989C9E" w14:textId="77777777" w:rsidR="00C65FD3" w:rsidRDefault="00C65FD3" w:rsidP="00575857">
      <w:pPr>
        <w:pStyle w:val="Heading3"/>
      </w:pPr>
      <w:r>
        <w:t xml:space="preserve">Identity </w:t>
      </w:r>
    </w:p>
    <w:p w14:paraId="5DBD31E3" w14:textId="77777777" w:rsidR="00C65FD3" w:rsidRDefault="00C65FD3" w:rsidP="00C65FD3">
      <w:pPr>
        <w:spacing w:line="480" w:lineRule="auto"/>
      </w:pPr>
      <w:r>
        <w:t>Identity was a key theme within the current research, which contrasts with previous research examining users’ reasons for using NPS. Although the emphasis on identity may have been related to the inclusion of focus group questions based on the PWM which asked about typical users of NPS, nevertheless young people’s perceptions of users and non-users provided important insights into social processes related to NPS.</w:t>
      </w:r>
    </w:p>
    <w:p w14:paraId="3E2FBF29" w14:textId="106C11B4" w:rsidR="00C65FD3" w:rsidRDefault="00C65FD3" w:rsidP="00C65FD3">
      <w:pPr>
        <w:spacing w:line="480" w:lineRule="auto"/>
      </w:pPr>
      <w:r>
        <w:t xml:space="preserve">Identity concerns may be especially relevant to young people as identity formation is a key developmental task in adolescence and young adulthood (e.g., Erikson, 1968) and young people are more </w:t>
      </w:r>
      <w:r>
        <w:rPr>
          <w:color w:val="000000"/>
          <w:shd w:val="clear" w:color="auto" w:fill="FFFFFF"/>
        </w:rPr>
        <w:t>heavily influenced by perceptions of peer identities than older adults (e.g., Berndt, 1979; Brown, Clasen &amp; Eicher, 1986). Young people’s perceptions of people who typically engage in a behaviour (i.e. typical NPS users) are thought to influence their own behaviour through the assumption that others may evaluate them as sharing characteristics associated with the target behaviour (Gerrard, Gibbons, Stock, Lune, &amp; Cleveland, 2005).</w:t>
      </w:r>
      <w:r>
        <w:t xml:space="preserve"> Although identity was not a dominant theme in the initial study conducted prior to the ban, change to young people’s perceptions of NPS users demonstrated the greatest differences pre- and post-ban. </w:t>
      </w:r>
      <w:r>
        <w:rPr>
          <w:color w:val="000000"/>
          <w:shd w:val="clear" w:color="auto" w:fill="FFFFFF"/>
        </w:rPr>
        <w:t xml:space="preserve">Prior to the ban young people associated NPS use with three types of users; underage children, young people from affluent backgrounds, and homeless street users. In addition, young people frequently noted a lack of user stereotypes, which they presented as enabling anyone to use them. Following the ban, however, young people appeared to exclusively associate NPS use with homeless users who were typically described as ‘zombies’. </w:t>
      </w:r>
      <w:r>
        <w:t>This led to the proposition that for young people, the increased visibility of homeless users offered important social cues about the harmfulness and desirability of NPS. The close association between young people’s perception of users and media depictions of NPS users (Alexandrescu 2010; Blackman &amp; Bradley, 2017) suggests that the media has played an important role in shaping their attitudes towards NPS users, and potentially contributed to changes in patterns of NPS use.</w:t>
      </w:r>
    </w:p>
    <w:p w14:paraId="54C9EDC4" w14:textId="77777777" w:rsidR="00E15329" w:rsidRDefault="00E15329" w:rsidP="00575857">
      <w:pPr>
        <w:pStyle w:val="Heading3"/>
      </w:pPr>
      <w:r>
        <w:t>Legal status</w:t>
      </w:r>
    </w:p>
    <w:p w14:paraId="61B35291" w14:textId="77777777" w:rsidR="00E15329" w:rsidRDefault="00E15329" w:rsidP="00E15329">
      <w:pPr>
        <w:spacing w:line="480" w:lineRule="auto"/>
      </w:pPr>
      <w:r>
        <w:t>Much of the concern about NPS rested on the assumption that young people used NPS because of their legal status (</w:t>
      </w:r>
      <w:r w:rsidRPr="00794944">
        <w:rPr>
          <w:rStyle w:val="NotesstructureChar"/>
          <w:color w:val="auto"/>
        </w:rPr>
        <w:t>e.g. ACMD, 2011; HM Government, 2010; 2016</w:t>
      </w:r>
      <w:r>
        <w:rPr>
          <w:rStyle w:val="NotesstructureChar"/>
        </w:rPr>
        <w:t>)</w:t>
      </w:r>
      <w:r>
        <w:t xml:space="preserve">. However, previous research on users’ motives indicated that legal status was not of primary importance to recreational users. Within the studies conducted as part of this research project, the perceived legal status of NPS was seen to be a central concern for the young people involved. Although they felt that some young people (i.e. existing illicit drug users) were unconcerned with the legal status of substances, the consensus was that legal status was an important reason why young people used NPS. </w:t>
      </w:r>
    </w:p>
    <w:p w14:paraId="377360C3" w14:textId="77777777" w:rsidR="00E15329" w:rsidRDefault="00E15329" w:rsidP="00E15329">
      <w:pPr>
        <w:spacing w:line="480" w:lineRule="auto"/>
      </w:pPr>
      <w:r>
        <w:t xml:space="preserve">Legal status was linked to perceptions about health consequences and punitive consequences.  For the use of NPS, before the ban, the perceived lack of punitive consequences was presented by young people as an important reason for use. In previous studies, however, concerns about punitive consequences were mostly salient in studies examining users with problematic drug use (Barratt et. al., 2013; Bonar et. al., 2014; Castellanos et. al., 2011; Every-Palmer, 2011; Perrone et al., 2013; Rees et. al., 2015). For the problem drug users studied, typically drawn from treatment settings, legally available NPS appeared to offer a way to evade institutional regulations and avoid positive drug tests. While these motives may not be relevant to young people in the general population, the commonality may be a higher perceived level of monitoring by those in authority. </w:t>
      </w:r>
      <w:r>
        <w:rPr>
          <w:szCs w:val="24"/>
        </w:rPr>
        <w:t xml:space="preserve">For young people living at home or in institutional settings (e.g. halls of residence), the legal status of NPS may have provided an </w:t>
      </w:r>
      <w:r>
        <w:t xml:space="preserve">important justification for their use. </w:t>
      </w:r>
    </w:p>
    <w:p w14:paraId="6053FBBE" w14:textId="77777777" w:rsidR="00E15329" w:rsidRDefault="00E15329" w:rsidP="00E15329">
      <w:pPr>
        <w:spacing w:line="480" w:lineRule="auto"/>
      </w:pPr>
      <w:r>
        <w:t>This research also confirmed that young people do appear to associate legal status with perceptions of safety due to the misperception that legal products are regulated and tested. This is in contrast with findings for older, more experienced drug users who appear less likely to associate legal status with safety (Corazza et al., 2014; Norman et al., 2014). Consequently, young drug naïve users appear to be particularly at risk of underestimating the health risks associated with NPS use due to the association of legal status with low potency and perceptions of safety.</w:t>
      </w:r>
    </w:p>
    <w:p w14:paraId="10ED9F3D" w14:textId="77777777" w:rsidR="00E15329" w:rsidRDefault="00E15329" w:rsidP="00E15329">
      <w:pPr>
        <w:spacing w:line="480" w:lineRule="auto"/>
        <w:rPr>
          <w:szCs w:val="24"/>
        </w:rPr>
      </w:pPr>
      <w:r>
        <w:rPr>
          <w:szCs w:val="24"/>
        </w:rPr>
        <w:t xml:space="preserve">Following the ban, the perceived illicit status of NPS was associated with risk perceptions, and these mostly appeared to relate to perceptions of health risk, and to a lesser extent, a risk of punitive consequences. This suggests that the legal status of NPS may principally operate as a facilitator of use via perceptions of permissiveness, and illicit status as a constraint through perceptions of health risk. This proposition is supported by the observations by young people that drug use is easy to conceal, most people do not get caught, and for recreational drug users, legal status doesn’t matter. </w:t>
      </w:r>
    </w:p>
    <w:p w14:paraId="07029A44" w14:textId="77777777" w:rsidR="00E15329" w:rsidRDefault="00E15329" w:rsidP="00E15329">
      <w:pPr>
        <w:spacing w:line="480" w:lineRule="auto"/>
        <w:rPr>
          <w:szCs w:val="24"/>
        </w:rPr>
      </w:pPr>
      <w:r>
        <w:rPr>
          <w:szCs w:val="24"/>
        </w:rPr>
        <w:t xml:space="preserve">However, the extent to which the apparent decline in NPS use following the ban might be attributable to the direct influence on young people’s cognition is unclear, as risk perceptions did not appear to differ significantly following the ban, and participants believed that many young people were unaware of the change in legal status. Consequently, it seems likely that the primary influence of legal status is indirect, via availability </w:t>
      </w:r>
      <w:r>
        <w:t xml:space="preserve">(McElrath &amp; O'Neill, 2010; Measham, 2010). Prior to the ban, accessibility was emphasised by participants as the main reason young people use NPS. The importance of accessibility does not appear to be unique to young people, as accessibility has been cited as the primary reason for use in the majority of previous studies looking at people’s motives for using NPS.  </w:t>
      </w:r>
    </w:p>
    <w:p w14:paraId="09E4D189" w14:textId="77777777" w:rsidR="00E15329" w:rsidRDefault="00E15329" w:rsidP="00575857">
      <w:pPr>
        <w:pStyle w:val="Heading3"/>
      </w:pPr>
      <w:r>
        <w:t xml:space="preserve">Coping </w:t>
      </w:r>
    </w:p>
    <w:p w14:paraId="2A473C67" w14:textId="77777777" w:rsidR="00E15329" w:rsidRDefault="00E15329" w:rsidP="00E15329">
      <w:pPr>
        <w:spacing w:line="480" w:lineRule="auto"/>
      </w:pPr>
      <w:r>
        <w:t>Although coping motives were strongly associated with homeless users, participants also felt they were relevant to young people, especially young people experiencing pressures related to academic achievement. Before the ban, NPS use was most frequently associated with young people described as academic achievers. It is thought that young people may turn to risky behaviours to help them cope with feelings of failure in important domains including lack of achievement (</w:t>
      </w:r>
      <w:r>
        <w:rPr>
          <w:color w:val="000000"/>
          <w:shd w:val="clear" w:color="auto" w:fill="FFFFFF"/>
        </w:rPr>
        <w:t>Brown et al., 1986). This highlights the importance of considering the wider context of young people’s lives.</w:t>
      </w:r>
    </w:p>
    <w:p w14:paraId="09E507C6" w14:textId="77777777" w:rsidR="00E15329" w:rsidRDefault="00E15329" w:rsidP="00575857">
      <w:pPr>
        <w:pStyle w:val="Heading3"/>
      </w:pPr>
      <w:r>
        <w:t xml:space="preserve">Health </w:t>
      </w:r>
    </w:p>
    <w:p w14:paraId="3267EDEE" w14:textId="77777777" w:rsidR="00E15329" w:rsidRDefault="00E15329" w:rsidP="00E15329">
      <w:pPr>
        <w:spacing w:line="480" w:lineRule="auto"/>
      </w:pPr>
      <w:r>
        <w:t>Young people’s perceptions of health risk were very prominent throughout the current research</w:t>
      </w:r>
      <w:r>
        <w:rPr>
          <w:color w:val="0070C0"/>
        </w:rPr>
        <w:t>.</w:t>
      </w:r>
      <w:r>
        <w:rPr>
          <w:color w:val="000000" w:themeColor="text1"/>
        </w:rPr>
        <w:t xml:space="preserve"> </w:t>
      </w:r>
      <w:r>
        <w:t xml:space="preserve">Perceptions of risk appeared to be specific to NPS, rather than a general assessment of drug harms, as, with the exception of heroin, other psychoactive substances were typically presented as less harmful than NPS. </w:t>
      </w:r>
    </w:p>
    <w:p w14:paraId="581F8360" w14:textId="77777777" w:rsidR="00E15329" w:rsidRDefault="00E15329" w:rsidP="00E15329">
      <w:pPr>
        <w:spacing w:line="480" w:lineRule="auto"/>
      </w:pPr>
      <w:r>
        <w:t xml:space="preserve">In all three studies risk perceptions appeared to be the main driver of NPS avoidance, and although health motives were prominently associated with non-use, both users and non-users were presented as being motivated to protect their health. Displacement from NPS to other substances was mostly framed in relation to the relative health risks of NPS use, and some users of illicit drugs described the unknown risks associated with NPS as off-putting. </w:t>
      </w:r>
      <w:r>
        <w:rPr>
          <w:szCs w:val="24"/>
        </w:rPr>
        <w:t>However, despite the emphasis on health risks, the high potential for displacement indicates a need for caution when highlighting the dangers of NPS. This high potential for negative unintended consequences draws attention to the need for careful targeting of interventions.</w:t>
      </w:r>
    </w:p>
    <w:p w14:paraId="1CEFE016" w14:textId="3010C92A" w:rsidR="00E15329" w:rsidRDefault="00E15329" w:rsidP="00C65FD3">
      <w:pPr>
        <w:spacing w:line="480" w:lineRule="auto"/>
      </w:pPr>
      <w:r>
        <w:t>Nevertheless, r</w:t>
      </w:r>
      <w:r>
        <w:rPr>
          <w:color w:val="000000" w:themeColor="text1"/>
        </w:rPr>
        <w:t xml:space="preserve">isk behaviour is linked to perceptions </w:t>
      </w:r>
      <w:r>
        <w:rPr>
          <w:color w:val="000000" w:themeColor="text1"/>
          <w:szCs w:val="24"/>
        </w:rPr>
        <w:t xml:space="preserve">of risk and </w:t>
      </w:r>
      <w:r>
        <w:rPr>
          <w:color w:val="000000" w:themeColor="text1"/>
          <w:szCs w:val="24"/>
          <w:shd w:val="clear" w:color="auto" w:fill="FFFFFF"/>
        </w:rPr>
        <w:t>improving the accuracy of risk perceptions may reduce the likelihood of risk-taking behaviours</w:t>
      </w:r>
      <w:r>
        <w:rPr>
          <w:color w:val="000000" w:themeColor="text1"/>
        </w:rPr>
        <w:t xml:space="preserve"> (Mills, Reyna, &amp; Estrada, 2008; Spurrier &amp; Blaszczynski, 2014). </w:t>
      </w:r>
      <w:r>
        <w:t>Throughout the research, participants placed a strong emphasis on the bad and unknown ingredients of NPS products. The harmfulness of NPS was associated with a lack of regulation, the unknown nature of ingredients, the use of mixtures and the variability of ingredients and potency. Several young people (including drug users) displayed a natural cynicism toward sellers and a clear distrust of the ‘chemical’ nature of NPS. Young people consulted about the acceptability of interventions strongly endorsed a focus on the harmful chemicals used in NPS and the suspect practices of producers. A focus on unknown, potentially harmful ingredients would, therefore, highlight the distinguishing feature of markets affected by NPS, as well as offering an acceptable approach where young people and interventionists can find common ground.</w:t>
      </w:r>
    </w:p>
    <w:p w14:paraId="48C55EBC" w14:textId="77777777" w:rsidR="00C65FD3" w:rsidRDefault="00C65FD3" w:rsidP="00E15329">
      <w:pPr>
        <w:pStyle w:val="Heading3"/>
      </w:pPr>
      <w:r>
        <w:t>Young people’s diverse motives for NPS use</w:t>
      </w:r>
    </w:p>
    <w:p w14:paraId="56D04024" w14:textId="2BC9CD98" w:rsidR="00C65FD3" w:rsidRPr="00F85A3E" w:rsidRDefault="00C65FD3" w:rsidP="00C65FD3">
      <w:pPr>
        <w:spacing w:line="480" w:lineRule="auto"/>
      </w:pPr>
      <w:r w:rsidRPr="00F85A3E">
        <w:t xml:space="preserve">Another aspect of the current study when seen in comparison to other studies, is the breadth of motives and reasons captured. As previously noted, previous studies tend to focus predominantly on either internal or external reasons for NPS use, whereas in this research the importance of both internal and external influences has been highlighted. One possibility is that for young people without an established drug use trajectory, a wider range of motives may exert an influence on behaviour. Whereas, for users whose drug-behaviour is more embedded, the importance of motives supporting their drug use may have increased, while other influences have become increasingly less relevant. For example, to regular users of traditional illicit drugs, legality and curiosity may initially have had an impact but less so over time, as novelty </w:t>
      </w:r>
      <w:r w:rsidR="006A5E15" w:rsidRPr="00F85A3E">
        <w:t>diminished,</w:t>
      </w:r>
      <w:r w:rsidRPr="00F85A3E">
        <w:t xml:space="preserve"> and an illicit activity became normal. Understanding the full range of motives impacting young people’s NPS behaviour may offer important insights for interventionists as a wider range of motives may offer a greater range of potential intervention targets. </w:t>
      </w:r>
    </w:p>
    <w:p w14:paraId="0E3989DC" w14:textId="77777777" w:rsidR="00C65FD3" w:rsidRPr="00F85A3E" w:rsidRDefault="00C65FD3" w:rsidP="00C65FD3">
      <w:pPr>
        <w:spacing w:line="480" w:lineRule="auto"/>
      </w:pPr>
      <w:r w:rsidRPr="00F85A3E">
        <w:t>Although intrinsic motivations of drug use may well increase in importance as drug use becomes more established, external reasons remain important for understanding NPS consumption (Benschop et al., 2020). Accounting for the influence of both internal and external factors is important for intervention development; because too strong a focus on individual-level factors can obscure the impact of wider factors and consequently de-emphasise the importance of regulatory and structural actions that can address drug harms (Hart et al., 2016). Equally, too strong a focus on external factors may deemphasise the importance of intrinsic enhancement motivations such as pleasure, which may lead to reliance on intervention approaches which fail to connect with people’s personal experiences and desires (Deligianni et al., 2019; Pennay, 2015), this could potentially reduce intervention uptake or inadvertently causing reactance. (Barratt et al., 2014; Crossley, 2002; Gulliver et al., 2010; Rickwood et al., 2005; Soussan et al., 2018; Soussan &amp; Kjellgren, 2019).</w:t>
      </w:r>
    </w:p>
    <w:p w14:paraId="506A7C29" w14:textId="77777777" w:rsidR="00C65FD3" w:rsidRPr="00F85A3E" w:rsidRDefault="00C65FD3" w:rsidP="00E15329">
      <w:pPr>
        <w:pStyle w:val="Heading3"/>
        <w:rPr>
          <w:color w:val="auto"/>
        </w:rPr>
      </w:pPr>
      <w:r w:rsidRPr="00F85A3E">
        <w:rPr>
          <w:color w:val="auto"/>
        </w:rPr>
        <w:t>A model of young people’s motivations for using NPS</w:t>
      </w:r>
    </w:p>
    <w:p w14:paraId="202A166D" w14:textId="77777777" w:rsidR="00C65FD3" w:rsidRPr="00F85A3E" w:rsidRDefault="00C65FD3" w:rsidP="00C65FD3">
      <w:pPr>
        <w:spacing w:line="480" w:lineRule="auto"/>
      </w:pPr>
      <w:r w:rsidRPr="00F85A3E">
        <w:t xml:space="preserve">Creating a model of young people’s motivations that can represent both internal and external influences would offer a useful tool for intervention development. This section outlines the development of such a model based on the analyses of the comparative studies.  </w:t>
      </w:r>
    </w:p>
    <w:p w14:paraId="09AB0BCC" w14:textId="0E59D9FB" w:rsidR="00C65FD3" w:rsidRPr="00F85A3E" w:rsidRDefault="00C65FD3" w:rsidP="00C65FD3">
      <w:pPr>
        <w:spacing w:line="480" w:lineRule="auto"/>
      </w:pPr>
      <w:r w:rsidRPr="00F85A3E">
        <w:t xml:space="preserve">Within the focus group data, references to motivations were distinguished from those expressing reasons through the identification of statements representing goal-directed beliefs (see Chapter 5, section 5.7.6 for a description of the process). Goal-directed beliefs were those which explicitly or implicitly incorporated an expected outcome (Norman, Conner &amp; Stride, 2012; Schunk, Pintrich &amp; Meece, 2008). Outcome expectancies were determined to be either positive (e.g. experience pleasurable effects) or negative (e.g. experience unpleasant effects). Outcome expectancies were grouped into the following motivational domains based on semantic relatedness 1) health, 2) affect, 3) curiosity, 4) social relations, 5) identity, 6), autonomy 7) finances and 8) effort (see Chapter 6, Section 6.4.5 for descriptions of the domains). Reasons were identified as the context-specific cognitions that participants used to explain NPS use (e.g. legal status, education, availability, media representations) (Westaby, 2005; see Chapter 5, Section 5.3.1). Through analysis of the relationships between concepts (e.g. legal status implies NPS are safe to use, therefore no harm will result) a model of the data was created for explaining both use and non-use of NPS (see Appendices </w:t>
      </w:r>
      <w:r w:rsidR="00303E1C" w:rsidRPr="00F85A3E">
        <w:t>E</w:t>
      </w:r>
      <w:r w:rsidRPr="00F85A3E">
        <w:t xml:space="preserve">). A simplified version of the resultant model is presented in Figure 9.1.    </w:t>
      </w:r>
    </w:p>
    <w:p w14:paraId="01F04D6E" w14:textId="77777777" w:rsidR="00C65FD3" w:rsidRPr="00F85A3E" w:rsidRDefault="00C65FD3" w:rsidP="00C65FD3">
      <w:pPr>
        <w:spacing w:line="480" w:lineRule="auto"/>
      </w:pPr>
      <w:r w:rsidRPr="00F85A3E">
        <w:t>The model represents each motivational domain (e.g. social motives) as a type of resource (e.g. social status/capital) which can potentially be threatened or enhanced by aspects of a young person’s context (e.g. peer pressure or opportunity to belong). The model proposes that when faced with a potential loss or gain (e.g. friends’ disapproval or approval), the young person then becomes motivated to act (i.e. use, or not use, NPS) to either enhance or protect a valued resource.</w:t>
      </w:r>
    </w:p>
    <w:p w14:paraId="2C7BF3C0" w14:textId="12F374C1" w:rsidR="00C65FD3" w:rsidRPr="00F85A3E" w:rsidRDefault="00C65FD3" w:rsidP="00C65FD3">
      <w:pPr>
        <w:spacing w:line="480" w:lineRule="auto"/>
      </w:pPr>
      <w:r w:rsidRPr="00F85A3E">
        <w:t xml:space="preserve">The 8 motivational domains are presented as general motivations that interact with wider contextual factors (such as legal status) via norms, attitudes and beliefs (e.g. legality implies safety) to influence outcomes (i.e. take NPS). The domains are presented as general motivations, the same underlying motives were found to explain both NPS use and non-use. In other words, the motivations do not predict NPS use in isolation, rather, interactions between motives and wider factors determine NPS use via proximal psycho-social determinants (i.e. attitudes, beliefs and norms). For example, the motivation to protect their health may drive a young person to use NPS or abstain from use depending on whether they perceive NPS to be high or low risk, or more or less risky than available alternatives (e.g. traditional illicit drugs). The model emphasises the contextual nature of NPS use, as behaviour is presented as an outcome of interactions both within and between domains. For example, a young person might be unlikely to use an NPS at home where caregiver disapproval is salient but intend to use NPS on a night out where their friends’ approval is salient. However, their intention to use NPS could then be placed in conflict with health motives when they are offered an unknown brand of NPS and the unknown risks of an unfamiliar product present a salient threat. </w:t>
      </w:r>
    </w:p>
    <w:p w14:paraId="2A42D176" w14:textId="77777777" w:rsidR="00C65FD3" w:rsidRDefault="00C65FD3" w:rsidP="00C65FD3">
      <w:pPr>
        <w:spacing w:after="0" w:line="480" w:lineRule="auto"/>
        <w:rPr>
          <w:color w:val="7030A0"/>
        </w:rPr>
        <w:sectPr w:rsidR="00C65FD3">
          <w:pgSz w:w="11900" w:h="16840"/>
          <w:pgMar w:top="1418" w:right="1418" w:bottom="1418" w:left="1418" w:header="709" w:footer="709" w:gutter="0"/>
          <w:cols w:space="720"/>
        </w:sectPr>
      </w:pPr>
    </w:p>
    <w:p w14:paraId="6CB16F43" w14:textId="5F351711" w:rsidR="00C65FD3" w:rsidRPr="006A5E15" w:rsidRDefault="00C65FD3" w:rsidP="006A5E15">
      <w:pPr>
        <w:pStyle w:val="FigureHeading"/>
        <w:ind w:left="720"/>
        <w:rPr>
          <w:sz w:val="22"/>
          <w:szCs w:val="20"/>
        </w:rPr>
        <w:sectPr w:rsidR="00C65FD3" w:rsidRPr="006A5E15">
          <w:pgSz w:w="16840" w:h="11900" w:orient="landscape"/>
          <w:pgMar w:top="1418" w:right="1418" w:bottom="1418" w:left="1418" w:header="709" w:footer="709" w:gutter="0"/>
          <w:cols w:space="720"/>
        </w:sectPr>
      </w:pPr>
      <w:r>
        <w:drawing>
          <wp:anchor distT="0" distB="0" distL="114300" distR="114300" simplePos="0" relativeHeight="253742080" behindDoc="1" locked="0" layoutInCell="1" allowOverlap="1" wp14:anchorId="195E5A20" wp14:editId="4C10775D">
            <wp:simplePos x="0" y="0"/>
            <wp:positionH relativeFrom="column">
              <wp:posOffset>332371</wp:posOffset>
            </wp:positionH>
            <wp:positionV relativeFrom="paragraph">
              <wp:posOffset>311637</wp:posOffset>
            </wp:positionV>
            <wp:extent cx="8187070" cy="5509833"/>
            <wp:effectExtent l="0" t="0" r="4445"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87070" cy="5509833"/>
                    </a:xfrm>
                    <a:prstGeom prst="rect">
                      <a:avLst/>
                    </a:prstGeom>
                    <a:noFill/>
                  </pic:spPr>
                </pic:pic>
              </a:graphicData>
            </a:graphic>
            <wp14:sizeRelH relativeFrom="page">
              <wp14:pctWidth>0</wp14:pctWidth>
            </wp14:sizeRelH>
            <wp14:sizeRelV relativeFrom="page">
              <wp14:pctHeight>0</wp14:pctHeight>
            </wp14:sizeRelV>
          </wp:anchor>
        </w:drawing>
      </w:r>
      <w:r>
        <w:t xml:space="preserve">Figure 9.1. Motivational domains model explaining young people’s use and non-use of NPS </w:t>
      </w:r>
      <w:r>
        <w:br/>
      </w:r>
      <w:r>
        <w:br/>
      </w:r>
      <w:r>
        <w:rPr>
          <w:sz w:val="22"/>
          <w:szCs w:val="20"/>
        </w:rPr>
        <w:t xml:space="preserve"> </w:t>
      </w:r>
      <w:r>
        <w:rPr>
          <w:sz w:val="22"/>
          <w:szCs w:val="20"/>
        </w:rPr>
        <w:tab/>
        <w:t xml:space="preserve">Reasons and motives for not taking NPS </w:t>
      </w:r>
      <w:r>
        <w:rPr>
          <w:sz w:val="22"/>
          <w:szCs w:val="20"/>
        </w:rPr>
        <w:tab/>
      </w:r>
      <w:r>
        <w:rPr>
          <w:sz w:val="22"/>
          <w:szCs w:val="20"/>
        </w:rPr>
        <w:tab/>
      </w:r>
      <w:r>
        <w:rPr>
          <w:sz w:val="22"/>
          <w:szCs w:val="20"/>
        </w:rPr>
        <w:tab/>
      </w:r>
      <w:r>
        <w:rPr>
          <w:sz w:val="22"/>
          <w:szCs w:val="20"/>
        </w:rPr>
        <w:tab/>
        <w:t xml:space="preserve">            Reasons and motives for taki</w:t>
      </w:r>
      <w:r w:rsidR="006A5E15">
        <w:rPr>
          <w:sz w:val="22"/>
          <w:szCs w:val="20"/>
        </w:rPr>
        <w:t>ng  NPS</w:t>
      </w:r>
    </w:p>
    <w:p w14:paraId="6E065B5E" w14:textId="77777777" w:rsidR="00C65FD3" w:rsidRPr="00F85A3E" w:rsidRDefault="00C65FD3" w:rsidP="00C65FD3">
      <w:pPr>
        <w:pStyle w:val="Heading3"/>
        <w:tabs>
          <w:tab w:val="left" w:pos="720"/>
        </w:tabs>
        <w:spacing w:line="480" w:lineRule="auto"/>
        <w:rPr>
          <w:color w:val="auto"/>
        </w:rPr>
      </w:pPr>
      <w:bookmarkStart w:id="566" w:name="_Toc35892776"/>
      <w:r w:rsidRPr="00F85A3E">
        <w:rPr>
          <w:color w:val="auto"/>
        </w:rPr>
        <w:t>Viewing NPS use as the outcome of the self-regulatory motivational system</w:t>
      </w:r>
      <w:bookmarkEnd w:id="566"/>
      <w:r w:rsidRPr="00F85A3E">
        <w:rPr>
          <w:color w:val="auto"/>
        </w:rPr>
        <w:t xml:space="preserve"> </w:t>
      </w:r>
    </w:p>
    <w:p w14:paraId="04EC1312" w14:textId="77777777" w:rsidR="00C65FD3" w:rsidRPr="00F85A3E" w:rsidRDefault="00C65FD3" w:rsidP="00C65FD3">
      <w:pPr>
        <w:spacing w:line="480" w:lineRule="auto"/>
      </w:pPr>
      <w:r w:rsidRPr="00F85A3E">
        <w:t xml:space="preserve">In this model, NPS use is depicted as the outcome of a dynamic self-regulatory system that is sensitive to both young people’s cognitions and priorities as well as the wider context which both facilitates and constrains NPS use. Depicting young people’s NPS behaviour in this way offers several advantages. </w:t>
      </w:r>
    </w:p>
    <w:p w14:paraId="6FA45EFF" w14:textId="77777777" w:rsidR="00C65FD3" w:rsidRPr="00F85A3E" w:rsidRDefault="00C65FD3" w:rsidP="00C65FD3">
      <w:pPr>
        <w:spacing w:line="480" w:lineRule="auto"/>
      </w:pPr>
      <w:r w:rsidRPr="00F85A3E">
        <w:t xml:space="preserve">The model frames NPS use as the outcome of normal processes rather than abnormal or deviant behaviour, therefore supporting the perspective that risky adolescent behaviour should be understood as an adaptive evolutionary function rather than maladaptive or dysfunctional (Ellis et al., 2012). </w:t>
      </w:r>
    </w:p>
    <w:p w14:paraId="0FDD4517" w14:textId="77777777" w:rsidR="00C65FD3" w:rsidRPr="00F85A3E" w:rsidRDefault="00C65FD3" w:rsidP="00C65FD3">
      <w:pPr>
        <w:spacing w:line="480" w:lineRule="auto"/>
      </w:pPr>
      <w:r w:rsidRPr="00F85A3E">
        <w:t xml:space="preserve">Representing behaviour as the outcome of dynamic regulatory systems emphasises the importance of processes and interactions, both between motives (self-regulation) and across wider systems (e.g. family dynamics, educational systems, media practices, national and international regulatory systems). From an intervention perspective, this draws attention to the possibility of capitalising on the synergies and conflicts within interconnected systems and the potential benefit of multi-dimensional, multi-level approaches. In this way, the model offers support for approaches to substance use that are holistic, multidimensional, non-judgemental and culturally sensitive (Stevens &amp; Forrest, 2018; Van Hout, Crowley, O’Dea et al., 2019). It also offers a framework for appreciating the intertwined relationship between the risks and the benefits of NPS use, thereby offering accounts which could better resonate with drug users and consequently make prevention messages more acceptable and credible </w:t>
      </w:r>
      <w:bookmarkStart w:id="567" w:name="_Hlk35444971"/>
      <w:r w:rsidRPr="00F85A3E">
        <w:t>(Pennay, 2015</w:t>
      </w:r>
      <w:bookmarkEnd w:id="567"/>
      <w:r w:rsidRPr="00F85A3E">
        <w:t xml:space="preserve">). </w:t>
      </w:r>
    </w:p>
    <w:p w14:paraId="36B03EED" w14:textId="77777777" w:rsidR="00C65FD3" w:rsidRPr="00F85A3E" w:rsidRDefault="00C65FD3" w:rsidP="00C65FD3">
      <w:pPr>
        <w:spacing w:line="480" w:lineRule="auto"/>
      </w:pPr>
      <w:r w:rsidRPr="00F85A3E">
        <w:t xml:space="preserve">If young people’s behaviour is a product of the balance between several motivations, then the more motivations synergistically engaged to influence the balance towards a desired outcome the better. Similarly, focusing on the conflicts between motivational systems could reveal beneficial disruptions that also favour the desired outcome, as well as exposing counterproductive disruptions that may produce iatrogenic effects. </w:t>
      </w:r>
    </w:p>
    <w:p w14:paraId="226ACD16" w14:textId="77777777" w:rsidR="00C65FD3" w:rsidRPr="00F85A3E" w:rsidRDefault="00C65FD3" w:rsidP="00C65FD3">
      <w:pPr>
        <w:spacing w:line="480" w:lineRule="auto"/>
      </w:pPr>
      <w:r w:rsidRPr="00F85A3E">
        <w:t xml:space="preserve">For example, overly authoritative approaches to health intervention and those which fail to sufficiently acknowledge peoples’ own perspectives can be vulnerable to “boomerang effects” that inadvertently encourage the behaviour they aim to prevent (Crossley, 2002; Gulliver et al., 2010; Rickwood et al., 2005). Drug prevention interventions are particularly susceptible to iatrogenic effects (Barratt et al., 2014; Soussan et al., 2018) which have been explained as a result of psychological reactance (Crossley, 2002). Reactance is said to occur when interventions are perceived as a threat to an individual’s freedom. The perceived threat results in resistance and internal pressure to re-establish the lost freedom through rebelling or acting in opposition to the intervention efforts (Soussan &amp; Kjellgren, 2019). </w:t>
      </w:r>
    </w:p>
    <w:p w14:paraId="764A874D" w14:textId="77777777" w:rsidR="00C65FD3" w:rsidRPr="00F85A3E" w:rsidRDefault="00C65FD3" w:rsidP="00C65FD3">
      <w:pPr>
        <w:spacing w:line="480" w:lineRule="auto"/>
      </w:pPr>
      <w:r w:rsidRPr="00F85A3E">
        <w:t xml:space="preserve">Researchers have acknowledged the need to remain alert to conditions that trigger reactance and promote the importance of intervention approaches that are autonomy-supportive and acknowledge the users own perspective (Soussan and Kjellgren, 2016). However, autonomy motives are rarely given equal status in explanations of NPS use, despite autonomy being recognised as a fundamental human motivation essential for supporting people’s well-being and self-determination (Deci &amp; Ryan, 2008; Ryan &amp; Deci, 2000). </w:t>
      </w:r>
    </w:p>
    <w:p w14:paraId="24358BA9" w14:textId="77777777" w:rsidR="00C65FD3" w:rsidRPr="00F85A3E" w:rsidRDefault="00C65FD3" w:rsidP="00C65FD3">
      <w:pPr>
        <w:spacing w:line="480" w:lineRule="auto"/>
      </w:pPr>
      <w:r w:rsidRPr="00F85A3E">
        <w:t xml:space="preserve">While it has been recognised that people’s substance choices can be motivated by a desire to avoid stigmatised identities (McElrath &amp; O’Neill, 2011) discussions around NPS use rarely draw upon identity motives. </w:t>
      </w:r>
    </w:p>
    <w:p w14:paraId="235EEA8D" w14:textId="6E3BC723" w:rsidR="00C65FD3" w:rsidRPr="00E15329" w:rsidRDefault="00C65FD3" w:rsidP="00E15329">
      <w:pPr>
        <w:spacing w:line="480" w:lineRule="auto"/>
        <w:rPr>
          <w:color w:val="7030A0"/>
        </w:rPr>
      </w:pPr>
      <w:r w:rsidRPr="00F85A3E">
        <w:t xml:space="preserve">Similarly, it is well recognised that accessibly is one of the most commonly endorsed reasons for NPS use and a key factor for explaining choices between substances. As the impacts of legislative efforts demonstrate, accessibility is not a simple independent variable but a dynamic player in complex system interacting with a person’s needs, vulnerabilities, capacities and priorities (e.g. interactions between availability, coping motives and SES). Typically, accessibly is presented as an external factor, but this model explains how accessibility is translated into internal motivations to protect or expend valued financial and energetic resources. </w:t>
      </w:r>
    </w:p>
    <w:p w14:paraId="729CC9B5" w14:textId="77777777" w:rsidR="00C65FD3" w:rsidRDefault="00C65FD3" w:rsidP="00C65FD3">
      <w:pPr>
        <w:pStyle w:val="Heading3"/>
        <w:tabs>
          <w:tab w:val="left" w:pos="720"/>
        </w:tabs>
      </w:pPr>
      <w:bookmarkStart w:id="568" w:name="_Toc9509009"/>
      <w:bookmarkStart w:id="569" w:name="_Toc9328589"/>
      <w:bookmarkStart w:id="570" w:name="_Toc35892777"/>
      <w:r>
        <w:t>Potential intervention targets and method</w:t>
      </w:r>
      <w:bookmarkEnd w:id="568"/>
      <w:bookmarkEnd w:id="569"/>
      <w:bookmarkEnd w:id="570"/>
      <w:r>
        <w:t xml:space="preserve"> </w:t>
      </w:r>
    </w:p>
    <w:p w14:paraId="03F324E3" w14:textId="77777777" w:rsidR="00C65FD3" w:rsidRDefault="00C65FD3" w:rsidP="00C65FD3">
      <w:pPr>
        <w:spacing w:line="480" w:lineRule="auto"/>
      </w:pPr>
      <w:r>
        <w:t xml:space="preserve">The following section discusses possible intervention targets and the methods highlighted by participants as the most suitable and relevant. </w:t>
      </w:r>
    </w:p>
    <w:p w14:paraId="21DABCF5" w14:textId="77777777" w:rsidR="00C65FD3" w:rsidRDefault="00C65FD3" w:rsidP="00C65FD3">
      <w:pPr>
        <w:pStyle w:val="Heading4"/>
        <w:tabs>
          <w:tab w:val="left" w:pos="720"/>
        </w:tabs>
      </w:pPr>
      <w:r>
        <w:t xml:space="preserve">A focus on unknown ingredients </w:t>
      </w:r>
    </w:p>
    <w:p w14:paraId="5F8FC816" w14:textId="77777777" w:rsidR="00C65FD3" w:rsidRDefault="00C65FD3" w:rsidP="00C65FD3">
      <w:pPr>
        <w:spacing w:line="480" w:lineRule="auto"/>
      </w:pPr>
      <w:r>
        <w:t xml:space="preserve">In the current conditions, we are faced with a choice. Firstly, drug prevention interventions can be targeted at specific types of NPS distinguished by their common name as perceived by users (e.g. spice, black mamba, clockwork orange). Secondly, drug prevention activities can focus on illicit drugs more generally, such as addressing the developmental risk factors of psychoactive substance use or updating school curricula to include examples of common NPS. Thirdly, interventions can target young people’s awareness of the legal status of NPS and the implementation of the PS Act. Or fourthly, interventionists can shift to a focus on approaches that address the increased diversity of psychoactive substances now found within recreational drug markets as a result of the emergence of NPS.  </w:t>
      </w:r>
    </w:p>
    <w:p w14:paraId="29FBDFF7" w14:textId="77777777" w:rsidR="00C65FD3" w:rsidRDefault="00C65FD3" w:rsidP="00C65FD3">
      <w:pPr>
        <w:spacing w:line="480" w:lineRule="auto"/>
      </w:pPr>
      <w:r>
        <w:t xml:space="preserve">The current research project set out to explore young people’s beliefs about NPS with the aim of informing drug prevention interventions, and during the course of the research young people referred to several specific substances that could offer potential targets for intervention (see Chapter 6, Section 6.5.3; Chapter 7, Section 7.6; Chapter 8, Section 8.4.8). The named NPS products identified by participants in the studies were three brands of synthetic cannabinoids, of which, ‘spice’ is well recognised and is reported to be in continued use following the ban. However, it is unclear whether spice is continuing to be used within the population of interest within this research (i.e. for recreational use by young people). Although synthetic cannabinoids were initially associated with recreational use (Vandrey et al., 2012) spice consumption has become increasingly associated with problematic drug use in marginalised groups such as the homeless and prison inmates (Bonar, Ashrafioun, &amp; Ilgen 2014; Scottish Prisoner Survey, 2017; User Voice, 2016). Participants’ discussions reflected these changes, with more participants in the earliest studies describing their own negative experiences with spice than the later groups, where spice was largely presented as a drug associated with homeless users. </w:t>
      </w:r>
    </w:p>
    <w:p w14:paraId="3ECBD6C1" w14:textId="77777777" w:rsidR="00C65FD3" w:rsidRDefault="00C65FD3" w:rsidP="00C65FD3">
      <w:pPr>
        <w:spacing w:line="480" w:lineRule="auto"/>
      </w:pPr>
      <w:r>
        <w:t xml:space="preserve">While the problems associated with spice and similar synthetic cannabinoids need to be addressed, the findings of this research indicate that for young people in the general population, the greater issue is the unknown nature of many recreational substances, the variability of ingredients and the growing sales of drug mixtures. </w:t>
      </w:r>
    </w:p>
    <w:p w14:paraId="2CFA83A7" w14:textId="77777777" w:rsidR="00C65FD3" w:rsidRDefault="00C65FD3" w:rsidP="00C65FD3">
      <w:pPr>
        <w:spacing w:line="480" w:lineRule="auto"/>
      </w:pPr>
      <w:bookmarkStart w:id="571" w:name="_Toc9237226"/>
      <w:bookmarkStart w:id="572" w:name="_Toc9237483"/>
      <w:bookmarkStart w:id="573" w:name="_Toc9258120"/>
      <w:bookmarkEnd w:id="571"/>
      <w:bookmarkEnd w:id="572"/>
      <w:bookmarkEnd w:id="573"/>
      <w:r>
        <w:t>For interventionists or as an intervention focus, the advantage of a focus on ingredients and production practices is that it can avoid moralistic or overly authoritative approaches. Evidence from the evaluation of illicit drug interventions demonstrates that approaches focused on ethical or moral aspects of decision-making are ineffective and can have counterproductive effects (UNODC, 2018). Participants also highlighted the importance of a non-judgemental approach, which research confirms to be more effective and acceptable to participants (James, 2011; Novakovic, Rutter, Ainsworth, et al., 2016; UNODC, 2018).</w:t>
      </w:r>
    </w:p>
    <w:p w14:paraId="219979D5" w14:textId="77777777" w:rsidR="00C65FD3" w:rsidRDefault="00C65FD3" w:rsidP="00C65FD3">
      <w:pPr>
        <w:spacing w:line="480" w:lineRule="auto"/>
        <w:rPr>
          <w:szCs w:val="24"/>
        </w:rPr>
      </w:pPr>
      <w:r>
        <w:t xml:space="preserve">However, information about harmful ingredients and production methods mustn't be presented as stand-alone information, as the use of stand-alone information is not recommended for drug interventions (ACMD, 2015; EMCDDA, 2011; HM Government, 2017; Mentor-ADEPIS, 2014; UNODC, 2018). Evidence from several reviews and studies shows that </w:t>
      </w:r>
      <w:r>
        <w:rPr>
          <w:szCs w:val="24"/>
        </w:rPr>
        <w:t>information provision alone is an ineffective form of drug intervention (</w:t>
      </w:r>
      <w:r>
        <w:t>Brotherhood et. al, 2013; EMCDDA, 2011; James, 2011; Novakovic, Rutter, Ainsworth, et al., 2016; UNODC, 2018)</w:t>
      </w:r>
      <w:r>
        <w:rPr>
          <w:szCs w:val="24"/>
        </w:rPr>
        <w:t xml:space="preserve"> and has been associated with counterproductive iatrogenic effects (EMCDDA, 2011).</w:t>
      </w:r>
    </w:p>
    <w:p w14:paraId="17E3A3E4" w14:textId="77777777" w:rsidR="00C65FD3" w:rsidRDefault="00C65FD3" w:rsidP="00C65FD3">
      <w:pPr>
        <w:pStyle w:val="Heading4"/>
        <w:tabs>
          <w:tab w:val="left" w:pos="720"/>
        </w:tabs>
      </w:pPr>
      <w:r>
        <w:t>Web-based and social media</w:t>
      </w:r>
    </w:p>
    <w:p w14:paraId="13132E8F" w14:textId="77777777" w:rsidR="00C65FD3" w:rsidRDefault="00C65FD3" w:rsidP="00C65FD3">
      <w:pPr>
        <w:spacing w:line="480" w:lineRule="auto"/>
        <w:rPr>
          <w:szCs w:val="24"/>
        </w:rPr>
      </w:pPr>
      <w:r>
        <w:t xml:space="preserve">The role of social media was increasingly emphasised by participants as a forum where young people learn about drugs, as well as a setting where dealers engage with consumers. Consequently, young people in the acceptability study believed that social media would be the </w:t>
      </w:r>
      <w:r>
        <w:rPr>
          <w:szCs w:val="24"/>
        </w:rPr>
        <w:t>most appropriate setting for an intervention. The use of mass media is not recommended for stand-alone information provision in drug prevention (EMCDDA, 2011; HM Government, 2017; NICE, 2017; UNODC, 2018) as there is strong evidence that demonstrates that stand-alone mass media campaigns are ineffective and can be harmful (Brotherhood et. al, 2013; EMCDDA, 2011; UNODC, 2018). In contrast, other</w:t>
      </w:r>
      <w:r>
        <w:t xml:space="preserve"> evidence shows that media promotions can be effective when they strongly connect with existing drug prevention programmes</w:t>
      </w:r>
      <w:r>
        <w:rPr>
          <w:szCs w:val="24"/>
        </w:rPr>
        <w:t xml:space="preserve"> (EMCDDA, 2011; UNODC, 2018). </w:t>
      </w:r>
      <w:r>
        <w:t xml:space="preserve">Although evidence for the effectiveness of web-based approaches remains quite limited and some studies have found inconsistent effects (Novakovic, Rutter, Ainsworth, et al., 2016) they are optimistically promoted with calls for more research into their efficacy (EMCDDA, 2011; NICE, 2017). Web and mobile-based approaches to drug prevention are generally considered distinct from mass media campaigns if they are interactive and more specifically targeted. The significant advantage offered by web-based approaches is their potential for selective targeting combined with a far reach. They also have the advantage of offering privacy and confidentiality, factors which may be especially important for engaging with users or potential users of illicit drugs. Although web-based approaches may exclude some of the most vulnerable groups who do not have good access to the internet, they have shown positive effects with recreational users (EMCDDA, 2011) and there is also some evidence that they can improve contact with some at-risk groups (Novakovic, Rutter, Ainsworth, et al., 2016).  </w:t>
      </w:r>
    </w:p>
    <w:p w14:paraId="61EDD76C" w14:textId="77777777" w:rsidR="00C65FD3" w:rsidRDefault="00C65FD3" w:rsidP="00C65FD3">
      <w:pPr>
        <w:pStyle w:val="Heading3"/>
        <w:tabs>
          <w:tab w:val="left" w:pos="720"/>
        </w:tabs>
      </w:pPr>
      <w:bookmarkStart w:id="574" w:name="_Toc9509010"/>
      <w:bookmarkStart w:id="575" w:name="_Toc9328590"/>
      <w:bookmarkStart w:id="576" w:name="_Toc35892778"/>
      <w:r>
        <w:t>Theories of young people’s NPS behaviour</w:t>
      </w:r>
      <w:bookmarkEnd w:id="574"/>
      <w:bookmarkEnd w:id="575"/>
      <w:bookmarkEnd w:id="576"/>
      <w:r>
        <w:t xml:space="preserve"> </w:t>
      </w:r>
    </w:p>
    <w:p w14:paraId="7C6E4244" w14:textId="77777777" w:rsidR="00C65FD3" w:rsidRDefault="00C65FD3" w:rsidP="00C65FD3">
      <w:pPr>
        <w:pStyle w:val="Notesstructure"/>
        <w:spacing w:line="480" w:lineRule="auto"/>
        <w:rPr>
          <w:color w:val="auto"/>
        </w:rPr>
      </w:pPr>
      <w:r>
        <w:rPr>
          <w:color w:val="auto"/>
        </w:rPr>
        <w:t xml:space="preserve">A key aim of this research project was the identification of theory suitable for use in the development of NPS interventions. Of the five social cognition models identified as candidates and used in the development of the research (see Chapter 4, Section 4.5), young people’s NPS behaviour appears to be best explained by the theory of planned behaviour (TPB), and an optimal model would potentially be offered by an adapted combination of the two extensions of the TPB; behavioural reasoning theory (BRT) and prototype willingness model (PWM) along with the inclusion of a measure of self-efficacy. </w:t>
      </w:r>
    </w:p>
    <w:p w14:paraId="2CF12A75" w14:textId="77777777" w:rsidR="00C65FD3" w:rsidRDefault="00C65FD3" w:rsidP="00C65FD3">
      <w:pPr>
        <w:pStyle w:val="Notesstructure"/>
        <w:spacing w:line="480" w:lineRule="auto"/>
        <w:rPr>
          <w:color w:val="auto"/>
        </w:rPr>
      </w:pPr>
      <w:r>
        <w:rPr>
          <w:color w:val="auto"/>
        </w:rPr>
        <w:t>The TPB was considered to be a more suitable model to use to understand young people’s NPS behaviour than the two health-based models as the range of motives identified in Study 1 indicated that a good model would need to consider more than health-based cognitions and health motivations. However, the potential for young people’s health motives to conflict with hedonistic motives (i.e. knowing NPS can be harmful but wanting to get high anyway) indicated that the cognitive attitude and affective attitude constructs of the TPB would be best separated into independent constructs. Similarly, the strong potential for peer approval to conflict with parent disapproval (i.e. wanting to fit in with friends but knowing parents would disapprove) indicted that the TPB social norms construct would also be best separated, to allow the influence of parent/carers and the influence of peers to act independently. In addition, the inclusion of a measure of self-efficacy was recommended to capture an aspect of young people’s desire or capacity for autonomy. As the analysis in Study 1 also emphasised the importance of context-specific reasons for understanding young people’s NPS choices, the use of BRT was recommended as BRT</w:t>
      </w:r>
      <w:r>
        <w:rPr>
          <w:color w:val="auto"/>
          <w:szCs w:val="24"/>
        </w:rPr>
        <w:t xml:space="preserve"> also includes model constructs that account for context-specific influences (see Chapter 5).</w:t>
      </w:r>
    </w:p>
    <w:p w14:paraId="3AF698CE" w14:textId="77003179" w:rsidR="00C65FD3" w:rsidRDefault="00C65FD3" w:rsidP="00C65FD3">
      <w:pPr>
        <w:pStyle w:val="Notesstructure"/>
        <w:spacing w:line="480" w:lineRule="auto"/>
        <w:rPr>
          <w:color w:val="auto"/>
        </w:rPr>
      </w:pPr>
      <w:r>
        <w:rPr>
          <w:color w:val="auto"/>
        </w:rPr>
        <w:t>However, the analysis in Study 2 also highlighted the significance of young people’s perceptions of user types in shaping their beliefs and attitudes about NPS, leading to the proposition of a social pathway much like the social reaction path described by the PWM. Consequently, a combination of both models augmented with self-efficacy is recommended to guide intervention development. A schematic illustrating the suggested model constructs and their relationships is shown in Figure 9</w:t>
      </w:r>
      <w:r w:rsidR="00E15329">
        <w:rPr>
          <w:color w:val="auto"/>
        </w:rPr>
        <w:t>.2</w:t>
      </w:r>
      <w:r>
        <w:rPr>
          <w:color w:val="auto"/>
        </w:rPr>
        <w:t xml:space="preserve">. </w:t>
      </w:r>
      <w:bookmarkStart w:id="577" w:name="_Hlk35701632"/>
      <w:bookmarkStart w:id="578" w:name="_Hlk35698943"/>
      <w:r>
        <w:rPr>
          <w:color w:val="auto"/>
        </w:rPr>
        <w:t xml:space="preserve">   </w:t>
      </w:r>
    </w:p>
    <w:p w14:paraId="2150E98F" w14:textId="77777777" w:rsidR="00C65FD3" w:rsidRDefault="00C65FD3" w:rsidP="00C65FD3">
      <w:pPr>
        <w:spacing w:after="0" w:line="480" w:lineRule="auto"/>
        <w:sectPr w:rsidR="00C65FD3">
          <w:pgSz w:w="11900" w:h="16840"/>
          <w:pgMar w:top="1418" w:right="1418" w:bottom="1418" w:left="1418" w:header="709" w:footer="709" w:gutter="0"/>
          <w:cols w:space="720"/>
        </w:sectPr>
      </w:pPr>
    </w:p>
    <w:p w14:paraId="381CDACE" w14:textId="77777777" w:rsidR="00C65FD3" w:rsidRDefault="00C65FD3" w:rsidP="00C65FD3">
      <w:pPr>
        <w:pStyle w:val="FigureHeading"/>
      </w:pPr>
      <w:bookmarkStart w:id="579" w:name="_Toc9509142"/>
      <w:bookmarkEnd w:id="577"/>
      <w:bookmarkEnd w:id="578"/>
      <w:r>
        <w:t>Figure 9.2. Social cognitive model constructs mapped onto to young people’s motives, beliefs and reasons for using or not using NPS</w:t>
      </w:r>
      <w:bookmarkEnd w:id="579"/>
      <w:r>
        <w:t xml:space="preserve"> </w:t>
      </w:r>
    </w:p>
    <w:p w14:paraId="4602F218" w14:textId="552F111E" w:rsidR="00C65FD3" w:rsidRDefault="00C65FD3" w:rsidP="00C65FD3">
      <w:pPr>
        <w:rPr>
          <w:b/>
        </w:rPr>
      </w:pPr>
      <w:r>
        <w:rPr>
          <w:noProof/>
        </w:rPr>
        <mc:AlternateContent>
          <mc:Choice Requires="wpg">
            <w:drawing>
              <wp:anchor distT="0" distB="0" distL="114300" distR="114300" simplePos="0" relativeHeight="253734912" behindDoc="0" locked="0" layoutInCell="1" allowOverlap="1" wp14:anchorId="53B449AD" wp14:editId="6C7810F2">
                <wp:simplePos x="0" y="0"/>
                <wp:positionH relativeFrom="column">
                  <wp:posOffset>3175</wp:posOffset>
                </wp:positionH>
                <wp:positionV relativeFrom="paragraph">
                  <wp:posOffset>661035</wp:posOffset>
                </wp:positionV>
                <wp:extent cx="8938260" cy="4429760"/>
                <wp:effectExtent l="0" t="0" r="0" b="0"/>
                <wp:wrapNone/>
                <wp:docPr id="95" name="Group 95"/>
                <wp:cNvGraphicFramePr/>
                <a:graphic xmlns:a="http://schemas.openxmlformats.org/drawingml/2006/main">
                  <a:graphicData uri="http://schemas.microsoft.com/office/word/2010/wordprocessingGroup">
                    <wpg:wgp>
                      <wpg:cNvGrpSpPr/>
                      <wpg:grpSpPr>
                        <a:xfrm>
                          <a:off x="0" y="0"/>
                          <a:ext cx="8938260" cy="4429760"/>
                          <a:chOff x="0" y="0"/>
                          <a:chExt cx="8938770" cy="4429760"/>
                        </a:xfrm>
                      </wpg:grpSpPr>
                      <wpg:grpSp>
                        <wpg:cNvPr id="872" name="Group 872"/>
                        <wpg:cNvGrpSpPr/>
                        <wpg:grpSpPr>
                          <a:xfrm>
                            <a:off x="7947536" y="1873647"/>
                            <a:ext cx="991234" cy="621663"/>
                            <a:chOff x="7947536" y="1873650"/>
                            <a:chExt cx="1111384" cy="607437"/>
                          </a:xfrm>
                        </wpg:grpSpPr>
                        <wps:wsp>
                          <wps:cNvPr id="1007" name="Rectangle 1007"/>
                          <wps:cNvSpPr/>
                          <wps:spPr>
                            <a:xfrm>
                              <a:off x="7994509" y="1881556"/>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08" name="TextBox 23"/>
                          <wps:cNvSpPr txBox="1"/>
                          <wps:spPr>
                            <a:xfrm>
                              <a:off x="7947536" y="1873650"/>
                              <a:ext cx="1111384" cy="607437"/>
                            </a:xfrm>
                            <a:prstGeom prst="rect">
                              <a:avLst/>
                            </a:prstGeom>
                            <a:noFill/>
                          </wps:spPr>
                          <wps:txbx>
                            <w:txbxContent>
                              <w:p w14:paraId="23C42433" w14:textId="77777777" w:rsidR="00777EE0" w:rsidRDefault="00777EE0" w:rsidP="00C65FD3">
                                <w:pPr>
                                  <w:jc w:val="center"/>
                                  <w:rPr>
                                    <w:szCs w:val="24"/>
                                  </w:rPr>
                                </w:pPr>
                                <w:r>
                                  <w:rPr>
                                    <w:b/>
                                    <w:bCs/>
                                    <w:color w:val="000000" w:themeColor="text1"/>
                                    <w:kern w:val="24"/>
                                  </w:rPr>
                                  <w:t>NPS use or non-use</w:t>
                                </w:r>
                              </w:p>
                            </w:txbxContent>
                          </wps:txbx>
                          <wps:bodyPr wrap="square" rtlCol="0">
                            <a:spAutoFit/>
                          </wps:bodyPr>
                        </wps:wsp>
                      </wpg:grpSp>
                      <wps:wsp>
                        <wps:cNvPr id="873" name="Rectangle: Rounded Corners 873"/>
                        <wps:cNvSpPr/>
                        <wps:spPr>
                          <a:xfrm>
                            <a:off x="3587448" y="3838108"/>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 name="Rectangle: Rounded Corners 874"/>
                        <wps:cNvSpPr/>
                        <wps:spPr>
                          <a:xfrm>
                            <a:off x="3584937" y="2550233"/>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5" name="Rectangle: Rounded Corners 875"/>
                        <wps:cNvSpPr/>
                        <wps:spPr>
                          <a:xfrm>
                            <a:off x="3587449" y="320134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76" name="Group 876"/>
                        <wpg:cNvGrpSpPr/>
                        <wpg:grpSpPr>
                          <a:xfrm>
                            <a:off x="3587448" y="1267038"/>
                            <a:ext cx="1108158" cy="388116"/>
                            <a:chOff x="3587448" y="1267038"/>
                            <a:chExt cx="1208439" cy="494951"/>
                          </a:xfrm>
                        </wpg:grpSpPr>
                        <wps:wsp>
                          <wps:cNvPr id="1005" name="Rectangle: Rounded Corners 1005"/>
                          <wps:cNvSpPr/>
                          <wps:spPr>
                            <a:xfrm>
                              <a:off x="3587448" y="1267038"/>
                              <a:ext cx="1208439" cy="49495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6" name="TextBox 216"/>
                          <wps:cNvSpPr txBox="1"/>
                          <wps:spPr>
                            <a:xfrm>
                              <a:off x="3686336" y="1313490"/>
                              <a:ext cx="1010659" cy="333622"/>
                            </a:xfrm>
                            <a:prstGeom prst="rect">
                              <a:avLst/>
                            </a:prstGeom>
                            <a:noFill/>
                          </wps:spPr>
                          <wps:bodyPr wrap="square" rtlCol="0">
                            <a:spAutoFit/>
                          </wps:bodyPr>
                        </wps:wsp>
                      </wpg:grpSp>
                      <wpg:grpSp>
                        <wpg:cNvPr id="877" name="Group 877"/>
                        <wpg:cNvGrpSpPr/>
                        <wpg:grpSpPr>
                          <a:xfrm>
                            <a:off x="3584936" y="1909322"/>
                            <a:ext cx="1172371" cy="388116"/>
                            <a:chOff x="3584936" y="1909322"/>
                            <a:chExt cx="1278463" cy="494951"/>
                          </a:xfrm>
                        </wpg:grpSpPr>
                        <wps:wsp>
                          <wps:cNvPr id="1003" name="Rectangle: Rounded Corners 1003"/>
                          <wps:cNvSpPr/>
                          <wps:spPr>
                            <a:xfrm>
                              <a:off x="3584936" y="1909322"/>
                              <a:ext cx="1208439" cy="494951"/>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4" name="TextBox 223"/>
                          <wps:cNvSpPr txBox="1"/>
                          <wps:spPr>
                            <a:xfrm>
                              <a:off x="3584936" y="1951805"/>
                              <a:ext cx="1278463" cy="333622"/>
                            </a:xfrm>
                            <a:prstGeom prst="rect">
                              <a:avLst/>
                            </a:prstGeom>
                            <a:noFill/>
                          </wps:spPr>
                          <wps:bodyPr wrap="square" rtlCol="0">
                            <a:spAutoFit/>
                          </wps:bodyPr>
                        </wps:wsp>
                      </wpg:grpSp>
                      <wps:wsp>
                        <wps:cNvPr id="878" name="Rectangle: Rounded Corners 878"/>
                        <wps:cNvSpPr/>
                        <wps:spPr>
                          <a:xfrm>
                            <a:off x="3579626" y="638444"/>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9" name="Rectangle: Rounded Corners 879"/>
                        <wps:cNvSpPr/>
                        <wps:spPr>
                          <a:xfrm>
                            <a:off x="3579625" y="0"/>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 name="TextBox 236"/>
                        <wps:cNvSpPr txBox="1"/>
                        <wps:spPr>
                          <a:xfrm>
                            <a:off x="3576552" y="61807"/>
                            <a:ext cx="1064894" cy="419735"/>
                          </a:xfrm>
                          <a:prstGeom prst="rect">
                            <a:avLst/>
                          </a:prstGeom>
                          <a:noFill/>
                        </wps:spPr>
                        <wps:txbx>
                          <w:txbxContent>
                            <w:p w14:paraId="36AD76B8" w14:textId="77777777" w:rsidR="00777EE0" w:rsidRDefault="00777EE0" w:rsidP="00C65FD3">
                              <w:pPr>
                                <w:jc w:val="center"/>
                                <w:rPr>
                                  <w:szCs w:val="24"/>
                                </w:rPr>
                              </w:pPr>
                              <w:r>
                                <w:rPr>
                                  <w:color w:val="000000" w:themeColor="text1"/>
                                  <w:kern w:val="24"/>
                                </w:rPr>
                                <w:t>Curiosity</w:t>
                              </w:r>
                            </w:p>
                          </w:txbxContent>
                        </wps:txbx>
                        <wps:bodyPr wrap="square" rtlCol="0">
                          <a:spAutoFit/>
                        </wps:bodyPr>
                      </wps:wsp>
                      <wpg:grpSp>
                        <wpg:cNvPr id="881" name="Group 881"/>
                        <wpg:cNvGrpSpPr/>
                        <wpg:grpSpPr>
                          <a:xfrm>
                            <a:off x="5568652" y="1539946"/>
                            <a:ext cx="1387474" cy="621665"/>
                            <a:chOff x="5568652" y="1539946"/>
                            <a:chExt cx="1387474" cy="621665"/>
                          </a:xfrm>
                        </wpg:grpSpPr>
                        <wps:wsp>
                          <wps:cNvPr id="1001" name="TextBox 234"/>
                          <wps:cNvSpPr txBox="1"/>
                          <wps:spPr>
                            <a:xfrm>
                              <a:off x="5568652" y="1539946"/>
                              <a:ext cx="1387474" cy="621665"/>
                            </a:xfrm>
                            <a:prstGeom prst="rect">
                              <a:avLst/>
                            </a:prstGeom>
                            <a:noFill/>
                          </wps:spPr>
                          <wps:txbx>
                            <w:txbxContent>
                              <w:p w14:paraId="37B0418B" w14:textId="77777777" w:rsidR="00777EE0" w:rsidRDefault="00777EE0" w:rsidP="00C65FD3">
                                <w:pPr>
                                  <w:jc w:val="center"/>
                                  <w:rPr>
                                    <w:szCs w:val="24"/>
                                  </w:rPr>
                                </w:pPr>
                                <w:r>
                                  <w:rPr>
                                    <w:color w:val="000000" w:themeColor="text1"/>
                                    <w:kern w:val="24"/>
                                  </w:rPr>
                                  <w:t xml:space="preserve"> Behavioural willingness</w:t>
                                </w:r>
                              </w:p>
                            </w:txbxContent>
                          </wps:txbx>
                          <wps:bodyPr wrap="square" rtlCol="0">
                            <a:spAutoFit/>
                          </wps:bodyPr>
                        </wps:wsp>
                        <wps:wsp>
                          <wps:cNvPr id="1002" name="Rectangle: Rounded Corners 1002"/>
                          <wps:cNvSpPr/>
                          <wps:spPr>
                            <a:xfrm>
                              <a:off x="5719837" y="1569508"/>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82" name="Straight Connector 882"/>
                        <wps:cNvCnPr>
                          <a:cxnSpLocks/>
                        </wps:cNvCnPr>
                        <wps:spPr>
                          <a:xfrm>
                            <a:off x="4687783" y="194058"/>
                            <a:ext cx="1032054" cy="15695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3" name="Straight Connector 883"/>
                        <wps:cNvCnPr>
                          <a:cxnSpLocks/>
                        </wps:cNvCnPr>
                        <wps:spPr>
                          <a:xfrm>
                            <a:off x="4687784" y="832502"/>
                            <a:ext cx="1032053" cy="9310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 name="Straight Connector 884"/>
                        <wps:cNvCnPr>
                          <a:cxnSpLocks/>
                        </wps:cNvCnPr>
                        <wps:spPr>
                          <a:xfrm>
                            <a:off x="4695606" y="1461096"/>
                            <a:ext cx="1024231" cy="302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 name="Straight Connector 885"/>
                        <wps:cNvCnPr>
                          <a:cxnSpLocks/>
                        </wps:cNvCnPr>
                        <wps:spPr>
                          <a:xfrm>
                            <a:off x="4693094" y="2103380"/>
                            <a:ext cx="1015288" cy="346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 name="Straight Connector 886"/>
                        <wps:cNvCnPr>
                          <a:cxnSpLocks/>
                        </wps:cNvCnPr>
                        <wps:spPr>
                          <a:xfrm flipV="1">
                            <a:off x="4693095" y="2450065"/>
                            <a:ext cx="1015287" cy="294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7" name="Straight Connector 887"/>
                        <wps:cNvCnPr>
                          <a:cxnSpLocks/>
                        </wps:cNvCnPr>
                        <wps:spPr>
                          <a:xfrm flipV="1">
                            <a:off x="4695607" y="2450065"/>
                            <a:ext cx="1012775" cy="9453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8" name="Straight Connector 888"/>
                        <wps:cNvCnPr>
                          <a:cxnSpLocks/>
                        </wps:cNvCnPr>
                        <wps:spPr>
                          <a:xfrm flipV="1">
                            <a:off x="4695606" y="2450065"/>
                            <a:ext cx="1012776" cy="1582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9" name="Straight Connector 889"/>
                        <wps:cNvCnPr>
                          <a:cxnSpLocks/>
                        </wps:cNvCnPr>
                        <wps:spPr>
                          <a:xfrm>
                            <a:off x="4695606" y="1461096"/>
                            <a:ext cx="1012776" cy="9889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 name="Straight Connector 890"/>
                        <wps:cNvCnPr>
                          <a:cxnSpLocks/>
                        </wps:cNvCnPr>
                        <wps:spPr>
                          <a:xfrm>
                            <a:off x="6827995" y="1763566"/>
                            <a:ext cx="1161440" cy="3461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 name="Straight Connector 891"/>
                        <wps:cNvCnPr>
                          <a:cxnSpLocks/>
                        </wps:cNvCnPr>
                        <wps:spPr>
                          <a:xfrm flipV="1">
                            <a:off x="6816540" y="2109738"/>
                            <a:ext cx="1172895" cy="3403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 name="Straight Connector 892"/>
                        <wps:cNvCnPr>
                          <a:cxnSpLocks/>
                        </wps:cNvCnPr>
                        <wps:spPr>
                          <a:xfrm flipV="1">
                            <a:off x="4695606" y="2109735"/>
                            <a:ext cx="3293830" cy="19224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93" name="Group 893"/>
                        <wpg:cNvGrpSpPr/>
                        <wpg:grpSpPr>
                          <a:xfrm>
                            <a:off x="5568652" y="2215564"/>
                            <a:ext cx="1387474" cy="621665"/>
                            <a:chOff x="5568652" y="2215564"/>
                            <a:chExt cx="1387474" cy="621665"/>
                          </a:xfrm>
                        </wpg:grpSpPr>
                        <wps:wsp>
                          <wps:cNvPr id="999" name="Rectangle: Rounded Corners 999"/>
                          <wps:cNvSpPr/>
                          <wps:spPr>
                            <a:xfrm>
                              <a:off x="5708382" y="2256007"/>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0" name="TextBox 326"/>
                          <wps:cNvSpPr txBox="1"/>
                          <wps:spPr>
                            <a:xfrm>
                              <a:off x="5568652" y="2215564"/>
                              <a:ext cx="1387474" cy="621665"/>
                            </a:xfrm>
                            <a:prstGeom prst="rect">
                              <a:avLst/>
                            </a:prstGeom>
                            <a:noFill/>
                          </wps:spPr>
                          <wps:txbx>
                            <w:txbxContent>
                              <w:p w14:paraId="7FCF3D05" w14:textId="77777777" w:rsidR="00777EE0" w:rsidRDefault="00777EE0" w:rsidP="00C65FD3">
                                <w:pPr>
                                  <w:jc w:val="center"/>
                                  <w:rPr>
                                    <w:szCs w:val="24"/>
                                  </w:rPr>
                                </w:pPr>
                                <w:r>
                                  <w:rPr>
                                    <w:color w:val="000000" w:themeColor="text1"/>
                                    <w:kern w:val="24"/>
                                  </w:rPr>
                                  <w:t xml:space="preserve"> Behavioural intention</w:t>
                                </w:r>
                              </w:p>
                            </w:txbxContent>
                          </wps:txbx>
                          <wps:bodyPr wrap="square" rtlCol="0">
                            <a:spAutoFit/>
                          </wps:bodyPr>
                        </wps:wsp>
                      </wpg:grpSp>
                      <wps:wsp>
                        <wps:cNvPr id="894" name="TextBox 327"/>
                        <wps:cNvSpPr txBox="1"/>
                        <wps:spPr>
                          <a:xfrm>
                            <a:off x="3573280" y="602401"/>
                            <a:ext cx="1064259" cy="621665"/>
                          </a:xfrm>
                          <a:prstGeom prst="rect">
                            <a:avLst/>
                          </a:prstGeom>
                          <a:noFill/>
                        </wps:spPr>
                        <wps:txbx>
                          <w:txbxContent>
                            <w:p w14:paraId="4C64EC9D" w14:textId="77777777" w:rsidR="00777EE0" w:rsidRDefault="00777EE0" w:rsidP="00C65FD3">
                              <w:pPr>
                                <w:jc w:val="center"/>
                                <w:rPr>
                                  <w:szCs w:val="24"/>
                                </w:rPr>
                              </w:pPr>
                              <w:r>
                                <w:rPr>
                                  <w:color w:val="000000" w:themeColor="text1"/>
                                  <w:kern w:val="24"/>
                                </w:rPr>
                                <w:t>Prototype images</w:t>
                              </w:r>
                            </w:p>
                          </w:txbxContent>
                        </wps:txbx>
                        <wps:bodyPr wrap="square" rtlCol="0">
                          <a:spAutoFit/>
                        </wps:bodyPr>
                      </wps:wsp>
                      <wps:wsp>
                        <wps:cNvPr id="895" name="TextBox 328"/>
                        <wps:cNvSpPr txBox="1"/>
                        <wps:spPr>
                          <a:xfrm>
                            <a:off x="3584906" y="1243749"/>
                            <a:ext cx="1064259" cy="621665"/>
                          </a:xfrm>
                          <a:prstGeom prst="rect">
                            <a:avLst/>
                          </a:prstGeom>
                          <a:noFill/>
                        </wps:spPr>
                        <wps:txbx>
                          <w:txbxContent>
                            <w:p w14:paraId="56D6305B" w14:textId="77777777" w:rsidR="00777EE0" w:rsidRDefault="00777EE0" w:rsidP="00C65FD3">
                              <w:pPr>
                                <w:jc w:val="center"/>
                                <w:rPr>
                                  <w:szCs w:val="24"/>
                                </w:rPr>
                              </w:pPr>
                              <w:r>
                                <w:rPr>
                                  <w:color w:val="000000" w:themeColor="text1"/>
                                  <w:kern w:val="24"/>
                                </w:rPr>
                                <w:t>Affective attitude</w:t>
                              </w:r>
                            </w:p>
                          </w:txbxContent>
                        </wps:txbx>
                        <wps:bodyPr wrap="square" rtlCol="0">
                          <a:spAutoFit/>
                        </wps:bodyPr>
                      </wps:wsp>
                      <wps:wsp>
                        <wps:cNvPr id="896" name="TextBox 329"/>
                        <wps:cNvSpPr txBox="1"/>
                        <wps:spPr>
                          <a:xfrm>
                            <a:off x="3582394" y="1886259"/>
                            <a:ext cx="1064259" cy="621665"/>
                          </a:xfrm>
                          <a:prstGeom prst="rect">
                            <a:avLst/>
                          </a:prstGeom>
                          <a:noFill/>
                        </wps:spPr>
                        <wps:txbx>
                          <w:txbxContent>
                            <w:p w14:paraId="7209ED6B" w14:textId="77777777" w:rsidR="00777EE0" w:rsidRDefault="00777EE0" w:rsidP="00C65FD3">
                              <w:pPr>
                                <w:jc w:val="center"/>
                                <w:rPr>
                                  <w:szCs w:val="24"/>
                                </w:rPr>
                              </w:pPr>
                              <w:r>
                                <w:rPr>
                                  <w:color w:val="000000" w:themeColor="text1"/>
                                  <w:kern w:val="24"/>
                                </w:rPr>
                                <w:t>Cognitive attitude</w:t>
                              </w:r>
                            </w:p>
                          </w:txbxContent>
                        </wps:txbx>
                        <wps:bodyPr wrap="square" rtlCol="0">
                          <a:spAutoFit/>
                        </wps:bodyPr>
                      </wps:wsp>
                      <wps:wsp>
                        <wps:cNvPr id="897" name="TextBox 330"/>
                        <wps:cNvSpPr txBox="1"/>
                        <wps:spPr>
                          <a:xfrm>
                            <a:off x="3726559" y="2516375"/>
                            <a:ext cx="829309" cy="621665"/>
                          </a:xfrm>
                          <a:prstGeom prst="rect">
                            <a:avLst/>
                          </a:prstGeom>
                          <a:noFill/>
                        </wps:spPr>
                        <wps:txbx>
                          <w:txbxContent>
                            <w:p w14:paraId="01E62453" w14:textId="77777777" w:rsidR="00777EE0" w:rsidRDefault="00777EE0" w:rsidP="00C65FD3">
                              <w:pPr>
                                <w:jc w:val="center"/>
                                <w:rPr>
                                  <w:szCs w:val="24"/>
                                </w:rPr>
                              </w:pPr>
                              <w:r>
                                <w:rPr>
                                  <w:color w:val="000000" w:themeColor="text1"/>
                                  <w:kern w:val="24"/>
                                </w:rPr>
                                <w:t>Peer norms</w:t>
                              </w:r>
                            </w:p>
                          </w:txbxContent>
                        </wps:txbx>
                        <wps:bodyPr wrap="square" rtlCol="0">
                          <a:spAutoFit/>
                        </wps:bodyPr>
                      </wps:wsp>
                      <wps:wsp>
                        <wps:cNvPr id="898" name="TextBox 331"/>
                        <wps:cNvSpPr txBox="1"/>
                        <wps:spPr>
                          <a:xfrm>
                            <a:off x="3593815" y="3162268"/>
                            <a:ext cx="1064259" cy="621665"/>
                          </a:xfrm>
                          <a:prstGeom prst="rect">
                            <a:avLst/>
                          </a:prstGeom>
                          <a:noFill/>
                        </wps:spPr>
                        <wps:txbx>
                          <w:txbxContent>
                            <w:p w14:paraId="750C40C4" w14:textId="77777777" w:rsidR="00777EE0" w:rsidRDefault="00777EE0" w:rsidP="00C65FD3">
                              <w:pPr>
                                <w:jc w:val="center"/>
                                <w:rPr>
                                  <w:szCs w:val="24"/>
                                </w:rPr>
                              </w:pPr>
                              <w:r>
                                <w:rPr>
                                  <w:color w:val="000000" w:themeColor="text1"/>
                                  <w:kern w:val="24"/>
                                </w:rPr>
                                <w:t>Caregiver norms</w:t>
                              </w:r>
                            </w:p>
                          </w:txbxContent>
                        </wps:txbx>
                        <wps:bodyPr wrap="square" rtlCol="0">
                          <a:spAutoFit/>
                        </wps:bodyPr>
                      </wps:wsp>
                      <wps:wsp>
                        <wps:cNvPr id="899" name="TextBox 332"/>
                        <wps:cNvSpPr txBox="1"/>
                        <wps:spPr>
                          <a:xfrm>
                            <a:off x="3582186" y="3783933"/>
                            <a:ext cx="1064259" cy="645827"/>
                          </a:xfrm>
                          <a:prstGeom prst="rect">
                            <a:avLst/>
                          </a:prstGeom>
                          <a:noFill/>
                        </wps:spPr>
                        <wps:txbx>
                          <w:txbxContent>
                            <w:p w14:paraId="721D9D62" w14:textId="77777777" w:rsidR="00777EE0" w:rsidRDefault="00777EE0" w:rsidP="00C65FD3">
                              <w:pPr>
                                <w:jc w:val="center"/>
                                <w:rPr>
                                  <w:szCs w:val="24"/>
                                </w:rPr>
                              </w:pPr>
                              <w:r>
                                <w:rPr>
                                  <w:color w:val="000000" w:themeColor="text1"/>
                                  <w:kern w:val="24"/>
                                </w:rPr>
                                <w:t>PBC / Self-efficacy</w:t>
                              </w:r>
                            </w:p>
                          </w:txbxContent>
                        </wps:txbx>
                        <wps:bodyPr wrap="square" rtlCol="0">
                          <a:noAutofit/>
                        </wps:bodyPr>
                      </wps:wsp>
                      <wpg:grpSp>
                        <wpg:cNvPr id="900" name="Group 900"/>
                        <wpg:cNvGrpSpPr/>
                        <wpg:grpSpPr>
                          <a:xfrm>
                            <a:off x="1518916" y="2774594"/>
                            <a:ext cx="1387474" cy="475428"/>
                            <a:chOff x="1518916" y="2774594"/>
                            <a:chExt cx="1387474" cy="475428"/>
                          </a:xfrm>
                        </wpg:grpSpPr>
                        <wps:wsp>
                          <wps:cNvPr id="997" name="TextBox 342"/>
                          <wps:cNvSpPr txBox="1"/>
                          <wps:spPr>
                            <a:xfrm>
                              <a:off x="1518916" y="2830287"/>
                              <a:ext cx="1387474" cy="419735"/>
                            </a:xfrm>
                            <a:prstGeom prst="rect">
                              <a:avLst/>
                            </a:prstGeom>
                            <a:noFill/>
                          </wps:spPr>
                          <wps:txbx>
                            <w:txbxContent>
                              <w:p w14:paraId="752BA505" w14:textId="77777777" w:rsidR="00777EE0" w:rsidRDefault="00777EE0" w:rsidP="00C65FD3">
                                <w:pPr>
                                  <w:jc w:val="center"/>
                                  <w:rPr>
                                    <w:szCs w:val="24"/>
                                  </w:rPr>
                                </w:pPr>
                                <w:r>
                                  <w:rPr>
                                    <w:color w:val="000000" w:themeColor="text1"/>
                                    <w:kern w:val="24"/>
                                  </w:rPr>
                                  <w:t>Reasons for</w:t>
                                </w:r>
                              </w:p>
                            </w:txbxContent>
                          </wps:txbx>
                          <wps:bodyPr wrap="square" rtlCol="0">
                            <a:spAutoFit/>
                          </wps:bodyPr>
                        </wps:wsp>
                        <wps:wsp>
                          <wps:cNvPr id="998" name="Rectangle: Rounded Corners 998"/>
                          <wps:cNvSpPr/>
                          <wps:spPr>
                            <a:xfrm>
                              <a:off x="1659434" y="2774594"/>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01" name="Straight Connector 901"/>
                        <wps:cNvCnPr>
                          <a:cxnSpLocks/>
                        </wps:cNvCnPr>
                        <wps:spPr>
                          <a:xfrm flipV="1">
                            <a:off x="2767592" y="2117356"/>
                            <a:ext cx="814832" cy="8512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 name="Straight Connector 902"/>
                        <wps:cNvCnPr>
                          <a:cxnSpLocks/>
                        </wps:cNvCnPr>
                        <wps:spPr>
                          <a:xfrm flipV="1">
                            <a:off x="2767592" y="2744291"/>
                            <a:ext cx="817345" cy="2243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0" name="Straight Connector 960"/>
                        <wps:cNvCnPr>
                          <a:cxnSpLocks/>
                        </wps:cNvCnPr>
                        <wps:spPr>
                          <a:xfrm flipH="1" flipV="1">
                            <a:off x="2767592" y="2968652"/>
                            <a:ext cx="826253" cy="4248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 name="Straight Connector 961"/>
                        <wps:cNvCnPr>
                          <a:cxnSpLocks/>
                        </wps:cNvCnPr>
                        <wps:spPr>
                          <a:xfrm>
                            <a:off x="2767592" y="2968652"/>
                            <a:ext cx="814594" cy="11381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62" name="Group 962"/>
                        <wpg:cNvGrpSpPr/>
                        <wpg:grpSpPr>
                          <a:xfrm>
                            <a:off x="1523864" y="972421"/>
                            <a:ext cx="1387474" cy="475308"/>
                            <a:chOff x="1523864" y="972421"/>
                            <a:chExt cx="1387474" cy="475308"/>
                          </a:xfrm>
                        </wpg:grpSpPr>
                        <wps:wsp>
                          <wps:cNvPr id="995" name="TextBox 47"/>
                          <wps:cNvSpPr txBox="1"/>
                          <wps:spPr>
                            <a:xfrm>
                              <a:off x="1523864" y="1027994"/>
                              <a:ext cx="1387474" cy="419735"/>
                            </a:xfrm>
                            <a:prstGeom prst="rect">
                              <a:avLst/>
                            </a:prstGeom>
                            <a:noFill/>
                          </wps:spPr>
                          <wps:txbx>
                            <w:txbxContent>
                              <w:p w14:paraId="2666AABA" w14:textId="77777777" w:rsidR="00777EE0" w:rsidRDefault="00777EE0" w:rsidP="00C65FD3">
                                <w:pPr>
                                  <w:jc w:val="center"/>
                                  <w:rPr>
                                    <w:szCs w:val="24"/>
                                  </w:rPr>
                                </w:pPr>
                                <w:r>
                                  <w:rPr>
                                    <w:color w:val="000000" w:themeColor="text1"/>
                                    <w:kern w:val="24"/>
                                  </w:rPr>
                                  <w:t>Reasons against</w:t>
                                </w:r>
                              </w:p>
                            </w:txbxContent>
                          </wps:txbx>
                          <wps:bodyPr wrap="square" rtlCol="0">
                            <a:spAutoFit/>
                          </wps:bodyPr>
                        </wps:wsp>
                        <wps:wsp>
                          <wps:cNvPr id="996" name="Rectangle: Rounded Corners 996"/>
                          <wps:cNvSpPr/>
                          <wps:spPr>
                            <a:xfrm>
                              <a:off x="1664457" y="972421"/>
                              <a:ext cx="1108158" cy="388116"/>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63" name="Straight Connector 963"/>
                        <wps:cNvCnPr>
                          <a:cxnSpLocks/>
                        </wps:cNvCnPr>
                        <wps:spPr>
                          <a:xfrm>
                            <a:off x="2772615" y="1166479"/>
                            <a:ext cx="809809" cy="950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4" name="Straight Connector 964"/>
                        <wps:cNvCnPr>
                          <a:cxnSpLocks/>
                        </wps:cNvCnPr>
                        <wps:spPr>
                          <a:xfrm flipV="1">
                            <a:off x="2777056" y="200316"/>
                            <a:ext cx="799526" cy="27380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65" name="Group 965"/>
                        <wpg:cNvGrpSpPr/>
                        <wpg:grpSpPr>
                          <a:xfrm>
                            <a:off x="49379" y="1529603"/>
                            <a:ext cx="991234" cy="643270"/>
                            <a:chOff x="49379" y="1529603"/>
                            <a:chExt cx="1111384" cy="628548"/>
                          </a:xfrm>
                        </wpg:grpSpPr>
                        <wps:wsp>
                          <wps:cNvPr id="993" name="Rectangle 993"/>
                          <wps:cNvSpPr/>
                          <wps:spPr>
                            <a:xfrm>
                              <a:off x="85348" y="1529603"/>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94" name="TextBox 61"/>
                          <wps:cNvSpPr txBox="1"/>
                          <wps:spPr>
                            <a:xfrm>
                              <a:off x="49379" y="1550713"/>
                              <a:ext cx="1111384" cy="607438"/>
                            </a:xfrm>
                            <a:prstGeom prst="rect">
                              <a:avLst/>
                            </a:prstGeom>
                            <a:noFill/>
                          </wps:spPr>
                          <wps:txbx>
                            <w:txbxContent>
                              <w:p w14:paraId="4BB0696D" w14:textId="77777777" w:rsidR="00777EE0" w:rsidRDefault="00777EE0" w:rsidP="00C65FD3">
                                <w:pPr>
                                  <w:jc w:val="center"/>
                                  <w:rPr>
                                    <w:szCs w:val="24"/>
                                  </w:rPr>
                                </w:pPr>
                                <w:r>
                                  <w:rPr>
                                    <w:color w:val="000000" w:themeColor="text1"/>
                                    <w:kern w:val="24"/>
                                  </w:rPr>
                                  <w:t>Education &amp; awareness</w:t>
                                </w:r>
                              </w:p>
                            </w:txbxContent>
                          </wps:txbx>
                          <wps:bodyPr wrap="square" rtlCol="0">
                            <a:spAutoFit/>
                          </wps:bodyPr>
                        </wps:wsp>
                      </wpg:grpSp>
                      <wpg:grpSp>
                        <wpg:cNvPr id="966" name="Group 966"/>
                        <wpg:cNvGrpSpPr/>
                        <wpg:grpSpPr>
                          <a:xfrm>
                            <a:off x="44519" y="3620350"/>
                            <a:ext cx="991234" cy="503426"/>
                            <a:chOff x="44519" y="3620350"/>
                            <a:chExt cx="1111384" cy="491904"/>
                          </a:xfrm>
                        </wpg:grpSpPr>
                        <wps:wsp>
                          <wps:cNvPr id="991" name="Rectangle 991"/>
                          <wps:cNvSpPr/>
                          <wps:spPr>
                            <a:xfrm>
                              <a:off x="102733" y="3620350"/>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92" name="TextBox 64"/>
                          <wps:cNvSpPr txBox="1"/>
                          <wps:spPr>
                            <a:xfrm>
                              <a:off x="44519" y="3702125"/>
                              <a:ext cx="1111384" cy="410129"/>
                            </a:xfrm>
                            <a:prstGeom prst="rect">
                              <a:avLst/>
                            </a:prstGeom>
                            <a:noFill/>
                          </wps:spPr>
                          <wps:txbx>
                            <w:txbxContent>
                              <w:p w14:paraId="49C95BDB" w14:textId="77777777" w:rsidR="00777EE0" w:rsidRDefault="00777EE0" w:rsidP="00C65FD3">
                                <w:pPr>
                                  <w:jc w:val="center"/>
                                  <w:rPr>
                                    <w:szCs w:val="24"/>
                                  </w:rPr>
                                </w:pPr>
                                <w:r>
                                  <w:rPr>
                                    <w:color w:val="000000" w:themeColor="text1"/>
                                    <w:kern w:val="24"/>
                                  </w:rPr>
                                  <w:t>Legal status</w:t>
                                </w:r>
                              </w:p>
                            </w:txbxContent>
                          </wps:txbx>
                          <wps:bodyPr wrap="square" rtlCol="0">
                            <a:spAutoFit/>
                          </wps:bodyPr>
                        </wps:wsp>
                      </wpg:grpSp>
                      <wpg:grpSp>
                        <wpg:cNvPr id="967" name="Group 967"/>
                        <wpg:cNvGrpSpPr/>
                        <wpg:grpSpPr>
                          <a:xfrm>
                            <a:off x="0" y="823309"/>
                            <a:ext cx="1108075" cy="645778"/>
                            <a:chOff x="0" y="823307"/>
                            <a:chExt cx="1242387" cy="630998"/>
                          </a:xfrm>
                        </wpg:grpSpPr>
                        <wps:wsp>
                          <wps:cNvPr id="989" name="Rectangle 989"/>
                          <wps:cNvSpPr/>
                          <wps:spPr>
                            <a:xfrm>
                              <a:off x="97031" y="823307"/>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90" name="TextBox 68"/>
                          <wps:cNvSpPr txBox="1"/>
                          <wps:spPr>
                            <a:xfrm>
                              <a:off x="0" y="846867"/>
                              <a:ext cx="1242387" cy="607438"/>
                            </a:xfrm>
                            <a:prstGeom prst="rect">
                              <a:avLst/>
                            </a:prstGeom>
                            <a:noFill/>
                          </wps:spPr>
                          <wps:txbx>
                            <w:txbxContent>
                              <w:p w14:paraId="4CD5B18E" w14:textId="77777777" w:rsidR="00777EE0" w:rsidRDefault="00777EE0" w:rsidP="00C65FD3">
                                <w:pPr>
                                  <w:jc w:val="center"/>
                                  <w:rPr>
                                    <w:szCs w:val="24"/>
                                  </w:rPr>
                                </w:pPr>
                                <w:r>
                                  <w:rPr>
                                    <w:color w:val="000000" w:themeColor="text1"/>
                                    <w:kern w:val="24"/>
                                  </w:rPr>
                                  <w:t>Product purity &amp; potency</w:t>
                                </w:r>
                              </w:p>
                            </w:txbxContent>
                          </wps:txbx>
                          <wps:bodyPr wrap="square" rtlCol="0">
                            <a:spAutoFit/>
                          </wps:bodyPr>
                        </wps:wsp>
                      </wpg:grpSp>
                      <wpg:grpSp>
                        <wpg:cNvPr id="968" name="Group 968"/>
                        <wpg:cNvGrpSpPr/>
                        <wpg:grpSpPr>
                          <a:xfrm>
                            <a:off x="65753" y="2902785"/>
                            <a:ext cx="991234" cy="621665"/>
                            <a:chOff x="65753" y="2902785"/>
                            <a:chExt cx="1111384" cy="607437"/>
                          </a:xfrm>
                        </wpg:grpSpPr>
                        <wps:wsp>
                          <wps:cNvPr id="987" name="Rectangle 987"/>
                          <wps:cNvSpPr/>
                          <wps:spPr>
                            <a:xfrm>
                              <a:off x="85280" y="2908728"/>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88" name="TextBox 71"/>
                          <wps:cNvSpPr txBox="1"/>
                          <wps:spPr>
                            <a:xfrm>
                              <a:off x="65753" y="2902785"/>
                              <a:ext cx="1111384" cy="607437"/>
                            </a:xfrm>
                            <a:prstGeom prst="rect">
                              <a:avLst/>
                            </a:prstGeom>
                            <a:noFill/>
                          </wps:spPr>
                          <wps:txbx>
                            <w:txbxContent>
                              <w:p w14:paraId="3D097BFD" w14:textId="77777777" w:rsidR="00777EE0" w:rsidRDefault="00777EE0" w:rsidP="00C65FD3">
                                <w:pPr>
                                  <w:jc w:val="center"/>
                                  <w:rPr>
                                    <w:szCs w:val="24"/>
                                  </w:rPr>
                                </w:pPr>
                                <w:r>
                                  <w:rPr>
                                    <w:color w:val="000000" w:themeColor="text1"/>
                                    <w:kern w:val="24"/>
                                  </w:rPr>
                                  <w:t>Vulnerability &amp; adversity</w:t>
                                </w:r>
                              </w:p>
                            </w:txbxContent>
                          </wps:txbx>
                          <wps:bodyPr wrap="square" rtlCol="0">
                            <a:spAutoFit/>
                          </wps:bodyPr>
                        </wps:wsp>
                      </wpg:grpSp>
                      <wpg:grpSp>
                        <wpg:cNvPr id="969" name="Group 969"/>
                        <wpg:cNvGrpSpPr/>
                        <wpg:grpSpPr>
                          <a:xfrm>
                            <a:off x="68049" y="2211670"/>
                            <a:ext cx="991234" cy="508751"/>
                            <a:chOff x="68049" y="2211670"/>
                            <a:chExt cx="1111384" cy="497107"/>
                          </a:xfrm>
                        </wpg:grpSpPr>
                        <wps:wsp>
                          <wps:cNvPr id="985" name="Rectangle 985"/>
                          <wps:cNvSpPr/>
                          <wps:spPr>
                            <a:xfrm>
                              <a:off x="91501" y="2211670"/>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86" name="TextBox 76"/>
                          <wps:cNvSpPr txBox="1"/>
                          <wps:spPr>
                            <a:xfrm>
                              <a:off x="68049" y="2298648"/>
                              <a:ext cx="1111384" cy="410129"/>
                            </a:xfrm>
                            <a:prstGeom prst="rect">
                              <a:avLst/>
                            </a:prstGeom>
                            <a:noFill/>
                          </wps:spPr>
                          <wps:txbx>
                            <w:txbxContent>
                              <w:p w14:paraId="2FE665DD" w14:textId="77777777" w:rsidR="00777EE0" w:rsidRDefault="00777EE0" w:rsidP="00C65FD3">
                                <w:pPr>
                                  <w:jc w:val="center"/>
                                  <w:rPr>
                                    <w:szCs w:val="24"/>
                                  </w:rPr>
                                </w:pPr>
                                <w:r>
                                  <w:rPr>
                                    <w:color w:val="000000" w:themeColor="text1"/>
                                    <w:kern w:val="24"/>
                                  </w:rPr>
                                  <w:t>Marketing</w:t>
                                </w:r>
                              </w:p>
                            </w:txbxContent>
                          </wps:txbx>
                          <wps:bodyPr wrap="square" rtlCol="0">
                            <a:spAutoFit/>
                          </wps:bodyPr>
                        </wps:wsp>
                      </wpg:grpSp>
                      <wpg:grpSp>
                        <wpg:cNvPr id="970" name="Group 970"/>
                        <wpg:cNvGrpSpPr/>
                        <wpg:grpSpPr>
                          <a:xfrm>
                            <a:off x="38733" y="96537"/>
                            <a:ext cx="1020444" cy="626279"/>
                            <a:chOff x="38733" y="96537"/>
                            <a:chExt cx="1144134" cy="611946"/>
                          </a:xfrm>
                        </wpg:grpSpPr>
                        <wps:wsp>
                          <wps:cNvPr id="983" name="Rectangle 983"/>
                          <wps:cNvSpPr/>
                          <wps:spPr>
                            <a:xfrm>
                              <a:off x="92088" y="96537"/>
                              <a:ext cx="1028699" cy="445553"/>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84" name="TextBox 79"/>
                          <wps:cNvSpPr txBox="1"/>
                          <wps:spPr>
                            <a:xfrm>
                              <a:off x="38733" y="101046"/>
                              <a:ext cx="1144134" cy="607437"/>
                            </a:xfrm>
                            <a:prstGeom prst="rect">
                              <a:avLst/>
                            </a:prstGeom>
                            <a:noFill/>
                          </wps:spPr>
                          <wps:txbx>
                            <w:txbxContent>
                              <w:p w14:paraId="34DE97AB" w14:textId="77777777" w:rsidR="00777EE0" w:rsidRDefault="00777EE0" w:rsidP="00C65FD3">
                                <w:pPr>
                                  <w:jc w:val="center"/>
                                  <w:rPr>
                                    <w:szCs w:val="24"/>
                                  </w:rPr>
                                </w:pPr>
                                <w:r>
                                  <w:rPr>
                                    <w:color w:val="000000" w:themeColor="text1"/>
                                    <w:kern w:val="24"/>
                                  </w:rPr>
                                  <w:t>Substance availability</w:t>
                                </w:r>
                              </w:p>
                            </w:txbxContent>
                          </wps:txbx>
                          <wps:bodyPr wrap="square" rtlCol="0">
                            <a:spAutoFit/>
                          </wps:bodyPr>
                        </wps:wsp>
                      </wpg:grpSp>
                      <wps:wsp>
                        <wps:cNvPr id="971" name="Straight Connector 971"/>
                        <wps:cNvCnPr>
                          <a:cxnSpLocks/>
                        </wps:cNvCnPr>
                        <wps:spPr>
                          <a:xfrm>
                            <a:off x="1003808" y="324532"/>
                            <a:ext cx="660649" cy="8419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 name="Straight Connector 972"/>
                        <wps:cNvCnPr>
                          <a:cxnSpLocks/>
                        </wps:cNvCnPr>
                        <wps:spPr>
                          <a:xfrm flipH="1" flipV="1">
                            <a:off x="1004029" y="1051302"/>
                            <a:ext cx="660428" cy="1151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 name="Straight Connector 973"/>
                        <wps:cNvCnPr>
                          <a:cxnSpLocks/>
                        </wps:cNvCnPr>
                        <wps:spPr>
                          <a:xfrm flipH="1" flipV="1">
                            <a:off x="1003808" y="324532"/>
                            <a:ext cx="655626" cy="2644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Straight Connector 974"/>
                        <wps:cNvCnPr>
                          <a:cxnSpLocks/>
                        </wps:cNvCnPr>
                        <wps:spPr>
                          <a:xfrm flipH="1" flipV="1">
                            <a:off x="1004029" y="1051302"/>
                            <a:ext cx="655405" cy="191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5" name="Straight Connector 975"/>
                        <wps:cNvCnPr>
                          <a:cxnSpLocks/>
                        </wps:cNvCnPr>
                        <wps:spPr>
                          <a:xfrm flipH="1">
                            <a:off x="1013928" y="2968652"/>
                            <a:ext cx="645506" cy="879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 name="Straight Connector 976"/>
                        <wps:cNvCnPr>
                          <a:cxnSpLocks/>
                        </wps:cNvCnPr>
                        <wps:spPr>
                          <a:xfrm flipH="1" flipV="1">
                            <a:off x="998948" y="1757597"/>
                            <a:ext cx="660486" cy="1211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 name="Straight Connector 977"/>
                        <wps:cNvCnPr>
                          <a:cxnSpLocks/>
                        </wps:cNvCnPr>
                        <wps:spPr>
                          <a:xfrm flipV="1">
                            <a:off x="998948" y="1166479"/>
                            <a:ext cx="665509" cy="5911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 name="Straight Connector 978"/>
                        <wps:cNvCnPr>
                          <a:cxnSpLocks/>
                        </wps:cNvCnPr>
                        <wps:spPr>
                          <a:xfrm flipV="1">
                            <a:off x="1000657" y="2968652"/>
                            <a:ext cx="658777" cy="168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9" name="Straight Connector 979"/>
                        <wps:cNvCnPr>
                          <a:cxnSpLocks/>
                        </wps:cNvCnPr>
                        <wps:spPr>
                          <a:xfrm>
                            <a:off x="1006454" y="2439663"/>
                            <a:ext cx="652980" cy="5289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 name="Straight Connector 980"/>
                        <wps:cNvCnPr>
                          <a:cxnSpLocks/>
                        </wps:cNvCnPr>
                        <wps:spPr>
                          <a:xfrm>
                            <a:off x="2772615" y="1166479"/>
                            <a:ext cx="812321" cy="3082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1" name="Straight Connector 981"/>
                        <wps:cNvCnPr>
                          <a:cxnSpLocks/>
                        </wps:cNvCnPr>
                        <wps:spPr>
                          <a:xfrm>
                            <a:off x="2783908" y="1176793"/>
                            <a:ext cx="798279" cy="2930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2" name="Straight Connector 982"/>
                        <wps:cNvCnPr>
                          <a:cxnSpLocks/>
                        </wps:cNvCnPr>
                        <wps:spPr>
                          <a:xfrm flipV="1">
                            <a:off x="2772615" y="833318"/>
                            <a:ext cx="800695" cy="3331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3B449AD" id="Group 95" o:spid="_x0000_s1459" style="position:absolute;margin-left:.25pt;margin-top:52.05pt;width:703.8pt;height:348.8pt;z-index:253734912" coordsize="89387,4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sudREAALa7AAAOAAAAZHJzL2Uyb0RvYy54bWzsXWtz27gV/d6Z/geNvjcmwCc86+yk2Wbb&#10;mcw2s9l2PzOyZGsqiyrFxM7++p4LgCBIkZQoybRdY6eTWuJDJHBx7r3nPvDDjw93q8m3eb5dZuur&#10;KXvjTSfz9Sy7Xq5vrqb/+u3DX5LpZFuk6+t0la3nV9Pv8+30x7d//tMP95vLOc9us9X1PJ/gJuvt&#10;5f3manpbFJvLi4vt7HZ+l27fZJv5GgcXWX6XFviY31xc5+k97n63uuCeF13cZ/n1Js9m8+0W3/6k&#10;Dk7fyvsvFvNZ8c/FYjsvJqurKZ6tkP/m8t8v9O/F2x/Sy5s83dwuZ/ox0iOe4i5drvGj5lY/pUU6&#10;+Zovd251t5zl2TZbFG9m2d1FtlgsZ3P5Dngb5jXe5uc8+7qR73JzeX+zMcOEoW2M09G3nf3y7VM+&#10;WV5fTUU4nazTO8yR/NkJPmNw7jc3lzjn53zzefMp11/cqE/0vg+L/I7+H28yeZDD+t0M6/yhmMzw&#10;ZSL8hEcY/RmOBQEXMT7IgZ/dYnZ2rpvd/s26Mo53r7wof/iCns88jvlgnlu/WxLz+svRF8PfLhZB&#10;HPrRdIL3YEnsR0Gs3qN8UyEY9wP1ohFnUeQ33nPnDqEZifKdGf7zk/ImXhz48kc6XxnrZluJxvY0&#10;0fh8m27mUuK2NO16+JjnxeX4/Yolla5vVvOJ/FYOojzXyMf2cgtRaRGOWIgg9IQevoSFYVQfPubx&#10;JBI4QQlKGIZy/Myrp5ebfFv8PM/uJvTH1TTHw8hll377uC3wLDi1PIUeYJutltcflquV/ECYMn+/&#10;yiffUqDBlxtGv44ramet1vsuLB5aLsRt1JVzCTr6ae435WDIv4rvqzndfbX+db7AosPaYPLxJdxV&#10;j5bOZvN1Uf6KPJsuW+BFzIX+/gv1+XSpeipzMd9/sblC/nK2LszFd8t1lrfdYGUeeaHOx+ha701/&#10;fsmuv0Oo8mL1PlOInK5ntxkAeVbkcjroLAg0reBxJBsKSsHeb1jFf80eJlwKHf08VgBJ9aR4wPc0&#10;V1raO+W7AQ/l4i7hYd/SroT3QPleZyTcJMX0uOqx6K/i4cuDBHWmVhB9p4f+Hrruarr979c0n0+t&#10;iaBp3m7efS1wS7mSqmv07eWsVIA70gwBZssJMtBzOfk1+7q+nl9P3mf5GsbHhM7Sk6MnrX+q/DCJ&#10;gwBTDyT3Ez9hXkLXY6FozcPwDQtxAkGRnySMSazqgSJ6InpCuTI68MjMF2HA5J6ULg/VUupBqj7A&#10;aUz8tgViehe7nPbb9HquQDH08J9ch5CGEi8lSLaj0AHw1Y1CXhuI1LHvcVEoU+bgdjP7sIQ++Zhu&#10;i09pDvsPFgdsWhwFNP0xndTXzOofa2hZwYKADEr5IQhjjg+5feSLfWT99U4CHoM1vJmV2GfB4CLP&#10;7n6HKfuOfhW3smFRf3hfKLsVxvBs/u6dPA1G5CYtPq4/b2alLiH999vD72m+0SBSQKZ/yUrNnl42&#10;ZFOdS3Kwzmj5L/qWP4HCo5sbWJoHLflg6JIPBGwpWvI8DD3ua+PMLXm35N2S10peWQm2xh9pyRvv&#10;s1fLa5/UmGaHaHnlcPjwr/1AmnBOyzst77R8j5Hfw6OA/LBJoiSWZvFAlsi2vhmPYs8/zPpOLw1h&#10;1HmLijxi3EsCv2QTRCDC0qNWpFXlyhBbMQrMgTI5BOfkace6M+0Dumcsdj1P586URFHdI3HuDLwT&#10;585ct/H1pY9FWFJjTw1qGo5J0Qn6xCEkkx8lkV9y0D5MGqEZZOPGII4QhRr2fJzKJdXdw1wcSlo0&#10;uIbHIJQ0mb/L3xv+WQUnkliS4sP1DlxAzd8LT/hqaGx7MOZ+DCe9zvrU9U77LWy9EycBmH/FYj8X&#10;vXMIiwa9M5hGax8NI4xO7zgazdFoFPQY3afGajY8mtE7Rwc3YHBbSz1kCSzZOmPOLdh7aXpnFFbT&#10;RJp6KQ7pClmGwT6KIxYRVyotQtg4kKSordFcHMPFMVwc4ykAOIlhhSu2pHfFi4FxDFrxoBEQx2ia&#10;/i5o6awtZ209ibWVJMSLyPw5Y2zB1ayzeIdmkvhhHIUhctawxiOYWo00Mzj4QSJ0iljAROxLW+z8&#10;Lr6VR2KCredx+7sp5gTud41ixhdyFAclIiK3LIn0CCIJBplnzVwzH2FmCjSTqy9z9bQ9ayjmzltY&#10;rn77TcxEPA3FbAawEkQzewNTmjrHwDj4e0Zgl1g+km2yRNEEAc8liiNY/3DGTApqjzEgT6tjRr/9&#10;H8ZMJDqrgYWRCF0ik8zudIlMLpGpL5GpQuaRQn9JYtb/5yJPlze3BbIX12vAYZZP6Gi17N+vVf70&#10;7AGJXR+z2X+2OCbZd8C3OkgEQUcaahCBHU/A90KxMRF4yGLE5RYl4CEXItSaz8IMo7V2MHu1XFNS&#10;+E7qGGVi09en5Uw3wgptKYwHpBm25ycekGI4dkCvyubckyVdzvl42dAJSY2yvVpl1A4OnENGIYOQ&#10;0cTnyMZrk1EdQxE+Gbx0ghNRkxCrygcOkG9zBa1ULXLq4s5E/mctohCaHhG1Dd1TRVSEkaeDhUHE&#10;PNH0IDwecL8MFuIDCpWcjJKikSUwpl7kFcqoSfJphVHjvxhtjgDzkape+B4RAYBRzjzfBwnR0PUs&#10;5ElZxhBEUbKHKXCqvqsMy0j1/wmOmpyUVhm1masjcHSyWC03/y5LEnRxaBCRtCrmmqMSEGkqbdKK&#10;VA/iZLgIOAJbDlEdok6TxOT/tEqrTgaSWVdnlFbof10v0iGtPI4hziStqGz1UfnrpNVJK6TVRPpb&#10;pdWO8J9XWpW12oWtkFacQNKKykaYC/V0aOf1v1qXyoSpW8XVDk8fIa5kLlUGwD6XilVCKpJERPLH&#10;ndtvjM/XKqPIcu5x+1UOtE6aOk1Go4SjT4UyUlkc+WHUdPtZpEp/CUh9EAOqlYiTUSejJvDahqNC&#10;h7HPaqRGCYtCqkMnhwkUVbxbSRXzhMRZSSuo/3o3Gaf1Xy2i9sajxInxqC4CwOh/Ja0NAsDnaBXl&#10;Q5ylkSo4D8CvOp/quftUXVU7woSTdNUOvsBsDqzasXNQOKeuUdLPtgKa7TkoVtVO5y2edSqPoFZY&#10;KtbRkzJCZ8lBPbAoPow9NLxRuWWcYz3uZJe5LFKXReqySJ8kixT5X8bRKbP3fMWCWyUhh6aRdsLe&#10;U2bvmcjCebL3xk/koXibQuVqhmwCelA1bxj7nDKHYb9HCCErTs5SbUh84GUxb5Wl2u1s5qenV5p3&#10;Oc8Ekdw+fssocnGak2LzrMMmBaVuZeQfJmgcSA37tLNiXuZFzYoJMlZLpWmtHApmKEDkvo51syRB&#10;CcwzmBXzMi9qVkwwzcwKfK66DXnwrMQclQqwU4mACFnkIyCGO1VrJYFLRz1fyaMbB8BUc2GCnRc1&#10;KSZmVE2KzRgNAzC40UxxmD5DA4hoJwV0dLUSmZd5UbNiPLBqVmxmZNisIOiWqBCdjwRdsdOAsKbs&#10;A+DdHq7udGUfmZc5YFYO6g/ZwQWIyq7V7cVV08GBXABD4blA7xQJN3EchFAINbhB6+yqrAfteAOu&#10;Rd+U9XTeooMLqG5irK7K5hytc5QQu6AdmMkbWNVTGwLwbRzpFT2jOEqBmWqV/sJQWwiD2r0MjTHe&#10;9ERpXbtt75MOSl8E1EaedGqrkDuGxjE0jqFpMjQVLI9U0yPgrndHpemoXujHJfq2xlB4HMUhojMS&#10;HBhD6W8jPp2wABUVyuBOQsZV2rrRXS7g90oDfqIqQG0JT9PRRxZWNNznKghueYcQ4EBHpynap7wE&#10;J6yvPZdC0HZBnWU+dPR0Yf07pafvx1ihGgng9yyx5aCfdHVawNGLwUWpF3J8XnnljwB+9YntiQaB&#10;lUpZMwNaRZRJ51hlUsArZmDIIcMOWp81tHaxJ+BptFxp9qQkbgY1RUEtmJ8ge4JsRxGjelHKYwVr&#10;TfLEL5tJWORJ+x26uRN9DyN3lZE+IneyExxSG7cR2zCYOqkGANuV0ZZmtKy6xnAc6kQ+woujTkxs&#10;qJc6MeHiA6mTKMBmPN0S7pgTx5w45uTpmRPqj91j35+v0wQIVB7pWBg2ccOWnY2wceIJ/E/xJdQ+&#10;SXUWN/rK8SWvlS8hQ6lHRI3SPSu5h91uQehJcg/N2NUuAZVxQZUp1OyXgukcuf6eKzmdP3/Hs9Oo&#10;N2ZpadRLF21gSBRduanPLCQC5j2YEQmdlcjUtiQOUP6hO0QYk77jesuir21IzJMQ+2banuSTWPRG&#10;fRjjcSLK7HJj1OMpySruCLMloa93AG0dOLcZsdoStL79TXubLbcZ8ZtBO7C3bxRDvqTWOGW2SZU1&#10;M9BPtVd16MWsgQq7OxHX1/SO1XOGVBMNbudKy6pgR1WUyF3gTXGJ3rlcoHqzQZxoh3IQcQKfkimM&#10;xXY6nt/c19nG2BA6WSVsW/UnHdd3YGwgmMDWDU+OsYbLtDHWpjAp+6kfY4kiQZoTaafWkXMg60CW&#10;VPR4PQ4Fxc7rmeKqnuwIMtBa1rHHGZryYzVUplcNZAP02+DS9ex2Lc8AsoYuOyCfb/B2752GrMlN&#10;Kw1ZXUMwCGRVFQSSvClfuDGQHnqg6zBxBH4vbib1WdfqVDYLW6lNHzUQkinIuDmStp4aWxOTV2ph&#10;K77UaHoQ1ymwbyYgGtAqx6yZwoesvogKCOmtIagh4pX2Ww/W8NueHeq/3JQB0NpZp/WFxUKS4cSP&#10;W7NVqbLkpU3fstH90V1infl6HvPVxOyN+SpX2hHIqtczWhlHTbmurWYvDlTHg0cFVY1mI1uuJrW0&#10;BFU9mINANQpjSlQABnCk+MSq/WOlomzLtarOsCzXjustdK2xAzQfcrTMfFRm+njxvqpbnI2uZhYP&#10;QtcEfTOVFGLgEjTRaKgkB6+yz75jBzZjJZtWXeVKeMVOpXWD4dCqrY5VbcqC96zpwbbDOvuwXK3I&#10;/JC6W6a901/Vph6qQom+G9VwNWZYibHaBBuGsYmHClGJsRwhppJhLUfTxliKL6ltyG2Mbb++A2MD&#10;ETPVsuFpMdaQ1zbGGo7nIIwVLKQMalJObQPnyAFHDhAijEgOUHlenRxAy8wjMdZa1QJZV00DwsbY&#10;kcgB41+OibGAwzoDq/BxYJQLDrzmEUUUKhOzsmIBFB7tfKo8fOTmljF+E+RqvdwG2CDAVur6Bgy7&#10;pshZf1qAbQtxYYOOujTqTx0hLoHtt+FGAGDbR80xBKurqTNhxzNhdwJcaqUSyg8McFUrGsSqt7O7&#10;H1p0Vgt61yt9BAu2hLXHsWClFpw83K3W+GuzRQpbUWwuLy5kNl+6PQt/A3dCI3VbgVDN2Titxyq6&#10;HCF3RQGTj27VKFcDjlV4HmHfFbKoibpMsL+lytY1aLwzeW7TitexaQVy1nsl9BwlbN1VQZDawEMI&#10;h9Qp80KGuvkdsaV2A1JsGWrsXSbhC0jOGgVYjSnXCqy2TXcEsMoStl6x7QdbdIkzOYXInmdcZog5&#10;tH3WhUKjiK2x1lrF9hwJsL1iuwdtQzS+1jFhJqgQ3snt88+FHUVuDTXZKrc2R3kS3FrlmPBBfEG6&#10;n7jMtnJMZC2E1FJQmrQx9rVwwuqE9ZrKMA3j2CqsNvt4krC2FrojFUaUOdAxIsVoMtV0xAKiRElq&#10;GSh6L5SLx9kGzjYwKV+tYmvH2o8V2+b2gbawthVyRWhEWRZyhQL0umTcnaw6WYVe7i7kUrmEmoE8&#10;l6xSH28E2XvsgRCFhjonkWHPIebsAWcPSHvApCS0AqsJ4YEuP0JYayYrSNYQLh6ZrIGPSolGjUiE&#10;cjJKgSLlj2QomApkHDg8ffV4SkLRjac4qoOSJ4vo/tptxn00MZEiikYjON+JqAykvPY+TElvKAtH&#10;zyeiaOSsQ1noxhjFqgi1imXFgjYUVCJKrdA9QK6DUQr2vXoZ7Q1mYYemk2S01d+3ATXxfV+5SJWw&#10;JrBazWaBOOzaMT77CJbMr7+/QQoHLLObPN3cLmc/pUVqf5Z5t5dznt1mq+t5/vZ/AAAA//8DAFBL&#10;AwQUAAYACAAAACEAzd4lxt8AAAAJAQAADwAAAGRycy9kb3ducmV2LnhtbEyPQU/DMAyF70j8h8hI&#10;3FhS2KAqTadpAk4T0jYkxM1rvLZak1RN1nb/Hu8EN9vv6fl7+XKyrRioD413GpKZAkGu9KZxlYav&#10;/ftDCiJEdAZb70jDhQIsi9ubHDPjR7elYRcrwSEuZKihjrHLpAxlTRbDzHfkWDv63mLkta+k6XHk&#10;cNvKR6WepcXG8YcaO1rXVJ52Z6vhY8Rx9ZS8DZvTcX352S8+vzcJaX1/N61eQUSa4p8ZrviMDgUz&#10;HfzZmSBaDQv28VXNExBXea5Sng4aUpW8gCxy+b9B8QsAAP//AwBQSwECLQAUAAYACAAAACEAtoM4&#10;kv4AAADhAQAAEwAAAAAAAAAAAAAAAAAAAAAAW0NvbnRlbnRfVHlwZXNdLnhtbFBLAQItABQABgAI&#10;AAAAIQA4/SH/1gAAAJQBAAALAAAAAAAAAAAAAAAAAC8BAABfcmVscy8ucmVsc1BLAQItABQABgAI&#10;AAAAIQDZbqsudREAALa7AAAOAAAAAAAAAAAAAAAAAC4CAABkcnMvZTJvRG9jLnhtbFBLAQItABQA&#10;BgAIAAAAIQDN3iXG3wAAAAkBAAAPAAAAAAAAAAAAAAAAAM8TAABkcnMvZG93bnJldi54bWxQSwUG&#10;AAAAAAQABADzAAAA2xQAAAAA&#10;">
                <v:group id="Group 872" o:spid="_x0000_s1460" style="position:absolute;left:79475;top:18736;width:9912;height:6217" coordorigin="79475,18736" coordsize="111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ect id="Rectangle 1007" o:spid="_x0000_s1461" style="position:absolute;left:79945;top:18815;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5wwAAAN0AAAAPAAAAZHJzL2Rvd25yZXYueG1sRE9NawIx&#10;EL0L/ocwgpdSExXcshpFCqLgSe2hx3Ez3V27mWyTqOu/bwoFb/N4n7NYdbYRN/KhdqxhPFIgiAtn&#10;ai41fJw2r28gQkQ22DgmDQ8KsFr2ewvMjbvzgW7HWIoUwiFHDVWMbS5lKCqyGEauJU7cl/MWY4K+&#10;lMbjPYXbRk6UmkmLNaeGClt6r6j4Pl6thhdnM3+YXc6by3b98+nifrprM62Hg249BxGpi0/xv3tn&#10;0nylMvj7Jp0gl78AAAD//wMAUEsBAi0AFAAGAAgAAAAhANvh9svuAAAAhQEAABMAAAAAAAAAAAAA&#10;AAAAAAAAAFtDb250ZW50X1R5cGVzXS54bWxQSwECLQAUAAYACAAAACEAWvQsW78AAAAVAQAACwAA&#10;AAAAAAAAAAAAAAAfAQAAX3JlbHMvLnJlbHNQSwECLQAUAAYACAAAACEAyvxy+cMAAADdAAAADwAA&#10;AAAAAAAAAAAAAAAHAgAAZHJzL2Rvd25yZXYueG1sUEsFBgAAAAADAAMAtwAAAPcCAAAAAA==&#10;" fillcolor="white [3212]" strokecolor="black [3213]"/>
                  <v:shape id="TextBox 23" o:spid="_x0000_s1462" type="#_x0000_t202" style="position:absolute;left:79475;top:18736;width:11114;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mTwwAAAN0AAAAPAAAAZHJzL2Rvd25yZXYueG1sRI9BT8Mw&#10;DIXvSPsPkZF2Y8mQhlBZNk0MpB24MMrdakxT0ThVY9bu3+MDEjdb7/m9z9v9nHpzobF0mT2sVw4M&#10;cZNDx62H+uP17hFMEeSAfWbycKUC+93iZotVyBO/0+UsrdEQLhV6iCJDZW1pIiUsqzwQq/aVx4Si&#10;69jaMOKk4am398492IQda0PEgZ4jNd/nn+RBJBzW1/olldPn/Hacoms2WHu/vJ0PT2CEZvk3/12f&#10;guI7p7j6jY5gd78AAAD//wMAUEsBAi0AFAAGAAgAAAAhANvh9svuAAAAhQEAABMAAAAAAAAAAAAA&#10;AAAAAAAAAFtDb250ZW50X1R5cGVzXS54bWxQSwECLQAUAAYACAAAACEAWvQsW78AAAAVAQAACwAA&#10;AAAAAAAAAAAAAAAfAQAAX3JlbHMvLnJlbHNQSwECLQAUAAYACAAAACEA2uJ5k8MAAADdAAAADwAA&#10;AAAAAAAAAAAAAAAHAgAAZHJzL2Rvd25yZXYueG1sUEsFBgAAAAADAAMAtwAAAPcCAAAAAA==&#10;" filled="f" stroked="f">
                    <v:textbox style="mso-fit-shape-to-text:t">
                      <w:txbxContent>
                        <w:p w14:paraId="23C42433" w14:textId="77777777" w:rsidR="00777EE0" w:rsidRDefault="00777EE0" w:rsidP="00C65FD3">
                          <w:pPr>
                            <w:jc w:val="center"/>
                            <w:rPr>
                              <w:szCs w:val="24"/>
                            </w:rPr>
                          </w:pPr>
                          <w:r>
                            <w:rPr>
                              <w:b/>
                              <w:bCs/>
                              <w:color w:val="000000" w:themeColor="text1"/>
                              <w:kern w:val="24"/>
                            </w:rPr>
                            <w:t>NPS use or non-use</w:t>
                          </w:r>
                        </w:p>
                      </w:txbxContent>
                    </v:textbox>
                  </v:shape>
                </v:group>
                <v:roundrect id="Rectangle: Rounded Corners 873" o:spid="_x0000_s1463" style="position:absolute;left:35874;top:38381;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2ZxwAAANwAAAAPAAAAZHJzL2Rvd25yZXYueG1sRI9Ba8JA&#10;FITvBf/D8gq9FLOxQhNSV1FBKB4K1Rz09sy+JqHZt3F3q/HfdwsFj8PMfMPMFoPpxIWcby0rmCQp&#10;COLK6pZrBeV+M85B+ICssbNMCm7kYTEfPcyw0PbKn3TZhVpECPsCFTQh9IWUvmrIoE9sTxy9L+sM&#10;hihdLbXDa4SbTr6k6as02HJcaLCndUPV9+7HKMg+VqfVISu3x9w942Rpt3XZn5V6ehyWbyACDeEe&#10;/m+/awV5NoW/M/EIyPkvAAAA//8DAFBLAQItABQABgAIAAAAIQDb4fbL7gAAAIUBAAATAAAAAAAA&#10;AAAAAAAAAAAAAABbQ29udGVudF9UeXBlc10ueG1sUEsBAi0AFAAGAAgAAAAhAFr0LFu/AAAAFQEA&#10;AAsAAAAAAAAAAAAAAAAAHwEAAF9yZWxzLy5yZWxzUEsBAi0AFAAGAAgAAAAhABUgrZnHAAAA3AAA&#10;AA8AAAAAAAAAAAAAAAAABwIAAGRycy9kb3ducmV2LnhtbFBLBQYAAAAAAwADALcAAAD7AgAAAAA=&#10;" filled="f" strokecolor="black [3213]"/>
                <v:roundrect id="Rectangle: Rounded Corners 874" o:spid="_x0000_s1464" style="position:absolute;left:35849;top:25502;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XtxwAAANwAAAAPAAAAZHJzL2Rvd25yZXYueG1sRI9Ba8JA&#10;FITvBf/D8gq9FLOxSBNSV1FBKB4K1Rz09sy+JqHZt3F3q/HfdwsFj8PMfMPMFoPpxIWcby0rmCQp&#10;COLK6pZrBeV+M85B+ICssbNMCm7kYTEfPcyw0PbKn3TZhVpECPsCFTQh9IWUvmrIoE9sTxy9L+sM&#10;hihdLbXDa4SbTr6k6as02HJcaLCndUPV9+7HKMg+VqfVISu3x9w942Rpt3XZn5V6ehyWbyACDeEe&#10;/m+/awV5NoW/M/EIyPkvAAAA//8DAFBLAQItABQABgAIAAAAIQDb4fbL7gAAAIUBAAATAAAAAAAA&#10;AAAAAAAAAAAAAABbQ29udGVudF9UeXBlc10ueG1sUEsBAi0AFAAGAAgAAAAhAFr0LFu/AAAAFQEA&#10;AAsAAAAAAAAAAAAAAAAAHwEAAF9yZWxzLy5yZWxzUEsBAi0AFAAGAAgAAAAhAJrJNe3HAAAA3AAA&#10;AA8AAAAAAAAAAAAAAAAABwIAAGRycy9kb3ducmV2LnhtbFBLBQYAAAAAAwADALcAAAD7AgAAAAA=&#10;" filled="f" strokecolor="black [3213]"/>
                <v:roundrect id="Rectangle: Rounded Corners 875" o:spid="_x0000_s1465" style="position:absolute;left:35874;top:32013;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B2xwAAANwAAAAPAAAAZHJzL2Rvd25yZXYueG1sRI9Ba8JA&#10;FITvBf/D8gq9FLOxYBNSV1FBKB4K1Rz09sy+JqHZt3F3q/HfdwsFj8PMfMPMFoPpxIWcby0rmCQp&#10;COLK6pZrBeV+M85B+ICssbNMCm7kYTEfPcyw0PbKn3TZhVpECPsCFTQh9IWUvmrIoE9sTxy9L+sM&#10;hihdLbXDa4SbTr6k6as02HJcaLCndUPV9+7HKMg+VqfVISu3x9w942Rpt3XZn5V6ehyWbyACDeEe&#10;/m+/awV5NoW/M/EIyPkvAAAA//8DAFBLAQItABQABgAIAAAAIQDb4fbL7gAAAIUBAAATAAAAAAAA&#10;AAAAAAAAAAAAAABbQ29udGVudF9UeXBlc10ueG1sUEsBAi0AFAAGAAgAAAAhAFr0LFu/AAAAFQEA&#10;AAsAAAAAAAAAAAAAAAAAHwEAAF9yZWxzLy5yZWxzUEsBAi0AFAAGAAgAAAAhAPWFkHbHAAAA3AAA&#10;AA8AAAAAAAAAAAAAAAAABwIAAGRycy9kb3ducmV2LnhtbFBLBQYAAAAAAwADALcAAAD7AgAAAAA=&#10;" filled="f" strokecolor="black [3213]"/>
                <v:group id="Group 876" o:spid="_x0000_s1466" style="position:absolute;left:35874;top:12670;width:11082;height:3881" coordorigin="35874,12670" coordsize="12084,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roundrect id="Rectangle: Rounded Corners 1005" o:spid="_x0000_s1467" style="position:absolute;left:35874;top:12670;width:12084;height:4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nZxQAAAN0AAAAPAAAAZHJzL2Rvd25yZXYueG1sRE9NawIx&#10;EL0X/A9hCr0UTSzYla1RVBCKh0J1D3obN9PdpZvJmqS6/vumUPA2j/c5s0VvW3EhHxrHGsYjBYK4&#10;dKbhSkOx3wynIEJENtg6Jg03CrCYDx5mmBt35U+67GIlUgiHHDXUMXa5lKGsyWIYuY44cV/OW4wJ&#10;+koaj9cUblv5otSrtNhwaqixo3VN5ffux2rIPlan1SErtsepf8bx0m2rojtr/fTYL99AROrjXfzv&#10;fjdpvlIT+PsmnSDnvwAAAP//AwBQSwECLQAUAAYACAAAACEA2+H2y+4AAACFAQAAEwAAAAAAAAAA&#10;AAAAAAAAAAAAW0NvbnRlbnRfVHlwZXNdLnhtbFBLAQItABQABgAIAAAAIQBa9CxbvwAAABUBAAAL&#10;AAAAAAAAAAAAAAAAAB8BAABfcmVscy8ucmVsc1BLAQItABQABgAIAAAAIQAJd6nZxQAAAN0AAAAP&#10;AAAAAAAAAAAAAAAAAAcCAABkcnMvZG93bnJldi54bWxQSwUGAAAAAAMAAwC3AAAA+QIAAAAA&#10;" filled="f" strokecolor="black [3213]"/>
                  <v:shape id="TextBox 216" o:spid="_x0000_s1468" type="#_x0000_t202" style="position:absolute;left:36863;top:13134;width:10106;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h6wgAAAN0AAAAPAAAAZHJzL2Rvd25yZXYueG1sRI9Ba8JA&#10;EIXvBf/DMkJvdWPBItFVRCt46KUa70N2zAazsyE7mvjvuwXB2wzvvW/eLNeDb9SdulgHNjCdZKCI&#10;y2BrrgwUp/3HHFQUZItNYDLwoAjr1ehtibkNPf/S/SiVShCOORpwIm2udSwdeYyT0BIn7RI6j5LW&#10;rtK2wz7BfaM/s+xLe6w5XXDY0tZReT3evAERu5k+im8fD+fhZ9e7rJxhYcz7eNgsQAkN8jI/0web&#10;6ici/H+TRtCrPwAAAP//AwBQSwECLQAUAAYACAAAACEA2+H2y+4AAACFAQAAEwAAAAAAAAAAAAAA&#10;AAAAAAAAW0NvbnRlbnRfVHlwZXNdLnhtbFBLAQItABQABgAIAAAAIQBa9CxbvwAAABUBAAALAAAA&#10;AAAAAAAAAAAAAB8BAABfcmVscy8ucmVsc1BLAQItABQABgAIAAAAIQDEMUh6wgAAAN0AAAAPAAAA&#10;AAAAAAAAAAAAAAcCAABkcnMvZG93bnJldi54bWxQSwUGAAAAAAMAAwC3AAAA9gIAAAAA&#10;" filled="f" stroked="f">
                    <v:textbox style="mso-fit-shape-to-text:t"/>
                  </v:shape>
                </v:group>
                <v:group id="Group 877" o:spid="_x0000_s1469" style="position:absolute;left:35849;top:19093;width:11724;height:3881" coordorigin="35849,19093" coordsize="12784,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roundrect id="Rectangle: Rounded Corners 1003" o:spid="_x0000_s1470" style="position:absolute;left:35849;top:19093;width:12084;height:4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Q2xQAAAN0AAAAPAAAAZHJzL2Rvd25yZXYueG1sRE9NawIx&#10;EL0X/A9hCr0UTazQla1RVBCKh0J1D3obN9PdpZvJmqS6/vumUPA2j/c5s0VvW3EhHxrHGsYjBYK4&#10;dKbhSkOx3wynIEJENtg6Jg03CrCYDx5mmBt35U+67GIlUgiHHDXUMXa5lKGsyWIYuY44cV/OW4wJ&#10;+koaj9cUblv5otSrtNhwaqixo3VN5ffux2rIPlan1SErtsepf8bx0m2rojtr/fTYL99AROrjXfzv&#10;fjdpvlIT+PsmnSDnvwAAAP//AwBQSwECLQAUAAYACAAAACEA2+H2y+4AAACFAQAAEwAAAAAAAAAA&#10;AAAAAAAAAAAAW0NvbnRlbnRfVHlwZXNdLnhtbFBLAQItABQABgAIAAAAIQBa9CxbvwAAABUBAAAL&#10;AAAAAAAAAAAAAAAAAB8BAABfcmVscy8ucmVsc1BLAQItABQABgAIAAAAIQDp0pQ2xQAAAN0AAAAP&#10;AAAAAAAAAAAAAAAAAAcCAABkcnMvZG93bnJldi54bWxQSwUGAAAAAAMAAwC3AAAA+QIAAAAA&#10;" filled="f" strokecolor="black [3213]"/>
                  <v:shape id="TextBox 223" o:spid="_x0000_s1471" type="#_x0000_t202" style="position:absolute;left:35849;top:19518;width:12784;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OWwQAAAN0AAAAPAAAAZHJzL2Rvd25yZXYueG1sRE9NawIx&#10;EL0X+h/CFLzVRLGlbI0irYKHXmq392EzbhY3k2Uzuuu/bwqCt3m8z1mux9CqC/WpiWxhNjWgiKvo&#10;Gq4tlD+75zdQSZAdtpHJwpUSrFePD0ssXBz4my4HqVUO4VSgBS/SFVqnylPANI0dceaOsQ8oGfa1&#10;dj0OOTy0em7Mqw7YcG7w2NGHp+p0OAcLIm4zu5bbkPa/49fn4E31gqW1k6dx8w5KaJS7+Obeuzzf&#10;mAX8f5NP0Ks/AAAA//8DAFBLAQItABQABgAIAAAAIQDb4fbL7gAAAIUBAAATAAAAAAAAAAAAAAAA&#10;AAAAAABbQ29udGVudF9UeXBlc10ueG1sUEsBAi0AFAAGAAgAAAAhAFr0LFu/AAAAFQEAAAsAAAAA&#10;AAAAAAAAAAAAHwEAAF9yZWxzLy5yZWxzUEsBAi0AFAAGAAgAAAAhAFuvc5bBAAAA3QAAAA8AAAAA&#10;AAAAAAAAAAAABwIAAGRycy9kb3ducmV2LnhtbFBLBQYAAAAAAwADALcAAAD1AgAAAAA=&#10;" filled="f" stroked="f">
                    <v:textbox style="mso-fit-shape-to-text:t"/>
                  </v:shape>
                </v:group>
                <v:roundrect id="Rectangle: Rounded Corners 878" o:spid="_x0000_s1472" style="position:absolute;left:35796;top:6384;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owwAAANwAAAAPAAAAZHJzL2Rvd25yZXYueG1sRE/Pa8Iw&#10;FL4P9j+EN/AyZuoOtlSj6EAYHgS1B3d7Ns+22Lx0SdT635uD4PHj+z2d96YVV3K+saxgNExAEJdW&#10;N1wpKParrwyED8gaW8uk4E4e5rP3tynm2t54S9ddqEQMYZ+jgjqELpfSlzUZ9EPbEUfuZJ3BEKGr&#10;pHZ4i+Gmld9JMpYGG44NNXb0U1N53l2MgnSzPC4PabH+y9wnjhZ2XRXdv1KDj34xARGoDy/x0/2r&#10;FWRpXBvPxCMgZw8AAAD//wMAUEsBAi0AFAAGAAgAAAAhANvh9svuAAAAhQEAABMAAAAAAAAAAAAA&#10;AAAAAAAAAFtDb250ZW50X1R5cGVzXS54bWxQSwECLQAUAAYACAAAACEAWvQsW78AAAAVAQAACwAA&#10;AAAAAAAAAAAAAAAfAQAAX3JlbHMvLnJlbHNQSwECLQAUAAYACAAAACEAG4Q/6MMAAADcAAAADwAA&#10;AAAAAAAAAAAAAAAHAgAAZHJzL2Rvd25yZXYueG1sUEsFBgAAAAADAAMAtwAAAPcCAAAAAA==&#10;" filled="f" strokecolor="black [3213]"/>
                <v:roundrect id="Rectangle: Rounded Corners 879" o:spid="_x0000_s1473" style="position:absolute;left:35796;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pzxgAAANwAAAAPAAAAZHJzL2Rvd25yZXYueG1sRI9Ba8JA&#10;FITvQv/D8gpeRDd6aGLqKloQiodCbQ56e80+k2D2bbq7avz3bqHQ4zAz3zCLVW9acSXnG8sKppME&#10;BHFpdcOVguJrO85A+ICssbVMCu7kYbV8Giww1/bGn3Tdh0pECPscFdQhdLmUvqzJoJ/Yjjh6J+sM&#10;hihdJbXDW4SbVs6S5EUabDgu1NjRW03leX8xCtKPzffmkBa7Y+ZGOF3bXVV0P0oNn/v1K4hAffgP&#10;/7XftYIsncPvmXgE5PIBAAD//wMAUEsBAi0AFAAGAAgAAAAhANvh9svuAAAAhQEAABMAAAAAAAAA&#10;AAAAAAAAAAAAAFtDb250ZW50X1R5cGVzXS54bWxQSwECLQAUAAYACAAAACEAWvQsW78AAAAVAQAA&#10;CwAAAAAAAAAAAAAAAAAfAQAAX3JlbHMvLnJlbHNQSwECLQAUAAYACAAAACEAdMiac8YAAADcAAAA&#10;DwAAAAAAAAAAAAAAAAAHAgAAZHJzL2Rvd25yZXYueG1sUEsFBgAAAAADAAMAtwAAAPoCAAAAAA==&#10;" filled="f" strokecolor="black [3213]"/>
                <v:shape id="TextBox 236" o:spid="_x0000_s1474" type="#_x0000_t202" style="position:absolute;left:35765;top:618;width:1064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NvwAAANwAAAAPAAAAZHJzL2Rvd25yZXYueG1sRE9Na8JA&#10;EL0L/Q/LFLzVjQUlRFeRWsFDL9p4H7JjNjQ7G7Kjif/ePRQ8Pt73ejv6Vt2pj01gA/NZBoq4Crbh&#10;2kD5e/jIQUVBttgGJgMPirDdvE3WWNgw8InuZ6lVCuFYoAEn0hVax8qRxzgLHXHirqH3KAn2tbY9&#10;Dinct/ozy5baY8OpwWFHX46qv/PNGxCxu/mj/PbxeBl/9oPLqgWWxkzfx90KlNAoL/G/+2gN5Hma&#10;n86kI6A3TwAAAP//AwBQSwECLQAUAAYACAAAACEA2+H2y+4AAACFAQAAEwAAAAAAAAAAAAAAAAAA&#10;AAAAW0NvbnRlbnRfVHlwZXNdLnhtbFBLAQItABQABgAIAAAAIQBa9CxbvwAAABUBAAALAAAAAAAA&#10;AAAAAAAAAB8BAABfcmVscy8ucmVsc1BLAQItABQABgAIAAAAIQCz+OcNvwAAANwAAAAPAAAAAAAA&#10;AAAAAAAAAAcCAABkcnMvZG93bnJldi54bWxQSwUGAAAAAAMAAwC3AAAA8wIAAAAA&#10;" filled="f" stroked="f">
                  <v:textbox style="mso-fit-shape-to-text:t">
                    <w:txbxContent>
                      <w:p w14:paraId="36AD76B8" w14:textId="77777777" w:rsidR="00777EE0" w:rsidRDefault="00777EE0" w:rsidP="00C65FD3">
                        <w:pPr>
                          <w:jc w:val="center"/>
                          <w:rPr>
                            <w:szCs w:val="24"/>
                          </w:rPr>
                        </w:pPr>
                        <w:r>
                          <w:rPr>
                            <w:color w:val="000000" w:themeColor="text1"/>
                            <w:kern w:val="24"/>
                          </w:rPr>
                          <w:t>Curiosity</w:t>
                        </w:r>
                      </w:p>
                    </w:txbxContent>
                  </v:textbox>
                </v:shape>
                <v:group id="Group 881" o:spid="_x0000_s1475" style="position:absolute;left:55686;top:15399;width:13875;height:6217" coordorigin="55686,15399" coordsize="1387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TextBox 234" o:spid="_x0000_s1476" type="#_x0000_t202" style="position:absolute;left:55686;top:15399;width:13875;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AOwAAAAN0AAAAPAAAAZHJzL2Rvd25yZXYueG1sRE9Na8JA&#10;EL0X+h+WKfRWd1OoSHQVsS146EUb70N2zAazsyE7NfHfdwtCb/N4n7PaTKFTVxpSG9lCMTOgiOvo&#10;Wm4sVN+fLwtQSZAddpHJwo0SbNaPDyssXRz5QNejNCqHcCrRghfpS61T7SlgmsWeOHPnOASUDIdG&#10;uwHHHB46/WrMXAdsOTd47Gnnqb4cf4IFEbctbtVHSPvT9PU+elO/YWXt89O0XYISmuRffHfvXZ5v&#10;TAF/3+QT9PoXAAD//wMAUEsBAi0AFAAGAAgAAAAhANvh9svuAAAAhQEAABMAAAAAAAAAAAAAAAAA&#10;AAAAAFtDb250ZW50X1R5cGVzXS54bWxQSwECLQAUAAYACAAAACEAWvQsW78AAAAVAQAACwAAAAAA&#10;AAAAAAAAAAAfAQAAX3JlbHMvLnJlbHNQSwECLQAUAAYACAAAACEAS9jQDsAAAADdAAAADwAAAAAA&#10;AAAAAAAAAAAHAgAAZHJzL2Rvd25yZXYueG1sUEsFBgAAAAADAAMAtwAAAPQCAAAAAA==&#10;" filled="f" stroked="f">
                    <v:textbox style="mso-fit-shape-to-text:t">
                      <w:txbxContent>
                        <w:p w14:paraId="37B0418B" w14:textId="77777777" w:rsidR="00777EE0" w:rsidRDefault="00777EE0" w:rsidP="00C65FD3">
                          <w:pPr>
                            <w:jc w:val="center"/>
                            <w:rPr>
                              <w:szCs w:val="24"/>
                            </w:rPr>
                          </w:pPr>
                          <w:r>
                            <w:rPr>
                              <w:color w:val="000000" w:themeColor="text1"/>
                              <w:kern w:val="24"/>
                            </w:rPr>
                            <w:t xml:space="preserve"> Behavioural willingness</w:t>
                          </w:r>
                        </w:p>
                      </w:txbxContent>
                    </v:textbox>
                  </v:shape>
                  <v:roundrect id="Rectangle: Rounded Corners 1002" o:spid="_x0000_s1477" style="position:absolute;left:57198;top:15695;width:11081;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GtxAAAAN0AAAAPAAAAZHJzL2Rvd25yZXYueG1sRE9NawIx&#10;EL0X/A9hBC9FEz1U2RpFBaF4KFT30N7GzXR3cTNZk1TXf98Igrd5vM+ZLzvbiAv5UDvWMB4pEMSF&#10;MzWXGvLDdjgDESKywcYxabhRgOWi9zLHzLgrf9FlH0uRQjhkqKGKsc2kDEVFFsPItcSJ+3XeYkzQ&#10;l9J4vKZw28iJUm/SYs2pocKWNhUVp/2f1TD9XB/X39N89zPzrzheuV2Zt2etB/1u9Q4iUhef4of7&#10;w6T5Sk3g/k06QS7+AQAA//8DAFBLAQItABQABgAIAAAAIQDb4fbL7gAAAIUBAAATAAAAAAAAAAAA&#10;AAAAAAAAAABbQ29udGVudF9UeXBlc10ueG1sUEsBAi0AFAAGAAgAAAAhAFr0LFu/AAAAFQEAAAsA&#10;AAAAAAAAAAAAAAAAHwEAAF9yZWxzLy5yZWxzUEsBAi0AFAAGAAgAAAAhAIaeMa3EAAAA3QAAAA8A&#10;AAAAAAAAAAAAAAAABwIAAGRycy9kb3ducmV2LnhtbFBLBQYAAAAAAwADALcAAAD4AgAAAAA=&#10;" filled="f" strokecolor="black [3213]"/>
                </v:group>
                <v:line id="Straight Connector 882" o:spid="_x0000_s1478" style="position:absolute;visibility:visible;mso-wrap-style:square" from="46877,1940" to="57198,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JgxQAAANwAAAAPAAAAZHJzL2Rvd25yZXYueG1sRI9Ba8JA&#10;FITvhf6H5RW81Y0BTUhdJRSEak9qS6+P7DOJzb4Nu9sY/fVdodDjMPPNMMv1aDoxkPOtZQWzaQKC&#10;uLK65VrBx3HznIPwAVljZ5kUXMnDevX4sMRC2wvvaTiEWsQS9gUqaELoCyl91ZBBP7U9cfRO1hkM&#10;UbpaaoeXWG46mSbJQhpsOS402NNrQ9X34ccoyKvd2ZVZuZ3NP/vsNqTvi81XptTkaSxfQAQaw3/4&#10;j37TkctTuJ+JR0CufgEAAP//AwBQSwECLQAUAAYACAAAACEA2+H2y+4AAACFAQAAEwAAAAAAAAAA&#10;AAAAAAAAAAAAW0NvbnRlbnRfVHlwZXNdLnhtbFBLAQItABQABgAIAAAAIQBa9CxbvwAAABUBAAAL&#10;AAAAAAAAAAAAAAAAAB8BAABfcmVscy8ucmVsc1BLAQItABQABgAIAAAAIQApkmJgxQAAANwAAAAP&#10;AAAAAAAAAAAAAAAAAAcCAABkcnMvZG93bnJldi54bWxQSwUGAAAAAAMAAwC3AAAA+QIAAAAA&#10;" strokecolor="black [3213]">
                  <o:lock v:ext="edit" shapetype="f"/>
                </v:line>
                <v:line id="Straight Connector 883" o:spid="_x0000_s1479" style="position:absolute;visibility:visible;mso-wrap-style:square" from="46877,8325" to="57198,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f7xQAAANwAAAAPAAAAZHJzL2Rvd25yZXYueG1sRI9Ba8JA&#10;FITvBf/D8oTe6kZLTUhdJQhCrSe1pddH9jVJzb4Nu9sY++u7guBxmPlmmMVqMK3oyfnGsoLpJAFB&#10;XFrdcKXg47h5ykD4gKyxtUwKLuRhtRw9LDDX9sx76g+hErGEfY4K6hC6XEpf1mTQT2xHHL1v6wyG&#10;KF0ltcNzLDetnCXJXBpsOC7U2NG6pvJ0+DUKsvL9xxVpsZ2+fHbpXz/bzTdfqVKP46F4BRFoCPfw&#10;jX7Tkcue4XomHgG5/AcAAP//AwBQSwECLQAUAAYACAAAACEA2+H2y+4AAACFAQAAEwAAAAAAAAAA&#10;AAAAAAAAAAAAW0NvbnRlbnRfVHlwZXNdLnhtbFBLAQItABQABgAIAAAAIQBa9CxbvwAAABUBAAAL&#10;AAAAAAAAAAAAAAAAAB8BAABfcmVscy8ucmVsc1BLAQItABQABgAIAAAAIQBG3sf7xQAAANwAAAAP&#10;AAAAAAAAAAAAAAAAAAcCAABkcnMvZG93bnJldi54bWxQSwUGAAAAAAMAAwC3AAAA+QIAAAAA&#10;" strokecolor="black [3213]">
                  <o:lock v:ext="edit" shapetype="f"/>
                </v:line>
                <v:line id="Straight Connector 884" o:spid="_x0000_s1480" style="position:absolute;visibility:visible;mso-wrap-style:square" from="46956,14610" to="57198,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PxQAAANwAAAAPAAAAZHJzL2Rvd25yZXYueG1sRI9Ba8JA&#10;FITvBf/D8oTe6kZpTUhdJQhCrSe1pddH9jVJzb4Nu9sY++u7guBxmPlmmMVqMK3oyfnGsoLpJAFB&#10;XFrdcKXg47h5ykD4gKyxtUwKLuRhtRw9LDDX9sx76g+hErGEfY4K6hC6XEpf1mTQT2xHHL1v6wyG&#10;KF0ltcNzLDetnCXJXBpsOC7U2NG6pvJ0+DUKsvL9xxVpsZ2+fHbpXz/bzTdfqVKP46F4BRFoCPfw&#10;jX7Tkcue4XomHgG5/AcAAP//AwBQSwECLQAUAAYACAAAACEA2+H2y+4AAACFAQAAEwAAAAAAAAAA&#10;AAAAAAAAAAAAW0NvbnRlbnRfVHlwZXNdLnhtbFBLAQItABQABgAIAAAAIQBa9CxbvwAAABUBAAAL&#10;AAAAAAAAAAAAAAAAAB8BAABfcmVscy8ucmVsc1BLAQItABQABgAIAAAAIQDJN1+PxQAAANwAAAAP&#10;AAAAAAAAAAAAAAAAAAcCAABkcnMvZG93bnJldi54bWxQSwUGAAAAAAMAAwC3AAAA+QIAAAAA&#10;" strokecolor="black [3213]">
                  <o:lock v:ext="edit" shapetype="f"/>
                </v:line>
                <v:line id="Straight Connector 885" o:spid="_x0000_s1481" style="position:absolute;visibility:visible;mso-wrap-style:square" from="46930,21033" to="57083,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UxQAAANwAAAAPAAAAZHJzL2Rvd25yZXYueG1sRI9Ba8JA&#10;FITvBf/D8oTe6kZBE6KrBEHQeqpt6fWRfSZps2/D7hqjv94tFHocZr4ZZrUZTCt6cr6xrGA6SUAQ&#10;l1Y3XCn4eN+9ZCB8QNbYWiYFN/KwWY+eVphre+U36k+hErGEfY4K6hC6XEpf1mTQT2xHHL2zdQZD&#10;lK6S2uE1lptWzpJkIQ02HBdq7GhbU/lzuhgFWfn67Yq0OEznn11672fHxe4rVep5PBRLEIGG8B/+&#10;o/c6ctkcfs/EIyDXDwAAAP//AwBQSwECLQAUAAYACAAAACEA2+H2y+4AAACFAQAAEwAAAAAAAAAA&#10;AAAAAAAAAAAAW0NvbnRlbnRfVHlwZXNdLnhtbFBLAQItABQABgAIAAAAIQBa9CxbvwAAABUBAAAL&#10;AAAAAAAAAAAAAAAAAB8BAABfcmVscy8ucmVsc1BLAQItABQABgAIAAAAIQCme/oUxQAAANwAAAAP&#10;AAAAAAAAAAAAAAAAAAcCAABkcnMvZG93bnJldi54bWxQSwUGAAAAAAMAAwC3AAAA+QIAAAAA&#10;" strokecolor="black [3213]">
                  <o:lock v:ext="edit" shapetype="f"/>
                </v:line>
                <v:line id="Straight Connector 886" o:spid="_x0000_s1482" style="position:absolute;flip:y;visibility:visible;mso-wrap-style:square" from="46930,24500" to="57083,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QXxAAAANwAAAAPAAAAZHJzL2Rvd25yZXYueG1sRI9Ra8Iw&#10;FIXfhf2HcAe+aTrR0nVGUUEYvsicP+DS3DVlzU1Notb++mUw2OPhnPMdznLd21bcyIfGsYKXaQaC&#10;uHK64VrB+XM/KUCEiKyxdUwKHhRgvXoaLbHU7s4fdDvFWiQIhxIVmBi7UspQGbIYpq4jTt6X8xZj&#10;kr6W2uM9wW0rZ1mWS4sNpwWDHe0MVd+nq1XQDvE8vG53Zsgu84c+HnPnFwelxs/95g1EpD7+h//a&#10;71pBUeTweyYdAbn6AQAA//8DAFBLAQItABQABgAIAAAAIQDb4fbL7gAAAIUBAAATAAAAAAAAAAAA&#10;AAAAAAAAAABbQ29udGVudF9UeXBlc10ueG1sUEsBAi0AFAAGAAgAAAAhAFr0LFu/AAAAFQEAAAsA&#10;AAAAAAAAAAAAAAAAHwEAAF9yZWxzLy5yZWxzUEsBAi0AFAAGAAgAAAAhALtZJBfEAAAA3AAAAA8A&#10;AAAAAAAAAAAAAAAABwIAAGRycy9kb3ducmV2LnhtbFBLBQYAAAAAAwADALcAAAD4AgAAAAA=&#10;" strokecolor="black [3213]">
                  <o:lock v:ext="edit" shapetype="f"/>
                </v:line>
                <v:line id="Straight Connector 887" o:spid="_x0000_s1483" style="position:absolute;flip:y;visibility:visible;mso-wrap-style:square" from="46956,24500" to="57083,3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GMxQAAANwAAAAPAAAAZHJzL2Rvd25yZXYueG1sRI9Ra8Iw&#10;FIXfB/sP4Qp701TZtOuM4gRB9iJWf8CluWvKmpsuybT21y8DYY+Hc853OMt1b1txIR8axwqmkwwE&#10;ceV0w7WC82k3zkGEiKyxdUwKbhRgvXp8WGKh3ZWPdCljLRKEQ4EKTIxdIWWoDFkME9cRJ+/TeYsx&#10;SV9L7fGa4LaVsyybS4sNpwWDHW0NVV/lj1XQDvE8vL5vzZB9P9/04TB3/uVDqadRv3kDEamP/+F7&#10;e68V5PkC/s6kIyBXvwAAAP//AwBQSwECLQAUAAYACAAAACEA2+H2y+4AAACFAQAAEwAAAAAAAAAA&#10;AAAAAAAAAAAAW0NvbnRlbnRfVHlwZXNdLnhtbFBLAQItABQABgAIAAAAIQBa9CxbvwAAABUBAAAL&#10;AAAAAAAAAAAAAAAAAB8BAABfcmVscy8ucmVsc1BLAQItABQABgAIAAAAIQDUFYGMxQAAANwAAAAP&#10;AAAAAAAAAAAAAAAAAAcCAABkcnMvZG93bnJldi54bWxQSwUGAAAAAAMAAwC3AAAA+QIAAAAA&#10;" strokecolor="black [3213]">
                  <o:lock v:ext="edit" shapetype="f"/>
                </v:line>
                <v:line id="Straight Connector 888" o:spid="_x0000_s1484" style="position:absolute;flip:y;visibility:visible;mso-wrap-style:square" from="46956,24500" to="57083,4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X+wQAAANwAAAAPAAAAZHJzL2Rvd25yZXYueG1sRE/dasIw&#10;FL4f+A7hCN7NVHFSq1E2QZDdyNQHODTHptic1CRq7dMvF4Ndfnz/q01nG/EgH2rHCibjDARx6XTN&#10;lYLzafeegwgRWWPjmBS8KMBmPXhbYaHdk3/ocYyVSCEcClRgYmwLKUNpyGIYu5Y4cRfnLcYEfSW1&#10;x2cKt42cZtlcWqw5NRhsaWuovB7vVkHTx3O/+NqaPrvNXvpwmDv/8a3UaNh9LkFE6uK/+M+91wry&#10;PK1NZ9IRkOtfAAAA//8DAFBLAQItABQABgAIAAAAIQDb4fbL7gAAAIUBAAATAAAAAAAAAAAAAAAA&#10;AAAAAABbQ29udGVudF9UeXBlc10ueG1sUEsBAi0AFAAGAAgAAAAhAFr0LFu/AAAAFQEAAAsAAAAA&#10;AAAAAAAAAAAAHwEAAF9yZWxzLy5yZWxzUEsBAi0AFAAGAAgAAAAhAKWKFf7BAAAA3AAAAA8AAAAA&#10;AAAAAAAAAAAABwIAAGRycy9kb3ducmV2LnhtbFBLBQYAAAAAAwADALcAAAD1AgAAAAA=&#10;" strokecolor="black [3213]">
                  <o:lock v:ext="edit" shapetype="f"/>
                </v:line>
                <v:line id="Straight Connector 889" o:spid="_x0000_s1485" style="position:absolute;visibility:visible;mso-wrap-style:square" from="46956,14610" to="57083,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ARxQAAANwAAAAPAAAAZHJzL2Rvd25yZXYueG1sRI9Ba8JA&#10;FITvBf/D8oTe6kZBk6auEgTB2lO1pddH9jVJm30bdtcY/fVuoeBxmPlmmOV6MK3oyfnGsoLpJAFB&#10;XFrdcKXg47h9ykD4gKyxtUwKLuRhvRo9LDHX9szv1B9CJWIJ+xwV1CF0uZS+rMmgn9iOOHrf1hkM&#10;UbpKaofnWG5aOUuShTTYcFyosaNNTeXv4WQUZOX+xxVp8Tqdf3bptZ+9LbZfqVKP46F4ARFoCPfw&#10;P73Tkcue4e9MPAJydQMAAP//AwBQSwECLQAUAAYACAAAACEA2+H2y+4AAACFAQAAEwAAAAAAAAAA&#10;AAAAAAAAAAAAW0NvbnRlbnRfVHlwZXNdLnhtbFBLAQItABQABgAIAAAAIQBa9CxbvwAAABUBAAAL&#10;AAAAAAAAAAAAAAAAAB8BAABfcmVscy8ucmVsc1BLAQItABQABgAIAAAAIQAnNvARxQAAANwAAAAP&#10;AAAAAAAAAAAAAAAAAAcCAABkcnMvZG93bnJldi54bWxQSwUGAAAAAAMAAwC3AAAA+QIAAAAA&#10;" strokecolor="black [3213]">
                  <o:lock v:ext="edit" shapetype="f"/>
                </v:line>
                <v:line id="Straight Connector 890" o:spid="_x0000_s1486" style="position:absolute;visibility:visible;mso-wrap-style:square" from="68279,17635" to="79894,2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9RwwAAANwAAAAPAAAAZHJzL2Rvd25yZXYueG1sRE9NS8NA&#10;EL0L/odlBG9204JNTbstQSioPdlWeh2yYxLNzobdNY3++s5B6PHxvleb0XVqoBBbzwamkwwUceVt&#10;y7WB42H7sAAVE7LFzjMZ+KUIm/XtzQoL68/8TsM+1UpCOBZooEmpL7SOVUMO48T3xMJ9+uAwCQy1&#10;tgHPEu46PcuyuXbYsjQ02NNzQ9X3/scZWFRvX6HMy9fp40ef/w2z3Xx7yo25vxvLJahEY7qK/90v&#10;VnxPMl/OyBHQ6wsAAAD//wMAUEsBAi0AFAAGAAgAAAAhANvh9svuAAAAhQEAABMAAAAAAAAAAAAA&#10;AAAAAAAAAFtDb250ZW50X1R5cGVzXS54bWxQSwECLQAUAAYACAAAACEAWvQsW78AAAAVAQAACwAA&#10;AAAAAAAAAAAAAAAfAQAAX3JlbHMvLnJlbHNQSwECLQAUAAYACAAAACEAM9XPUcMAAADcAAAADwAA&#10;AAAAAAAAAAAAAAAHAgAAZHJzL2Rvd25yZXYueG1sUEsFBgAAAAADAAMAtwAAAPcCAAAAAA==&#10;" strokecolor="black [3213]">
                  <o:lock v:ext="edit" shapetype="f"/>
                </v:line>
                <v:line id="Straight Connector 891" o:spid="_x0000_s1487" style="position:absolute;flip:y;visibility:visible;mso-wrap-style:square" from="68165,21097" to="79894,2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q+xAAAANwAAAAPAAAAZHJzL2Rvd25yZXYueG1sRI9Ra8Iw&#10;FIXfB/sP4Q72NlPHFO2aihME8UWm/oBLc23KmpuaRK399WYw2OPhnPMdTrHobSuu5EPjWMF4lIEg&#10;rpxuuFZwPKzfZiBCRNbYOiYFdwqwKJ+fCsy1u/E3XfexFgnCIUcFJsYulzJUhiyGkeuIk3dy3mJM&#10;0tdSe7wluG3le5ZNpcWG04LBjlaGqp/9xSpoh3gc5l8rM2Tnj7ve7abOT7ZKvb70y08Qkfr4H/5r&#10;b7SC2XwMv2fSEZDlAwAA//8DAFBLAQItABQABgAIAAAAIQDb4fbL7gAAAIUBAAATAAAAAAAAAAAA&#10;AAAAAAAAAABbQ29udGVudF9UeXBlc10ueG1sUEsBAi0AFAAGAAgAAAAhAFr0LFu/AAAAFQEAAAsA&#10;AAAAAAAAAAAAAAAAHwEAAF9yZWxzLy5yZWxzUEsBAi0AFAAGAAgAAAAhALFpKr7EAAAA3AAAAA8A&#10;AAAAAAAAAAAAAAAABwIAAGRycy9kb3ducmV2LnhtbFBLBQYAAAAAAwADALcAAAD4AgAAAAA=&#10;" strokecolor="black [3213]">
                  <o:lock v:ext="edit" shapetype="f"/>
                </v:line>
                <v:line id="Straight Connector 892" o:spid="_x0000_s1488" style="position:absolute;flip:y;visibility:visible;mso-wrap-style:square" from="46956,21097" to="79894,4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JxAAAANwAAAAPAAAAZHJzL2Rvd25yZXYueG1sRI/RagIx&#10;FETfC/5DuAXfarZiRbdGUUGQvohbP+Cyud0s3dysSdR1v94UCj4OM3OGWaw624gr+VA7VvA+ykAQ&#10;l07XXCk4fe/eZiBCRNbYOCYFdwqwWg5eFphrd+MjXYtYiQThkKMCE2ObSxlKQxbDyLXEyftx3mJM&#10;0ldSe7wluG3kOMum0mLNacFgS1tD5W9xsQqaPp76+WZr+uw8uevDYer8x5dSw9du/QkiUhef4f/2&#10;XiuYzcfwdyYdAbl8AAAA//8DAFBLAQItABQABgAIAAAAIQDb4fbL7gAAAIUBAAATAAAAAAAAAAAA&#10;AAAAAAAAAABbQ29udGVudF9UeXBlc10ueG1sUEsBAi0AFAAGAAgAAAAhAFr0LFu/AAAAFQEAAAsA&#10;AAAAAAAAAAAAAAAAHwEAAF9yZWxzLy5yZWxzUEsBAi0AFAAGAAgAAAAhAEG7tMnEAAAA3AAAAA8A&#10;AAAAAAAAAAAAAAAABwIAAGRycy9kb3ducmV2LnhtbFBLBQYAAAAAAwADALcAAAD4AgAAAAA=&#10;" strokecolor="black [3213]">
                  <o:lock v:ext="edit" shapetype="f"/>
                </v:line>
                <v:group id="Group 893" o:spid="_x0000_s1489" style="position:absolute;left:55686;top:22155;width:13875;height:6217" coordorigin="55686,22155" coordsize="1387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oundrect id="Rectangle: Rounded Corners 999" o:spid="_x0000_s1490" style="position:absolute;left:57083;top:22560;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MUxgAAANwAAAAPAAAAZHJzL2Rvd25yZXYueG1sRI9Ba8JA&#10;FITvBf/D8oReim7soZroKlooFA+CNod6e2afSTD7Nt3davz3riB4HGbmG2a26EwjzuR8bVnBaJiA&#10;IC6srrlUkP98DSYgfEDW2FgmBVfysJj3XmaYaXvhLZ13oRQRwj5DBVUIbSalLyoy6Ie2JY7e0TqD&#10;IUpXSu3wEuGmke9J8iEN1hwXKmzps6LitPs3Csab1WH1O87X+4l7w9HSrsu8/VPqtd8tpyACdeEZ&#10;frS/tYI0TeF+Jh4BOb8BAAD//wMAUEsBAi0AFAAGAAgAAAAhANvh9svuAAAAhQEAABMAAAAAAAAA&#10;AAAAAAAAAAAAAFtDb250ZW50X1R5cGVzXS54bWxQSwECLQAUAAYACAAAACEAWvQsW78AAAAVAQAA&#10;CwAAAAAAAAAAAAAAAAAfAQAAX3JlbHMvLnJlbHNQSwECLQAUAAYACAAAACEAsiVzFMYAAADcAAAA&#10;DwAAAAAAAAAAAAAAAAAHAgAAZHJzL2Rvd25yZXYueG1sUEsFBgAAAAADAAMAtwAAAPoCAAAAAA==&#10;" filled="f" strokecolor="black [3213]"/>
                  <v:shape id="TextBox 326" o:spid="_x0000_s1491" type="#_x0000_t202" style="position:absolute;left:55686;top:22155;width:13875;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WVwwAAAN0AAAAPAAAAZHJzL2Rvd25yZXYueG1sRI9BT8Mw&#10;DIXvSPsPkZF2Y8mQhlBZNk0MpB24MMrdakxT0ThVY9bu3+MDEjdb7/m9z9v9nHpzobF0mT2sVw4M&#10;cZNDx62H+uP17hFMEeSAfWbycKUC+93iZotVyBO/0+UsrdEQLhV6iCJDZW1pIiUsqzwQq/aVx4Si&#10;69jaMOKk4am398492IQda0PEgZ4jNd/nn+RBJBzW1/olldPn/Hacoms2WHu/vJ0PT2CEZvk3/12f&#10;guI7p/z6jY5gd78AAAD//wMAUEsBAi0AFAAGAAgAAAAhANvh9svuAAAAhQEAABMAAAAAAAAAAAAA&#10;AAAAAAAAAFtDb250ZW50X1R5cGVzXS54bWxQSwECLQAUAAYACAAAACEAWvQsW78AAAAVAQAACwAA&#10;AAAAAAAAAAAAAAAfAQAAX3JlbHMvLnJlbHNQSwECLQAUAAYACAAAACEAJJR1lcMAAADdAAAADwAA&#10;AAAAAAAAAAAAAAAHAgAAZHJzL2Rvd25yZXYueG1sUEsFBgAAAAADAAMAtwAAAPcCAAAAAA==&#10;" filled="f" stroked="f">
                    <v:textbox style="mso-fit-shape-to-text:t">
                      <w:txbxContent>
                        <w:p w14:paraId="7FCF3D05" w14:textId="77777777" w:rsidR="00777EE0" w:rsidRDefault="00777EE0" w:rsidP="00C65FD3">
                          <w:pPr>
                            <w:jc w:val="center"/>
                            <w:rPr>
                              <w:szCs w:val="24"/>
                            </w:rPr>
                          </w:pPr>
                          <w:r>
                            <w:rPr>
                              <w:color w:val="000000" w:themeColor="text1"/>
                              <w:kern w:val="24"/>
                            </w:rPr>
                            <w:t xml:space="preserve"> Behavioural intention</w:t>
                          </w:r>
                        </w:p>
                      </w:txbxContent>
                    </v:textbox>
                  </v:shape>
                </v:group>
                <v:shape id="TextBox 327" o:spid="_x0000_s1492" type="#_x0000_t202" style="position:absolute;left:35732;top:6024;width:10643;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fTwwAAANwAAAAPAAAAZHJzL2Rvd25yZXYueG1sRI9Ba8JA&#10;FITvgv9heUJvulFasamriG3BQy/GeH9kX7Oh2bch+2riv+8WCj0OM/MNs92PvlU36mMT2MBykYEi&#10;roJtuDZQXt7nG1BRkC22gcnAnSLsd9PJFnMbBj7TrZBaJQjHHA04kS7XOlaOPMZF6IiT9xl6j5Jk&#10;X2vb45DgvtWrLFtrjw2nBYcdHR1VX8W3NyBiD8t7+ebj6Tp+vA4uq56wNOZhNh5eQAmN8h/+a5+s&#10;gc3zI/yeSUdA734AAAD//wMAUEsBAi0AFAAGAAgAAAAhANvh9svuAAAAhQEAABMAAAAAAAAAAAAA&#10;AAAAAAAAAFtDb250ZW50X1R5cGVzXS54bWxQSwECLQAUAAYACAAAACEAWvQsW78AAAAVAQAACwAA&#10;AAAAAAAAAAAAAAAfAQAAX3JlbHMvLnJlbHNQSwECLQAUAAYACAAAACEASRp308MAAADcAAAADwAA&#10;AAAAAAAAAAAAAAAHAgAAZHJzL2Rvd25yZXYueG1sUEsFBgAAAAADAAMAtwAAAPcCAAAAAA==&#10;" filled="f" stroked="f">
                  <v:textbox style="mso-fit-shape-to-text:t">
                    <w:txbxContent>
                      <w:p w14:paraId="4C64EC9D" w14:textId="77777777" w:rsidR="00777EE0" w:rsidRDefault="00777EE0" w:rsidP="00C65FD3">
                        <w:pPr>
                          <w:jc w:val="center"/>
                          <w:rPr>
                            <w:szCs w:val="24"/>
                          </w:rPr>
                        </w:pPr>
                        <w:r>
                          <w:rPr>
                            <w:color w:val="000000" w:themeColor="text1"/>
                            <w:kern w:val="24"/>
                          </w:rPr>
                          <w:t>Prototype images</w:t>
                        </w:r>
                      </w:p>
                    </w:txbxContent>
                  </v:textbox>
                </v:shape>
                <v:shape id="TextBox 328" o:spid="_x0000_s1493" type="#_x0000_t202" style="position:absolute;left:35849;top:12437;width:1064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JIwwAAANwAAAAPAAAAZHJzL2Rvd25yZXYueG1sRI9Pa8JA&#10;FMTvBb/D8gRvdWPBotFVxD/goZdqvD+yr9nQ7NuQfTXx27uFQo/DzPyGWW8H36g7dbEObGA2zUAR&#10;l8HWXBkorqfXBagoyBabwGTgQRG2m9HLGnMbev6k+0UqlSAcczTgRNpc61g68hinoSVO3lfoPEqS&#10;XaVth32C+0a/Zdm79lhzWnDY0t5R+X358QZE7G72KI4+nm/Dx6F3WTnHwpjJeNitQAkN8h/+a5+t&#10;gcVyDr9n0hHQmycAAAD//wMAUEsBAi0AFAAGAAgAAAAhANvh9svuAAAAhQEAABMAAAAAAAAAAAAA&#10;AAAAAAAAAFtDb250ZW50X1R5cGVzXS54bWxQSwECLQAUAAYACAAAACEAWvQsW78AAAAVAQAACwAA&#10;AAAAAAAAAAAAAAAfAQAAX3JlbHMvLnJlbHNQSwECLQAUAAYACAAAACEAJlbSSMMAAADcAAAADwAA&#10;AAAAAAAAAAAAAAAHAgAAZHJzL2Rvd25yZXYueG1sUEsFBgAAAAADAAMAtwAAAPcCAAAAAA==&#10;" filled="f" stroked="f">
                  <v:textbox style="mso-fit-shape-to-text:t">
                    <w:txbxContent>
                      <w:p w14:paraId="56D6305B" w14:textId="77777777" w:rsidR="00777EE0" w:rsidRDefault="00777EE0" w:rsidP="00C65FD3">
                        <w:pPr>
                          <w:jc w:val="center"/>
                          <w:rPr>
                            <w:szCs w:val="24"/>
                          </w:rPr>
                        </w:pPr>
                        <w:r>
                          <w:rPr>
                            <w:color w:val="000000" w:themeColor="text1"/>
                            <w:kern w:val="24"/>
                          </w:rPr>
                          <w:t>Affective attitude</w:t>
                        </w:r>
                      </w:p>
                    </w:txbxContent>
                  </v:textbox>
                </v:shape>
                <v:shape id="TextBox 329" o:spid="_x0000_s1494" type="#_x0000_t202" style="position:absolute;left:35823;top:18862;width:1064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w/wwAAANwAAAAPAAAAZHJzL2Rvd25yZXYueG1sRI9Pa8JA&#10;FMTvBb/D8gRvdWNBsdFVxD/goRdtvD+yr9nQ7NuQfTXx23cLBY/DzPyGWW8H36g7dbEObGA2zUAR&#10;l8HWXBkoPk+vS1BRkC02gcnAgyJsN6OXNeY29Hyh+1UqlSAcczTgRNpc61g68hinoSVO3lfoPEqS&#10;XaVth32C+0a/ZdlCe6w5LThsae+o/L7+eAMidjd7FEcfz7fh49C7rJxjYcxkPOxWoIQGeYb/22dr&#10;YPm+gL8z6QjozS8AAAD//wMAUEsBAi0AFAAGAAgAAAAhANvh9svuAAAAhQEAABMAAAAAAAAAAAAA&#10;AAAAAAAAAFtDb250ZW50X1R5cGVzXS54bWxQSwECLQAUAAYACAAAACEAWvQsW78AAAAVAQAACwAA&#10;AAAAAAAAAAAAAAAfAQAAX3JlbHMvLnJlbHNQSwECLQAUAAYACAAAACEA1oRMP8MAAADcAAAADwAA&#10;AAAAAAAAAAAAAAAHAgAAZHJzL2Rvd25yZXYueG1sUEsFBgAAAAADAAMAtwAAAPcCAAAAAA==&#10;" filled="f" stroked="f">
                  <v:textbox style="mso-fit-shape-to-text:t">
                    <w:txbxContent>
                      <w:p w14:paraId="7209ED6B" w14:textId="77777777" w:rsidR="00777EE0" w:rsidRDefault="00777EE0" w:rsidP="00C65FD3">
                        <w:pPr>
                          <w:jc w:val="center"/>
                          <w:rPr>
                            <w:szCs w:val="24"/>
                          </w:rPr>
                        </w:pPr>
                        <w:r>
                          <w:rPr>
                            <w:color w:val="000000" w:themeColor="text1"/>
                            <w:kern w:val="24"/>
                          </w:rPr>
                          <w:t>Cognitive attitude</w:t>
                        </w:r>
                      </w:p>
                    </w:txbxContent>
                  </v:textbox>
                </v:shape>
                <v:shape id="TextBox 330" o:spid="_x0000_s1495" type="#_x0000_t202" style="position:absolute;left:37265;top:25163;width:829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mkwwAAANwAAAAPAAAAZHJzL2Rvd25yZXYueG1sRI9Ba8JA&#10;FITvgv9heUJvulFotamriG3BQy/GeH9kX7Oh2bch+2riv+8WCj0OM/MNs92PvlU36mMT2MBykYEi&#10;roJtuDZQXt7nG1BRkC22gcnAnSLsd9PJFnMbBj7TrZBaJQjHHA04kS7XOlaOPMZF6IiT9xl6j5Jk&#10;X2vb45DgvtWrLHvSHhtOCw47Ojqqvopvb0DEHpb38s3H03X8eB1cVj1iaczDbDy8gBIa5T/81z5Z&#10;A5vnNfyeSUdA734AAAD//wMAUEsBAi0AFAAGAAgAAAAhANvh9svuAAAAhQEAABMAAAAAAAAAAAAA&#10;AAAAAAAAAFtDb250ZW50X1R5cGVzXS54bWxQSwECLQAUAAYACAAAACEAWvQsW78AAAAVAQAACwAA&#10;AAAAAAAAAAAAAAAfAQAAX3JlbHMvLnJlbHNQSwECLQAUAAYACAAAACEAucjppMMAAADcAAAADwAA&#10;AAAAAAAAAAAAAAAHAgAAZHJzL2Rvd25yZXYueG1sUEsFBgAAAAADAAMAtwAAAPcCAAAAAA==&#10;" filled="f" stroked="f">
                  <v:textbox style="mso-fit-shape-to-text:t">
                    <w:txbxContent>
                      <w:p w14:paraId="01E62453" w14:textId="77777777" w:rsidR="00777EE0" w:rsidRDefault="00777EE0" w:rsidP="00C65FD3">
                        <w:pPr>
                          <w:jc w:val="center"/>
                          <w:rPr>
                            <w:szCs w:val="24"/>
                          </w:rPr>
                        </w:pPr>
                        <w:r>
                          <w:rPr>
                            <w:color w:val="000000" w:themeColor="text1"/>
                            <w:kern w:val="24"/>
                          </w:rPr>
                          <w:t>Peer norms</w:t>
                        </w:r>
                      </w:p>
                    </w:txbxContent>
                  </v:textbox>
                </v:shape>
                <v:shape id="TextBox 331" o:spid="_x0000_s1496" type="#_x0000_t202" style="position:absolute;left:35938;top:31622;width:1064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3WvwAAANwAAAAPAAAAZHJzL2Rvd25yZXYueG1sRE9La8JA&#10;EL4X/A/LCN7qxoLFRlcRH+Chl9p4H7JjNpidDdmpif/ePQg9fnzv1WbwjbpTF+vABmbTDBRxGWzN&#10;lYHi9/i+ABUF2WITmAw8KMJmPXpbYW5Dzz90P0ulUgjHHA04kTbXOpaOPMZpaIkTdw2dR0mwq7Tt&#10;sE/hvtEfWfapPdacGhy2tHNU3s5/3oCI3c4excHH02X43vcuK+dYGDMZD9slKKFB/sUv98kaWHyl&#10;telMOgJ6/QQAAP//AwBQSwECLQAUAAYACAAAACEA2+H2y+4AAACFAQAAEwAAAAAAAAAAAAAAAAAA&#10;AAAAW0NvbnRlbnRfVHlwZXNdLnhtbFBLAQItABQABgAIAAAAIQBa9CxbvwAAABUBAAALAAAAAAAA&#10;AAAAAAAAAB8BAABfcmVscy8ucmVsc1BLAQItABQABgAIAAAAIQDIV33WvwAAANwAAAAPAAAAAAAA&#10;AAAAAAAAAAcCAABkcnMvZG93bnJldi54bWxQSwUGAAAAAAMAAwC3AAAA8wIAAAAA&#10;" filled="f" stroked="f">
                  <v:textbox style="mso-fit-shape-to-text:t">
                    <w:txbxContent>
                      <w:p w14:paraId="750C40C4" w14:textId="77777777" w:rsidR="00777EE0" w:rsidRDefault="00777EE0" w:rsidP="00C65FD3">
                        <w:pPr>
                          <w:jc w:val="center"/>
                          <w:rPr>
                            <w:szCs w:val="24"/>
                          </w:rPr>
                        </w:pPr>
                        <w:r>
                          <w:rPr>
                            <w:color w:val="000000" w:themeColor="text1"/>
                            <w:kern w:val="24"/>
                          </w:rPr>
                          <w:t>Caregiver norms</w:t>
                        </w:r>
                      </w:p>
                    </w:txbxContent>
                  </v:textbox>
                </v:shape>
                <v:shape id="TextBox 332" o:spid="_x0000_s1497" type="#_x0000_t202" style="position:absolute;left:35821;top:37839;width:10643;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721D9D62" w14:textId="77777777" w:rsidR="00777EE0" w:rsidRDefault="00777EE0" w:rsidP="00C65FD3">
                        <w:pPr>
                          <w:jc w:val="center"/>
                          <w:rPr>
                            <w:szCs w:val="24"/>
                          </w:rPr>
                        </w:pPr>
                        <w:r>
                          <w:rPr>
                            <w:color w:val="000000" w:themeColor="text1"/>
                            <w:kern w:val="24"/>
                          </w:rPr>
                          <w:t>PBC / Self-efficacy</w:t>
                        </w:r>
                      </w:p>
                    </w:txbxContent>
                  </v:textbox>
                </v:shape>
                <v:group id="Group 900" o:spid="_x0000_s1498" style="position:absolute;left:15189;top:27745;width:13874;height:4755" coordorigin="15189,27745" coordsize="13874,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TextBox 342" o:spid="_x0000_s1499" type="#_x0000_t202" style="position:absolute;left:15189;top:28302;width:13874;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Y5wwAAANwAAAAPAAAAZHJzL2Rvd25yZXYueG1sRI9Pa8JA&#10;FMTvBb/D8gRvdaOgramriH/AQy+16f2Rfc2GZt+G7NPEb+8WCj0OM/MbZr0dfKNu1MU6sIHZNANF&#10;XAZbc2Wg+Dw9v4KKgmyxCUwG7hRhuxk9rTG3oecPul2kUgnCMUcDTqTNtY6lI49xGlri5H2HzqMk&#10;2VXadtgnuG/0PMuW2mPNacFhS3tH5c/l6g2I2N3sXhx9PH8N74feZeUCC2Mm42H3BkpokP/wX/ts&#10;DaxWL/B7Jh0BvXkAAAD//wMAUEsBAi0AFAAGAAgAAAAhANvh9svuAAAAhQEAABMAAAAAAAAAAAAA&#10;AAAAAAAAAFtDb250ZW50X1R5cGVzXS54bWxQSwECLQAUAAYACAAAACEAWvQsW78AAAAVAQAACwAA&#10;AAAAAAAAAAAAAAAfAQAAX3JlbHMvLnJlbHNQSwECLQAUAAYACAAAACEAzynmOcMAAADcAAAADwAA&#10;AAAAAAAAAAAAAAAHAgAAZHJzL2Rvd25yZXYueG1sUEsFBgAAAAADAAMAtwAAAPcCAAAAAA==&#10;" filled="f" stroked="f">
                    <v:textbox style="mso-fit-shape-to-text:t">
                      <w:txbxContent>
                        <w:p w14:paraId="752BA505" w14:textId="77777777" w:rsidR="00777EE0" w:rsidRDefault="00777EE0" w:rsidP="00C65FD3">
                          <w:pPr>
                            <w:jc w:val="center"/>
                            <w:rPr>
                              <w:szCs w:val="24"/>
                            </w:rPr>
                          </w:pPr>
                          <w:r>
                            <w:rPr>
                              <w:color w:val="000000" w:themeColor="text1"/>
                              <w:kern w:val="24"/>
                            </w:rPr>
                            <w:t>Reasons for</w:t>
                          </w:r>
                        </w:p>
                      </w:txbxContent>
                    </v:textbox>
                  </v:shape>
                  <v:roundrect id="Rectangle: Rounded Corners 998" o:spid="_x0000_s1500" style="position:absolute;left:16594;top:27745;width:11081;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aPwwAAANwAAAAPAAAAZHJzL2Rvd25yZXYueG1sRE/LisIw&#10;FN0P+A/hCrMZNHUWPqpRdGBAXAijXeju2lzbYnNTk6j1781iwOXhvGeL1tTiTs5XlhUM+gkI4tzq&#10;igsF2f63NwbhA7LG2jIpeJKHxbzzMcNU2wf/0X0XChFD2KeooAyhSaX0eUkGfd82xJE7W2cwROgK&#10;qR0+Yrip5XeSDKXBimNDiQ39lJRfdjejYLRdnVaHUbY5jt0XDpZ2U2TNVanPbrucggjUhrf4373W&#10;CiaTuDaeiUdAzl8AAAD//wMAUEsBAi0AFAAGAAgAAAAhANvh9svuAAAAhQEAABMAAAAAAAAAAAAA&#10;AAAAAAAAAFtDb250ZW50X1R5cGVzXS54bWxQSwECLQAUAAYACAAAACEAWvQsW78AAAAVAQAACwAA&#10;AAAAAAAAAAAAAAAfAQAAX3JlbHMvLnJlbHNQSwECLQAUAAYACAAAACEA3WnWj8MAAADcAAAADwAA&#10;AAAAAAAAAAAAAAAHAgAAZHJzL2Rvd25yZXYueG1sUEsFBgAAAAADAAMAtwAAAPcCAAAAAA==&#10;" filled="f" strokecolor="black [3213]"/>
                </v:group>
                <v:line id="Straight Connector 901" o:spid="_x0000_s1501" style="position:absolute;flip:y;visibility:visible;mso-wrap-style:square" from="27675,21173" to="35824,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CkxAAAANwAAAAPAAAAZHJzL2Rvd25yZXYueG1sRI/RagIx&#10;FETfC/2HcAu+1cRiRbdGsYIgfZGqH3DZXDdLNzdrEnXdrzeFQh+HmTnDzJeda8SVQqw9axgNFQji&#10;0puaKw3Hw+Z1CiImZIONZ9JwpwjLxfPTHAvjb/xN132qRIZwLFCDTaktpIylJYdx6Fvi7J18cJiy&#10;DJU0AW8Z7hr5ptREOqw5L1hsaW2p/NlfnIamT8d+9rm2vTqP72a3m/jw/qX14KVbfYBI1KX/8F97&#10;azTM1Ah+z+QjIBcPAAAA//8DAFBLAQItABQABgAIAAAAIQDb4fbL7gAAAIUBAAATAAAAAAAAAAAA&#10;AAAAAAAAAABbQ29udGVudF9UeXBlc10ueG1sUEsBAi0AFAAGAAgAAAAhAFr0LFu/AAAAFQEAAAsA&#10;AAAAAAAAAAAAAAAAHwEAAF9yZWxzLy5yZWxzUEsBAi0AFAAGAAgAAAAhAC+CsKTEAAAA3AAAAA8A&#10;AAAAAAAAAAAAAAAABwIAAGRycy9kb3ducmV2LnhtbFBLBQYAAAAAAwADALcAAAD4AgAAAAA=&#10;" strokecolor="black [3213]">
                  <o:lock v:ext="edit" shapetype="f"/>
                </v:line>
                <v:line id="Straight Connector 902" o:spid="_x0000_s1502" style="position:absolute;flip:y;visibility:visible;mso-wrap-style:square" from="27675,27442" to="35849,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7TxAAAANwAAAAPAAAAZHJzL2Rvd25yZXYueG1sRI/RagIx&#10;FETfhf5DuELfNFGq1NUorVAQX6TqB1w2t5vFzc02SXXdrzeFQh+HmTnDrDada8SVQqw9a5iMFQji&#10;0puaKw3n08foFURMyAYbz6ThThE266fBCgvjb/xJ12OqRIZwLFCDTaktpIylJYdx7Fvi7H354DBl&#10;GSppAt4y3DVyqtRcOqw5L1hsaWupvBx/nIamT+d+8b61vfp+uZvDYe7DbK/187B7W4JI1KX/8F97&#10;ZzQs1BR+z+QjINcPAAAA//8DAFBLAQItABQABgAIAAAAIQDb4fbL7gAAAIUBAAATAAAAAAAAAAAA&#10;AAAAAAAAAABbQ29udGVudF9UeXBlc10ueG1sUEsBAi0AFAAGAAgAAAAhAFr0LFu/AAAAFQEAAAsA&#10;AAAAAAAAAAAAAAAAHwEAAF9yZWxzLy5yZWxzUEsBAi0AFAAGAAgAAAAhAN9QLtPEAAAA3AAAAA8A&#10;AAAAAAAAAAAAAAAABwIAAGRycy9kb3ducmV2LnhtbFBLBQYAAAAAAwADALcAAAD4AgAAAAA=&#10;" strokecolor="black [3213]">
                  <o:lock v:ext="edit" shapetype="f"/>
                </v:line>
                <v:line id="Straight Connector 960" o:spid="_x0000_s1503" style="position:absolute;flip:x y;visibility:visible;mso-wrap-style:square" from="27675,29686" to="35938,3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CDwQAAANwAAAAPAAAAZHJzL2Rvd25yZXYueG1sRE9da8Iw&#10;FH0f+B/CHextphMmtjYtKjiEDUE33y/Nta02N6XJ2uzfLw+DPR7Od14G04mRBtdaVvAyT0AQV1a3&#10;XCv4+tw/r0A4j6yxs0wKfshBWcwecsy0nfhE49nXIoawy1BB432fSemqhgy6ue2JI3e1g0Ef4VBL&#10;PeAUw00nF0mylAZbjg0N9rRrqLqfv42Cw3tIV7w73j7wMtnu+LpN9FtQ6ukxbNYgPAX/L/5zH7SC&#10;dBnnxzPxCMjiFwAA//8DAFBLAQItABQABgAIAAAAIQDb4fbL7gAAAIUBAAATAAAAAAAAAAAAAAAA&#10;AAAAAABbQ29udGVudF9UeXBlc10ueG1sUEsBAi0AFAAGAAgAAAAhAFr0LFu/AAAAFQEAAAsAAAAA&#10;AAAAAAAAAAAAHwEAAF9yZWxzLy5yZWxzUEsBAi0AFAAGAAgAAAAhADxlQIPBAAAA3AAAAA8AAAAA&#10;AAAAAAAAAAAABwIAAGRycy9kb3ducmV2LnhtbFBLBQYAAAAAAwADALcAAAD1AgAAAAA=&#10;" strokecolor="black [3213]">
                  <o:lock v:ext="edit" shapetype="f"/>
                </v:line>
                <v:line id="Straight Connector 961" o:spid="_x0000_s1504" style="position:absolute;visibility:visible;mso-wrap-style:square" from="27675,29686" to="35821,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VwxgAAANwAAAAPAAAAZHJzL2Rvd25yZXYueG1sRI9Ba8JA&#10;FITvhf6H5RV6q5sITTS6SigIbT3VKl4f2WeSNvs27G5j6q93hUKPw8x8wyzXo+nEQM63lhWkkwQE&#10;cWV1y7WC/efmaQbCB2SNnWVS8Ese1qv7uyUW2p75g4ZdqEWEsC9QQRNCX0jpq4YM+ontiaN3ss5g&#10;iNLVUjs8R7jp5DRJMmmw5bjQYE8vDVXfux+jYFa9f7kyL9/S50OfX4bpNtscc6UeH8ZyASLQGP7D&#10;f+1XrWCepXA7E4+AXF0BAAD//wMAUEsBAi0AFAAGAAgAAAAhANvh9svuAAAAhQEAABMAAAAAAAAA&#10;AAAAAAAAAAAAAFtDb250ZW50X1R5cGVzXS54bWxQSwECLQAUAAYACAAAACEAWvQsW78AAAAVAQAA&#10;CwAAAAAAAAAAAAAAAAAfAQAAX3JlbHMvLnJlbHNQSwECLQAUAAYACAAAACEAH60VcMYAAADcAAAA&#10;DwAAAAAAAAAAAAAAAAAHAgAAZHJzL2Rvd25yZXYueG1sUEsFBgAAAAADAAMAtwAAAPoCAAAAAA==&#10;" strokecolor="black [3213]">
                  <o:lock v:ext="edit" shapetype="f"/>
                </v:line>
                <v:group id="Group 962" o:spid="_x0000_s1505" style="position:absolute;left:15238;top:9724;width:13875;height:4753" coordorigin="15238,9724" coordsize="13874,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TextBox 47" o:spid="_x0000_s1506" type="#_x0000_t202" style="position:absolute;left:15238;top:10279;width:13875;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3VwwAAANwAAAAPAAAAZHJzL2Rvd25yZXYueG1sRI9Ba8JA&#10;FITvgv9heYXedGNBqdE1BNuCBy+16f2RfWZDs29D9tXEf98tFHocZuYbZl9MvlM3GmIb2MBqmYEi&#10;roNtuTFQfbwtnkFFQbbYBSYDd4pQHOazPeY2jPxOt4s0KkE45mjAifS51rF25DEuQ0+cvGsYPEqS&#10;Q6PtgGOC+04/ZdlGe2w5LTjs6eio/rp8ewMitlzdq1cfT5/T+WV0Wb3GypjHh6ncgRKa5D/81z5Z&#10;A9vtGn7PpCOgDz8AAAD//wMAUEsBAi0AFAAGAAgAAAAhANvh9svuAAAAhQEAABMAAAAAAAAAAAAA&#10;AAAAAAAAAFtDb250ZW50X1R5cGVzXS54bWxQSwECLQAUAAYACAAAACEAWvQsW78AAAAVAQAACwAA&#10;AAAAAAAAAAAAAAAfAQAAX3JlbHMvLnJlbHNQSwECLQAUAAYACAAAACEAULfd1cMAAADcAAAADwAA&#10;AAAAAAAAAAAAAAAHAgAAZHJzL2Rvd25yZXYueG1sUEsFBgAAAAADAAMAtwAAAPcCAAAAAA==&#10;" filled="f" stroked="f">
                    <v:textbox style="mso-fit-shape-to-text:t">
                      <w:txbxContent>
                        <w:p w14:paraId="2666AABA" w14:textId="77777777" w:rsidR="00777EE0" w:rsidRDefault="00777EE0" w:rsidP="00C65FD3">
                          <w:pPr>
                            <w:jc w:val="center"/>
                            <w:rPr>
                              <w:szCs w:val="24"/>
                            </w:rPr>
                          </w:pPr>
                          <w:r>
                            <w:rPr>
                              <w:color w:val="000000" w:themeColor="text1"/>
                              <w:kern w:val="24"/>
                            </w:rPr>
                            <w:t>Reasons against</w:t>
                          </w:r>
                        </w:p>
                      </w:txbxContent>
                    </v:textbox>
                  </v:shape>
                  <v:roundrect id="Rectangle: Rounded Corners 996" o:spid="_x0000_s1507" style="position:absolute;left:16644;top:9724;width:11082;height:38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dmxwAAANwAAAAPAAAAZHJzL2Rvd25yZXYueG1sRI9Ba8JA&#10;FITvBf/D8oReim7sIWrMKlooFA9CbQ56e2afSTD7Nu5uNf33XaHQ4zAz3zD5qjetuJHzjWUFk3EC&#10;gri0uuFKQfH1PpqB8AFZY2uZFPyQh9Vy8JRjpu2dP+m2D5WIEPYZKqhD6DIpfVmTQT+2HXH0ztYZ&#10;DFG6SmqH9wg3rXxNklQabDgu1NjRW03lZf9tFEx3m9PmMC22x5l7wcnabquiuyr1POzXCxCB+vAf&#10;/mt/aAXzeQqPM/EIyOUvAAAA//8DAFBLAQItABQABgAIAAAAIQDb4fbL7gAAAIUBAAATAAAAAAAA&#10;AAAAAAAAAAAAAABbQ29udGVudF9UeXBlc10ueG1sUEsBAi0AFAAGAAgAAAAhAFr0LFu/AAAAFQEA&#10;AAsAAAAAAAAAAAAAAAAAHwEAAF9yZWxzLy5yZWxzUEsBAi0AFAAGAAgAAAAhAMO652bHAAAA3AAA&#10;AA8AAAAAAAAAAAAAAAAABwIAAGRycy9kb3ducmV2LnhtbFBLBQYAAAAAAwADALcAAAD7AgAAAAA=&#10;" filled="f" strokecolor="black [3213]"/>
                </v:group>
                <v:line id="Straight Connector 963" o:spid="_x0000_s1508" style="position:absolute;visibility:visible;mso-wrap-style:square" from="27726,11664" to="35824,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6cxgAAANwAAAAPAAAAZHJzL2Rvd25yZXYueG1sRI9Pa8JA&#10;FMTvBb/D8oTe6kaliUZXCYLQPyet4vWRfSZps2/D7jam/fTdQqHHYWZ+w6y3g2lFT843lhVMJwkI&#10;4tLqhisFp7f9wwKED8gaW8uk4Is8bDejuzXm2t74QP0xVCJC2OeooA6hy6X0ZU0G/cR2xNG7Wmcw&#10;ROkqqR3eIty0cpYkqTTYcFyosaNdTeXH8dMoWJQv767Iiufp47nLvvvZa7q/ZErdj4diBSLQEP7D&#10;f+0nrWCZzuH3TDwCcvMDAAD//wMAUEsBAi0AFAAGAAgAAAAhANvh9svuAAAAhQEAABMAAAAAAAAA&#10;AAAAAAAAAAAAAFtDb250ZW50X1R5cGVzXS54bWxQSwECLQAUAAYACAAAACEAWvQsW78AAAAVAQAA&#10;CwAAAAAAAAAAAAAAAAAfAQAAX3JlbHMvLnJlbHNQSwECLQAUAAYACAAAACEAgDMunMYAAADcAAAA&#10;DwAAAAAAAAAAAAAAAAAHAgAAZHJzL2Rvd25yZXYueG1sUEsFBgAAAAADAAMAtwAAAPoCAAAAAA==&#10;" strokecolor="black [3213]">
                  <o:lock v:ext="edit" shapetype="f"/>
                </v:line>
                <v:line id="Straight Connector 964" o:spid="_x0000_s1509" style="position:absolute;flip:y;visibility:visible;mso-wrap-style:square" from="27770,2003" to="35765,2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acxAAAANwAAAAPAAAAZHJzL2Rvd25yZXYueG1sRI/RagIx&#10;FETfC/5DuIJvNWuxi65GaQVB+iJVP+CyuW4WNzdrkuq6X28KhT4OM3OGWa4724gb+VA7VjAZZyCI&#10;S6drrhScjtvXGYgQkTU2jknBgwKsV4OXJRba3fmbbodYiQThUKACE2NbSBlKQxbD2LXEyTs7bzEm&#10;6SupPd4T3DbyLctyabHmtGCwpY2h8nL4sQqaPp76+efG9Nl1+tD7fe78+5dSo2H3sQARqYv/4b/2&#10;TiuY51P4PZOOgFw9AQAA//8DAFBLAQItABQABgAIAAAAIQDb4fbL7gAAAIUBAAATAAAAAAAAAAAA&#10;AAAAAAAAAABbQ29udGVudF9UeXBlc10ueG1sUEsBAi0AFAAGAAgAAAAhAFr0LFu/AAAAFQEAAAsA&#10;AAAAAAAAAAAAAAAAHwEAAF9yZWxzLy5yZWxzUEsBAi0AFAAGAAgAAAAhAOIq9pzEAAAA3AAAAA8A&#10;AAAAAAAAAAAAAAAABwIAAGRycy9kb3ducmV2LnhtbFBLBQYAAAAAAwADALcAAAD4AgAAAAA=&#10;" strokecolor="black [3213]">
                  <o:lock v:ext="edit" shapetype="f"/>
                </v:line>
                <v:group id="Group 965" o:spid="_x0000_s1510" style="position:absolute;left:493;top:15296;width:9913;height:6432" coordorigin="493,15296" coordsize="1111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993" o:spid="_x0000_s1511" style="position:absolute;left:853;top:15296;width:1028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YSxQAAANwAAAAPAAAAZHJzL2Rvd25yZXYueG1sRI9Pi8Iw&#10;FMTvwn6H8Ba8iKYq+KcaRQRR2JO6hz0+m2dbbV5qErV++83CgsdhZn7DzJeNqcSDnC8tK+j3EhDE&#10;mdUl5wq+j5vuBIQPyBory6TgRR6Wi4/WHFNtn7ynxyHkIkLYp6igCKFOpfRZQQZ9z9bE0TtbZzBE&#10;6XKpHT4j3FRykCQjabDkuFBgTeuCsuvhbhR0rBm7/ehy2ly2q9uPDV/DXT1Wqv3ZrGYgAjXhHf5v&#10;77SC6XQIf2fiEZCLXwAAAP//AwBQSwECLQAUAAYACAAAACEA2+H2y+4AAACFAQAAEwAAAAAAAAAA&#10;AAAAAAAAAAAAW0NvbnRlbnRfVHlwZXNdLnhtbFBLAQItABQABgAIAAAAIQBa9CxbvwAAABUBAAAL&#10;AAAAAAAAAAAAAAAAAB8BAABfcmVscy8ucmVsc1BLAQItABQABgAIAAAAIQBnBCYSxQAAANwAAAAP&#10;AAAAAAAAAAAAAAAAAAcCAABkcnMvZG93bnJldi54bWxQSwUGAAAAAAMAAwC3AAAA+QIAAAAA&#10;" fillcolor="white [3212]" strokecolor="black [3213]"/>
                  <v:shape id="TextBox 61" o:spid="_x0000_s1512" type="#_x0000_t202" style="position:absolute;left:493;top:15507;width:11114;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wwAAANwAAAAPAAAAZHJzL2Rvd25yZXYueG1sRI9Pa8JA&#10;FMTvBb/D8gRvdaNoqamriH/AQy+16f2Rfc2GZt+G7NPEb+8WCj0OM/MbZr0dfKNu1MU6sIHZNANF&#10;XAZbc2Wg+Dw9v4KKgmyxCUwG7hRhuxk9rTG3oecPul2kUgnCMUcDTqTNtY6lI49xGlri5H2HzqMk&#10;2VXadtgnuG/0PMtetMea04LDlvaOyp/L1RsQsbvZvTj6eP4a3g+9y8olFsZMxsPuDZTQIP/hv/bZ&#10;GlitFvB7Jh0BvXkAAAD//wMAUEsBAi0AFAAGAAgAAAAhANvh9svuAAAAhQEAABMAAAAAAAAAAAAA&#10;AAAAAAAAAFtDb250ZW50X1R5cGVzXS54bWxQSwECLQAUAAYACAAAACEAWvQsW78AAAAVAQAACwAA&#10;AAAAAAAAAAAAAAAfAQAAX3JlbHMvLnJlbHNQSwECLQAUAAYACAAAACEAP/t4TsMAAADcAAAADwAA&#10;AAAAAAAAAAAAAAAHAgAAZHJzL2Rvd25yZXYueG1sUEsFBgAAAAADAAMAtwAAAPcCAAAAAA==&#10;" filled="f" stroked="f">
                    <v:textbox style="mso-fit-shape-to-text:t">
                      <w:txbxContent>
                        <w:p w14:paraId="4BB0696D" w14:textId="77777777" w:rsidR="00777EE0" w:rsidRDefault="00777EE0" w:rsidP="00C65FD3">
                          <w:pPr>
                            <w:jc w:val="center"/>
                            <w:rPr>
                              <w:szCs w:val="24"/>
                            </w:rPr>
                          </w:pPr>
                          <w:r>
                            <w:rPr>
                              <w:color w:val="000000" w:themeColor="text1"/>
                              <w:kern w:val="24"/>
                            </w:rPr>
                            <w:t>Education &amp; awareness</w:t>
                          </w:r>
                        </w:p>
                      </w:txbxContent>
                    </v:textbox>
                  </v:shape>
                </v:group>
                <v:group id="Group 966" o:spid="_x0000_s1513" style="position:absolute;left:445;top:36203;width:9912;height:5034" coordorigin="445,36203" coordsize="11113,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991" o:spid="_x0000_s1514" style="position:absolute;left:1027;top:36203;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3+xQAAANwAAAAPAAAAZHJzL2Rvd25yZXYueG1sRI9Pi8Iw&#10;FMTvwn6H8Ba8iKYq+KcaRQRR2JO6hz2+bd621ealJlHrt98IgsdhZn7DzJeNqcSNnC8tK+j3EhDE&#10;mdUl5wq+j5vuBIQPyBory6TgQR6Wi4/WHFNt77yn2yHkIkLYp6igCKFOpfRZQQZ9z9bE0fuzzmCI&#10;0uVSO7xHuKnkIElG0mDJcaHAmtYFZefD1SjoWDN2+9Hpd3Pari4/NnwNd/VYqfZns5qBCNSEd/jV&#10;3mkF02kfnmfiEZCLfwAAAP//AwBQSwECLQAUAAYACAAAACEA2+H2y+4AAACFAQAAEwAAAAAAAAAA&#10;AAAAAAAAAAAAW0NvbnRlbnRfVHlwZXNdLnhtbFBLAQItABQABgAIAAAAIQBa9CxbvwAAABUBAAAL&#10;AAAAAAAAAAAAAAAAAB8BAABfcmVscy8ucmVsc1BLAQItABQABgAIAAAAIQD4mh3+xQAAANwAAAAP&#10;AAAAAAAAAAAAAAAAAAcCAABkcnMvZG93bnJldi54bWxQSwUGAAAAAAMAAwC3AAAA+QIAAAAA&#10;" fillcolor="white [3212]" strokecolor="black [3213]"/>
                  <v:shape id="TextBox 64" o:spid="_x0000_s1515" type="#_x0000_t202" style="position:absolute;left:445;top:37021;width:11114;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hwwAAANwAAAAPAAAAZHJzL2Rvd25yZXYueG1sRI9Ba8JA&#10;FITvgv9heYXedKNQqdE1BNuCBy+16f2RfWZDs29D9tXEf98tFHocZuYbZl9MvlM3GmIb2MBqmYEi&#10;roNtuTFQfbwtnkFFQbbYBSYDd4pQHOazPeY2jPxOt4s0KkE45mjAifS51rF25DEuQ0+cvGsYPEqS&#10;Q6PtgGOC+06vs2yjPbacFhz2dHRUf12+vQERW67u1auPp8/p/DK6rH7CypjHh6ncgRKa5D/81z5Z&#10;A9vtGn7PpCOgDz8AAAD//wMAUEsBAi0AFAAGAAgAAAAhANvh9svuAAAAhQEAABMAAAAAAAAAAAAA&#10;AAAAAAAAAFtDb250ZW50X1R5cGVzXS54bWxQSwECLQAUAAYACAAAACEAWvQsW78AAAAVAQAACwAA&#10;AAAAAAAAAAAAAAAfAQAAX3JlbHMvLnJlbHNQSwECLQAUAAYACAAAACEA315FocMAAADcAAAADwAA&#10;AAAAAAAAAAAAAAAHAgAAZHJzL2Rvd25yZXYueG1sUEsFBgAAAAADAAMAtwAAAPcCAAAAAA==&#10;" filled="f" stroked="f">
                    <v:textbox style="mso-fit-shape-to-text:t">
                      <w:txbxContent>
                        <w:p w14:paraId="49C95BDB" w14:textId="77777777" w:rsidR="00777EE0" w:rsidRDefault="00777EE0" w:rsidP="00C65FD3">
                          <w:pPr>
                            <w:jc w:val="center"/>
                            <w:rPr>
                              <w:szCs w:val="24"/>
                            </w:rPr>
                          </w:pPr>
                          <w:r>
                            <w:rPr>
                              <w:color w:val="000000" w:themeColor="text1"/>
                              <w:kern w:val="24"/>
                            </w:rPr>
                            <w:t>Legal status</w:t>
                          </w:r>
                        </w:p>
                      </w:txbxContent>
                    </v:textbox>
                  </v:shape>
                </v:group>
                <v:group id="Group 967" o:spid="_x0000_s1516" style="position:absolute;top:8233;width:11080;height:6457" coordorigin=",8233" coordsize="12423,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989" o:spid="_x0000_s1517" style="position:absolute;left:970;top:8233;width:1028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clxgAAANwAAAAPAAAAZHJzL2Rvd25yZXYueG1sRI9Ba8JA&#10;FITvBf/D8gpeitloQU3qKlIQhZ60Hjw+s69JbPZtursm6b/vFgo9DjPzDbPaDKYRHTlfW1YwTVIQ&#10;xIXVNZcKzu+7yRKED8gaG8uk4Js8bNajhxXm2vZ8pO4UShEh7HNUUIXQ5lL6oiKDPrEtcfQ+rDMY&#10;onSl1A77CDeNnKXpXBqsOS5U2NJrRcXn6W4UPFmzcMf57bq77bdfFxveng/tQqnx47B9ARFoCP/h&#10;v/ZBK8iWGfyeiUdArn8AAAD//wMAUEsBAi0AFAAGAAgAAAAhANvh9svuAAAAhQEAABMAAAAAAAAA&#10;AAAAAAAAAAAAAFtDb250ZW50X1R5cGVzXS54bWxQSwECLQAUAAYACAAAACEAWvQsW78AAAAVAQAA&#10;CwAAAAAAAAAAAAAAAAAfAQAAX3JlbHMvLnJlbHNQSwECLQAUAAYACAAAACEAgzWHJcYAAADcAAAA&#10;DwAAAAAAAAAAAAAAAAAHAgAAZHJzL2Rvd25yZXYueG1sUEsFBgAAAAADAAMAtwAAAPoCAAAAAA==&#10;" fillcolor="white [3212]" strokecolor="black [3213]"/>
                  <v:shape id="TextBox 68" o:spid="_x0000_s1518" type="#_x0000_t202" style="position:absolute;top:8468;width:12423;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5NvwAAANwAAAAPAAAAZHJzL2Rvd25yZXYueG1sRE9Na8JA&#10;EL0X/A/LCL3VjYJSo6uIVvDgRZveh+yYDWZnQ3Zq4r/vHgoeH+97vR18ox7UxTqwgekkA0VcBltz&#10;ZaD4Pn58goqCbLEJTAaeFGG7Gb2tMbeh5ws9rlKpFMIxRwNOpM21jqUjj3ESWuLE3ULnURLsKm07&#10;7FO4b/QsyxbaY82pwWFLe0fl/frrDYjY3fRZfPl4+hnOh95l5RwLY97Hw24FSmiQl/jffbIGlss0&#10;P51JR0Bv/gAAAP//AwBQSwECLQAUAAYACAAAACEA2+H2y+4AAACFAQAAEwAAAAAAAAAAAAAAAAAA&#10;AAAAW0NvbnRlbnRfVHlwZXNdLnhtbFBLAQItABQABgAIAAAAIQBa9CxbvwAAABUBAAALAAAAAAAA&#10;AAAAAAAAAB8BAABfcmVscy8ucmVsc1BLAQItABQABgAIAAAAIQBAwH5NvwAAANwAAAAPAAAAAAAA&#10;AAAAAAAAAAcCAABkcnMvZG93bnJldi54bWxQSwUGAAAAAAMAAwC3AAAA8wIAAAAA&#10;" filled="f" stroked="f">
                    <v:textbox style="mso-fit-shape-to-text:t">
                      <w:txbxContent>
                        <w:p w14:paraId="4CD5B18E" w14:textId="77777777" w:rsidR="00777EE0" w:rsidRDefault="00777EE0" w:rsidP="00C65FD3">
                          <w:pPr>
                            <w:jc w:val="center"/>
                            <w:rPr>
                              <w:szCs w:val="24"/>
                            </w:rPr>
                          </w:pPr>
                          <w:r>
                            <w:rPr>
                              <w:color w:val="000000" w:themeColor="text1"/>
                              <w:kern w:val="24"/>
                            </w:rPr>
                            <w:t>Product purity &amp; potency</w:t>
                          </w:r>
                        </w:p>
                      </w:txbxContent>
                    </v:textbox>
                  </v:shape>
                </v:group>
                <v:group id="Group 968" o:spid="_x0000_s1519" style="position:absolute;left:657;top:29027;width:9912;height:6217" coordorigin="657,29027" coordsize="1111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ect id="Rectangle 987" o:spid="_x0000_s1520" style="position:absolute;left:852;top:29087;width:1028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bMxgAAANwAAAAPAAAAZHJzL2Rvd25yZXYueG1sRI9PawIx&#10;FMTvQr9DeIVepGZbwV1XsyKCVOhJ20OPz81z/3Tzsiaprt++KRQ8DjPzG2a5GkwnLuR8Y1nByyQB&#10;QVxa3XCl4PNj+5yB8AFZY2eZFNzIw6p4GC0x1/bKe7ocQiUihH2OCuoQ+lxKX9Zk0E9sTxy9k3UG&#10;Q5SuktrhNcJNJ1+TZCYNNhwXauxpU1P5ffgxCsbWpG4/a4/b9m19/rLhfbrrU6WeHof1AkSgIdzD&#10;/+2dVjDPUvg7E4+ALH4BAAD//wMAUEsBAi0AFAAGAAgAAAAhANvh9svuAAAAhQEAABMAAAAAAAAA&#10;AAAAAAAAAAAAAFtDb250ZW50X1R5cGVzXS54bWxQSwECLQAUAAYACAAAACEAWvQsW78AAAAVAQAA&#10;CwAAAAAAAAAAAAAAAAAfAQAAX3JlbHMvLnJlbHNQSwECLQAUAAYACAAAACEAnea2zMYAAADcAAAA&#10;DwAAAAAAAAAAAAAAAAAHAgAAZHJzL2Rvd25yZXYueG1sUEsFBgAAAAADAAMAtwAAAPoCAAAAAA==&#10;" fillcolor="white [3212]" strokecolor="black [3213]"/>
                  <v:shape id="TextBox 71" o:spid="_x0000_s1521" type="#_x0000_t202" style="position:absolute;left:657;top:29027;width:11114;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WvwAAANwAAAAPAAAAZHJzL2Rvd25yZXYueG1sRE9La8JA&#10;EL4X/A/LCN7qxoLFRlcRH+Chl9p4H7JjNpidDdmpif/ePQg9fnzv1WbwjbpTF+vABmbTDBRxGWzN&#10;lYHi9/i+ABUF2WITmAw8KMJmPXpbYW5Dzz90P0ulUgjHHA04kTbXOpaOPMZpaIkTdw2dR0mwq7Tt&#10;sE/hvtEfWfapPdacGhy2tHNU3s5/3oCI3c4excHH02X43vcuK+dYGDMZD9slKKFB/sUv98ka+Fqk&#10;telMOgJ6/QQAAP//AwBQSwECLQAUAAYACAAAACEA2+H2y+4AAACFAQAAEwAAAAAAAAAAAAAAAAAA&#10;AAAAW0NvbnRlbnRfVHlwZXNdLnhtbFBLAQItABQABgAIAAAAIQBa9CxbvwAAABUBAAALAAAAAAAA&#10;AAAAAAAAAB8BAABfcmVscy8ucmVsc1BLAQItABQABgAIAAAAIQA7b+SWvwAAANwAAAAPAAAAAAAA&#10;AAAAAAAAAAcCAABkcnMvZG93bnJldi54bWxQSwUGAAAAAAMAAwC3AAAA8wIAAAAA&#10;" filled="f" stroked="f">
                    <v:textbox style="mso-fit-shape-to-text:t">
                      <w:txbxContent>
                        <w:p w14:paraId="3D097BFD" w14:textId="77777777" w:rsidR="00777EE0" w:rsidRDefault="00777EE0" w:rsidP="00C65FD3">
                          <w:pPr>
                            <w:jc w:val="center"/>
                            <w:rPr>
                              <w:szCs w:val="24"/>
                            </w:rPr>
                          </w:pPr>
                          <w:r>
                            <w:rPr>
                              <w:color w:val="000000" w:themeColor="text1"/>
                              <w:kern w:val="24"/>
                            </w:rPr>
                            <w:t>Vulnerability &amp; adversity</w:t>
                          </w:r>
                        </w:p>
                      </w:txbxContent>
                    </v:textbox>
                  </v:shape>
                </v:group>
                <v:group id="Group 969" o:spid="_x0000_s1522" style="position:absolute;left:680;top:22116;width:9912;height:5088" coordorigin="680,22116" coordsize="11113,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rect id="Rectangle 985" o:spid="_x0000_s1523" style="position:absolute;left:915;top:22116;width:1028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0gxQAAANwAAAAPAAAAZHJzL2Rvd25yZXYueG1sRI9PawIx&#10;FMTvgt8hPKEX0ayVql2NIoIo9OSfg8fXzXN3dfOyJlHXb98UCj0OM/MbZrZoTCUe5HxpWcGgn4Ag&#10;zqwuOVdwPKx7ExA+IGusLJOCF3lYzNutGabaPnlHj33IRYSwT1FBEUKdSumzggz6vq2Jo3e2zmCI&#10;0uVSO3xGuKnke5KMpMGS40KBNa0Kyq77u1HQtWbsdqPL9/qyWd5ONnwNt/VYqbdOs5yCCNSE//Bf&#10;e6sVfE4+4PdMPAJy/gMAAP//AwBQSwECLQAUAAYACAAAACEA2+H2y+4AAACFAQAAEwAAAAAAAAAA&#10;AAAAAAAAAAAAW0NvbnRlbnRfVHlwZXNdLnhtbFBLAQItABQABgAIAAAAIQBa9CxbvwAAABUBAAAL&#10;AAAAAAAAAAAAAAAAAB8BAABfcmVscy8ucmVsc1BLAQItABQABgAIAAAAIQACeI0gxQAAANwAAAAP&#10;AAAAAAAAAAAAAAAAAAcCAABkcnMvZG93bnJldi54bWxQSwUGAAAAAAMAAwC3AAAA+QIAAAAA&#10;" fillcolor="white [3212]" strokecolor="black [3213]"/>
                  <v:shape id="TextBox 76" o:spid="_x0000_s1524" type="#_x0000_t202" style="position:absolute;left:680;top:22986;width:11114;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V/wwAAANwAAAAPAAAAZHJzL2Rvd25yZXYueG1sRI9Pa8JA&#10;FMTvBb/D8gRvdWNBsdFVxD/goRdtvD+yr9nQ7NuQfTXx23cLBY/DzPyGWW8H36g7dbEObGA2zUAR&#10;l8HWXBkoPk+vS1BRkC02gcnAgyJsN6OXNeY29Hyh+1UqlSAcczTgRNpc61g68hinoSVO3lfoPEqS&#10;XaVth32C+0a/ZdlCe6w5LThsae+o/L7+eAMidjd7FEcfz7fh49C7rJxjYcxkPOxWoIQGeYb/22dr&#10;4H25gL8z6QjozS8AAAD//wMAUEsBAi0AFAAGAAgAAAAhANvh9svuAAAAhQEAABMAAAAAAAAAAAAA&#10;AAAAAAAAAFtDb250ZW50X1R5cGVzXS54bWxQSwECLQAUAAYACAAAACEAWvQsW78AAAAVAQAACwAA&#10;AAAAAAAAAAAAAAAfAQAAX3JlbHMvLnJlbHNQSwECLQAUAAYACAAAACEAJbzVf8MAAADcAAAADwAA&#10;AAAAAAAAAAAAAAAHAgAAZHJzL2Rvd25yZXYueG1sUEsFBgAAAAADAAMAtwAAAPcCAAAAAA==&#10;" filled="f" stroked="f">
                    <v:textbox style="mso-fit-shape-to-text:t">
                      <w:txbxContent>
                        <w:p w14:paraId="2FE665DD" w14:textId="77777777" w:rsidR="00777EE0" w:rsidRDefault="00777EE0" w:rsidP="00C65FD3">
                          <w:pPr>
                            <w:jc w:val="center"/>
                            <w:rPr>
                              <w:szCs w:val="24"/>
                            </w:rPr>
                          </w:pPr>
                          <w:r>
                            <w:rPr>
                              <w:color w:val="000000" w:themeColor="text1"/>
                              <w:kern w:val="24"/>
                            </w:rPr>
                            <w:t>Marketing</w:t>
                          </w:r>
                        </w:p>
                      </w:txbxContent>
                    </v:textbox>
                  </v:shape>
                </v:group>
                <v:group id="Group 970" o:spid="_x0000_s1525" style="position:absolute;left:387;top:965;width:10204;height:6263" coordorigin="387,965" coordsize="11441,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rect id="Rectangle 983" o:spid="_x0000_s1526" style="position:absolute;left:920;top:965;width:1028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DPxQAAANwAAAAPAAAAZHJzL2Rvd25yZXYueG1sRI9Pi8Iw&#10;FMTvwn6H8Ba8iKYq+KcaRQRR2JO6hz0+m2dbbV5qErV++83CgsdhZn7DzJeNqcSDnC8tK+j3EhDE&#10;mdUl5wq+j5vuBIQPyBory6TgRR6Wi4/WHFNtn7ynxyHkIkLYp6igCKFOpfRZQQZ9z9bE0TtbZzBE&#10;6XKpHT4j3FRykCQjabDkuFBgTeuCsuvhbhR0rBm7/ehy2ly2q9uPDV/DXT1Wqv3ZrGYgAjXhHf5v&#10;77SC6WQIf2fiEZCLXwAAAP//AwBQSwECLQAUAAYACAAAACEA2+H2y+4AAACFAQAAEwAAAAAAAAAA&#10;AAAAAAAAAAAAW0NvbnRlbnRfVHlwZXNdLnhtbFBLAQItABQABgAIAAAAIQBa9CxbvwAAABUBAAAL&#10;AAAAAAAAAAAAAAAAAB8BAABfcmVscy8ucmVsc1BLAQItABQABgAIAAAAIQDi3bDPxQAAANwAAAAP&#10;AAAAAAAAAAAAAAAAAAcCAABkcnMvZG93bnJldi54bWxQSwUGAAAAAAMAAwC3AAAA+QIAAAAA&#10;" fillcolor="white [3212]" strokecolor="black [3213]"/>
                  <v:shape id="TextBox 79" o:spid="_x0000_s1527" type="#_x0000_t202" style="position:absolute;left:387;top:1010;width:11441;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6TwwAAANwAAAAPAAAAZHJzL2Rvd25yZXYueG1sRI9Ba8JA&#10;FITvgv9heUJvulFasamriG3BQy/GeH9kX7Oh2bch+2riv+8WCj0OM/MNs92PvlU36mMT2MBykYEi&#10;roJtuDZQXt7nG1BRkC22gcnAnSLsd9PJFnMbBj7TrZBaJQjHHA04kS7XOlaOPMZF6IiT9xl6j5Jk&#10;X2vb45DgvtWrLFtrjw2nBYcdHR1VX8W3NyBiD8t7+ebj6Tp+vA4uq56wNOZhNh5eQAmN8h/+a5+s&#10;gefNI/yeSUdA734AAAD//wMAUEsBAi0AFAAGAAgAAAAhANvh9svuAAAAhQEAABMAAAAAAAAAAAAA&#10;AAAAAAAAAFtDb250ZW50X1R5cGVzXS54bWxQSwECLQAUAAYACAAAACEAWvQsW78AAAAVAQAACwAA&#10;AAAAAAAAAAAAAAAfAQAAX3JlbHMvLnJlbHNQSwECLQAUAAYACAAAACEAuiLuk8MAAADcAAAADwAA&#10;AAAAAAAAAAAAAAAHAgAAZHJzL2Rvd25yZXYueG1sUEsFBgAAAAADAAMAtwAAAPcCAAAAAA==&#10;" filled="f" stroked="f">
                    <v:textbox style="mso-fit-shape-to-text:t">
                      <w:txbxContent>
                        <w:p w14:paraId="34DE97AB" w14:textId="77777777" w:rsidR="00777EE0" w:rsidRDefault="00777EE0" w:rsidP="00C65FD3">
                          <w:pPr>
                            <w:jc w:val="center"/>
                            <w:rPr>
                              <w:szCs w:val="24"/>
                            </w:rPr>
                          </w:pPr>
                          <w:r>
                            <w:rPr>
                              <w:color w:val="000000" w:themeColor="text1"/>
                              <w:kern w:val="24"/>
                            </w:rPr>
                            <w:t>Substance availability</w:t>
                          </w:r>
                        </w:p>
                      </w:txbxContent>
                    </v:textbox>
                  </v:shape>
                </v:group>
                <v:line id="Straight Connector 971" o:spid="_x0000_s1528" style="position:absolute;visibility:visible;mso-wrap-style:square" from="10038,3245" to="16644,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OtxgAAANwAAAAPAAAAZHJzL2Rvd25yZXYueG1sRI9Ba8JA&#10;FITvBf/D8oTe6iaCRlNXCYJg7alW8frIviZps2/D7hpjf323UOhxmJlvmNVmMK3oyfnGsoJ0koAg&#10;Lq1uuFJwet89LUD4gKyxtUwK7uRhsx49rDDX9sZv1B9DJSKEfY4K6hC6XEpf1mTQT2xHHL0P6wyG&#10;KF0ltcNbhJtWTpNkLg02HBdq7GhbU/l1vBoFi/Lw6YqseEln5y777qev890lU+pxPBTPIAIN4T/8&#10;195rBcsshd8z8QjI9Q8AAAD//wMAUEsBAi0AFAAGAAgAAAAhANvh9svuAAAAhQEAABMAAAAAAAAA&#10;AAAAAAAAAAAAAFtDb250ZW50X1R5cGVzXS54bWxQSwECLQAUAAYACAAAACEAWvQsW78AAAAVAQAA&#10;CwAAAAAAAAAAAAAAAAAfAQAAX3JlbHMvLnJlbHNQSwECLQAUAAYACAAAACEAmnSDrcYAAADcAAAA&#10;DwAAAAAAAAAAAAAAAAAHAgAAZHJzL2Rvd25yZXYueG1sUEsFBgAAAAADAAMAtwAAAPoCAAAAAA==&#10;" strokecolor="black [3213]">
                  <o:lock v:ext="edit" shapetype="f"/>
                </v:line>
                <v:line id="Straight Connector 972" o:spid="_x0000_s1529" style="position:absolute;flip:x y;visibility:visible;mso-wrap-style:square" from="10040,10513" to="16644,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2yxAAAANwAAAAPAAAAZHJzL2Rvd25yZXYueG1sRI9Ba8JA&#10;FITvBf/D8gremk0FbYxZxQoVoUVQ2/sj+0zSZt+G7GrWf98tFDwOM/MNU6yCacWVetdYVvCcpCCI&#10;S6sbrhR8nt6eMhDOI2tsLZOCGzlYLUcPBebaDnyg69FXIkLY5aig9r7LpXRlTQZdYjvi6J1tb9BH&#10;2VdS9zhEuGnlJE1n0mDDcaHGjjY1lT/Hi1Gwew/zjDf77w/8Gmy7n76mehuUGj+G9QKEp+Dv4f/2&#10;TiuYv0zg70w8AnL5CwAA//8DAFBLAQItABQABgAIAAAAIQDb4fbL7gAAAIUBAAATAAAAAAAAAAAA&#10;AAAAAAAAAABbQ29udGVudF9UeXBlc10ueG1sUEsBAi0AFAAGAAgAAAAhAFr0LFu/AAAAFQEAAAsA&#10;AAAAAAAAAAAAAAAAHwEAAF9yZWxzLy5yZWxzUEsBAi0AFAAGAAgAAAAhACYi7bLEAAAA3AAAAA8A&#10;AAAAAAAAAAAAAAAABwIAAGRycy9kb3ducmV2LnhtbFBLBQYAAAAAAwADALcAAAD4AgAAAAA=&#10;" strokecolor="black [3213]">
                  <o:lock v:ext="edit" shapetype="f"/>
                </v:line>
                <v:line id="Straight Connector 973" o:spid="_x0000_s1530" style="position:absolute;flip:x y;visibility:visible;mso-wrap-style:square" from="10038,3245" to="16594,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gpxQAAANwAAAAPAAAAZHJzL2Rvd25yZXYueG1sRI/dasJA&#10;FITvC32H5RR6Vze2aDVmI1aoCBXBv/tD9phEs2dDdmu2b98tCL0cZuYbJpsH04gbda62rGA4SEAQ&#10;F1bXXCo4Hj5fJiCcR9bYWCYFP+Rgnj8+ZJhq2/OObntfighhl6KCyvs2ldIVFRl0A9sSR+9sO4M+&#10;yq6UusM+wk0jX5NkLA3WHBcqbGlZUXHdfxsF668wnfBye9ngqbfNdvSR6FVQ6vkpLGYgPAX/H763&#10;11rB9P0N/s7EIyDzXwAAAP//AwBQSwECLQAUAAYACAAAACEA2+H2y+4AAACFAQAAEwAAAAAAAAAA&#10;AAAAAAAAAAAAW0NvbnRlbnRfVHlwZXNdLnhtbFBLAQItABQABgAIAAAAIQBa9CxbvwAAABUBAAAL&#10;AAAAAAAAAAAAAAAAAB8BAABfcmVscy8ucmVsc1BLAQItABQABgAIAAAAIQBJbkgpxQAAANwAAAAP&#10;AAAAAAAAAAAAAAAAAAcCAABkcnMvZG93bnJldi54bWxQSwUGAAAAAAMAAwC3AAAA+QIAAAAA&#10;" strokecolor="black [3213]">
                  <o:lock v:ext="edit" shapetype="f"/>
                </v:line>
                <v:line id="Straight Connector 974" o:spid="_x0000_s1531" style="position:absolute;flip:x y;visibility:visible;mso-wrap-style:square" from="10040,10513" to="16594,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BdxQAAANwAAAAPAAAAZHJzL2Rvd25yZXYueG1sRI/dasJA&#10;FITvC32H5RR6VzeWajVmI1aoCBXBv/tD9phEs2dDdmu2b98tCL0cZuYbJpsH04gbda62rGA4SEAQ&#10;F1bXXCo4Hj5fJiCcR9bYWCYFP+Rgnj8+ZJhq2/OObntfighhl6KCyvs2ldIVFRl0A9sSR+9sO4M+&#10;yq6UusM+wk0jX5NkLA3WHBcqbGlZUXHdfxsF668wnfBye9ngqbfNdvSR6FVQ6vkpLGYgPAX/H763&#10;11rB9P0N/s7EIyDzXwAAAP//AwBQSwECLQAUAAYACAAAACEA2+H2y+4AAACFAQAAEwAAAAAAAAAA&#10;AAAAAAAAAAAAW0NvbnRlbnRfVHlwZXNdLnhtbFBLAQItABQABgAIAAAAIQBa9CxbvwAAABUBAAAL&#10;AAAAAAAAAAAAAAAAAB8BAABfcmVscy8ucmVsc1BLAQItABQABgAIAAAAIQDGh9BdxQAAANwAAAAP&#10;AAAAAAAAAAAAAAAAAAcCAABkcnMvZG93bnJldi54bWxQSwUGAAAAAAMAAwC3AAAA+QIAAAAA&#10;" strokecolor="black [3213]">
                  <o:lock v:ext="edit" shapetype="f"/>
                </v:line>
                <v:line id="Straight Connector 975" o:spid="_x0000_s1532" style="position:absolute;flip:x;visibility:visible;mso-wrap-style:square" from="10139,29686" to="16594,3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XaxAAAANwAAAAPAAAAZHJzL2Rvd25yZXYueG1sRI/RagIx&#10;FETfC/5DuIJvNWupVlejtIIgvkjVD7hsrpvFzc02SXXdrzdCoY/DzJxhFqvW1uJKPlSOFYyGGQji&#10;wumKSwWn4+Z1CiJEZI21Y1JwpwCrZe9lgbl2N/6m6yGWIkE45KjAxNjkUobCkMUwdA1x8s7OW4xJ&#10;+lJqj7cEt7V8y7KJtFhxWjDY0NpQcTn8WgV1F0/d7Gttuuzn/a73+4nz451Sg377OQcRqY3/4b/2&#10;ViuYfYzheSYdAbl8AAAA//8DAFBLAQItABQABgAIAAAAIQDb4fbL7gAAAIUBAAATAAAAAAAAAAAA&#10;AAAAAAAAAABbQ29udGVudF9UeXBlc10ueG1sUEsBAi0AFAAGAAgAAAAhAFr0LFu/AAAAFQEAAAsA&#10;AAAAAAAAAAAAAAAAHwEAAF9yZWxzLy5yZWxzUEsBAi0AFAAGAAgAAAAhAAi/xdrEAAAA3AAAAA8A&#10;AAAAAAAAAAAAAAAABwIAAGRycy9kb3ducmV2LnhtbFBLBQYAAAAAAwADALcAAAD4AgAAAAA=&#10;" strokecolor="black [3213]">
                  <o:lock v:ext="edit" shapetype="f"/>
                </v:line>
                <v:line id="Straight Connector 976" o:spid="_x0000_s1533" style="position:absolute;flip:x y;visibility:visible;mso-wrap-style:square" from="9989,17575" to="16594,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uxwwAAANwAAAAPAAAAZHJzL2Rvd25yZXYueG1sRI/dagIx&#10;FITvhb5DOAXvNFvBv9UoVVAEi6C294fNcXfbzcmyiW58e1MQvBxm5htmvgymEjdqXGlZwUc/AUGc&#10;WV1yruD7vOlNQDiPrLGyTAru5GC5eOvMMdW25SPdTj4XEcIuRQWF93UqpcsKMuj6tiaO3sU2Bn2U&#10;TS51g22Em0oOkmQkDZYcFwqsaV1Q9ne6GgW7fZhOeH34/cKf1laH4SrR26BU9z18zkB4Cv4VfrZ3&#10;WsF0PIL/M/EIyMUDAAD//wMAUEsBAi0AFAAGAAgAAAAhANvh9svuAAAAhQEAABMAAAAAAAAAAAAA&#10;AAAAAAAAAFtDb250ZW50X1R5cGVzXS54bWxQSwECLQAUAAYACAAAACEAWvQsW78AAAAVAQAACwAA&#10;AAAAAAAAAAAAAAAfAQAAX3JlbHMvLnJlbHNQSwECLQAUAAYACAAAACEAWRnrscMAAADcAAAADwAA&#10;AAAAAAAAAAAAAAAHAgAAZHJzL2Rvd25yZXYueG1sUEsFBgAAAAADAAMAtwAAAPcCAAAAAA==&#10;" strokecolor="black [3213]">
                  <o:lock v:ext="edit" shapetype="f"/>
                </v:line>
                <v:line id="Straight Connector 977" o:spid="_x0000_s1534" style="position:absolute;flip:y;visibility:visible;mso-wrap-style:square" from="9989,11664" to="16644,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42xAAAANwAAAAPAAAAZHJzL2Rvd25yZXYueG1sRI/dagIx&#10;FITvC75DOIJ3Ndvi72qUVhCkN1L1AQ6b42bp5mSbRF336RtB6OUwM98wy3Vra3ElHyrHCt6GGQji&#10;wumKSwWn4/Z1BiJEZI21Y1JwpwDrVe9libl2N/6m6yGWIkE45KjAxNjkUobCkMUwdA1x8s7OW4xJ&#10;+lJqj7cEt7V8z7KJtFhxWjDY0MZQ8XO4WAV1F0/d/HNjuux3dNf7/cT58ZdSg377sQARqY3/4Wd7&#10;pxXMp1N4nElHQK7+AAAA//8DAFBLAQItABQABgAIAAAAIQDb4fbL7gAAAIUBAAATAAAAAAAAAAAA&#10;AAAAAAAAAABbQ29udGVudF9UeXBlc10ueG1sUEsBAi0AFAAGAAgAAAAhAFr0LFu/AAAAFQEAAAsA&#10;AAAAAAAAAAAAAAAAHwEAAF9yZWxzLy5yZWxzUEsBAi0AFAAGAAgAAAAhAJch/jbEAAAA3AAAAA8A&#10;AAAAAAAAAAAAAAAABwIAAGRycy9kb3ducmV2LnhtbFBLBQYAAAAAAwADALcAAAD4AgAAAAA=&#10;" strokecolor="black [3213]">
                  <o:lock v:ext="edit" shapetype="f"/>
                </v:line>
                <v:line id="Straight Connector 978" o:spid="_x0000_s1535" style="position:absolute;flip:y;visibility:visible;mso-wrap-style:square" from="10006,29686" to="16594,3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pEwQAAANwAAAAPAAAAZHJzL2Rvd25yZXYueG1sRE/NagIx&#10;EL4XfIcwgreataitW6NYQRAvUusDDJvpZnEzWZOo6z69OQgeP77/+bK1tbiSD5VjBaNhBoK4cLri&#10;UsHxb/P+BSJEZI21Y1JwpwDLRe9tjrl2N/6l6yGWIoVwyFGBibHJpQyFIYth6BrixP07bzEm6Eup&#10;Pd5SuK3lR5ZNpcWKU4PBhtaGitPhYhXUXTx2s5+16bLz+K73+6nzk51Sg367+gYRqY0v8dO91Qpm&#10;n2ltOpOOgFw8AAAA//8DAFBLAQItABQABgAIAAAAIQDb4fbL7gAAAIUBAAATAAAAAAAAAAAAAAAA&#10;AAAAAABbQ29udGVudF9UeXBlc10ueG1sUEsBAi0AFAAGAAgAAAAhAFr0LFu/AAAAFQEAAAsAAAAA&#10;AAAAAAAAAAAAHwEAAF9yZWxzLy5yZWxzUEsBAi0AFAAGAAgAAAAhAOa+akTBAAAA3AAAAA8AAAAA&#10;AAAAAAAAAAAABwIAAGRycy9kb3ducmV2LnhtbFBLBQYAAAAAAwADALcAAAD1AgAAAAA=&#10;" strokecolor="black [3213]">
                  <o:lock v:ext="edit" shapetype="f"/>
                </v:line>
                <v:line id="Straight Connector 979" o:spid="_x0000_s1536" style="position:absolute;visibility:visible;mso-wrap-style:square" from="10064,24396" to="16594,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rxgAAANwAAAAPAAAAZHJzL2Rvd25yZXYueG1sRI9Pa8JA&#10;FMTvhX6H5RV6qxsFjUZXCYJg7an+wesj+0zSZt+G3TXGfvpuoeBxmJnfMItVbxrRkfO1ZQXDQQKC&#10;uLC65lLB8bB5m4LwAVljY5kU3MnDavn8tMBM2xt/UrcPpYgQ9hkqqEJoMyl9UZFBP7AtcfQu1hkM&#10;UbpSaoe3CDeNHCXJRBqsOS5U2NK6ouJ7fzUKpsXuy+Vp/j4cn9r0pxt9TDbnVKnXlz6fgwjUh0f4&#10;v73VCmbpDP7OxCMgl78AAAD//wMAUEsBAi0AFAAGAAgAAAAhANvh9svuAAAAhQEAABMAAAAAAAAA&#10;AAAAAAAAAAAAAFtDb250ZW50X1R5cGVzXS54bWxQSwECLQAUAAYACAAAACEAWvQsW78AAAAVAQAA&#10;CwAAAAAAAAAAAAAAAAAfAQAAX3JlbHMvLnJlbHNQSwECLQAUAAYACAAAACEAZAKPq8YAAADcAAAA&#10;DwAAAAAAAAAAAAAAAAAHAgAAZHJzL2Rvd25yZXYueG1sUEsFBgAAAAADAAMAtwAAAPoCAAAAAA==&#10;" strokecolor="black [3213]">
                  <o:lock v:ext="edit" shapetype="f"/>
                </v:line>
                <v:line id="Straight Connector 980" o:spid="_x0000_s1537" style="position:absolute;visibility:visible;mso-wrap-style:square" from="27726,11664" to="35849,1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YRwwAAANwAAAAPAAAAZHJzL2Rvd25yZXYueG1sRE/LasJA&#10;FN0L/sNwC93pRKEmTR0lCIK2Kx+l20vmNkmbuRNmxhj79Z2F4PJw3sv1YFrRk/ONZQWzaQKCuLS6&#10;4UrB+bSdZCB8QNbYWiYFN/KwXo1HS8y1vfKB+mOoRAxhn6OCOoQul9KXNRn0U9sRR+7bOoMhQldJ&#10;7fAaw00r50mykAYbjg01drSpqfw9XoyCrHz/cUVa7Gcvn136188/FtuvVKnnp6F4AxFoCA/x3b3T&#10;Cl6zOD+eiUdArv4BAAD//wMAUEsBAi0AFAAGAAgAAAAhANvh9svuAAAAhQEAABMAAAAAAAAAAAAA&#10;AAAAAAAAAFtDb250ZW50X1R5cGVzXS54bWxQSwECLQAUAAYACAAAACEAWvQsW78AAAAVAQAACwAA&#10;AAAAAAAAAAAAAAAfAQAAX3JlbHMvLnJlbHNQSwECLQAUAAYACAAAACEAwO1WEcMAAADcAAAADwAA&#10;AAAAAAAAAAAAAAAHAgAAZHJzL2Rvd25yZXYueG1sUEsFBgAAAAADAAMAtwAAAPcCAAAAAA==&#10;" strokecolor="black [3213]">
                  <o:lock v:ext="edit" shapetype="f"/>
                </v:line>
                <v:line id="Straight Connector 981" o:spid="_x0000_s1538" style="position:absolute;visibility:visible;mso-wrap-style:square" from="27839,11767" to="35821,4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OKxgAAANwAAAAPAAAAZHJzL2Rvd25yZXYueG1sRI9Ba8JA&#10;FITvhf6H5RV6q5sImhhdJRQE255qFa+P7DNJm30bdrcx9de7hUKPw8x8w6w2o+nEQM63lhWkkwQE&#10;cWV1y7WCw8f2KQfhA7LGzjIp+CEPm/X93QoLbS/8TsM+1CJC2BeooAmhL6T0VUMG/cT2xNE7W2cw&#10;ROlqqR1eItx0cpokc2mw5bjQYE/PDVVf+2+jIK9eP12ZlS/p7Nhn12H6Nt+eMqUeH8ZyCSLQGP7D&#10;f+2dVrDIU/g9E4+AXN8AAAD//wMAUEsBAi0AFAAGAAgAAAAhANvh9svuAAAAhQEAABMAAAAAAAAA&#10;AAAAAAAAAAAAAFtDb250ZW50X1R5cGVzXS54bWxQSwECLQAUAAYACAAAACEAWvQsW78AAAAVAQAA&#10;CwAAAAAAAAAAAAAAAAAfAQAAX3JlbHMvLnJlbHNQSwECLQAUAAYACAAAACEAr6HzisYAAADcAAAA&#10;DwAAAAAAAAAAAAAAAAAHAgAAZHJzL2Rvd25yZXYueG1sUEsFBgAAAAADAAMAtwAAAPoCAAAAAA==&#10;" strokecolor="black [3213]">
                  <o:lock v:ext="edit" shapetype="f"/>
                </v:line>
                <v:line id="Straight Connector 982" o:spid="_x0000_s1539" style="position:absolute;flip:y;visibility:visible;mso-wrap-style:square" from="27726,8333" to="35733,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2JxAAAANwAAAAPAAAAZHJzL2Rvd25yZXYueG1sRI/RagIx&#10;FETfC/5DuAXfarZiRbdGUUGQvohbP+Cyud0s3dysSdR1v94UCj4OM3OGWaw624gr+VA7VvA+ykAQ&#10;l07XXCk4fe/eZiBCRNbYOCYFdwqwWg5eFphrd+MjXYtYiQThkKMCE2ObSxlKQxbDyLXEyftx3mJM&#10;0ldSe7wluG3kOMum0mLNacFgS1tD5W9xsQqaPp76+WZr+uw8uevDYer8x5dSw9du/QkiUhef4f/2&#10;XiuYz8bwdyYdAbl8AAAA//8DAFBLAQItABQABgAIAAAAIQDb4fbL7gAAAIUBAAATAAAAAAAAAAAA&#10;AAAAAAAAAABbQ29udGVudF9UeXBlc10ueG1sUEsBAi0AFAAGAAgAAAAhAFr0LFu/AAAAFQEAAAsA&#10;AAAAAAAAAAAAAAAAHwEAAF9yZWxzLy5yZWxzUEsBAi0AFAAGAAgAAAAhALKDLYnEAAAA3AAAAA8A&#10;AAAAAAAAAAAAAAAABwIAAGRycy9kb3ducmV2LnhtbFBLBQYAAAAAAwADALcAAAD4AgAAAAA=&#10;" strokecolor="black [3213]">
                  <o:lock v:ext="edit" shapetype="f"/>
                </v:line>
              </v:group>
            </w:pict>
          </mc:Fallback>
        </mc:AlternateContent>
      </w:r>
      <w:r>
        <w:rPr>
          <w:noProof/>
        </w:rPr>
        <mc:AlternateContent>
          <mc:Choice Requires="wps">
            <w:drawing>
              <wp:anchor distT="45720" distB="45720" distL="114300" distR="114300" simplePos="0" relativeHeight="253739008" behindDoc="1" locked="0" layoutInCell="1" allowOverlap="1" wp14:anchorId="467B59B3" wp14:editId="5D3E9F5B">
                <wp:simplePos x="0" y="0"/>
                <wp:positionH relativeFrom="column">
                  <wp:posOffset>5369560</wp:posOffset>
                </wp:positionH>
                <wp:positionV relativeFrom="paragraph">
                  <wp:posOffset>108585</wp:posOffset>
                </wp:positionV>
                <wp:extent cx="1966595" cy="412115"/>
                <wp:effectExtent l="0" t="0" r="0" b="698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412115"/>
                        </a:xfrm>
                        <a:prstGeom prst="rect">
                          <a:avLst/>
                        </a:prstGeom>
                        <a:solidFill>
                          <a:srgbClr val="FFFFFF"/>
                        </a:solidFill>
                        <a:ln w="9525">
                          <a:noFill/>
                          <a:miter lim="800000"/>
                          <a:headEnd/>
                          <a:tailEnd/>
                        </a:ln>
                      </wps:spPr>
                      <wps:txbx>
                        <w:txbxContent>
                          <w:p w14:paraId="5A6D406E" w14:textId="77777777" w:rsidR="00777EE0" w:rsidRDefault="00777EE0" w:rsidP="00C65FD3">
                            <w:pPr>
                              <w:rPr>
                                <w:b/>
                                <w:sz w:val="22"/>
                              </w:rPr>
                            </w:pPr>
                            <w:r>
                              <w:rPr>
                                <w:b/>
                                <w:sz w:val="22"/>
                              </w:rPr>
                              <w:t>GLOBAL MOTIVATION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B59B3" id="Text Box 94" o:spid="_x0000_s1540" type="#_x0000_t202" style="position:absolute;margin-left:422.8pt;margin-top:8.55pt;width:154.85pt;height:32.45pt;z-index:-24957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rwJAIAACYEAAAOAAAAZHJzL2Uyb0RvYy54bWysU8Fu2zAMvQ/YPwi6L46DOG2MOEWXLsOA&#10;rhvQ7gNoWY6FyaImKbG7rx+lpGm23YbpIJAi+Ug+UqubsdfsIJ1XaCqeT6acSSOwUWZX8W9P23fX&#10;nPkApgGNRlb8WXp+s377ZjXYUs6wQ91IxwjE+HKwFe9CsGWWedHJHvwErTRkbNH1EEh1u6xxMBB6&#10;r7PZdLrIBnSNdSik9/R6dzTydcJvWynCl7b1MjBdcaotpNulu453tl5BuXNgOyVOZcA/VNGDMpT0&#10;DHUHAdjeqb+geiUcemzDRGCfYdsqIVMP1E0+/aObxw6sTL0QOd6eafL/D1Y8HL46ppqKL+ecGehp&#10;Rk9yDOw9joyeiJ/B+pLcHi05hpHeac6pV2/vUXz3zOCmA7OTt87h0EloqL48RmYXoUccH0Hq4TM2&#10;lAf2ARPQ2Lo+kkd0MEKnOT2fZxNrETHlcrEolgVngmzzfJbnRUoB5Uu0dT58lNizKFTc0ewTOhzu&#10;fYjVQPniEpN51KrZKq2T4nb1Rjt2ANqTbTon9N/ctGEDMVXMioRsMManFepVoD3Wqq/49TSeGA5l&#10;ZOODaZIcQOmjTJVoc6InMnLkJoz1mCaRXyX2Ink1Ns/EmMPj4tJHI6FD95OzgZa24v7HHpzkTH8y&#10;xPoyn8/jlidlXlzNSHGXlvrSAkYQVMUDZ0dxE9LPSITYW5rOViXiXis5FU3LmPg8fZy47Zd68nr9&#10;3utfAAAA//8DAFBLAwQUAAYACAAAACEANuU5z94AAAAKAQAADwAAAGRycy9kb3ducmV2LnhtbEyP&#10;y07DMBBF90j8gzVI7KiTQkoV4lQVFRsWSBQkWLrxJI7wS7abhr9nuqLL0bm690yzma1hE8Y0eieg&#10;XBTA0HVejW4Q8PnxcrcGlrJ0ShrvUMAvJti011eNrJU/uXec9nlgVOJSLQXonEPNeeo0WpkWPqAj&#10;1vtoZaYzDlxFeaJya/iyKFbcytHRgpYBnzV2P/ujFfBl9ah28e27V2bavfbbKswxCHF7M2+fgGWc&#10;838YzvqkDi05HfzRqcSMgPVDtaIogccS2DlQVtU9sAOhZQG8bfjlC+0fAAAA//8DAFBLAQItABQA&#10;BgAIAAAAIQC2gziS/gAAAOEBAAATAAAAAAAAAAAAAAAAAAAAAABbQ29udGVudF9UeXBlc10ueG1s&#10;UEsBAi0AFAAGAAgAAAAhADj9If/WAAAAlAEAAAsAAAAAAAAAAAAAAAAALwEAAF9yZWxzLy5yZWxz&#10;UEsBAi0AFAAGAAgAAAAhANu7uvAkAgAAJgQAAA4AAAAAAAAAAAAAAAAALgIAAGRycy9lMm9Eb2Mu&#10;eG1sUEsBAi0AFAAGAAgAAAAhADblOc/eAAAACgEAAA8AAAAAAAAAAAAAAAAAfgQAAGRycy9kb3du&#10;cmV2LnhtbFBLBQYAAAAABAAEAPMAAACJBQAAAAA=&#10;" stroked="f">
                <v:textbox style="mso-fit-shape-to-text:t">
                  <w:txbxContent>
                    <w:p w14:paraId="5A6D406E" w14:textId="77777777" w:rsidR="00777EE0" w:rsidRDefault="00777EE0" w:rsidP="00C65FD3">
                      <w:pPr>
                        <w:rPr>
                          <w:b/>
                          <w:sz w:val="22"/>
                        </w:rPr>
                      </w:pPr>
                      <w:r>
                        <w:rPr>
                          <w:b/>
                          <w:sz w:val="22"/>
                        </w:rPr>
                        <w:t>GLOBAL MOTIVATION</w:t>
                      </w:r>
                    </w:p>
                  </w:txbxContent>
                </v:textbox>
              </v:shape>
            </w:pict>
          </mc:Fallback>
        </mc:AlternateContent>
      </w:r>
      <w:r>
        <w:rPr>
          <w:noProof/>
        </w:rPr>
        <mc:AlternateContent>
          <mc:Choice Requires="wps">
            <w:drawing>
              <wp:anchor distT="45720" distB="45720" distL="114300" distR="114300" simplePos="0" relativeHeight="253737984" behindDoc="1" locked="0" layoutInCell="1" allowOverlap="1" wp14:anchorId="052CF86E" wp14:editId="71CB69E1">
                <wp:simplePos x="0" y="0"/>
                <wp:positionH relativeFrom="column">
                  <wp:posOffset>3029585</wp:posOffset>
                </wp:positionH>
                <wp:positionV relativeFrom="paragraph">
                  <wp:posOffset>110490</wp:posOffset>
                </wp:positionV>
                <wp:extent cx="2094230" cy="412115"/>
                <wp:effectExtent l="0" t="0" r="1270" b="698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412115"/>
                        </a:xfrm>
                        <a:prstGeom prst="rect">
                          <a:avLst/>
                        </a:prstGeom>
                        <a:solidFill>
                          <a:srgbClr val="FFFFFF"/>
                        </a:solidFill>
                        <a:ln w="9525">
                          <a:noFill/>
                          <a:miter lim="800000"/>
                          <a:headEnd/>
                          <a:tailEnd/>
                        </a:ln>
                      </wps:spPr>
                      <wps:txbx>
                        <w:txbxContent>
                          <w:p w14:paraId="2C4D967A" w14:textId="77777777" w:rsidR="00777EE0" w:rsidRDefault="00777EE0" w:rsidP="00C65FD3">
                            <w:pPr>
                              <w:rPr>
                                <w:b/>
                                <w:sz w:val="22"/>
                              </w:rPr>
                            </w:pPr>
                            <w:r>
                              <w:rPr>
                                <w:b/>
                                <w:sz w:val="22"/>
                              </w:rPr>
                              <w:t xml:space="preserve">MOTIVATIONAL DOMAINS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CF86E" id="Text Box 93" o:spid="_x0000_s1541" type="#_x0000_t202" style="position:absolute;margin-left:238.55pt;margin-top:8.7pt;width:164.9pt;height:32.45pt;z-index:-24957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sAJAIAACYEAAAOAAAAZHJzL2Uyb0RvYy54bWysU9tu2zAMfR+wfxD0vvjSZG2MOEWXLsOA&#10;7gK0+wBZlmNhkqhJSuzs60fJaZptb8P0IJAieUQekqvbUStyEM5LMDUtZjklwnBopdnV9NvT9s0N&#10;JT4w0zIFRtT0KDy9Xb9+tRpsJUroQbXCEQQxvhpsTfsQbJVlnvdCMz8DKwwaO3CaBVTdLmsdGxBd&#10;q6zM87fZAK61DrjwHl/vJyNdJ/yuEzx86TovAlE1xdxCul26m3hn6xWrdo7ZXvJTGuwfstBMGvz0&#10;DHXPAiN7J/+C0pI78NCFGQedQddJLlINWE2R/1HNY8+sSLUgOd6eafL/D5Z/Pnx1RLY1XV5RYpjG&#10;Hj2JMZB3MBJ8Qn4G6yt0e7ToGEZ8xz6nWr19AP7dEwObnpmduHMOhl6wFvMrYmR2ETrh+AjSDJ+g&#10;xX/YPkACGjunI3lIB0F07NPx3JuYC8fHMl/Oyys0cbTNi7IoFukLVj1HW+fDBwGaRKGmDnuf0Nnh&#10;wYeYDaueXeJnHpRst1KppLhds1GOHBjOyTadE/pvbsqQAZlalIuEbCDGpxHSMuAcK6lrepPHE8NZ&#10;Fdl4b9okBybVJGMmypzoiYxM3ISxGVMniusyRkfyGmiPyJiDaXBx0VDowf2kZMChran/sWdOUKI+&#10;GmR9WcznccqTMl9cl6i4S0tzaWGGI1RNAyWTuAlpMxIh9g67s5WJuJdMTknjMCY+T4sTp/1ST14v&#10;673+BQAA//8DAFBLAwQUAAYACAAAACEAZ6a3Zt4AAAAJAQAADwAAAGRycy9kb3ducmV2LnhtbEyP&#10;wU7DMAyG70i8Q2QkbizdGOsoTaeJiQsHJAbSdsyatKlInCjJuvL2mBPcbP2ffn+uN5OzbNQxDR4F&#10;zGcFMI2tVwP2Aj4/Xu7WwFKWqKT1qAV86wSb5vqqlpXyF3zX4z73jEowVVKAyTlUnKfWaCfTzAeN&#10;lHU+OplpjT1XUV6o3Fm+KIoVd3JAumBk0M9Gt1/7sxNwcGZQu/h27JQdd6/d9iFMMQhxezNtn4Bl&#10;PeU/GH71SR0acjr5M6rErIBlWc4JpaBcAiNgXawegZ1oWNwDb2r+/4PmBwAA//8DAFBLAQItABQA&#10;BgAIAAAAIQC2gziS/gAAAOEBAAATAAAAAAAAAAAAAAAAAAAAAABbQ29udGVudF9UeXBlc10ueG1s&#10;UEsBAi0AFAAGAAgAAAAhADj9If/WAAAAlAEAAAsAAAAAAAAAAAAAAAAALwEAAF9yZWxzLy5yZWxz&#10;UEsBAi0AFAAGAAgAAAAhAAcjKwAkAgAAJgQAAA4AAAAAAAAAAAAAAAAALgIAAGRycy9lMm9Eb2Mu&#10;eG1sUEsBAi0AFAAGAAgAAAAhAGemt2beAAAACQEAAA8AAAAAAAAAAAAAAAAAfgQAAGRycy9kb3du&#10;cmV2LnhtbFBLBQYAAAAABAAEAPMAAACJBQAAAAA=&#10;" stroked="f">
                <v:textbox style="mso-fit-shape-to-text:t">
                  <w:txbxContent>
                    <w:p w14:paraId="2C4D967A" w14:textId="77777777" w:rsidR="00777EE0" w:rsidRDefault="00777EE0" w:rsidP="00C65FD3">
                      <w:pPr>
                        <w:rPr>
                          <w:b/>
                          <w:sz w:val="22"/>
                        </w:rPr>
                      </w:pPr>
                      <w:r>
                        <w:rPr>
                          <w:b/>
                          <w:sz w:val="22"/>
                        </w:rPr>
                        <w:t xml:space="preserve">MOTIVATIONAL DOMAINS </w:t>
                      </w:r>
                    </w:p>
                  </w:txbxContent>
                </v:textbox>
              </v:shape>
            </w:pict>
          </mc:Fallback>
        </mc:AlternateContent>
      </w:r>
      <w:r>
        <w:rPr>
          <w:noProof/>
        </w:rPr>
        <mc:AlternateContent>
          <mc:Choice Requires="wps">
            <w:drawing>
              <wp:anchor distT="45720" distB="45720" distL="114300" distR="114300" simplePos="0" relativeHeight="253735936" behindDoc="1" locked="0" layoutInCell="1" allowOverlap="1" wp14:anchorId="2943439E" wp14:editId="78876ECE">
                <wp:simplePos x="0" y="0"/>
                <wp:positionH relativeFrom="column">
                  <wp:posOffset>1779905</wp:posOffset>
                </wp:positionH>
                <wp:positionV relativeFrom="paragraph">
                  <wp:posOffset>120650</wp:posOffset>
                </wp:positionV>
                <wp:extent cx="1520190" cy="412115"/>
                <wp:effectExtent l="0" t="0" r="3810" b="6985"/>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12115"/>
                        </a:xfrm>
                        <a:prstGeom prst="rect">
                          <a:avLst/>
                        </a:prstGeom>
                        <a:solidFill>
                          <a:srgbClr val="FFFFFF"/>
                        </a:solidFill>
                        <a:ln w="9525">
                          <a:noFill/>
                          <a:miter lim="800000"/>
                          <a:headEnd/>
                          <a:tailEnd/>
                        </a:ln>
                      </wps:spPr>
                      <wps:txbx>
                        <w:txbxContent>
                          <w:p w14:paraId="379289FB" w14:textId="77777777" w:rsidR="00777EE0" w:rsidRDefault="00777EE0" w:rsidP="00C65FD3">
                            <w:pPr>
                              <w:rPr>
                                <w:b/>
                                <w:sz w:val="22"/>
                              </w:rPr>
                            </w:pPr>
                            <w:r>
                              <w:rPr>
                                <w:b/>
                                <w:sz w:val="22"/>
                              </w:rPr>
                              <w:t>REASONS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3439E" id="Text Box 959" o:spid="_x0000_s1542" type="#_x0000_t202" style="position:absolute;margin-left:140.15pt;margin-top:9.5pt;width:119.7pt;height:32.45pt;z-index:-24958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ZEIwIAACgEAAAOAAAAZHJzL2Uyb0RvYy54bWysU81u2zAMvg/YOwi6L46zZG2MOEWXLsOA&#10;7gdo9wC0LMfCZFGTlNjZ05eS0zTbbsN0EEiR/Eh+pFY3Q6fZQTqv0JQ8n0w5k0Zgrcyu5N8ft2+u&#10;OfMBTA0ajSz5UXp+s379atXbQs6wRV1LxwjE+KK3JW9DsEWWedHKDvwErTRkbNB1EEh1u6x20BN6&#10;p7PZdPou69HV1qGQ3tPr3Wjk64TfNFKEr03jZWC65FRbSLdLdxXvbL2CYufAtkqcyoB/qKIDZSjp&#10;GeoOArC9U39BdUo49NiEicAuw6ZRQqYeqJt8+kc3Dy1YmXohcrw90+T/H6z4cvjmmKpLvlwsOTPQ&#10;0ZAe5RDYexxYfCOGeusLcnyw5BoGMtCkU7fe3qP44ZnBTQtmJ2+dw76VUFOFeYzMLkJHHB9Bqv4z&#10;1pQI9gET0NC4LtJHhDBCp0kdz9OJxYiYckEULckkyDbPZ3m+SCmgeI62zoePEjsWhZI7mn5Ch8O9&#10;D7EaKJ5dYjKPWtVbpXVS3K7aaMcOQJuyTeeE/pubNqyPXM0WCdlgjE9L1KlAm6xVV/LraTwxHIrI&#10;xgdTJzmA0qNMlWhzoicyMnIThmpIs8iv3sboSF6F9ZEYcziuLn01Elp0vzjraW1L7n/uwUnO9CdD&#10;rC/z+TzueVLmi6sZKe7SUl1awAiCKnngbBQ3If2NRIi9pelsVSLupZJT0bSOic/T14n7fqknr5cP&#10;vn4CAAD//wMAUEsDBBQABgAIAAAAIQCYuYoH3gAAAAkBAAAPAAAAZHJzL2Rvd25yZXYueG1sTI/L&#10;TsMwEEX3SPyDNUjsqNNWhSTEqSoqNiyQKEiwdONJHOGXbDcNf8+wosvRPbpzbrOdrWETxjR6J2C5&#10;KICh67wa3SDg4/35rgSWsnRKGu9QwA8m2LbXV42slT+7N5wOeWBU4lItBeicQ8156jRamRY+oKOs&#10;99HKTGccuIryTOXW8FVR3HMrR0cftAz4pLH7PpysgE+rR7WPr1+9MtP+pd9twhyDELc38+4RWMY5&#10;/8Pwp0/q0JLT0Z+cSswIWJXFmlAKKtpEwGZZPQA7CijXFfC24ZcL2l8AAAD//wMAUEsBAi0AFAAG&#10;AAgAAAAhALaDOJL+AAAA4QEAABMAAAAAAAAAAAAAAAAAAAAAAFtDb250ZW50X1R5cGVzXS54bWxQ&#10;SwECLQAUAAYACAAAACEAOP0h/9YAAACUAQAACwAAAAAAAAAAAAAAAAAvAQAAX3JlbHMvLnJlbHNQ&#10;SwECLQAUAAYACAAAACEA8WjmRCMCAAAoBAAADgAAAAAAAAAAAAAAAAAuAgAAZHJzL2Uyb0RvYy54&#10;bWxQSwECLQAUAAYACAAAACEAmLmKB94AAAAJAQAADwAAAAAAAAAAAAAAAAB9BAAAZHJzL2Rvd25y&#10;ZXYueG1sUEsFBgAAAAAEAAQA8wAAAIgFAAAAAA==&#10;" stroked="f">
                <v:textbox style="mso-fit-shape-to-text:t">
                  <w:txbxContent>
                    <w:p w14:paraId="379289FB" w14:textId="77777777" w:rsidR="00777EE0" w:rsidRDefault="00777EE0" w:rsidP="00C65FD3">
                      <w:pPr>
                        <w:rPr>
                          <w:b/>
                          <w:sz w:val="22"/>
                        </w:rPr>
                      </w:pPr>
                      <w:r>
                        <w:rPr>
                          <w:b/>
                          <w:sz w:val="22"/>
                        </w:rPr>
                        <w:t>REASONS</w:t>
                      </w:r>
                    </w:p>
                  </w:txbxContent>
                </v:textbox>
              </v:shape>
            </w:pict>
          </mc:Fallback>
        </mc:AlternateContent>
      </w:r>
      <w:r>
        <w:rPr>
          <w:noProof/>
        </w:rPr>
        <mc:AlternateContent>
          <mc:Choice Requires="wps">
            <w:drawing>
              <wp:anchor distT="45720" distB="45720" distL="114300" distR="114300" simplePos="0" relativeHeight="253740032" behindDoc="1" locked="0" layoutInCell="1" allowOverlap="1" wp14:anchorId="1485CBF5" wp14:editId="73258432">
                <wp:simplePos x="0" y="0"/>
                <wp:positionH relativeFrom="column">
                  <wp:posOffset>7807325</wp:posOffset>
                </wp:positionH>
                <wp:positionV relativeFrom="paragraph">
                  <wp:posOffset>110490</wp:posOffset>
                </wp:positionV>
                <wp:extent cx="1520190" cy="391160"/>
                <wp:effectExtent l="0" t="0" r="3810" b="8890"/>
                <wp:wrapNone/>
                <wp:docPr id="958"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90525"/>
                        </a:xfrm>
                        <a:prstGeom prst="rect">
                          <a:avLst/>
                        </a:prstGeom>
                        <a:solidFill>
                          <a:srgbClr val="FFFFFF"/>
                        </a:solidFill>
                        <a:ln w="9525">
                          <a:noFill/>
                          <a:miter lim="800000"/>
                          <a:headEnd/>
                          <a:tailEnd/>
                        </a:ln>
                      </wps:spPr>
                      <wps:txbx>
                        <w:txbxContent>
                          <w:p w14:paraId="0BC43CDA" w14:textId="77777777" w:rsidR="00777EE0" w:rsidRDefault="00777EE0" w:rsidP="00C65FD3">
                            <w:pPr>
                              <w:rPr>
                                <w:b/>
                                <w:sz w:val="22"/>
                              </w:rPr>
                            </w:pPr>
                            <w:r>
                              <w:rPr>
                                <w:b/>
                                <w:sz w:val="22"/>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5CBF5" id="Text Box 958" o:spid="_x0000_s1543" type="#_x0000_t202" style="position:absolute;margin-left:614.75pt;margin-top:8.7pt;width:119.7pt;height:30.8pt;z-index:-24957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e1IgIAACgEAAAOAAAAZHJzL2Uyb0RvYy54bWysU81u2zAMvg/YOwi6L3ayZG2MOEWXLsOA&#10;7gdo9wC0LMfCJNGTlNjZ05eS0zTbbsN0EEiR/Eh+pFY3g9HsIJ1XaEs+neScSSuwVnZX8u+P2zfX&#10;nPkAtgaNVpb8KD2/Wb9+teq7Qs6wRV1LxwjE+qLvSt6G0BVZ5kUrDfgJdtKSsUFnIJDqdlntoCd0&#10;o7NZnr/LenR151BI7+n1bjTydcJvGinC16bxMjBdcqotpNulu4p3tl5BsXPQtUqcyoB/qMKAspT0&#10;DHUHAdjeqb+gjBIOPTZhItBk2DRKyNQDdTPN/+jmoYVOpl6IHN+dafL/D1Z8OXxzTNUlXy5oVBYM&#10;DelRDoG9x4HFN2Ko73xBjg8duYaBDDTp1K3v7lH88MzipgW7k7fOYd9KqKnCaYzMLkJHHB9Bqv4z&#10;1pQI9gET0NA4E+kjQhih06SO5+nEYkRMuSCKlmQSZHu7zBezRUoBxXN053z4KNGwKJTc0fQTOhzu&#10;fYjVQPHsEpN51KreKq2T4nbVRjt2ANqUbTon9N/ctGV95IpyxyiLMT4tkVGBNlkrU/LrPJ4YDkVk&#10;44OtkxxA6VGmSrQ90RMZGbkJQzWkWUyv5jE6kldhfSTGHI6rS1+NhBbdL856WtuS+597cJIz/ckS&#10;68vpfB73PCnzxdWMFHdpqS4tYAVBlTxwNoqbkP7G2NotTadRibiXSk5F0zomPk9fJ+77pZ68Xj74&#10;+gkAAP//AwBQSwMEFAAGAAgAAAAhAE4agXneAAAACwEAAA8AAABkcnMvZG93bnJldi54bWxMj91O&#10;g0AQRu9NfIfNmHhj7CKhUJClURONt/15gIHdApGdJey20Ld3eqV382VOvjlTbhc7iIuZfO9Iwcsq&#10;AmGocbqnVsHx8Pm8AeEDksbBkVFwNR621f1diYV2M+3MZR9awSXkC1TQhTAWUvqmMxb9yo2GeHdy&#10;k8XAcWqlnnDmcjvIOIpSabEnvtDhaD460/zsz1bB6Xt+Wudz/RWO2S5J37HPandV6vFheXsFEcwS&#10;/mC46bM6VOxUuzNpLwbOcZyvmeUpS0DciCTd5CBqBVkegaxK+f+H6hcAAP//AwBQSwECLQAUAAYA&#10;CAAAACEAtoM4kv4AAADhAQAAEwAAAAAAAAAAAAAAAAAAAAAAW0NvbnRlbnRfVHlwZXNdLnhtbFBL&#10;AQItABQABgAIAAAAIQA4/SH/1gAAAJQBAAALAAAAAAAAAAAAAAAAAC8BAABfcmVscy8ucmVsc1BL&#10;AQItABQABgAIAAAAIQBNmqe1IgIAACgEAAAOAAAAAAAAAAAAAAAAAC4CAABkcnMvZTJvRG9jLnht&#10;bFBLAQItABQABgAIAAAAIQBOGoF53gAAAAsBAAAPAAAAAAAAAAAAAAAAAHwEAABkcnMvZG93bnJl&#10;di54bWxQSwUGAAAAAAQABADzAAAAhwUAAAAA&#10;" stroked="f">
                <v:textbox>
                  <w:txbxContent>
                    <w:p w14:paraId="0BC43CDA" w14:textId="77777777" w:rsidR="00777EE0" w:rsidRDefault="00777EE0" w:rsidP="00C65FD3">
                      <w:pPr>
                        <w:rPr>
                          <w:b/>
                          <w:sz w:val="22"/>
                        </w:rPr>
                      </w:pPr>
                      <w:r>
                        <w:rPr>
                          <w:b/>
                          <w:sz w:val="22"/>
                        </w:rPr>
                        <w:t>BEHAVIOUR</w:t>
                      </w:r>
                    </w:p>
                  </w:txbxContent>
                </v:textbox>
              </v:shape>
            </w:pict>
          </mc:Fallback>
        </mc:AlternateContent>
      </w:r>
      <w:r>
        <w:rPr>
          <w:noProof/>
        </w:rPr>
        <mc:AlternateContent>
          <mc:Choice Requires="wps">
            <w:drawing>
              <wp:anchor distT="45720" distB="45720" distL="114300" distR="114300" simplePos="0" relativeHeight="253733888" behindDoc="1" locked="0" layoutInCell="1" allowOverlap="1" wp14:anchorId="6BEE3B63" wp14:editId="60FF9540">
                <wp:simplePos x="0" y="0"/>
                <wp:positionH relativeFrom="column">
                  <wp:posOffset>2540</wp:posOffset>
                </wp:positionH>
                <wp:positionV relativeFrom="paragraph">
                  <wp:posOffset>110490</wp:posOffset>
                </wp:positionV>
                <wp:extent cx="1520190" cy="412115"/>
                <wp:effectExtent l="0" t="0" r="3810" b="6985"/>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12115"/>
                        </a:xfrm>
                        <a:prstGeom prst="rect">
                          <a:avLst/>
                        </a:prstGeom>
                        <a:solidFill>
                          <a:srgbClr val="FFFFFF"/>
                        </a:solidFill>
                        <a:ln w="9525">
                          <a:noFill/>
                          <a:miter lim="800000"/>
                          <a:headEnd/>
                          <a:tailEnd/>
                        </a:ln>
                      </wps:spPr>
                      <wps:txbx>
                        <w:txbxContent>
                          <w:p w14:paraId="025F226F" w14:textId="77777777" w:rsidR="00777EE0" w:rsidRDefault="00777EE0" w:rsidP="00C65FD3">
                            <w:pPr>
                              <w:rPr>
                                <w:b/>
                                <w:sz w:val="22"/>
                              </w:rPr>
                            </w:pPr>
                            <w:r>
                              <w:rPr>
                                <w:b/>
                                <w:sz w:val="22"/>
                              </w:rPr>
                              <w:t>WIDER FACTORS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E3B63" id="Text Box 957" o:spid="_x0000_s1544" type="#_x0000_t202" style="position:absolute;margin-left:.2pt;margin-top:8.7pt;width:119.7pt;height:32.45pt;z-index:-249582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m5IgIAACgEAAAOAAAAZHJzL2Uyb0RvYy54bWysU81u2zAMvg/YOwi6L46DZGmMOEWXLsOA&#10;7gdo9wC0LMfCZFGTlNjZ04+S0zTbbsN0EEiR/Eh+pNa3Q6fZUTqv0JQ8n0w5k0Zgrcy+5N+edm9u&#10;OPMBTA0ajSz5SXp+u3n9at3bQs6wRV1LxwjE+KK3JW9DsEWWedHKDvwErTRkbNB1EEh1+6x20BN6&#10;p7PZdPo269HV1qGQ3tPr/Wjkm4TfNFKEL03jZWC65FRbSLdLdxXvbLOGYu/Atkqcy4B/qKIDZSjp&#10;BeoeArCDU39BdUo49NiEicAuw6ZRQqYeqJt8+kc3jy1YmXohcry90OT/H6z4fPzqmKpLvlosOTPQ&#10;0ZCe5BDYOxxYfCOGeusLcny05BoGMtCkU7fePqD47pnBbQtmL++cw76VUFOFeYzMrkJHHB9Bqv4T&#10;1pQIDgET0NC4LtJHhDBCp0mdLtOJxYiYckEUrcgkyDbPZ3m+SCmgeI62zocPEjsWhZI7mn5Ch+OD&#10;D7EaKJ5dYjKPWtU7pXVS3L7aaseOQJuyS+eM/pubNqyPXM0WCdlgjE9L1KlAm6xVV/KbaTwxHIrI&#10;xntTJzmA0qNMlWhzpicyMnIThmpIs8iXqbVIXoX1iRhzOK4ufTUSWnQ/OetpbUvufxzASc70R0Os&#10;r/L5PO55UuaL5YwUd22pri1gBEGVPHA2ituQ/kYixN7RdHYqEfdSybloWsfE5/nrxH2/1pPXywff&#10;/AIAAP//AwBQSwMEFAAGAAgAAAAhAIbHPNPcAAAABgEAAA8AAABkcnMvZG93bnJldi54bWxMj81O&#10;wzAQhO9IvIO1SNyoQ8pPCXGqiooLB6QWJDi68SaOsNeR7abh7VlOcFrtzmj2m3o9eycmjGkIpOB6&#10;UYBAaoMZqFfw/vZ8tQKRsiajXSBU8I0J1s35Wa0rE060w2mfe8EhlCqtwOY8VlKm1qLXaRFGJNa6&#10;EL3OvMZemqhPHO6dLIviTno9EH+wesQni+3X/ugVfHg7mG18/eyMm7Yv3eZ2nOOo1OXFvHkEkXHO&#10;f2b4xWd0aJjpEI5kknAKbtjH13uerJbLBy5yULAqlyCbWv7Hb34AAAD//wMAUEsBAi0AFAAGAAgA&#10;AAAhALaDOJL+AAAA4QEAABMAAAAAAAAAAAAAAAAAAAAAAFtDb250ZW50X1R5cGVzXS54bWxQSwEC&#10;LQAUAAYACAAAACEAOP0h/9YAAACUAQAACwAAAAAAAAAAAAAAAAAvAQAAX3JlbHMvLnJlbHNQSwEC&#10;LQAUAAYACAAAACEATmGpuSICAAAoBAAADgAAAAAAAAAAAAAAAAAuAgAAZHJzL2Uyb0RvYy54bWxQ&#10;SwECLQAUAAYACAAAACEAhsc809wAAAAGAQAADwAAAAAAAAAAAAAAAAB8BAAAZHJzL2Rvd25yZXYu&#10;eG1sUEsFBgAAAAAEAAQA8wAAAIUFAAAAAA==&#10;" stroked="f">
                <v:textbox style="mso-fit-shape-to-text:t">
                  <w:txbxContent>
                    <w:p w14:paraId="025F226F" w14:textId="77777777" w:rsidR="00777EE0" w:rsidRDefault="00777EE0" w:rsidP="00C65FD3">
                      <w:pPr>
                        <w:rPr>
                          <w:b/>
                          <w:sz w:val="22"/>
                        </w:rPr>
                      </w:pPr>
                      <w:r>
                        <w:rPr>
                          <w:b/>
                          <w:sz w:val="22"/>
                        </w:rPr>
                        <w:t>WIDER FACTORS</w:t>
                      </w:r>
                    </w:p>
                  </w:txbxContent>
                </v:textbox>
              </v:shape>
            </w:pict>
          </mc:Fallback>
        </mc:AlternateContent>
      </w:r>
    </w:p>
    <w:p w14:paraId="7A0E53B7" w14:textId="77777777" w:rsidR="00C65FD3" w:rsidRDefault="00C65FD3" w:rsidP="00C65FD3">
      <w:pPr>
        <w:rPr>
          <w:b/>
        </w:rPr>
      </w:pPr>
    </w:p>
    <w:p w14:paraId="12AE7AE2" w14:textId="77777777" w:rsidR="00C65FD3" w:rsidRDefault="00C65FD3" w:rsidP="00C65FD3">
      <w:pPr>
        <w:rPr>
          <w:b/>
        </w:rPr>
      </w:pPr>
      <w:r>
        <w:rPr>
          <w:b/>
        </w:rPr>
        <w:br/>
      </w:r>
    </w:p>
    <w:p w14:paraId="4AACFD0D" w14:textId="77777777" w:rsidR="00C65FD3" w:rsidRDefault="00C65FD3" w:rsidP="00C65FD3">
      <w:pPr>
        <w:rPr>
          <w:b/>
        </w:rPr>
      </w:pPr>
    </w:p>
    <w:p w14:paraId="6974CA77" w14:textId="77777777" w:rsidR="00C65FD3" w:rsidRDefault="00C65FD3" w:rsidP="00C65FD3">
      <w:pPr>
        <w:rPr>
          <w:b/>
        </w:rPr>
      </w:pPr>
    </w:p>
    <w:p w14:paraId="408822E7" w14:textId="77777777" w:rsidR="00C65FD3" w:rsidRDefault="00C65FD3" w:rsidP="00C65FD3">
      <w:pPr>
        <w:rPr>
          <w:b/>
        </w:rPr>
      </w:pPr>
    </w:p>
    <w:p w14:paraId="41AFD26E" w14:textId="77777777" w:rsidR="00C65FD3" w:rsidRDefault="00C65FD3" w:rsidP="00C65FD3">
      <w:pPr>
        <w:rPr>
          <w:b/>
        </w:rPr>
      </w:pPr>
    </w:p>
    <w:p w14:paraId="1128AFFD" w14:textId="77777777" w:rsidR="00C65FD3" w:rsidRDefault="00C65FD3" w:rsidP="00C65FD3">
      <w:pPr>
        <w:rPr>
          <w:b/>
        </w:rPr>
      </w:pPr>
    </w:p>
    <w:p w14:paraId="60F43135" w14:textId="77777777" w:rsidR="00C65FD3" w:rsidRDefault="00C65FD3" w:rsidP="00C65FD3">
      <w:pPr>
        <w:rPr>
          <w:b/>
        </w:rPr>
      </w:pPr>
    </w:p>
    <w:p w14:paraId="1310B638" w14:textId="77777777" w:rsidR="00C65FD3" w:rsidRDefault="00C65FD3" w:rsidP="00C65FD3">
      <w:pPr>
        <w:rPr>
          <w:b/>
        </w:rPr>
      </w:pPr>
    </w:p>
    <w:p w14:paraId="032B2E68" w14:textId="77777777" w:rsidR="00C65FD3" w:rsidRDefault="00C65FD3" w:rsidP="00C65FD3">
      <w:pPr>
        <w:rPr>
          <w:b/>
        </w:rPr>
      </w:pPr>
    </w:p>
    <w:p w14:paraId="2A9FF7C4" w14:textId="77777777" w:rsidR="00C65FD3" w:rsidRDefault="00C65FD3" w:rsidP="00C65FD3">
      <w:pPr>
        <w:rPr>
          <w:b/>
        </w:rPr>
      </w:pPr>
    </w:p>
    <w:p w14:paraId="55F0E595" w14:textId="77777777" w:rsidR="00C65FD3" w:rsidRDefault="00C65FD3" w:rsidP="00C65FD3">
      <w:pPr>
        <w:rPr>
          <w:b/>
        </w:rPr>
      </w:pPr>
    </w:p>
    <w:p w14:paraId="15A46BA2" w14:textId="6ABCE8A3" w:rsidR="00C65FD3" w:rsidRDefault="00C65FD3" w:rsidP="00C65FD3">
      <w:pPr>
        <w:rPr>
          <w:b/>
        </w:rPr>
      </w:pPr>
      <w:r>
        <w:rPr>
          <w:noProof/>
        </w:rPr>
        <mc:AlternateContent>
          <mc:Choice Requires="wps">
            <w:drawing>
              <wp:anchor distT="45720" distB="45720" distL="114300" distR="114300" simplePos="0" relativeHeight="253736960" behindDoc="0" locked="0" layoutInCell="1" allowOverlap="1" wp14:anchorId="2D692673" wp14:editId="3AB5C7C0">
                <wp:simplePos x="0" y="0"/>
                <wp:positionH relativeFrom="column">
                  <wp:posOffset>6533515</wp:posOffset>
                </wp:positionH>
                <wp:positionV relativeFrom="paragraph">
                  <wp:posOffset>188595</wp:posOffset>
                </wp:positionV>
                <wp:extent cx="2543810" cy="426720"/>
                <wp:effectExtent l="0" t="0" r="889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28625"/>
                        </a:xfrm>
                        <a:prstGeom prst="rect">
                          <a:avLst/>
                        </a:prstGeom>
                        <a:solidFill>
                          <a:srgbClr val="FFFFFF"/>
                        </a:solidFill>
                        <a:ln w="9525">
                          <a:noFill/>
                          <a:miter lim="800000"/>
                          <a:headEnd/>
                          <a:tailEnd/>
                        </a:ln>
                      </wps:spPr>
                      <wps:txbx>
                        <w:txbxContent>
                          <w:p w14:paraId="16B8A863" w14:textId="77777777" w:rsidR="00777EE0" w:rsidRDefault="00777EE0" w:rsidP="00C65FD3">
                            <w:r>
                              <w:t>PBC = Perceived behavioural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92673" id="Text Box 29" o:spid="_x0000_s1545" type="#_x0000_t202" style="position:absolute;margin-left:514.45pt;margin-top:14.85pt;width:200.3pt;height:33.6pt;z-index:25373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20JQIAACYEAAAOAAAAZHJzL2Uyb0RvYy54bWysU81u2zAMvg/YOwi6L469JE2MOEWXLsOA&#10;7gdo9wCyLMfCJFGTlNjZ04+S0zTbbsN0EEiR/Eh+pNa3g1bkKJyXYCqaT6aUCMOhkWZf0W9PuzdL&#10;SnxgpmEKjKjoSXh6u3n9at3bUhTQgWqEIwhifNnbinYh2DLLPO+EZn4CVhg0tuA0C6i6fdY41iO6&#10;VlkxnS6yHlxjHXDhPb7ej0a6SfhtK3j40rZeBKIqirWFdLt01/HONmtW7h2zneTnMtg/VKGZNJj0&#10;AnXPAiMHJ/+C0pI78NCGCQedQdtKLlIP2E0+/aObx45ZkXpBcry90OT/Hyz/fPzqiGwqWqwoMUzj&#10;jJ7EEMg7GAg+IT+99SW6PVp0DAO+45xTr94+AP/uiYFtx8xe3DkHfSdYg/XlMTK7Ch1xfASp+0/Q&#10;YB52CJCAhtbpSB7SQRAd53S6zCbWwvGxmM/eLnM0cbTNiuWimKcUrHyOts6HDwI0iUJFHc4+obPj&#10;gw+xGlY+u8RkHpRsdlKppLh9vVWOHBnuyS6dM/pvbsqQvqKrOeaOUQZifFohLQPusZK6ostpPDGc&#10;lZGN96ZJcmBSjTJWosyZnsjIyE0Y6iFNIr9ZxOhIXg3NCRlzMC4ufjQUOnA/KelxaSvqfxyYE5So&#10;jwZZX+WzWdzypMzmNwUq7tpSX1uY4QhV0UDJKG5D+hmJEHuH09nJRNxLJeeicRkTn+ePE7f9Wk9e&#10;L9978wsAAP//AwBQSwMEFAAGAAgAAAAhADET3H/fAAAACwEAAA8AAABkcnMvZG93bnJldi54bWxM&#10;j8FOwzAQRO9I/IO1SNyoQ0RLHeJUFRUXDkgUJDi68SaOiNeW7abh73FP9Djap5m39Wa2I5swxMGR&#10;hPtFAQypdXqgXsLnx8vdGlhMirQaHaGEX4ywaa6valVpd6J3nPapZ7mEYqUkmJR8xXlsDVoVF84j&#10;5VvnglUpx9BzHdQpl9uRl0Wx4lYNlBeM8vhssP3ZH62EL2sGvQtv350ep91rt136OXgpb2/m7ROw&#10;hHP6h+Gsn9WhyU4HdyQd2ZhzUa5FZiWU4hHYmXgoxRLYQYJYCeBNzS9/aP4AAAD//wMAUEsBAi0A&#10;FAAGAAgAAAAhALaDOJL+AAAA4QEAABMAAAAAAAAAAAAAAAAAAAAAAFtDb250ZW50X1R5cGVzXS54&#10;bWxQSwECLQAUAAYACAAAACEAOP0h/9YAAACUAQAACwAAAAAAAAAAAAAAAAAvAQAAX3JlbHMvLnJl&#10;bHNQSwECLQAUAAYACAAAACEAEyq9tCUCAAAmBAAADgAAAAAAAAAAAAAAAAAuAgAAZHJzL2Uyb0Rv&#10;Yy54bWxQSwECLQAUAAYACAAAACEAMRPcf98AAAALAQAADwAAAAAAAAAAAAAAAAB/BAAAZHJzL2Rv&#10;d25yZXYueG1sUEsFBgAAAAAEAAQA8wAAAIsFAAAAAA==&#10;" stroked="f">
                <v:textbox style="mso-fit-shape-to-text:t">
                  <w:txbxContent>
                    <w:p w14:paraId="16B8A863" w14:textId="77777777" w:rsidR="00777EE0" w:rsidRDefault="00777EE0" w:rsidP="00C65FD3">
                      <w:r>
                        <w:t>PBC = Perceived behavioural control</w:t>
                      </w:r>
                    </w:p>
                  </w:txbxContent>
                </v:textbox>
              </v:shape>
            </w:pict>
          </mc:Fallback>
        </mc:AlternateContent>
      </w:r>
    </w:p>
    <w:p w14:paraId="5FC1EBE8" w14:textId="77777777" w:rsidR="00C65FD3" w:rsidRDefault="00C65FD3" w:rsidP="00C65FD3">
      <w:pPr>
        <w:rPr>
          <w:b/>
        </w:rPr>
      </w:pPr>
    </w:p>
    <w:p w14:paraId="2D841D1E" w14:textId="77777777" w:rsidR="00C65FD3" w:rsidRDefault="00C65FD3" w:rsidP="00C65FD3">
      <w:pPr>
        <w:rPr>
          <w:b/>
        </w:rPr>
      </w:pPr>
    </w:p>
    <w:p w14:paraId="405DC8B6" w14:textId="77777777" w:rsidR="00C65FD3" w:rsidRDefault="00C65FD3" w:rsidP="00C65FD3">
      <w:pPr>
        <w:spacing w:after="0" w:line="480" w:lineRule="auto"/>
        <w:rPr>
          <w:b/>
        </w:rPr>
        <w:sectPr w:rsidR="00C65FD3">
          <w:pgSz w:w="16840" w:h="11900" w:orient="landscape"/>
          <w:pgMar w:top="1418" w:right="1418" w:bottom="1418" w:left="1418" w:header="709" w:footer="709" w:gutter="0"/>
          <w:cols w:space="720"/>
        </w:sectPr>
      </w:pPr>
    </w:p>
    <w:p w14:paraId="68E9CC86" w14:textId="77777777" w:rsidR="00C65FD3" w:rsidRDefault="00C65FD3" w:rsidP="00C65FD3">
      <w:pPr>
        <w:pStyle w:val="Heading3"/>
        <w:tabs>
          <w:tab w:val="left" w:pos="720"/>
        </w:tabs>
      </w:pPr>
      <w:bookmarkStart w:id="580" w:name="_Toc35892779"/>
      <w:bookmarkStart w:id="581" w:name="_Toc9509011"/>
      <w:bookmarkStart w:id="582" w:name="_Toc9328591"/>
      <w:r>
        <w:t>Implications for model development</w:t>
      </w:r>
      <w:bookmarkEnd w:id="580"/>
      <w:r>
        <w:t xml:space="preserve"> </w:t>
      </w:r>
    </w:p>
    <w:p w14:paraId="6C582BC9" w14:textId="77777777" w:rsidR="00C65FD3" w:rsidRPr="00F85A3E" w:rsidRDefault="00C65FD3" w:rsidP="00C65FD3">
      <w:pPr>
        <w:pStyle w:val="Notesstructure"/>
        <w:spacing w:line="480" w:lineRule="auto"/>
        <w:rPr>
          <w:color w:val="auto"/>
        </w:rPr>
      </w:pPr>
      <w:r w:rsidRPr="00F85A3E">
        <w:rPr>
          <w:color w:val="auto"/>
        </w:rPr>
        <w:t xml:space="preserve">While the existing socio-cognitive models were identified as offering a relatively good fit with the data from Studies 1 and 2, several motivations that emerged as especially important to the young people in this research would be better represented within these models by the inclusion of additional constructs. Motives that appeared particularly relevant to young people but were less well represented in the socio-cognitive models were identity motives, autonomy motives and some aspects of social motivations. </w:t>
      </w:r>
    </w:p>
    <w:p w14:paraId="0D94A892" w14:textId="77777777" w:rsidR="00C65FD3" w:rsidRDefault="00C65FD3" w:rsidP="00C65FD3">
      <w:pPr>
        <w:pStyle w:val="Heading4"/>
        <w:tabs>
          <w:tab w:val="left" w:pos="720"/>
        </w:tabs>
        <w:rPr>
          <w:color w:val="000000"/>
        </w:rPr>
      </w:pPr>
      <w:r>
        <w:t>Extending the TPB to include a self-identity construct</w:t>
      </w:r>
    </w:p>
    <w:p w14:paraId="1B13A7E8" w14:textId="77777777" w:rsidR="00C65FD3" w:rsidRPr="00F85A3E" w:rsidRDefault="00C65FD3" w:rsidP="00C65FD3">
      <w:pPr>
        <w:pStyle w:val="Notesstructure"/>
        <w:spacing w:line="480" w:lineRule="auto"/>
        <w:rPr>
          <w:color w:val="auto"/>
        </w:rPr>
      </w:pPr>
      <w:r w:rsidRPr="00F85A3E">
        <w:rPr>
          <w:color w:val="auto"/>
        </w:rPr>
        <w:t xml:space="preserve">The inclusion of a self-identity construct in the theory of planned behaviour has been proposed by several authors (Charng, Piliavin, &amp; Callero, 1988; Conner &amp; Armitage, 1998; Reid, Sparks, Jessop et al., 2018; Rise et al., 2010; Sparks &amp; Shepherd, 1992; Terry, Hogg, &amp; White, 1999). Self-identity predicts intentions, after standard TPB components have been accounted for, in a variety of health behaviours (Reid, Sparks, Jessop et al., 2018; Rise et al., 2010), including alcohol consumption (Conner, Warren, Close, &amp; Sparks, 1999), sexual health (Booth, Norman, Harris, &amp; Goyder, 2014), physical activity (Jackson, Smith, &amp; Conner, 2003; Ries, Hein, Pihu, &amp; Armenta, 2012), environmental activism (Fielding, McDonald, &amp; Louis, 2008), and recycling (Mannetti, Pierro, &amp; Livi, 2004; Nigbur, Lyons, &amp; Uzzell, 2010; Terry et al., 1999). Support for the inclusion of self-identity within the TPB is not unanimous however and others argue that self-identity is better accounted for by measures of past behaviour and the personal importance of behaviour. Although this might be the case for existing behaviour patterns that are already incorporated into the self-concept, the apparent impact of the shift in NPS user identities following the ban, suggests that young people were responding to a potential new threat to their self-identity, rather than reinforcing established behaviours. Accordingly, the present research findings lend support the argument that the addition of a self-identity construct would be of benefit to the TPB and suggests that this might be particularly true for interventions targeting young people due to the importance of identity concerns for this age group (e.g. Erikson, 1968, Berndt, 1979; Brown, Clasen &amp; Eicher, 1986). </w:t>
      </w:r>
    </w:p>
    <w:p w14:paraId="5C1D31F7" w14:textId="77777777" w:rsidR="00C65FD3" w:rsidRPr="00F85A3E" w:rsidRDefault="00C65FD3" w:rsidP="00C65FD3">
      <w:pPr>
        <w:pStyle w:val="Heading4"/>
        <w:tabs>
          <w:tab w:val="left" w:pos="720"/>
        </w:tabs>
      </w:pPr>
      <w:r w:rsidRPr="00F85A3E">
        <w:t>Extending the TPB to include an autonomy support construct</w:t>
      </w:r>
    </w:p>
    <w:p w14:paraId="6712C3E5" w14:textId="77777777" w:rsidR="00C65FD3" w:rsidRPr="00F85A3E" w:rsidRDefault="00C65FD3" w:rsidP="00C65FD3">
      <w:pPr>
        <w:pStyle w:val="Notesstructure"/>
        <w:spacing w:line="480" w:lineRule="auto"/>
        <w:rPr>
          <w:color w:val="auto"/>
        </w:rPr>
      </w:pPr>
      <w:r w:rsidRPr="00F85A3E">
        <w:rPr>
          <w:color w:val="auto"/>
        </w:rPr>
        <w:t xml:space="preserve">Over the last decade numerous researchers have sought to integrate self-determination theory and the theory of planned behaviour leading to increased support for the inclusion of an autonomy support construct in the TPB. Self-determination theory is an increasingly popular theory of motivation that posits competence, autonomy and relatedness as fundamental drivers of human behaviour (Ryan &amp; Deci, 2000). In attempting to integrate the two theories the concept of autonomy is drawn from self-determination theory and proposed as an extension of the theory of planned behaviour in the form of an autonomy support construct. </w:t>
      </w:r>
    </w:p>
    <w:p w14:paraId="55F208FF" w14:textId="77777777" w:rsidR="00C65FD3" w:rsidRPr="00F85A3E" w:rsidRDefault="00C65FD3" w:rsidP="00C65FD3">
      <w:pPr>
        <w:pStyle w:val="Notesstructure"/>
        <w:spacing w:line="480" w:lineRule="auto"/>
        <w:rPr>
          <w:color w:val="auto"/>
        </w:rPr>
      </w:pPr>
      <w:r w:rsidRPr="00F85A3E">
        <w:rPr>
          <w:color w:val="auto"/>
        </w:rPr>
        <w:t xml:space="preserve">According to self-determination theory, autonomy support from significant others can aid self-determination, which is described as the need to experience oneself as the initiator and regulator of one’s actions (Chatzisarsntis, Hagger, Wang et al., 2009). Autonomy supportive contexts are said to occur when significant others encourage choice and participation in decision-making, engage in supportive communication and minimise pressure to perform the desired behaviour. Autonomy supportive contexts are contrasted with controlling contexts in which significant others pressure people to act in specified ways and without offering choice or rationale (Deci et al. 1994; Chatzisarsntis, Hagger, Wang et al., 2009). While autonomy-supportive contexts encourage intrinsic motivation to perform the desired behaviour, controlling contexts can precipitate reactance (Brehm 1966; Chaiken 1980; Deci et al. 2006). Numerous health behaviour studies provide support for the inclusion of perceived autonomy support in the TPB, particularly in the context of physical exercise (Chatzisarsntis, Hagger, Wang et al., 2009; Hagger &amp; Chatzisarantis, 2009). </w:t>
      </w:r>
    </w:p>
    <w:p w14:paraId="4150128D" w14:textId="77777777" w:rsidR="00C65FD3" w:rsidRPr="00F85A3E" w:rsidRDefault="00C65FD3" w:rsidP="00C65FD3">
      <w:pPr>
        <w:pStyle w:val="Notesstructure"/>
        <w:spacing w:line="480" w:lineRule="auto"/>
        <w:rPr>
          <w:color w:val="auto"/>
        </w:rPr>
      </w:pPr>
      <w:r w:rsidRPr="00F85A3E">
        <w:rPr>
          <w:color w:val="auto"/>
        </w:rPr>
        <w:t xml:space="preserve">The autonomy support construct offers an excellent representation of the autonomy domain described in the present research and therefore the findings can be said to support the inclusion of an autonomy support construct in the TPB. As the majority of studies examining the efficacy of autonomy support are within the domain of physical exercise, NPS and/or drug use would present a novel area for investigating this construct.    </w:t>
      </w:r>
    </w:p>
    <w:p w14:paraId="37E484FD" w14:textId="77777777" w:rsidR="00C65FD3" w:rsidRPr="00F85A3E" w:rsidRDefault="00C65FD3" w:rsidP="00C65FD3">
      <w:pPr>
        <w:pStyle w:val="Heading4"/>
        <w:tabs>
          <w:tab w:val="left" w:pos="720"/>
        </w:tabs>
      </w:pPr>
      <w:r w:rsidRPr="00F85A3E">
        <w:t>Extending the TPB to include a social identity construct</w:t>
      </w:r>
    </w:p>
    <w:p w14:paraId="54CEA89D" w14:textId="77777777" w:rsidR="00C65FD3" w:rsidRPr="00F85A3E" w:rsidRDefault="00C65FD3" w:rsidP="00C65FD3">
      <w:pPr>
        <w:pStyle w:val="Notesstructure"/>
        <w:spacing w:line="480" w:lineRule="auto"/>
        <w:rPr>
          <w:color w:val="auto"/>
        </w:rPr>
      </w:pPr>
      <w:r w:rsidRPr="00F85A3E">
        <w:rPr>
          <w:color w:val="auto"/>
        </w:rPr>
        <w:t xml:space="preserve">The theory of planned behaviour has been criticised for insufficiently accounting for peer influences (Chatzisarantis, Hagger, Wang et al., 2009), as previous research has shown that peer group influence can have a significant effect on behaviour, especially among young people (Hagger et al. 2003). Critique rests on the basis that the social norm construct of the TPB accounts for the influence of significant others and not group influences. In the context of young people’s behaviour, this typically provides a measure of parental influence whilst omitting the influence of peers (i.e., peer influence; Armitage and Conner 2001; Hagger et al. 2002; Hagger and Chatzisarantis 2006). In the current research both parental (caregiver) influences and peer influences appeared to be important for understanding young people’s NPS behaviour. Crucially, not only did these influences appear to be important and separable, but they also appeared to have high conflict potential; in other words, the influence of parents and friends are likely to independent and in opposition. This finding leads to the conclusion that the social norms construct of the TPB should be separated to allow the influence of peers and authority figures to act independently. </w:t>
      </w:r>
    </w:p>
    <w:p w14:paraId="17276C8C" w14:textId="77777777" w:rsidR="00C65FD3" w:rsidRPr="00F85A3E" w:rsidRDefault="00C65FD3" w:rsidP="00C65FD3">
      <w:pPr>
        <w:pStyle w:val="Notesstructure"/>
        <w:spacing w:line="480" w:lineRule="auto"/>
        <w:rPr>
          <w:color w:val="auto"/>
        </w:rPr>
      </w:pPr>
      <w:r w:rsidRPr="00F85A3E">
        <w:rPr>
          <w:color w:val="auto"/>
        </w:rPr>
        <w:t>The social identity construct proposed by Chatzisarantis and colleagues (2009) offers a suitable addition to the TPB for achieving this end. Whereas the traditional social norm construct taps into the approval and disapproval of significant others (i.e parents/carers), the social identity construct captures aspects of a person’s identification with a valued social group and their perceptions of the group norms. Social identity constructs have been found to be a valuable contribution to the TPB in a few contexts such as cycling, speeding, physical exercise and recycling (Chatzisarantis, Hagger, Wang et al., 2009; Lois, Moriano &amp; Rondinella, 2015; Terry, Hogg &amp; White, 1999). The findings of the present study point towards the benefits of also incorporating a social identity construct in the context of young people’s NPS/drug use. However, as there appears to be considerable overlap between the social identity and self-identity constructs put forward as potential refinements of the social cognitive theories, it seems unlikely that both constructs would need to be included at once. Therefore, a good starting point would be to test which of the two identity constructs was able to account for the greatest variance in young people’s drug-taking behaviour.</w:t>
      </w:r>
    </w:p>
    <w:p w14:paraId="5E7C04B5" w14:textId="77777777" w:rsidR="00C65FD3" w:rsidRPr="00F85A3E" w:rsidRDefault="00C65FD3" w:rsidP="00C65FD3">
      <w:pPr>
        <w:pStyle w:val="Heading4"/>
        <w:tabs>
          <w:tab w:val="left" w:pos="720"/>
        </w:tabs>
      </w:pPr>
      <w:r w:rsidRPr="00F85A3E">
        <w:t>Implications for wider health behaviour research and theory</w:t>
      </w:r>
    </w:p>
    <w:p w14:paraId="56CD8964" w14:textId="77777777" w:rsidR="00C65FD3" w:rsidRPr="00F85A3E" w:rsidRDefault="00C65FD3" w:rsidP="00C65FD3">
      <w:pPr>
        <w:spacing w:after="160" w:line="480" w:lineRule="auto"/>
      </w:pPr>
      <w:r w:rsidRPr="00F85A3E">
        <w:t>The motivational domains identified from the study data are represented in the derived model as general domains (see Figure 9.1), and this therefore implies that the relevance of the proposed model may extend beyond the context of NPS-related behaviour.</w:t>
      </w:r>
    </w:p>
    <w:p w14:paraId="261CA1EA" w14:textId="77777777" w:rsidR="00C65FD3" w:rsidRPr="00F85A3E" w:rsidRDefault="00C65FD3" w:rsidP="00C65FD3">
      <w:pPr>
        <w:spacing w:after="160" w:line="480" w:lineRule="auto"/>
      </w:pPr>
      <w:r w:rsidRPr="00F85A3E">
        <w:t>While each of the proposed motivational domains has parallels in existing research and theory (see Chapter 6), models of health behaviour rarely consider such a wide range of motivational influences concerning specific health behaviours.</w:t>
      </w:r>
    </w:p>
    <w:p w14:paraId="337C46A8" w14:textId="77777777" w:rsidR="00C65FD3" w:rsidRPr="00F85A3E" w:rsidRDefault="00C65FD3" w:rsidP="00C65FD3">
      <w:pPr>
        <w:spacing w:after="160" w:line="480" w:lineRule="auto"/>
      </w:pPr>
      <w:r w:rsidRPr="00F85A3E">
        <w:t xml:space="preserve">It is argued here that this is not because the motivational domains are unrelated to a variety of other health behaviours, but rather that they might be less disruptive in those contexts. If a valued resource (e.g. finances, self-identity, personal autonomy) is neither threatened nor presented with an opportunity, then the motivational domain may appear to recede in influence. </w:t>
      </w:r>
    </w:p>
    <w:p w14:paraId="41AF5ACC" w14:textId="77777777" w:rsidR="00C65FD3" w:rsidRPr="00F85A3E" w:rsidRDefault="00C65FD3" w:rsidP="00C65FD3">
      <w:pPr>
        <w:spacing w:after="160" w:line="480" w:lineRule="auto"/>
      </w:pPr>
      <w:r w:rsidRPr="00F85A3E">
        <w:t xml:space="preserve">This is perhaps why, in comparison to previous research, peer influences, autonomy and identity emerged as particularly important influences. Although concern about substance use is often focused on young people, research is disproportionally based on studies with adult populations. However, many adults have more established peer groups, self-identities and are generally assumed to be responsible for their own behaviour. In other words, their valued identities, sense of belonging and personal liberties may be generally less exposed to opportunities and threats than young people whose sense of self, social circles and personal freedoms are often yet to be established or remain in flux as they face major personal transitions (e.g. moving schools, entering employment, moving into independent living). </w:t>
      </w:r>
    </w:p>
    <w:p w14:paraId="7F3B0DAF" w14:textId="77777777" w:rsidR="00C65FD3" w:rsidRPr="00F85A3E" w:rsidRDefault="00C65FD3" w:rsidP="00C65FD3">
      <w:pPr>
        <w:spacing w:after="160" w:line="480" w:lineRule="auto"/>
      </w:pPr>
      <w:r w:rsidRPr="00F85A3E">
        <w:t xml:space="preserve">The model presented here not only draws attention to the importance of including these domains but offers a theoretical account of their influence with a self-regulatory system. One valuable contribution in the context of substance-based interventions is the incorporation of a theoretical framework which accounts for young people’s autonomy and mechanism for explaining reactance effects and how they can best be avoided through the enhancement of autonomy through the provision of autonomy support.  </w:t>
      </w:r>
    </w:p>
    <w:p w14:paraId="17890104" w14:textId="35C83A4D" w:rsidR="00C65FD3" w:rsidRPr="00F85A3E" w:rsidRDefault="00C65FD3" w:rsidP="00C65FD3">
      <w:pPr>
        <w:spacing w:after="160" w:line="480" w:lineRule="auto"/>
      </w:pPr>
      <w:r w:rsidRPr="00F85A3E">
        <w:t>Alcohol and tobacco interventions are both vulnerable to iatrogenic effects particularly when interventions are overly authoritative or judgemental (UNDOC, 2018). Autonomy supportive interventions have been successful in producing greater health behaviour change with smoking cessation (Williams et al. 2006). While autonomy support has been positively related to autonomous motivation and intentions to drink responsibly, reactance has been shown to negatively influence attitudes to responsible drinking via a perceived threat to decision-making freedom (Pavey &amp; Sparks, 2009). This indicates that a model which can conceptualise independent pathways for autonomy and reactance may be of value for alcohol and smoking interventions. Figure 9.</w:t>
      </w:r>
      <w:r w:rsidR="00303E1C" w:rsidRPr="00F85A3E">
        <w:t>3</w:t>
      </w:r>
      <w:r w:rsidRPr="00F85A3E">
        <w:t xml:space="preserve"> sets out a prototype model for testing with young people in the context of these behaviours.</w:t>
      </w:r>
    </w:p>
    <w:p w14:paraId="7DF8B577" w14:textId="77777777" w:rsidR="00C65FD3" w:rsidRDefault="00C65FD3" w:rsidP="00C65FD3">
      <w:pPr>
        <w:spacing w:line="480" w:lineRule="auto"/>
        <w:rPr>
          <w:color w:val="7030A0"/>
        </w:rPr>
      </w:pPr>
      <w:r>
        <w:t xml:space="preserve">    </w:t>
      </w:r>
    </w:p>
    <w:p w14:paraId="49568D37" w14:textId="77777777" w:rsidR="00C65FD3" w:rsidRDefault="00C65FD3" w:rsidP="00C65FD3">
      <w:pPr>
        <w:spacing w:after="0" w:line="480" w:lineRule="auto"/>
        <w:rPr>
          <w:color w:val="7030A0"/>
        </w:rPr>
        <w:sectPr w:rsidR="00C65FD3">
          <w:pgSz w:w="11900" w:h="16840"/>
          <w:pgMar w:top="1418" w:right="1418" w:bottom="1418" w:left="1418" w:header="709" w:footer="709" w:gutter="0"/>
          <w:cols w:space="720"/>
        </w:sectPr>
      </w:pPr>
    </w:p>
    <w:p w14:paraId="187461E8" w14:textId="74BD19AF" w:rsidR="00C65FD3" w:rsidRDefault="00C65FD3" w:rsidP="00C65FD3">
      <w:pPr>
        <w:rPr>
          <w:b/>
          <w:bCs/>
        </w:rPr>
      </w:pPr>
      <w:r>
        <w:rPr>
          <w:b/>
          <w:bCs/>
        </w:rPr>
        <w:t>Figure 9.</w:t>
      </w:r>
      <w:r w:rsidR="00303E1C">
        <w:rPr>
          <w:b/>
          <w:bCs/>
        </w:rPr>
        <w:t>3</w:t>
      </w:r>
      <w:r>
        <w:rPr>
          <w:b/>
          <w:bCs/>
        </w:rPr>
        <w:t xml:space="preserve">. Prototype for a motivation domain model for young people’s substance use </w:t>
      </w:r>
    </w:p>
    <w:p w14:paraId="43DCBC7A" w14:textId="77777777" w:rsidR="00C65FD3" w:rsidRDefault="00C65FD3" w:rsidP="00C65FD3">
      <w:pPr>
        <w:pStyle w:val="FigureHeading"/>
        <w:ind w:left="720"/>
        <w:rPr>
          <w:sz w:val="22"/>
          <w:szCs w:val="20"/>
        </w:rPr>
      </w:pPr>
      <w:r>
        <w:br/>
      </w:r>
      <w:r>
        <w:rPr>
          <w:sz w:val="22"/>
          <w:szCs w:val="20"/>
        </w:rPr>
        <w:t xml:space="preserve">         Valued resource  </w:t>
      </w:r>
      <w:r>
        <w:rPr>
          <w:sz w:val="22"/>
          <w:szCs w:val="20"/>
        </w:rPr>
        <w:tab/>
        <w:t xml:space="preserve">           Motivation </w:t>
      </w:r>
      <w:r>
        <w:rPr>
          <w:sz w:val="22"/>
          <w:szCs w:val="20"/>
        </w:rPr>
        <w:tab/>
        <w:t xml:space="preserve">  Behavioural determinants</w:t>
      </w:r>
      <w:r>
        <w:rPr>
          <w:sz w:val="22"/>
          <w:szCs w:val="20"/>
        </w:rPr>
        <w:tab/>
        <w:t xml:space="preserve">           Wider factors</w:t>
      </w:r>
    </w:p>
    <w:p w14:paraId="06375AD5" w14:textId="3FECD034" w:rsidR="00C65FD3" w:rsidRDefault="00C65FD3" w:rsidP="00C65FD3">
      <w:pPr>
        <w:rPr>
          <w:b/>
        </w:rPr>
      </w:pPr>
      <w:r>
        <w:rPr>
          <w:noProof/>
        </w:rPr>
        <w:drawing>
          <wp:anchor distT="0" distB="0" distL="114300" distR="114300" simplePos="0" relativeHeight="253743104" behindDoc="1" locked="0" layoutInCell="1" allowOverlap="1" wp14:anchorId="35F4C964" wp14:editId="660098A5">
            <wp:simplePos x="0" y="0"/>
            <wp:positionH relativeFrom="margin">
              <wp:posOffset>1382395</wp:posOffset>
            </wp:positionH>
            <wp:positionV relativeFrom="paragraph">
              <wp:posOffset>147320</wp:posOffset>
            </wp:positionV>
            <wp:extent cx="4944110" cy="4793615"/>
            <wp:effectExtent l="0" t="0" r="889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4110" cy="4793615"/>
                    </a:xfrm>
                    <a:prstGeom prst="rect">
                      <a:avLst/>
                    </a:prstGeom>
                    <a:noFill/>
                  </pic:spPr>
                </pic:pic>
              </a:graphicData>
            </a:graphic>
            <wp14:sizeRelH relativeFrom="margin">
              <wp14:pctWidth>0</wp14:pctWidth>
            </wp14:sizeRelH>
            <wp14:sizeRelV relativeFrom="margin">
              <wp14:pctHeight>0</wp14:pctHeight>
            </wp14:sizeRelV>
          </wp:anchor>
        </w:drawing>
      </w:r>
      <w:r>
        <w:rPr>
          <w:b/>
        </w:rPr>
        <w:br/>
      </w:r>
    </w:p>
    <w:p w14:paraId="14A44DEF" w14:textId="77777777" w:rsidR="00C65FD3" w:rsidRDefault="00C65FD3" w:rsidP="00C65FD3">
      <w:pPr>
        <w:rPr>
          <w:b/>
        </w:rPr>
      </w:pPr>
    </w:p>
    <w:p w14:paraId="7E4E9845" w14:textId="77777777" w:rsidR="00C65FD3" w:rsidRDefault="00C65FD3" w:rsidP="00C65FD3">
      <w:pPr>
        <w:rPr>
          <w:b/>
        </w:rPr>
      </w:pPr>
    </w:p>
    <w:p w14:paraId="28349617" w14:textId="77777777" w:rsidR="00C65FD3" w:rsidRDefault="00C65FD3" w:rsidP="00C65FD3">
      <w:pPr>
        <w:rPr>
          <w:b/>
        </w:rPr>
      </w:pPr>
    </w:p>
    <w:p w14:paraId="046EB020" w14:textId="77777777" w:rsidR="00C65FD3" w:rsidRDefault="00C65FD3" w:rsidP="00C65FD3">
      <w:pPr>
        <w:rPr>
          <w:b/>
        </w:rPr>
      </w:pPr>
    </w:p>
    <w:p w14:paraId="25675ED8" w14:textId="77777777" w:rsidR="00C65FD3" w:rsidRDefault="00C65FD3" w:rsidP="00C65FD3">
      <w:pPr>
        <w:rPr>
          <w:b/>
        </w:rPr>
      </w:pPr>
    </w:p>
    <w:p w14:paraId="09AE462F" w14:textId="77777777" w:rsidR="00C65FD3" w:rsidRDefault="00C65FD3" w:rsidP="00C65FD3">
      <w:pPr>
        <w:rPr>
          <w:b/>
        </w:rPr>
      </w:pPr>
    </w:p>
    <w:p w14:paraId="7DC73803" w14:textId="77777777" w:rsidR="00C65FD3" w:rsidRDefault="00C65FD3" w:rsidP="00C65FD3">
      <w:pPr>
        <w:rPr>
          <w:b/>
        </w:rPr>
      </w:pPr>
    </w:p>
    <w:p w14:paraId="5EBCBB1B" w14:textId="77777777" w:rsidR="00C65FD3" w:rsidRDefault="00C65FD3" w:rsidP="00C65FD3">
      <w:pPr>
        <w:rPr>
          <w:b/>
        </w:rPr>
      </w:pPr>
    </w:p>
    <w:p w14:paraId="0962E9EE" w14:textId="77777777" w:rsidR="00C65FD3" w:rsidRDefault="00C65FD3" w:rsidP="00C65FD3">
      <w:pPr>
        <w:rPr>
          <w:b/>
        </w:rPr>
      </w:pPr>
    </w:p>
    <w:p w14:paraId="32B51140" w14:textId="77777777" w:rsidR="00C65FD3" w:rsidRDefault="00C65FD3" w:rsidP="00C65FD3">
      <w:pPr>
        <w:rPr>
          <w:b/>
        </w:rPr>
      </w:pPr>
    </w:p>
    <w:p w14:paraId="67638A28" w14:textId="77777777" w:rsidR="00C65FD3" w:rsidRDefault="00C65FD3" w:rsidP="00C65FD3">
      <w:pPr>
        <w:spacing w:after="0" w:line="480" w:lineRule="auto"/>
        <w:rPr>
          <w:b/>
        </w:rPr>
        <w:sectPr w:rsidR="00C65FD3">
          <w:pgSz w:w="16840" w:h="11900" w:orient="landscape"/>
          <w:pgMar w:top="1418" w:right="1418" w:bottom="1418" w:left="1418" w:header="709" w:footer="709" w:gutter="0"/>
          <w:cols w:space="720"/>
        </w:sectPr>
      </w:pPr>
    </w:p>
    <w:p w14:paraId="70B80C6D" w14:textId="77777777" w:rsidR="00C65FD3" w:rsidRDefault="00C65FD3" w:rsidP="00C65FD3">
      <w:pPr>
        <w:pStyle w:val="Heading3"/>
        <w:tabs>
          <w:tab w:val="left" w:pos="720"/>
        </w:tabs>
      </w:pPr>
      <w:bookmarkStart w:id="583" w:name="_Toc35892780"/>
      <w:r>
        <w:t>Salient beliefs</w:t>
      </w:r>
      <w:bookmarkEnd w:id="581"/>
      <w:bookmarkEnd w:id="582"/>
      <w:bookmarkEnd w:id="583"/>
    </w:p>
    <w:p w14:paraId="5FC1A104" w14:textId="6B48FEF2" w:rsidR="00C65FD3" w:rsidRDefault="00C65FD3" w:rsidP="00C65FD3">
      <w:pPr>
        <w:spacing w:line="480" w:lineRule="auto"/>
        <w:rPr>
          <w:b/>
        </w:rPr>
      </w:pPr>
      <w:r>
        <w:rPr>
          <w:color w:val="000000"/>
        </w:rPr>
        <w:t>Having identified theoretical constructs suitable for describing young people’s NPS behaviour, the predictive power of the various model constructs could then be assessed. Typically, this would be achieved through the use of surveys which can be used to examine to what extent young people endorse the beliefs related to each construct, and which beliefs are most strongly correlated with use and non-use of NPS. To aid the development of validation surveys, the key salient beliefs associated with the proposed model constructs as expressed by young people in taking part in this research have been collated and are presented in Table 9.</w:t>
      </w:r>
      <w:r w:rsidR="00161D96">
        <w:rPr>
          <w:color w:val="000000"/>
        </w:rPr>
        <w:t>3</w:t>
      </w:r>
      <w:r>
        <w:rPr>
          <w:color w:val="000000"/>
        </w:rPr>
        <w:t>. The beliefs were extracted from the data in Studies 1 and 2 and represent the most commonly expressed behavioural beliefs that may encourage or discourage young people's use of NPS.</w:t>
      </w:r>
      <w:r>
        <w:rPr>
          <w:b/>
        </w:rPr>
        <w:br w:type="page"/>
      </w:r>
    </w:p>
    <w:p w14:paraId="224AF431" w14:textId="3703E6BE" w:rsidR="00C65FD3" w:rsidRDefault="00C65FD3" w:rsidP="00C65FD3">
      <w:pPr>
        <w:pStyle w:val="TableHeader"/>
        <w:spacing w:line="240" w:lineRule="auto"/>
        <w:rPr>
          <w:rStyle w:val="Heading3Char"/>
          <w:bCs w:val="0"/>
          <w:color w:val="auto"/>
        </w:rPr>
      </w:pPr>
      <w:bookmarkStart w:id="584" w:name="_Toc9509095"/>
      <w:r>
        <w:rPr>
          <w:b/>
        </w:rPr>
        <w:t>Table 9.</w:t>
      </w:r>
      <w:r w:rsidR="00E15329">
        <w:rPr>
          <w:b/>
        </w:rPr>
        <w:t>3</w:t>
      </w:r>
      <w:r>
        <w:rPr>
          <w:b/>
        </w:rPr>
        <w:t>. Salient behavioural beliefs discouraging and encouraging use of NPS</w:t>
      </w:r>
      <w:bookmarkEnd w:id="584"/>
    </w:p>
    <w:tbl>
      <w:tblPr>
        <w:tblStyle w:val="TableGrid"/>
        <w:tblW w:w="780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0"/>
      </w:tblGrid>
      <w:tr w:rsidR="00C65FD3" w14:paraId="55BC681D" w14:textId="77777777" w:rsidTr="00C65FD3">
        <w:trPr>
          <w:trHeight w:val="228"/>
        </w:trPr>
        <w:tc>
          <w:tcPr>
            <w:tcW w:w="7797" w:type="dxa"/>
            <w:tcBorders>
              <w:top w:val="single" w:sz="4" w:space="0" w:color="auto"/>
              <w:left w:val="nil"/>
              <w:bottom w:val="single" w:sz="4" w:space="0" w:color="auto"/>
              <w:right w:val="nil"/>
            </w:tcBorders>
            <w:hideMark/>
          </w:tcPr>
          <w:p w14:paraId="3086B832" w14:textId="77777777" w:rsidR="00C65FD3" w:rsidRDefault="00C65FD3">
            <w:pPr>
              <w:spacing w:before="120" w:after="120"/>
              <w:rPr>
                <w:rFonts w:asciiTheme="majorBidi" w:hAnsiTheme="majorBidi" w:cstheme="majorBidi"/>
                <w:b/>
                <w:szCs w:val="24"/>
              </w:rPr>
            </w:pPr>
            <w:r>
              <w:rPr>
                <w:rFonts w:asciiTheme="majorBidi" w:hAnsiTheme="majorBidi" w:cstheme="majorBidi"/>
                <w:b/>
                <w:szCs w:val="24"/>
              </w:rPr>
              <w:t>Model construct</w:t>
            </w:r>
          </w:p>
          <w:p w14:paraId="3B551913"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Motivational domain </w:t>
            </w:r>
          </w:p>
          <w:p w14:paraId="4AAFCF9C"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     </w:t>
            </w:r>
            <w:r>
              <w:rPr>
                <w:rFonts w:asciiTheme="majorBidi" w:hAnsiTheme="majorBidi" w:cstheme="majorBidi"/>
                <w:szCs w:val="24"/>
              </w:rPr>
              <w:t>Behavioural belief</w:t>
            </w:r>
          </w:p>
        </w:tc>
      </w:tr>
      <w:tr w:rsidR="00C65FD3" w14:paraId="038F779B" w14:textId="77777777" w:rsidTr="00C65FD3">
        <w:trPr>
          <w:trHeight w:val="175"/>
        </w:trPr>
        <w:tc>
          <w:tcPr>
            <w:tcW w:w="7797" w:type="dxa"/>
            <w:tcBorders>
              <w:top w:val="single" w:sz="4" w:space="0" w:color="auto"/>
              <w:left w:val="nil"/>
              <w:bottom w:val="nil"/>
              <w:right w:val="nil"/>
            </w:tcBorders>
            <w:hideMark/>
          </w:tcPr>
          <w:p w14:paraId="37F31593" w14:textId="77777777" w:rsidR="00C65FD3" w:rsidRDefault="00C65FD3">
            <w:pPr>
              <w:spacing w:before="120" w:after="120"/>
              <w:rPr>
                <w:rFonts w:asciiTheme="majorBidi" w:hAnsiTheme="majorBidi" w:cstheme="majorBidi"/>
                <w:b/>
                <w:iCs/>
                <w:szCs w:val="24"/>
              </w:rPr>
            </w:pPr>
            <w:r>
              <w:rPr>
                <w:rFonts w:asciiTheme="majorBidi" w:hAnsiTheme="majorBidi" w:cstheme="majorBidi"/>
                <w:b/>
                <w:iCs/>
                <w:szCs w:val="24"/>
              </w:rPr>
              <w:t xml:space="preserve">Cognitive attitude </w:t>
            </w:r>
          </w:p>
        </w:tc>
      </w:tr>
      <w:tr w:rsidR="00C65FD3" w14:paraId="4BDCD914" w14:textId="77777777" w:rsidTr="00C65FD3">
        <w:trPr>
          <w:trHeight w:val="175"/>
        </w:trPr>
        <w:tc>
          <w:tcPr>
            <w:tcW w:w="7797" w:type="dxa"/>
            <w:tcBorders>
              <w:top w:val="nil"/>
              <w:left w:val="nil"/>
              <w:bottom w:val="nil"/>
              <w:right w:val="nil"/>
            </w:tcBorders>
            <w:hideMark/>
          </w:tcPr>
          <w:p w14:paraId="31EC2890"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Health beliefs discouraging use </w:t>
            </w:r>
          </w:p>
        </w:tc>
      </w:tr>
      <w:tr w:rsidR="00C65FD3" w14:paraId="4F6D1EEB" w14:textId="77777777" w:rsidTr="00C65FD3">
        <w:trPr>
          <w:trHeight w:val="175"/>
        </w:trPr>
        <w:tc>
          <w:tcPr>
            <w:tcW w:w="7797" w:type="dxa"/>
            <w:tcBorders>
              <w:top w:val="nil"/>
              <w:left w:val="nil"/>
              <w:bottom w:val="nil"/>
              <w:right w:val="nil"/>
            </w:tcBorders>
            <w:hideMark/>
          </w:tcPr>
          <w:p w14:paraId="7280BA04"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 more dangerous than classic illegal drugs </w:t>
            </w:r>
          </w:p>
        </w:tc>
      </w:tr>
      <w:tr w:rsidR="00C65FD3" w14:paraId="6B5F6A3C" w14:textId="77777777" w:rsidTr="00C65FD3">
        <w:trPr>
          <w:trHeight w:val="175"/>
        </w:trPr>
        <w:tc>
          <w:tcPr>
            <w:tcW w:w="7797" w:type="dxa"/>
            <w:tcBorders>
              <w:top w:val="nil"/>
              <w:left w:val="nil"/>
              <w:bottom w:val="nil"/>
              <w:right w:val="nil"/>
            </w:tcBorders>
            <w:hideMark/>
          </w:tcPr>
          <w:p w14:paraId="2847F3C4"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aren’t tested, it’s a different mix of chemicals every time</w:t>
            </w:r>
          </w:p>
        </w:tc>
      </w:tr>
      <w:tr w:rsidR="00C65FD3" w14:paraId="0A82D668" w14:textId="77777777" w:rsidTr="00C65FD3">
        <w:trPr>
          <w:trHeight w:val="175"/>
        </w:trPr>
        <w:tc>
          <w:tcPr>
            <w:tcW w:w="7797" w:type="dxa"/>
            <w:tcBorders>
              <w:top w:val="nil"/>
              <w:left w:val="nil"/>
              <w:bottom w:val="nil"/>
              <w:right w:val="nil"/>
            </w:tcBorders>
            <w:hideMark/>
          </w:tcPr>
          <w:p w14:paraId="467B7D4D"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I don’t know what’s in them, the risks are unknown, anything can happen</w:t>
            </w:r>
          </w:p>
        </w:tc>
      </w:tr>
      <w:tr w:rsidR="00C65FD3" w14:paraId="2A21DE31" w14:textId="77777777" w:rsidTr="00C65FD3">
        <w:trPr>
          <w:trHeight w:val="175"/>
        </w:trPr>
        <w:tc>
          <w:tcPr>
            <w:tcW w:w="7797" w:type="dxa"/>
            <w:tcBorders>
              <w:top w:val="nil"/>
              <w:left w:val="nil"/>
              <w:bottom w:val="nil"/>
              <w:right w:val="nil"/>
            </w:tcBorders>
            <w:hideMark/>
          </w:tcPr>
          <w:p w14:paraId="586808AE"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 deadly, even if one is ok, the next one could kill me</w:t>
            </w:r>
          </w:p>
        </w:tc>
      </w:tr>
      <w:tr w:rsidR="00C65FD3" w14:paraId="27F0E3BE" w14:textId="77777777" w:rsidTr="00C65FD3">
        <w:trPr>
          <w:trHeight w:val="175"/>
        </w:trPr>
        <w:tc>
          <w:tcPr>
            <w:tcW w:w="7797" w:type="dxa"/>
            <w:tcBorders>
              <w:top w:val="nil"/>
              <w:left w:val="nil"/>
              <w:bottom w:val="nil"/>
              <w:right w:val="nil"/>
            </w:tcBorders>
            <w:hideMark/>
          </w:tcPr>
          <w:p w14:paraId="7055D59D"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 bad for me, they could make me really sick</w:t>
            </w:r>
          </w:p>
        </w:tc>
      </w:tr>
      <w:tr w:rsidR="00C65FD3" w14:paraId="2B74FC33" w14:textId="77777777" w:rsidTr="00C65FD3">
        <w:trPr>
          <w:trHeight w:val="175"/>
        </w:trPr>
        <w:tc>
          <w:tcPr>
            <w:tcW w:w="7797" w:type="dxa"/>
            <w:tcBorders>
              <w:top w:val="nil"/>
              <w:left w:val="nil"/>
              <w:bottom w:val="nil"/>
              <w:right w:val="nil"/>
            </w:tcBorders>
            <w:hideMark/>
          </w:tcPr>
          <w:p w14:paraId="5F5DC5AA"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If legal highs have been made illegal to sell, they must be dangerous to use</w:t>
            </w:r>
          </w:p>
        </w:tc>
      </w:tr>
      <w:tr w:rsidR="00C65FD3" w14:paraId="7D2C498F" w14:textId="77777777" w:rsidTr="00C65FD3">
        <w:trPr>
          <w:trHeight w:val="175"/>
        </w:trPr>
        <w:tc>
          <w:tcPr>
            <w:tcW w:w="7797" w:type="dxa"/>
            <w:tcBorders>
              <w:top w:val="nil"/>
              <w:left w:val="nil"/>
              <w:bottom w:val="nil"/>
              <w:right w:val="nil"/>
            </w:tcBorders>
            <w:hideMark/>
          </w:tcPr>
          <w:p w14:paraId="41FC0A84"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Health beliefs encouraging use </w:t>
            </w:r>
          </w:p>
        </w:tc>
      </w:tr>
      <w:tr w:rsidR="00C65FD3" w14:paraId="02457FEC" w14:textId="77777777" w:rsidTr="00C65FD3">
        <w:trPr>
          <w:trHeight w:val="175"/>
        </w:trPr>
        <w:tc>
          <w:tcPr>
            <w:tcW w:w="7797" w:type="dxa"/>
            <w:tcBorders>
              <w:top w:val="nil"/>
              <w:left w:val="nil"/>
              <w:bottom w:val="nil"/>
              <w:right w:val="nil"/>
            </w:tcBorders>
            <w:hideMark/>
          </w:tcPr>
          <w:p w14:paraId="270EEA76" w14:textId="77777777" w:rsidR="00C65FD3" w:rsidRDefault="00C65FD3">
            <w:pPr>
              <w:spacing w:before="120" w:after="120"/>
              <w:rPr>
                <w:rFonts w:asciiTheme="majorBidi" w:hAnsiTheme="majorBidi" w:cstheme="majorBidi"/>
                <w:szCs w:val="24"/>
              </w:rPr>
            </w:pPr>
            <w:r>
              <w:rPr>
                <w:rFonts w:asciiTheme="majorBidi" w:hAnsiTheme="majorBidi" w:cstheme="majorBidi"/>
                <w:szCs w:val="24"/>
              </w:rPr>
              <w:t xml:space="preserve">      If they are legal, they must be safe because they’ve been tested</w:t>
            </w:r>
          </w:p>
        </w:tc>
      </w:tr>
      <w:tr w:rsidR="00C65FD3" w14:paraId="744585BB" w14:textId="77777777" w:rsidTr="00C65FD3">
        <w:trPr>
          <w:trHeight w:val="175"/>
        </w:trPr>
        <w:tc>
          <w:tcPr>
            <w:tcW w:w="7797" w:type="dxa"/>
            <w:tcBorders>
              <w:top w:val="nil"/>
              <w:left w:val="nil"/>
              <w:bottom w:val="nil"/>
              <w:right w:val="nil"/>
            </w:tcBorders>
            <w:hideMark/>
          </w:tcPr>
          <w:p w14:paraId="3F49260D"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Bad things happen to other people, I’ll be fine if I take a legal high</w:t>
            </w:r>
          </w:p>
        </w:tc>
      </w:tr>
      <w:tr w:rsidR="00C65FD3" w14:paraId="6802B2B4" w14:textId="77777777" w:rsidTr="00C65FD3">
        <w:trPr>
          <w:trHeight w:val="175"/>
        </w:trPr>
        <w:tc>
          <w:tcPr>
            <w:tcW w:w="7797" w:type="dxa"/>
            <w:tcBorders>
              <w:top w:val="nil"/>
              <w:left w:val="nil"/>
              <w:bottom w:val="nil"/>
              <w:right w:val="nil"/>
            </w:tcBorders>
            <w:hideMark/>
          </w:tcPr>
          <w:p w14:paraId="2A2852F1"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 safer than classic illegal drugs </w:t>
            </w:r>
          </w:p>
        </w:tc>
      </w:tr>
      <w:tr w:rsidR="00C65FD3" w14:paraId="587825D1" w14:textId="77777777" w:rsidTr="00C65FD3">
        <w:trPr>
          <w:trHeight w:val="175"/>
        </w:trPr>
        <w:tc>
          <w:tcPr>
            <w:tcW w:w="7797" w:type="dxa"/>
            <w:tcBorders>
              <w:top w:val="nil"/>
              <w:left w:val="nil"/>
              <w:bottom w:val="nil"/>
              <w:right w:val="nil"/>
            </w:tcBorders>
            <w:hideMark/>
          </w:tcPr>
          <w:p w14:paraId="4A8E8459"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Just because one type of legal high is bad, it doesn’t mean they all are</w:t>
            </w:r>
          </w:p>
        </w:tc>
      </w:tr>
      <w:tr w:rsidR="00C65FD3" w14:paraId="51BE8904" w14:textId="77777777" w:rsidTr="00C65FD3">
        <w:trPr>
          <w:trHeight w:val="175"/>
        </w:trPr>
        <w:tc>
          <w:tcPr>
            <w:tcW w:w="7797" w:type="dxa"/>
            <w:tcBorders>
              <w:top w:val="single" w:sz="4" w:space="0" w:color="auto"/>
              <w:left w:val="nil"/>
              <w:bottom w:val="nil"/>
              <w:right w:val="nil"/>
            </w:tcBorders>
            <w:hideMark/>
          </w:tcPr>
          <w:p w14:paraId="144FBAD0" w14:textId="77777777" w:rsidR="00C65FD3" w:rsidRDefault="00C65FD3">
            <w:pPr>
              <w:spacing w:before="120" w:after="120"/>
              <w:rPr>
                <w:rFonts w:asciiTheme="majorBidi" w:hAnsiTheme="majorBidi" w:cstheme="majorBidi"/>
                <w:b/>
                <w:iCs/>
                <w:szCs w:val="24"/>
              </w:rPr>
            </w:pPr>
            <w:r>
              <w:rPr>
                <w:rFonts w:asciiTheme="majorBidi" w:hAnsiTheme="majorBidi" w:cstheme="majorBidi"/>
                <w:b/>
                <w:iCs/>
                <w:szCs w:val="24"/>
              </w:rPr>
              <w:t xml:space="preserve">Affective attitude </w:t>
            </w:r>
          </w:p>
        </w:tc>
      </w:tr>
      <w:tr w:rsidR="00C65FD3" w14:paraId="7E4A0CBC" w14:textId="77777777" w:rsidTr="00C65FD3">
        <w:trPr>
          <w:trHeight w:val="175"/>
        </w:trPr>
        <w:tc>
          <w:tcPr>
            <w:tcW w:w="7797" w:type="dxa"/>
            <w:tcBorders>
              <w:top w:val="nil"/>
              <w:left w:val="nil"/>
              <w:bottom w:val="nil"/>
              <w:right w:val="nil"/>
            </w:tcBorders>
            <w:hideMark/>
          </w:tcPr>
          <w:p w14:paraId="159B34EC"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Pleasure-based beliefs discouraging use </w:t>
            </w:r>
          </w:p>
        </w:tc>
      </w:tr>
      <w:tr w:rsidR="00C65FD3" w14:paraId="5B96D3F0" w14:textId="77777777" w:rsidTr="00C65FD3">
        <w:trPr>
          <w:trHeight w:val="175"/>
        </w:trPr>
        <w:tc>
          <w:tcPr>
            <w:tcW w:w="7797" w:type="dxa"/>
            <w:tcBorders>
              <w:top w:val="nil"/>
              <w:left w:val="nil"/>
              <w:bottom w:val="nil"/>
              <w:right w:val="nil"/>
            </w:tcBorders>
            <w:hideMark/>
          </w:tcPr>
          <w:p w14:paraId="79D781AD"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I’ll feel awful if I take a legal high, the trip is really bad </w:t>
            </w:r>
          </w:p>
        </w:tc>
      </w:tr>
      <w:tr w:rsidR="00C65FD3" w14:paraId="6F694384" w14:textId="77777777" w:rsidTr="00C65FD3">
        <w:trPr>
          <w:trHeight w:val="175"/>
        </w:trPr>
        <w:tc>
          <w:tcPr>
            <w:tcW w:w="7797" w:type="dxa"/>
            <w:tcBorders>
              <w:top w:val="nil"/>
              <w:left w:val="nil"/>
              <w:bottom w:val="nil"/>
              <w:right w:val="nil"/>
            </w:tcBorders>
            <w:hideMark/>
          </w:tcPr>
          <w:p w14:paraId="444D9566"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The aftereffects are horrible, I’ll regret taking it</w:t>
            </w:r>
          </w:p>
        </w:tc>
      </w:tr>
      <w:tr w:rsidR="00C65FD3" w14:paraId="0015DB4D" w14:textId="77777777" w:rsidTr="00C65FD3">
        <w:trPr>
          <w:trHeight w:val="175"/>
        </w:trPr>
        <w:tc>
          <w:tcPr>
            <w:tcW w:w="7797" w:type="dxa"/>
            <w:tcBorders>
              <w:top w:val="nil"/>
              <w:left w:val="nil"/>
              <w:bottom w:val="nil"/>
              <w:right w:val="nil"/>
            </w:tcBorders>
            <w:hideMark/>
          </w:tcPr>
          <w:p w14:paraId="34501A83"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The effects of legal highs are much worse than classic drugs </w:t>
            </w:r>
          </w:p>
        </w:tc>
      </w:tr>
      <w:tr w:rsidR="00C65FD3" w14:paraId="23D814B4" w14:textId="77777777" w:rsidTr="00C65FD3">
        <w:trPr>
          <w:trHeight w:val="175"/>
        </w:trPr>
        <w:tc>
          <w:tcPr>
            <w:tcW w:w="7797" w:type="dxa"/>
            <w:tcBorders>
              <w:top w:val="nil"/>
              <w:left w:val="nil"/>
              <w:bottom w:val="nil"/>
              <w:right w:val="nil"/>
            </w:tcBorders>
            <w:hideMark/>
          </w:tcPr>
          <w:p w14:paraId="618AC5EE"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Pleasure-based beliefs encouraging use </w:t>
            </w:r>
          </w:p>
        </w:tc>
      </w:tr>
      <w:tr w:rsidR="00C65FD3" w14:paraId="7781F8AA" w14:textId="77777777" w:rsidTr="00C65FD3">
        <w:trPr>
          <w:trHeight w:val="175"/>
        </w:trPr>
        <w:tc>
          <w:tcPr>
            <w:tcW w:w="7797" w:type="dxa"/>
            <w:tcBorders>
              <w:top w:val="nil"/>
              <w:left w:val="nil"/>
              <w:bottom w:val="nil"/>
              <w:right w:val="nil"/>
            </w:tcBorders>
            <w:hideMark/>
          </w:tcPr>
          <w:p w14:paraId="339F0B51"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I’ll feel good if I take a legal high, the high is pleasurable   </w:t>
            </w:r>
          </w:p>
        </w:tc>
      </w:tr>
      <w:tr w:rsidR="00C65FD3" w14:paraId="7FA9F7A9" w14:textId="77777777" w:rsidTr="00C65FD3">
        <w:trPr>
          <w:trHeight w:val="175"/>
        </w:trPr>
        <w:tc>
          <w:tcPr>
            <w:tcW w:w="7797" w:type="dxa"/>
            <w:tcBorders>
              <w:top w:val="nil"/>
              <w:left w:val="nil"/>
              <w:bottom w:val="nil"/>
              <w:right w:val="nil"/>
            </w:tcBorders>
            <w:hideMark/>
          </w:tcPr>
          <w:p w14:paraId="502D9495"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Taking legal highs is enjoyable, a great way to have a laugh</w:t>
            </w:r>
          </w:p>
        </w:tc>
      </w:tr>
      <w:tr w:rsidR="00C65FD3" w14:paraId="26D7106F" w14:textId="77777777" w:rsidTr="00C65FD3">
        <w:trPr>
          <w:trHeight w:val="175"/>
        </w:trPr>
        <w:tc>
          <w:tcPr>
            <w:tcW w:w="7797" w:type="dxa"/>
            <w:tcBorders>
              <w:top w:val="nil"/>
              <w:left w:val="nil"/>
              <w:bottom w:val="single" w:sz="4" w:space="0" w:color="auto"/>
              <w:right w:val="nil"/>
            </w:tcBorders>
            <w:hideMark/>
          </w:tcPr>
          <w:p w14:paraId="368EFEF0"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Now using legal highs is taboo, they seem more exciting</w:t>
            </w:r>
          </w:p>
        </w:tc>
      </w:tr>
      <w:tr w:rsidR="00C65FD3" w14:paraId="2547E3F1" w14:textId="77777777" w:rsidTr="00C65FD3">
        <w:trPr>
          <w:trHeight w:val="228"/>
        </w:trPr>
        <w:tc>
          <w:tcPr>
            <w:tcW w:w="7797" w:type="dxa"/>
            <w:tcBorders>
              <w:top w:val="single" w:sz="4" w:space="0" w:color="auto"/>
              <w:left w:val="nil"/>
              <w:bottom w:val="single" w:sz="4" w:space="0" w:color="auto"/>
              <w:right w:val="nil"/>
            </w:tcBorders>
            <w:hideMark/>
          </w:tcPr>
          <w:p w14:paraId="239E4499" w14:textId="77777777" w:rsidR="00C65FD3" w:rsidRDefault="00C65FD3">
            <w:pPr>
              <w:spacing w:before="120" w:after="120"/>
              <w:rPr>
                <w:rFonts w:asciiTheme="majorBidi" w:hAnsiTheme="majorBidi" w:cstheme="majorBidi"/>
                <w:b/>
                <w:szCs w:val="24"/>
              </w:rPr>
            </w:pPr>
            <w:r>
              <w:rPr>
                <w:rFonts w:asciiTheme="majorBidi" w:hAnsiTheme="majorBidi" w:cstheme="majorBidi"/>
                <w:b/>
                <w:szCs w:val="24"/>
              </w:rPr>
              <w:t>Model construct</w:t>
            </w:r>
          </w:p>
          <w:p w14:paraId="09BA65FF"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Motivational domain </w:t>
            </w:r>
          </w:p>
          <w:p w14:paraId="4EE794E5"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     </w:t>
            </w:r>
            <w:r>
              <w:rPr>
                <w:rFonts w:asciiTheme="majorBidi" w:hAnsiTheme="majorBidi" w:cstheme="majorBidi"/>
                <w:szCs w:val="24"/>
              </w:rPr>
              <w:t>Behavioural belief</w:t>
            </w:r>
          </w:p>
        </w:tc>
      </w:tr>
      <w:tr w:rsidR="00C65FD3" w14:paraId="750AEA56" w14:textId="77777777" w:rsidTr="00C65FD3">
        <w:trPr>
          <w:trHeight w:val="175"/>
        </w:trPr>
        <w:tc>
          <w:tcPr>
            <w:tcW w:w="7797" w:type="dxa"/>
            <w:tcBorders>
              <w:top w:val="single" w:sz="4" w:space="0" w:color="auto"/>
              <w:left w:val="nil"/>
              <w:bottom w:val="nil"/>
              <w:right w:val="nil"/>
            </w:tcBorders>
            <w:hideMark/>
          </w:tcPr>
          <w:p w14:paraId="52006AB8"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Coping beliefs encouraging use </w:t>
            </w:r>
          </w:p>
        </w:tc>
      </w:tr>
      <w:tr w:rsidR="00C65FD3" w14:paraId="513E299E" w14:textId="77777777" w:rsidTr="00C65FD3">
        <w:trPr>
          <w:trHeight w:val="175"/>
        </w:trPr>
        <w:tc>
          <w:tcPr>
            <w:tcW w:w="7797" w:type="dxa"/>
            <w:tcBorders>
              <w:top w:val="nil"/>
              <w:left w:val="nil"/>
              <w:bottom w:val="nil"/>
              <w:right w:val="nil"/>
            </w:tcBorders>
            <w:hideMark/>
          </w:tcPr>
          <w:p w14:paraId="3ECCC8BF"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Taking legal highs can help me forget my worries  </w:t>
            </w:r>
          </w:p>
        </w:tc>
      </w:tr>
      <w:tr w:rsidR="00C65FD3" w14:paraId="2938C92B" w14:textId="77777777" w:rsidTr="00C65FD3">
        <w:trPr>
          <w:trHeight w:val="175"/>
        </w:trPr>
        <w:tc>
          <w:tcPr>
            <w:tcW w:w="7797" w:type="dxa"/>
            <w:tcBorders>
              <w:top w:val="nil"/>
              <w:left w:val="nil"/>
              <w:bottom w:val="single" w:sz="4" w:space="0" w:color="auto"/>
              <w:right w:val="nil"/>
            </w:tcBorders>
            <w:hideMark/>
          </w:tcPr>
          <w:p w14:paraId="58CF7142"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Taking legal highs can help me relax </w:t>
            </w:r>
          </w:p>
        </w:tc>
      </w:tr>
      <w:tr w:rsidR="00C65FD3" w14:paraId="0E09FE61" w14:textId="77777777" w:rsidTr="00C65FD3">
        <w:trPr>
          <w:trHeight w:val="175"/>
        </w:trPr>
        <w:tc>
          <w:tcPr>
            <w:tcW w:w="7797" w:type="dxa"/>
            <w:tcBorders>
              <w:top w:val="single" w:sz="4" w:space="0" w:color="auto"/>
              <w:left w:val="nil"/>
              <w:bottom w:val="nil"/>
              <w:right w:val="nil"/>
            </w:tcBorders>
            <w:hideMark/>
          </w:tcPr>
          <w:p w14:paraId="028A4872" w14:textId="77777777" w:rsidR="00C65FD3" w:rsidRDefault="00C65FD3">
            <w:pPr>
              <w:spacing w:before="120" w:after="120"/>
              <w:rPr>
                <w:rFonts w:asciiTheme="majorBidi" w:hAnsiTheme="majorBidi" w:cstheme="majorBidi"/>
                <w:b/>
                <w:iCs/>
                <w:szCs w:val="24"/>
              </w:rPr>
            </w:pPr>
            <w:r>
              <w:rPr>
                <w:rFonts w:asciiTheme="majorBidi" w:hAnsiTheme="majorBidi" w:cstheme="majorBidi"/>
                <w:b/>
                <w:iCs/>
                <w:szCs w:val="24"/>
              </w:rPr>
              <w:t>Subjective norms</w:t>
            </w:r>
          </w:p>
        </w:tc>
      </w:tr>
      <w:tr w:rsidR="00C65FD3" w14:paraId="6A198F36" w14:textId="77777777" w:rsidTr="00C65FD3">
        <w:trPr>
          <w:trHeight w:val="175"/>
        </w:trPr>
        <w:tc>
          <w:tcPr>
            <w:tcW w:w="7797" w:type="dxa"/>
            <w:tcBorders>
              <w:top w:val="nil"/>
              <w:left w:val="nil"/>
              <w:bottom w:val="nil"/>
              <w:right w:val="nil"/>
            </w:tcBorders>
            <w:hideMark/>
          </w:tcPr>
          <w:p w14:paraId="3070953A"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Peer-oriented beliefs encouraging use </w:t>
            </w:r>
          </w:p>
        </w:tc>
      </w:tr>
      <w:tr w:rsidR="00C65FD3" w14:paraId="6C661FB0" w14:textId="77777777" w:rsidTr="00C65FD3">
        <w:trPr>
          <w:trHeight w:val="175"/>
        </w:trPr>
        <w:tc>
          <w:tcPr>
            <w:tcW w:w="7797" w:type="dxa"/>
            <w:tcBorders>
              <w:top w:val="nil"/>
              <w:left w:val="nil"/>
              <w:bottom w:val="nil"/>
              <w:right w:val="nil"/>
            </w:tcBorders>
            <w:hideMark/>
          </w:tcPr>
          <w:p w14:paraId="7197ECD8"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My friends would approve of me taking legal highs     </w:t>
            </w:r>
          </w:p>
        </w:tc>
      </w:tr>
      <w:tr w:rsidR="00C65FD3" w14:paraId="7277F069" w14:textId="77777777" w:rsidTr="00C65FD3">
        <w:trPr>
          <w:trHeight w:val="175"/>
        </w:trPr>
        <w:tc>
          <w:tcPr>
            <w:tcW w:w="7797" w:type="dxa"/>
            <w:tcBorders>
              <w:top w:val="nil"/>
              <w:left w:val="nil"/>
              <w:bottom w:val="nil"/>
              <w:right w:val="nil"/>
            </w:tcBorders>
            <w:hideMark/>
          </w:tcPr>
          <w:p w14:paraId="24DAA1A5"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It’s normal to take legal highs, everyone does it     </w:t>
            </w:r>
          </w:p>
        </w:tc>
      </w:tr>
      <w:tr w:rsidR="00C65FD3" w14:paraId="30E2B14A" w14:textId="77777777" w:rsidTr="00C65FD3">
        <w:trPr>
          <w:trHeight w:val="175"/>
        </w:trPr>
        <w:tc>
          <w:tcPr>
            <w:tcW w:w="7797" w:type="dxa"/>
            <w:tcBorders>
              <w:top w:val="nil"/>
              <w:left w:val="nil"/>
              <w:bottom w:val="nil"/>
              <w:right w:val="nil"/>
            </w:tcBorders>
            <w:hideMark/>
          </w:tcPr>
          <w:p w14:paraId="7E4ED232"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Parent-oriented beliefs discouraging use </w:t>
            </w:r>
          </w:p>
        </w:tc>
      </w:tr>
      <w:tr w:rsidR="00C65FD3" w14:paraId="4D3EBE39" w14:textId="77777777" w:rsidTr="00C65FD3">
        <w:trPr>
          <w:trHeight w:val="175"/>
        </w:trPr>
        <w:tc>
          <w:tcPr>
            <w:tcW w:w="7797" w:type="dxa"/>
            <w:tcBorders>
              <w:top w:val="nil"/>
              <w:left w:val="nil"/>
              <w:bottom w:val="nil"/>
              <w:right w:val="nil"/>
            </w:tcBorders>
            <w:hideMark/>
          </w:tcPr>
          <w:p w14:paraId="03B837BB"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I’ll get in trouble if my parents catch me taking legal highs</w:t>
            </w:r>
          </w:p>
        </w:tc>
      </w:tr>
      <w:tr w:rsidR="00C65FD3" w14:paraId="5CA0E7FE" w14:textId="77777777" w:rsidTr="00C65FD3">
        <w:trPr>
          <w:trHeight w:val="175"/>
        </w:trPr>
        <w:tc>
          <w:tcPr>
            <w:tcW w:w="7797" w:type="dxa"/>
            <w:tcBorders>
              <w:top w:val="single" w:sz="4" w:space="0" w:color="auto"/>
              <w:left w:val="nil"/>
              <w:bottom w:val="nil"/>
              <w:right w:val="nil"/>
            </w:tcBorders>
            <w:hideMark/>
          </w:tcPr>
          <w:p w14:paraId="7B1480DF" w14:textId="77777777" w:rsidR="00C65FD3" w:rsidRDefault="00C65FD3">
            <w:pPr>
              <w:spacing w:before="120" w:after="120"/>
              <w:rPr>
                <w:rFonts w:asciiTheme="majorBidi" w:hAnsiTheme="majorBidi" w:cstheme="majorBidi"/>
                <w:b/>
                <w:iCs/>
                <w:szCs w:val="24"/>
              </w:rPr>
            </w:pPr>
            <w:r>
              <w:rPr>
                <w:rFonts w:asciiTheme="majorBidi" w:hAnsiTheme="majorBidi" w:cstheme="majorBidi"/>
                <w:b/>
                <w:iCs/>
                <w:szCs w:val="24"/>
              </w:rPr>
              <w:t>Behavioural willingness</w:t>
            </w:r>
          </w:p>
        </w:tc>
      </w:tr>
      <w:tr w:rsidR="00C65FD3" w14:paraId="690A0CC2" w14:textId="77777777" w:rsidTr="00C65FD3">
        <w:trPr>
          <w:trHeight w:val="175"/>
        </w:trPr>
        <w:tc>
          <w:tcPr>
            <w:tcW w:w="7797" w:type="dxa"/>
            <w:tcBorders>
              <w:top w:val="nil"/>
              <w:left w:val="nil"/>
              <w:bottom w:val="nil"/>
              <w:right w:val="nil"/>
            </w:tcBorders>
            <w:hideMark/>
          </w:tcPr>
          <w:p w14:paraId="23F0D437"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Prototype beliefs encouraging use </w:t>
            </w:r>
          </w:p>
        </w:tc>
      </w:tr>
      <w:tr w:rsidR="00C65FD3" w14:paraId="0BB34ABD" w14:textId="77777777" w:rsidTr="00C65FD3">
        <w:trPr>
          <w:trHeight w:val="175"/>
        </w:trPr>
        <w:tc>
          <w:tcPr>
            <w:tcW w:w="7797" w:type="dxa"/>
            <w:tcBorders>
              <w:top w:val="nil"/>
              <w:left w:val="nil"/>
              <w:bottom w:val="nil"/>
              <w:right w:val="nil"/>
            </w:tcBorders>
            <w:hideMark/>
          </w:tcPr>
          <w:p w14:paraId="419852F5"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Smart people from good backgrounds use legal highs    </w:t>
            </w:r>
          </w:p>
        </w:tc>
      </w:tr>
      <w:tr w:rsidR="00C65FD3" w14:paraId="51BD69F9" w14:textId="77777777" w:rsidTr="00C65FD3">
        <w:trPr>
          <w:trHeight w:val="175"/>
        </w:trPr>
        <w:tc>
          <w:tcPr>
            <w:tcW w:w="7797" w:type="dxa"/>
            <w:tcBorders>
              <w:top w:val="nil"/>
              <w:left w:val="nil"/>
              <w:bottom w:val="nil"/>
              <w:right w:val="nil"/>
            </w:tcBorders>
            <w:hideMark/>
          </w:tcPr>
          <w:p w14:paraId="7846DDF1"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Anyone can be a user, there are no stereotypes     </w:t>
            </w:r>
          </w:p>
        </w:tc>
      </w:tr>
      <w:tr w:rsidR="00C65FD3" w14:paraId="4D3F4073" w14:textId="77777777" w:rsidTr="00C65FD3">
        <w:trPr>
          <w:trHeight w:val="175"/>
        </w:trPr>
        <w:tc>
          <w:tcPr>
            <w:tcW w:w="7797" w:type="dxa"/>
            <w:tcBorders>
              <w:top w:val="nil"/>
              <w:left w:val="nil"/>
              <w:bottom w:val="nil"/>
              <w:right w:val="nil"/>
            </w:tcBorders>
            <w:hideMark/>
          </w:tcPr>
          <w:p w14:paraId="6A97665F"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Prototype beliefs discouraging use </w:t>
            </w:r>
          </w:p>
        </w:tc>
      </w:tr>
      <w:tr w:rsidR="00C65FD3" w14:paraId="0489A68A" w14:textId="77777777" w:rsidTr="00C65FD3">
        <w:trPr>
          <w:trHeight w:val="175"/>
        </w:trPr>
        <w:tc>
          <w:tcPr>
            <w:tcW w:w="7797" w:type="dxa"/>
            <w:tcBorders>
              <w:top w:val="nil"/>
              <w:left w:val="nil"/>
              <w:bottom w:val="nil"/>
              <w:right w:val="nil"/>
            </w:tcBorders>
            <w:hideMark/>
          </w:tcPr>
          <w:p w14:paraId="0E9851E0"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Legal highs are cheap crap for poor people    </w:t>
            </w:r>
          </w:p>
        </w:tc>
      </w:tr>
      <w:tr w:rsidR="00C65FD3" w14:paraId="765CAD8B" w14:textId="77777777" w:rsidTr="00C65FD3">
        <w:trPr>
          <w:trHeight w:val="175"/>
        </w:trPr>
        <w:tc>
          <w:tcPr>
            <w:tcW w:w="7797" w:type="dxa"/>
            <w:tcBorders>
              <w:top w:val="nil"/>
              <w:left w:val="nil"/>
              <w:bottom w:val="nil"/>
              <w:right w:val="nil"/>
            </w:tcBorders>
            <w:hideMark/>
          </w:tcPr>
          <w:p w14:paraId="2FC6BD66"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Curiosity encouraging use </w:t>
            </w:r>
          </w:p>
        </w:tc>
      </w:tr>
      <w:tr w:rsidR="00C65FD3" w14:paraId="6AAE2F07" w14:textId="77777777" w:rsidTr="00C65FD3">
        <w:trPr>
          <w:trHeight w:val="175"/>
        </w:trPr>
        <w:tc>
          <w:tcPr>
            <w:tcW w:w="7797" w:type="dxa"/>
            <w:tcBorders>
              <w:top w:val="nil"/>
              <w:left w:val="nil"/>
              <w:bottom w:val="single" w:sz="4" w:space="0" w:color="auto"/>
              <w:right w:val="nil"/>
            </w:tcBorders>
            <w:hideMark/>
          </w:tcPr>
          <w:p w14:paraId="5C7AB63D"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I’m the kind of person who just has to try legal highs for myself   </w:t>
            </w:r>
          </w:p>
        </w:tc>
      </w:tr>
    </w:tbl>
    <w:p w14:paraId="374F1CD3" w14:textId="77777777" w:rsidR="00C65FD3" w:rsidRDefault="00C65FD3" w:rsidP="00C65FD3">
      <w:pPr>
        <w:rPr>
          <w:b/>
          <w:bCs/>
          <w:color w:val="000000"/>
          <w:sz w:val="22"/>
        </w:rPr>
      </w:pPr>
    </w:p>
    <w:p w14:paraId="71119919" w14:textId="77777777" w:rsidR="00C65FD3" w:rsidRDefault="00C65FD3" w:rsidP="00C65FD3">
      <w:pPr>
        <w:rPr>
          <w:b/>
          <w:bCs/>
          <w:color w:val="000000"/>
          <w:sz w:val="22"/>
        </w:rPr>
      </w:pPr>
    </w:p>
    <w:p w14:paraId="4B2B5B1A" w14:textId="77777777" w:rsidR="00C65FD3" w:rsidRDefault="00C65FD3" w:rsidP="00C65FD3">
      <w:pPr>
        <w:rPr>
          <w:b/>
          <w:bCs/>
          <w:color w:val="000000"/>
          <w:sz w:val="22"/>
        </w:rPr>
      </w:pPr>
    </w:p>
    <w:p w14:paraId="5952DA92" w14:textId="77777777" w:rsidR="00C65FD3" w:rsidRDefault="00C65FD3" w:rsidP="00C65FD3">
      <w:pPr>
        <w:rPr>
          <w:b/>
          <w:bCs/>
          <w:color w:val="000000"/>
          <w:sz w:val="22"/>
        </w:rPr>
      </w:pPr>
    </w:p>
    <w:p w14:paraId="5A9802FB" w14:textId="77777777" w:rsidR="00C65FD3" w:rsidRDefault="00C65FD3" w:rsidP="00C65FD3">
      <w:pPr>
        <w:rPr>
          <w:b/>
          <w:bCs/>
          <w:color w:val="000000"/>
          <w:sz w:val="22"/>
        </w:rPr>
      </w:pPr>
    </w:p>
    <w:p w14:paraId="14B73F43" w14:textId="77777777" w:rsidR="00C65FD3" w:rsidRDefault="00C65FD3" w:rsidP="00C65FD3">
      <w:pPr>
        <w:rPr>
          <w:b/>
          <w:bCs/>
          <w:color w:val="000000"/>
          <w:sz w:val="22"/>
        </w:rPr>
      </w:pPr>
    </w:p>
    <w:tbl>
      <w:tblPr>
        <w:tblStyle w:val="TableGrid"/>
        <w:tblW w:w="780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00"/>
      </w:tblGrid>
      <w:tr w:rsidR="00C65FD3" w14:paraId="5DBC96B4" w14:textId="77777777" w:rsidTr="00C65FD3">
        <w:trPr>
          <w:trHeight w:val="228"/>
        </w:trPr>
        <w:tc>
          <w:tcPr>
            <w:tcW w:w="7797" w:type="dxa"/>
            <w:tcBorders>
              <w:top w:val="single" w:sz="4" w:space="0" w:color="auto"/>
              <w:left w:val="nil"/>
              <w:bottom w:val="single" w:sz="4" w:space="0" w:color="auto"/>
              <w:right w:val="nil"/>
            </w:tcBorders>
            <w:hideMark/>
          </w:tcPr>
          <w:p w14:paraId="5502AC47" w14:textId="77777777" w:rsidR="00C65FD3" w:rsidRDefault="00C65FD3">
            <w:pPr>
              <w:spacing w:before="120" w:after="120"/>
              <w:rPr>
                <w:rFonts w:asciiTheme="majorBidi" w:hAnsiTheme="majorBidi" w:cstheme="majorBidi"/>
                <w:b/>
                <w:szCs w:val="24"/>
              </w:rPr>
            </w:pPr>
            <w:r>
              <w:rPr>
                <w:rFonts w:asciiTheme="majorBidi" w:hAnsiTheme="majorBidi" w:cstheme="majorBidi"/>
                <w:b/>
                <w:szCs w:val="24"/>
              </w:rPr>
              <w:t>Model construct</w:t>
            </w:r>
          </w:p>
          <w:p w14:paraId="62980FCF"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Motivational domain </w:t>
            </w:r>
          </w:p>
          <w:p w14:paraId="7EA3673D" w14:textId="77777777" w:rsidR="00C65FD3" w:rsidRDefault="00C65FD3">
            <w:pPr>
              <w:spacing w:before="120" w:after="120"/>
              <w:rPr>
                <w:rFonts w:asciiTheme="majorBidi" w:hAnsiTheme="majorBidi" w:cstheme="majorBidi"/>
                <w:i/>
                <w:szCs w:val="24"/>
              </w:rPr>
            </w:pPr>
            <w:r>
              <w:rPr>
                <w:rFonts w:asciiTheme="majorBidi" w:hAnsiTheme="majorBidi" w:cstheme="majorBidi"/>
                <w:i/>
                <w:szCs w:val="24"/>
              </w:rPr>
              <w:t xml:space="preserve">     </w:t>
            </w:r>
            <w:r>
              <w:rPr>
                <w:rFonts w:asciiTheme="majorBidi" w:hAnsiTheme="majorBidi" w:cstheme="majorBidi"/>
                <w:szCs w:val="24"/>
              </w:rPr>
              <w:t>Behavioural belief</w:t>
            </w:r>
          </w:p>
        </w:tc>
      </w:tr>
      <w:tr w:rsidR="00C65FD3" w14:paraId="23132F0D" w14:textId="77777777" w:rsidTr="00C65FD3">
        <w:trPr>
          <w:trHeight w:val="175"/>
        </w:trPr>
        <w:tc>
          <w:tcPr>
            <w:tcW w:w="7797" w:type="dxa"/>
            <w:tcBorders>
              <w:top w:val="single" w:sz="4" w:space="0" w:color="auto"/>
              <w:left w:val="nil"/>
              <w:bottom w:val="nil"/>
              <w:right w:val="nil"/>
            </w:tcBorders>
            <w:hideMark/>
          </w:tcPr>
          <w:p w14:paraId="26EE67DC"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Autonomy beliefs encouraging use  </w:t>
            </w:r>
          </w:p>
        </w:tc>
      </w:tr>
      <w:tr w:rsidR="00C65FD3" w14:paraId="63F286FC" w14:textId="77777777" w:rsidTr="00C65FD3">
        <w:trPr>
          <w:trHeight w:val="175"/>
        </w:trPr>
        <w:tc>
          <w:tcPr>
            <w:tcW w:w="7797" w:type="dxa"/>
            <w:tcBorders>
              <w:top w:val="nil"/>
              <w:left w:val="nil"/>
              <w:bottom w:val="nil"/>
              <w:right w:val="nil"/>
            </w:tcBorders>
            <w:hideMark/>
          </w:tcPr>
          <w:p w14:paraId="3200CE2E" w14:textId="77777777" w:rsidR="00C65FD3" w:rsidRDefault="00C65FD3">
            <w:pPr>
              <w:spacing w:before="120" w:after="120"/>
              <w:rPr>
                <w:rFonts w:asciiTheme="majorBidi" w:hAnsiTheme="majorBidi" w:cstheme="majorBidi"/>
                <w:i/>
                <w:iCs/>
                <w:szCs w:val="24"/>
              </w:rPr>
            </w:pPr>
            <w:r>
              <w:rPr>
                <w:rFonts w:asciiTheme="majorBidi" w:hAnsiTheme="majorBidi" w:cstheme="majorBidi"/>
                <w:bCs/>
                <w:szCs w:val="24"/>
              </w:rPr>
              <w:t xml:space="preserve">     I won’t get a criminal record for using legal highs    </w:t>
            </w:r>
          </w:p>
        </w:tc>
      </w:tr>
      <w:tr w:rsidR="00C65FD3" w14:paraId="05616A60" w14:textId="77777777" w:rsidTr="00C65FD3">
        <w:trPr>
          <w:trHeight w:val="175"/>
        </w:trPr>
        <w:tc>
          <w:tcPr>
            <w:tcW w:w="7797" w:type="dxa"/>
            <w:tcBorders>
              <w:top w:val="nil"/>
              <w:left w:val="nil"/>
              <w:bottom w:val="nil"/>
              <w:right w:val="nil"/>
            </w:tcBorders>
            <w:hideMark/>
          </w:tcPr>
          <w:p w14:paraId="6A316E4D"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It’s fine to use legal highs because they are legal      </w:t>
            </w:r>
          </w:p>
        </w:tc>
      </w:tr>
      <w:tr w:rsidR="00C65FD3" w14:paraId="338C0B06" w14:textId="77777777" w:rsidTr="00C65FD3">
        <w:trPr>
          <w:trHeight w:val="175"/>
        </w:trPr>
        <w:tc>
          <w:tcPr>
            <w:tcW w:w="7797" w:type="dxa"/>
            <w:tcBorders>
              <w:top w:val="nil"/>
              <w:left w:val="nil"/>
              <w:bottom w:val="nil"/>
              <w:right w:val="nil"/>
            </w:tcBorders>
            <w:hideMark/>
          </w:tcPr>
          <w:p w14:paraId="053A95A8"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I’ll take legal highs if I want to, it’s my choice  </w:t>
            </w:r>
          </w:p>
        </w:tc>
      </w:tr>
      <w:tr w:rsidR="00C65FD3" w14:paraId="0ACB3E10" w14:textId="77777777" w:rsidTr="00C65FD3">
        <w:trPr>
          <w:trHeight w:val="175"/>
        </w:trPr>
        <w:tc>
          <w:tcPr>
            <w:tcW w:w="7797" w:type="dxa"/>
            <w:tcBorders>
              <w:top w:val="nil"/>
              <w:left w:val="nil"/>
              <w:bottom w:val="nil"/>
              <w:right w:val="nil"/>
            </w:tcBorders>
            <w:hideMark/>
          </w:tcPr>
          <w:p w14:paraId="1E8FB97A"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Telling me not to take legal highs just makes me want to do them more  </w:t>
            </w:r>
          </w:p>
        </w:tc>
      </w:tr>
      <w:tr w:rsidR="00C65FD3" w14:paraId="7547AFB1" w14:textId="77777777" w:rsidTr="00C65FD3">
        <w:trPr>
          <w:trHeight w:val="175"/>
        </w:trPr>
        <w:tc>
          <w:tcPr>
            <w:tcW w:w="7797" w:type="dxa"/>
            <w:tcBorders>
              <w:top w:val="nil"/>
              <w:left w:val="nil"/>
              <w:bottom w:val="nil"/>
              <w:right w:val="nil"/>
            </w:tcBorders>
            <w:hideMark/>
          </w:tcPr>
          <w:p w14:paraId="32189CE4"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Autonomy beliefs discouraging use  </w:t>
            </w:r>
          </w:p>
        </w:tc>
      </w:tr>
      <w:tr w:rsidR="00C65FD3" w14:paraId="658E21A1" w14:textId="77777777" w:rsidTr="00C65FD3">
        <w:trPr>
          <w:trHeight w:val="175"/>
        </w:trPr>
        <w:tc>
          <w:tcPr>
            <w:tcW w:w="7797" w:type="dxa"/>
            <w:tcBorders>
              <w:top w:val="nil"/>
              <w:left w:val="nil"/>
              <w:bottom w:val="nil"/>
              <w:right w:val="nil"/>
            </w:tcBorders>
            <w:hideMark/>
          </w:tcPr>
          <w:p w14:paraId="5A2C0379"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I could get a criminal record if I’m caught with legal highs    </w:t>
            </w:r>
          </w:p>
        </w:tc>
      </w:tr>
      <w:tr w:rsidR="00C65FD3" w14:paraId="42EBD166" w14:textId="77777777" w:rsidTr="00C65FD3">
        <w:trPr>
          <w:trHeight w:val="175"/>
        </w:trPr>
        <w:tc>
          <w:tcPr>
            <w:tcW w:w="7797" w:type="dxa"/>
            <w:tcBorders>
              <w:top w:val="nil"/>
              <w:left w:val="nil"/>
              <w:bottom w:val="nil"/>
              <w:right w:val="nil"/>
            </w:tcBorders>
            <w:hideMark/>
          </w:tcPr>
          <w:p w14:paraId="18AD142D"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Financial beliefs discouraging use </w:t>
            </w:r>
          </w:p>
        </w:tc>
      </w:tr>
      <w:tr w:rsidR="00C65FD3" w14:paraId="32C84E4F" w14:textId="77777777" w:rsidTr="00C65FD3">
        <w:trPr>
          <w:trHeight w:val="175"/>
        </w:trPr>
        <w:tc>
          <w:tcPr>
            <w:tcW w:w="7797" w:type="dxa"/>
            <w:tcBorders>
              <w:top w:val="nil"/>
              <w:left w:val="nil"/>
              <w:bottom w:val="nil"/>
              <w:right w:val="nil"/>
            </w:tcBorders>
            <w:hideMark/>
          </w:tcPr>
          <w:p w14:paraId="6BCD01BB"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Legal highs are a waste of money </w:t>
            </w:r>
          </w:p>
        </w:tc>
      </w:tr>
      <w:tr w:rsidR="00C65FD3" w14:paraId="0C041CA0" w14:textId="77777777" w:rsidTr="00C65FD3">
        <w:trPr>
          <w:trHeight w:val="175"/>
        </w:trPr>
        <w:tc>
          <w:tcPr>
            <w:tcW w:w="7797" w:type="dxa"/>
            <w:tcBorders>
              <w:top w:val="nil"/>
              <w:left w:val="nil"/>
              <w:bottom w:val="nil"/>
              <w:right w:val="nil"/>
            </w:tcBorders>
            <w:hideMark/>
          </w:tcPr>
          <w:p w14:paraId="4970EB6A"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Financial beliefs encouraging use </w:t>
            </w:r>
          </w:p>
        </w:tc>
      </w:tr>
      <w:tr w:rsidR="00C65FD3" w14:paraId="4452C2E5" w14:textId="77777777" w:rsidTr="00C65FD3">
        <w:trPr>
          <w:trHeight w:val="175"/>
        </w:trPr>
        <w:tc>
          <w:tcPr>
            <w:tcW w:w="7797" w:type="dxa"/>
            <w:tcBorders>
              <w:top w:val="nil"/>
              <w:left w:val="nil"/>
              <w:bottom w:val="nil"/>
              <w:right w:val="nil"/>
            </w:tcBorders>
            <w:hideMark/>
          </w:tcPr>
          <w:p w14:paraId="14CAD4CF"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Legal highs are a good way to have a cheap night out  </w:t>
            </w:r>
          </w:p>
        </w:tc>
      </w:tr>
      <w:tr w:rsidR="00C65FD3" w14:paraId="76FDBEA1" w14:textId="77777777" w:rsidTr="00C65FD3">
        <w:trPr>
          <w:trHeight w:val="175"/>
        </w:trPr>
        <w:tc>
          <w:tcPr>
            <w:tcW w:w="7797" w:type="dxa"/>
            <w:tcBorders>
              <w:top w:val="nil"/>
              <w:left w:val="nil"/>
              <w:bottom w:val="nil"/>
              <w:right w:val="nil"/>
            </w:tcBorders>
            <w:hideMark/>
          </w:tcPr>
          <w:p w14:paraId="360B9FC9"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Effort beliefs discouraging use </w:t>
            </w:r>
          </w:p>
        </w:tc>
      </w:tr>
      <w:tr w:rsidR="00C65FD3" w14:paraId="7C0FC6A2" w14:textId="77777777" w:rsidTr="00C65FD3">
        <w:trPr>
          <w:trHeight w:val="175"/>
        </w:trPr>
        <w:tc>
          <w:tcPr>
            <w:tcW w:w="7797" w:type="dxa"/>
            <w:tcBorders>
              <w:top w:val="nil"/>
              <w:left w:val="nil"/>
              <w:bottom w:val="nil"/>
              <w:right w:val="nil"/>
            </w:tcBorders>
            <w:hideMark/>
          </w:tcPr>
          <w:p w14:paraId="7F8713CE"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Legal highs are hard to get hold of </w:t>
            </w:r>
          </w:p>
        </w:tc>
      </w:tr>
      <w:tr w:rsidR="00C65FD3" w14:paraId="49189BCC" w14:textId="77777777" w:rsidTr="00C65FD3">
        <w:trPr>
          <w:trHeight w:val="175"/>
        </w:trPr>
        <w:tc>
          <w:tcPr>
            <w:tcW w:w="7797" w:type="dxa"/>
            <w:tcBorders>
              <w:top w:val="nil"/>
              <w:left w:val="nil"/>
              <w:bottom w:val="nil"/>
              <w:right w:val="nil"/>
            </w:tcBorders>
            <w:hideMark/>
          </w:tcPr>
          <w:p w14:paraId="04443E59" w14:textId="77777777" w:rsidR="00C65FD3" w:rsidRDefault="00C65FD3">
            <w:pPr>
              <w:spacing w:before="120" w:after="120"/>
              <w:rPr>
                <w:rFonts w:asciiTheme="majorBidi" w:hAnsiTheme="majorBidi" w:cstheme="majorBidi"/>
                <w:i/>
                <w:iCs/>
                <w:szCs w:val="24"/>
              </w:rPr>
            </w:pPr>
            <w:r>
              <w:rPr>
                <w:rFonts w:asciiTheme="majorBidi" w:hAnsiTheme="majorBidi" w:cstheme="majorBidi"/>
                <w:i/>
                <w:iCs/>
                <w:szCs w:val="24"/>
              </w:rPr>
              <w:t xml:space="preserve">Effort beliefs encouraging use </w:t>
            </w:r>
          </w:p>
        </w:tc>
      </w:tr>
      <w:tr w:rsidR="00C65FD3" w14:paraId="1EBC77E9" w14:textId="77777777" w:rsidTr="00C65FD3">
        <w:trPr>
          <w:trHeight w:val="175"/>
        </w:trPr>
        <w:tc>
          <w:tcPr>
            <w:tcW w:w="7797" w:type="dxa"/>
            <w:tcBorders>
              <w:top w:val="nil"/>
              <w:left w:val="nil"/>
              <w:bottom w:val="nil"/>
              <w:right w:val="nil"/>
            </w:tcBorders>
            <w:hideMark/>
          </w:tcPr>
          <w:p w14:paraId="501DB52E" w14:textId="77777777" w:rsidR="00C65FD3" w:rsidRDefault="00C65FD3">
            <w:pPr>
              <w:spacing w:before="120" w:after="120"/>
              <w:rPr>
                <w:rFonts w:asciiTheme="majorBidi" w:hAnsiTheme="majorBidi" w:cstheme="majorBidi"/>
                <w:bCs/>
                <w:szCs w:val="24"/>
              </w:rPr>
            </w:pPr>
            <w:r>
              <w:rPr>
                <w:rFonts w:asciiTheme="majorBidi" w:hAnsiTheme="majorBidi" w:cstheme="majorBidi"/>
                <w:bCs/>
                <w:szCs w:val="24"/>
              </w:rPr>
              <w:t xml:space="preserve">     Legal highs are easy to get hold of </w:t>
            </w:r>
          </w:p>
        </w:tc>
      </w:tr>
      <w:tr w:rsidR="00C65FD3" w14:paraId="1D249ABC" w14:textId="77777777" w:rsidTr="00C65FD3">
        <w:trPr>
          <w:trHeight w:val="175"/>
        </w:trPr>
        <w:tc>
          <w:tcPr>
            <w:tcW w:w="7797" w:type="dxa"/>
            <w:tcBorders>
              <w:top w:val="nil"/>
              <w:left w:val="nil"/>
              <w:bottom w:val="single" w:sz="4" w:space="0" w:color="auto"/>
              <w:right w:val="nil"/>
            </w:tcBorders>
            <w:hideMark/>
          </w:tcPr>
          <w:p w14:paraId="3F50E316" w14:textId="77777777" w:rsidR="00C65FD3" w:rsidRDefault="00C65FD3">
            <w:pPr>
              <w:spacing w:before="120" w:after="240"/>
              <w:rPr>
                <w:rFonts w:asciiTheme="majorBidi" w:hAnsiTheme="majorBidi" w:cstheme="majorBidi"/>
                <w:bCs/>
                <w:szCs w:val="24"/>
              </w:rPr>
            </w:pPr>
            <w:r>
              <w:rPr>
                <w:rFonts w:asciiTheme="majorBidi" w:hAnsiTheme="majorBidi" w:cstheme="majorBidi"/>
                <w:bCs/>
                <w:szCs w:val="24"/>
              </w:rPr>
              <w:t xml:space="preserve">     Classic illegal drugs are hard to get hold of  </w:t>
            </w:r>
          </w:p>
        </w:tc>
      </w:tr>
    </w:tbl>
    <w:p w14:paraId="2050ECAD" w14:textId="77777777" w:rsidR="00C65FD3" w:rsidRDefault="00C65FD3" w:rsidP="00C65FD3"/>
    <w:p w14:paraId="5B945C2C" w14:textId="77777777" w:rsidR="00C65FD3" w:rsidRDefault="00C65FD3" w:rsidP="00C65FD3">
      <w:pPr>
        <w:rPr>
          <w:b/>
          <w:bCs/>
          <w:color w:val="000000"/>
          <w:sz w:val="22"/>
        </w:rPr>
      </w:pPr>
      <w:r>
        <w:br w:type="page"/>
      </w:r>
    </w:p>
    <w:p w14:paraId="65A0EE15" w14:textId="77777777" w:rsidR="00C65FD3" w:rsidRDefault="00C65FD3" w:rsidP="00C65FD3">
      <w:pPr>
        <w:pStyle w:val="Heading3"/>
        <w:tabs>
          <w:tab w:val="left" w:pos="720"/>
        </w:tabs>
      </w:pPr>
      <w:bookmarkStart w:id="585" w:name="_Toc9509012"/>
      <w:bookmarkStart w:id="586" w:name="_Toc9328592"/>
      <w:bookmarkStart w:id="587" w:name="_Toc35892781"/>
      <w:r>
        <w:t>Potential modifying factors</w:t>
      </w:r>
      <w:bookmarkEnd w:id="585"/>
      <w:bookmarkEnd w:id="586"/>
      <w:bookmarkEnd w:id="587"/>
      <w:r>
        <w:t xml:space="preserve"> </w:t>
      </w:r>
    </w:p>
    <w:p w14:paraId="69DA7D42" w14:textId="77777777" w:rsidR="00C65FD3" w:rsidRDefault="00C65FD3" w:rsidP="00C65FD3">
      <w:pPr>
        <w:spacing w:line="480" w:lineRule="auto"/>
      </w:pPr>
      <w:r>
        <w:t>Taken together, the findings of this research highlight the following factors as potential modifiers of NPS use which may need to be considered in intervention development: age, level of drug experience, gender, and socio-economic status. The project set out to investigate why young people use NPS and the emergent issues outlined above indicate that young people’s NPS decisions are influenced by a unique set of factors which may result in differential outcomes compared with other potential user groups. Consequently, age is likely to be an important modifying factor. However, various findings suggest that much of the effect of age might be explained by a person’s level of drug experience, with younger people more likely to be drug naïve and more likely to associate perceptions of legality with safety. Although this study was not able to distinguish young people’s attitudes by gender, it is important to note that males are twice as likely to use NPS than females (CSEW, 2018). The differential impact of the PS Act on relatively affluent young people and disadvantaged groups is a clear indicator that socioeconomic status may be an important modifier of people’s reasons for using, or not using, NPS.</w:t>
      </w:r>
    </w:p>
    <w:p w14:paraId="7E0440D0" w14:textId="77777777" w:rsidR="00C65FD3" w:rsidRDefault="00C65FD3" w:rsidP="00C65FD3">
      <w:pPr>
        <w:pStyle w:val="Heading3"/>
        <w:tabs>
          <w:tab w:val="left" w:pos="720"/>
        </w:tabs>
      </w:pPr>
      <w:bookmarkStart w:id="588" w:name="_Toc35892782"/>
      <w:bookmarkStart w:id="589" w:name="_Toc9509013"/>
      <w:bookmarkStart w:id="590" w:name="_Toc9328593"/>
      <w:r>
        <w:t>Difficulty defining the behavioural target</w:t>
      </w:r>
      <w:bookmarkEnd w:id="588"/>
      <w:r>
        <w:t xml:space="preserve"> </w:t>
      </w:r>
    </w:p>
    <w:p w14:paraId="043764BA" w14:textId="77777777" w:rsidR="00C65FD3" w:rsidRPr="00F85A3E" w:rsidRDefault="00C65FD3" w:rsidP="00C65FD3">
      <w:pPr>
        <w:spacing w:line="480" w:lineRule="auto"/>
      </w:pPr>
      <w:r w:rsidRPr="00F85A3E">
        <w:t xml:space="preserve">For interventions based on socio-cognitive models to be effective the target behaviour needs to be clearly defined (Ajzen, 1988). However, young people in the focus groups were at times confused about what counted as a legal high, and the term NPS was entirely unknown to the participants. </w:t>
      </w:r>
    </w:p>
    <w:p w14:paraId="5C1FDC1B" w14:textId="77777777" w:rsidR="00C65FD3" w:rsidRPr="00F85A3E" w:rsidRDefault="00C65FD3" w:rsidP="00C65FD3">
      <w:pPr>
        <w:spacing w:line="480" w:lineRule="auto"/>
      </w:pPr>
      <w:r w:rsidRPr="00F85A3E">
        <w:t xml:space="preserve">The lack of clarity around NPS and confusion as to what constitutes an NPS is not limited to young people. The formulation of a clearly demarcated, consistent and widely accepted definition is beset with challenges and even experts can find it difficult to determine whether a substance should be considered an NPS.     </w:t>
      </w:r>
    </w:p>
    <w:p w14:paraId="72406D42" w14:textId="77777777" w:rsidR="00C65FD3" w:rsidRPr="00F85A3E" w:rsidRDefault="00C65FD3" w:rsidP="00C65FD3">
      <w:pPr>
        <w:spacing w:line="480" w:lineRule="auto"/>
      </w:pPr>
      <w:r w:rsidRPr="00F85A3E">
        <w:t xml:space="preserve">The difficulty is that definitions are trying to chase a moving target made up of hundreds of substances. New substances are detected every year, while previously identified substances are assessed and reclassified and no longer meet the criteria to be considered an NPS. </w:t>
      </w:r>
    </w:p>
    <w:p w14:paraId="2CAC613B" w14:textId="6B4F5063" w:rsidR="00C65FD3" w:rsidRPr="00F85A3E" w:rsidRDefault="00C65FD3" w:rsidP="00C65FD3">
      <w:pPr>
        <w:spacing w:line="480" w:lineRule="auto"/>
      </w:pPr>
      <w:r w:rsidRPr="00F85A3E">
        <w:t>Furthermore, there is yet to be any consistency in the definition of NPS. While countries also develop their own working definitions, two prominent definitions used commonly drawn on by experts are the international definitions provided by the UNDOC and EMCDDA (see Table 9.</w:t>
      </w:r>
      <w:r w:rsidR="00161D96" w:rsidRPr="00F85A3E">
        <w:t>4</w:t>
      </w:r>
      <w:r w:rsidRPr="00F85A3E">
        <w:t>). Both definitions centre on psychoactive substances not controlled under the 1961 or 1971 United Nations Conventions and both specify that a substance should also pose a threat to health. However, while the UNDOC definition evokes a very general description of a threat to public health the EMCDDA offer the benchmark of harm as operationalised by scheduling within the UN drug Conventions. While the schedules encompass low to high risk, they consider both the threat posed to public health and the risk of abuse by the user. Where the EMCDDA definition also refers to new substances only, UNDOC further qualifies that they only need to be new to the market.</w:t>
      </w:r>
    </w:p>
    <w:p w14:paraId="6C1AEFC5" w14:textId="77777777" w:rsidR="00C65FD3" w:rsidRPr="00F85A3E" w:rsidRDefault="00C65FD3" w:rsidP="00C65FD3">
      <w:pPr>
        <w:spacing w:line="480" w:lineRule="auto"/>
      </w:pPr>
      <w:r w:rsidRPr="00F85A3E">
        <w:t xml:space="preserve">The definitions attempt to bring clarity to a complex issue but have limited practicality (Benschop, Bujaalski, Dabrowska et al., 2017). More than 250 substances are listed in the UN Conventions, with more added every year and hundreds not yet included. Determining the status of an individual substance without reference to an up-to-date register is unfeasible in most contexts. They also resting heavily on rather vague concepts of newness and health threat without clear guidance of what constitutes new or harmful.  </w:t>
      </w:r>
    </w:p>
    <w:p w14:paraId="606D4283" w14:textId="77777777" w:rsidR="00C65FD3" w:rsidRDefault="00C65FD3" w:rsidP="00C65FD3">
      <w:pPr>
        <w:spacing w:line="480" w:lineRule="auto"/>
        <w:rPr>
          <w:b/>
          <w:color w:val="7030A0"/>
        </w:rPr>
      </w:pPr>
      <w:r w:rsidRPr="00F85A3E">
        <w:t xml:space="preserve">The definition presented in the PS Act side-steps each of the issues, providing an extremely board definition for psychoactive substances based on their effects on the nervous system, and no requirement for novelty or harmfulness. </w:t>
      </w:r>
      <w:r>
        <w:rPr>
          <w:b/>
          <w:color w:val="7030A0"/>
        </w:rPr>
        <w:br w:type="page"/>
      </w:r>
    </w:p>
    <w:p w14:paraId="5A9D95CC" w14:textId="32F6FD57" w:rsidR="00C65FD3" w:rsidRDefault="00C65FD3" w:rsidP="00C65FD3">
      <w:pPr>
        <w:pStyle w:val="TableHeader"/>
        <w:spacing w:line="240" w:lineRule="auto"/>
      </w:pPr>
      <w:r>
        <w:rPr>
          <w:b/>
        </w:rPr>
        <w:t>Table 9.</w:t>
      </w:r>
      <w:r w:rsidR="00161D96">
        <w:rPr>
          <w:b/>
        </w:rPr>
        <w:t>4</w:t>
      </w:r>
      <w:r>
        <w:rPr>
          <w:b/>
        </w:rPr>
        <w:t>. Salient behavioural beliefs discouraging and encouraging use of NPS</w:t>
      </w:r>
    </w:p>
    <w:tbl>
      <w:tblPr>
        <w:tblStyle w:val="TableGrid"/>
        <w:tblW w:w="87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5813"/>
      </w:tblGrid>
      <w:tr w:rsidR="00C65FD3" w14:paraId="216FCE59" w14:textId="77777777" w:rsidTr="00C65FD3">
        <w:trPr>
          <w:trHeight w:val="366"/>
        </w:trPr>
        <w:tc>
          <w:tcPr>
            <w:tcW w:w="2977" w:type="dxa"/>
            <w:tcBorders>
              <w:top w:val="single" w:sz="4" w:space="0" w:color="auto"/>
              <w:left w:val="nil"/>
              <w:bottom w:val="single" w:sz="4" w:space="0" w:color="auto"/>
              <w:right w:val="nil"/>
            </w:tcBorders>
            <w:vAlign w:val="center"/>
            <w:hideMark/>
          </w:tcPr>
          <w:p w14:paraId="6A8896C3" w14:textId="77777777" w:rsidR="00C65FD3" w:rsidRDefault="00C65FD3">
            <w:pPr>
              <w:spacing w:before="120" w:after="120"/>
              <w:rPr>
                <w:b/>
              </w:rPr>
            </w:pPr>
            <w:r>
              <w:rPr>
                <w:b/>
              </w:rPr>
              <w:t>Organisation</w:t>
            </w:r>
          </w:p>
        </w:tc>
        <w:tc>
          <w:tcPr>
            <w:tcW w:w="5812" w:type="dxa"/>
            <w:tcBorders>
              <w:top w:val="single" w:sz="4" w:space="0" w:color="auto"/>
              <w:left w:val="nil"/>
              <w:bottom w:val="single" w:sz="4" w:space="0" w:color="auto"/>
              <w:right w:val="nil"/>
            </w:tcBorders>
            <w:vAlign w:val="center"/>
            <w:hideMark/>
          </w:tcPr>
          <w:p w14:paraId="150CA703" w14:textId="77777777" w:rsidR="00C65FD3" w:rsidRDefault="00C65FD3">
            <w:pPr>
              <w:spacing w:before="120" w:after="120"/>
              <w:rPr>
                <w:b/>
              </w:rPr>
            </w:pPr>
            <w:r>
              <w:rPr>
                <w:b/>
              </w:rPr>
              <w:t xml:space="preserve">NPS Definition </w:t>
            </w:r>
          </w:p>
        </w:tc>
      </w:tr>
      <w:tr w:rsidR="00C65FD3" w14:paraId="5F8B9035" w14:textId="77777777" w:rsidTr="00C65FD3">
        <w:trPr>
          <w:trHeight w:val="282"/>
        </w:trPr>
        <w:tc>
          <w:tcPr>
            <w:tcW w:w="2977" w:type="dxa"/>
            <w:tcBorders>
              <w:top w:val="nil"/>
              <w:left w:val="nil"/>
              <w:bottom w:val="nil"/>
              <w:right w:val="nil"/>
            </w:tcBorders>
            <w:hideMark/>
          </w:tcPr>
          <w:p w14:paraId="594BDEE8" w14:textId="77777777" w:rsidR="00C65FD3" w:rsidRDefault="00C65FD3">
            <w:pPr>
              <w:spacing w:before="120" w:after="120"/>
              <w:rPr>
                <w:sz w:val="20"/>
              </w:rPr>
            </w:pPr>
            <w:r>
              <w:rPr>
                <w:b/>
              </w:rPr>
              <w:t xml:space="preserve">UNDOC (2018) </w:t>
            </w:r>
          </w:p>
        </w:tc>
        <w:tc>
          <w:tcPr>
            <w:tcW w:w="5812" w:type="dxa"/>
            <w:tcBorders>
              <w:top w:val="nil"/>
              <w:left w:val="nil"/>
              <w:bottom w:val="nil"/>
              <w:right w:val="nil"/>
            </w:tcBorders>
            <w:hideMark/>
          </w:tcPr>
          <w:p w14:paraId="4EB35B6C" w14:textId="77777777" w:rsidR="00C65FD3" w:rsidRDefault="00C65FD3">
            <w:pPr>
              <w:spacing w:before="120" w:after="120" w:line="360" w:lineRule="auto"/>
            </w:pPr>
            <w:r>
              <w:t>Substances of abuse, either in a pure form or a preparation, that are not controlled by the 1961 Single Convention on Narcotic Drugs or the 1971 Convention on Psychotropic Substances, but which may pose a public health threat.</w:t>
            </w:r>
          </w:p>
          <w:p w14:paraId="51C722B6" w14:textId="77777777" w:rsidR="00C65FD3" w:rsidRDefault="00C65FD3" w:rsidP="00E15329">
            <w:pPr>
              <w:spacing w:line="360" w:lineRule="auto"/>
              <w:rPr>
                <w:b/>
                <w:bCs/>
              </w:rPr>
            </w:pPr>
            <w:r>
              <w:t>The term “new” does not necessarily refer to new inventions — several NPS were first synthesized 40 years ago — but to substances that have recently become available on the market.</w:t>
            </w:r>
          </w:p>
        </w:tc>
      </w:tr>
      <w:tr w:rsidR="00C65FD3" w14:paraId="57356808" w14:textId="77777777" w:rsidTr="00C65FD3">
        <w:trPr>
          <w:trHeight w:val="282"/>
        </w:trPr>
        <w:tc>
          <w:tcPr>
            <w:tcW w:w="2977" w:type="dxa"/>
            <w:tcBorders>
              <w:top w:val="single" w:sz="4" w:space="0" w:color="auto"/>
              <w:left w:val="nil"/>
              <w:bottom w:val="single" w:sz="4" w:space="0" w:color="auto"/>
              <w:right w:val="nil"/>
            </w:tcBorders>
            <w:hideMark/>
          </w:tcPr>
          <w:p w14:paraId="08283745" w14:textId="77777777" w:rsidR="00C65FD3" w:rsidRDefault="00C65FD3">
            <w:pPr>
              <w:spacing w:before="120" w:after="120"/>
              <w:rPr>
                <w:sz w:val="18"/>
              </w:rPr>
            </w:pPr>
            <w:r>
              <w:rPr>
                <w:b/>
                <w:szCs w:val="24"/>
              </w:rPr>
              <w:t>EMCDDA (2010)</w:t>
            </w:r>
          </w:p>
        </w:tc>
        <w:tc>
          <w:tcPr>
            <w:tcW w:w="5812" w:type="dxa"/>
            <w:tcBorders>
              <w:top w:val="single" w:sz="4" w:space="0" w:color="auto"/>
              <w:left w:val="nil"/>
              <w:bottom w:val="single" w:sz="4" w:space="0" w:color="auto"/>
              <w:right w:val="nil"/>
            </w:tcBorders>
            <w:hideMark/>
          </w:tcPr>
          <w:p w14:paraId="09DD08C5" w14:textId="77777777" w:rsidR="00C65FD3" w:rsidRDefault="00C65FD3">
            <w:pPr>
              <w:spacing w:before="120" w:after="160" w:line="360" w:lineRule="auto"/>
            </w:pPr>
            <w:r>
              <w:t>New psychoactive substance means a new narcotic drug or a new psychotropic drug in pure form or in a preparation.</w:t>
            </w:r>
          </w:p>
          <w:p w14:paraId="7FA6119A" w14:textId="77777777" w:rsidR="00C65FD3" w:rsidRDefault="00C65FD3">
            <w:pPr>
              <w:spacing w:after="160" w:line="360" w:lineRule="auto"/>
            </w:pPr>
            <w:r>
              <w:t xml:space="preserve">New narcotic drug means a substance in pure form or in a preparation, that has not been </w:t>
            </w:r>
            <w:bookmarkStart w:id="591" w:name="_Hlk35787471"/>
            <w:r>
              <w:t>scheduled under the 1961 United Nations Single Convention on Narcotic Drugs</w:t>
            </w:r>
            <w:bookmarkEnd w:id="591"/>
            <w:r>
              <w:t>, and that may pose a threat to public health comparable to the substances listed in Schedule I, II or IV.</w:t>
            </w:r>
          </w:p>
          <w:p w14:paraId="20FE4F50" w14:textId="77777777" w:rsidR="00C65FD3" w:rsidRDefault="00C65FD3">
            <w:pPr>
              <w:spacing w:after="160" w:line="360" w:lineRule="auto"/>
            </w:pPr>
            <w:r>
              <w:t xml:space="preserve">New psychotropic drug means a substance in pure form or in a preparation that has not been scheduled under </w:t>
            </w:r>
            <w:bookmarkStart w:id="592" w:name="_Hlk35787493"/>
            <w:r>
              <w:t>the 1971 United Nations Convention on Psychotropic Substances</w:t>
            </w:r>
            <w:bookmarkEnd w:id="592"/>
            <w:r>
              <w:t>, and that may pose a threat to public health comparable to the substances listed in Schedule I, II, III or IV.</w:t>
            </w:r>
          </w:p>
        </w:tc>
      </w:tr>
      <w:tr w:rsidR="00C65FD3" w14:paraId="089CC977" w14:textId="77777777" w:rsidTr="00C65FD3">
        <w:trPr>
          <w:trHeight w:val="282"/>
        </w:trPr>
        <w:tc>
          <w:tcPr>
            <w:tcW w:w="2977" w:type="dxa"/>
            <w:tcBorders>
              <w:top w:val="single" w:sz="4" w:space="0" w:color="auto"/>
              <w:left w:val="nil"/>
              <w:bottom w:val="single" w:sz="4" w:space="0" w:color="auto"/>
              <w:right w:val="nil"/>
            </w:tcBorders>
            <w:hideMark/>
          </w:tcPr>
          <w:p w14:paraId="36E4EF0C" w14:textId="77777777" w:rsidR="00C65FD3" w:rsidRDefault="00C65FD3">
            <w:pPr>
              <w:spacing w:before="120" w:after="120"/>
              <w:rPr>
                <w:b/>
                <w:szCs w:val="24"/>
              </w:rPr>
            </w:pPr>
            <w:r>
              <w:rPr>
                <w:b/>
                <w:szCs w:val="24"/>
              </w:rPr>
              <w:t>HM Government (2016)</w:t>
            </w:r>
          </w:p>
        </w:tc>
        <w:tc>
          <w:tcPr>
            <w:tcW w:w="5812" w:type="dxa"/>
            <w:tcBorders>
              <w:top w:val="single" w:sz="4" w:space="0" w:color="auto"/>
              <w:left w:val="nil"/>
              <w:bottom w:val="single" w:sz="4" w:space="0" w:color="auto"/>
              <w:right w:val="nil"/>
            </w:tcBorders>
            <w:hideMark/>
          </w:tcPr>
          <w:p w14:paraId="07B367AB" w14:textId="77777777" w:rsidR="00C65FD3" w:rsidRDefault="00C65FD3">
            <w:pPr>
              <w:spacing w:before="120" w:after="160" w:line="360" w:lineRule="auto"/>
            </w:pPr>
            <w:r>
              <w:rPr>
                <w:szCs w:val="24"/>
                <w:lang w:eastAsia="en-GB"/>
              </w:rPr>
              <w:t>A substance which p</w:t>
            </w:r>
            <w:r>
              <w:rPr>
                <w:color w:val="000000"/>
                <w:szCs w:val="24"/>
                <w:shd w:val="clear" w:color="auto" w:fill="FFFFFF"/>
              </w:rPr>
              <w:t xml:space="preserve">roduces a psychoactive effect in a person if, by stimulating or depressing the person’s central nervous system, it affects the person’s mental functioning or emotional state. </w:t>
            </w:r>
            <w:r>
              <w:rPr>
                <w:szCs w:val="24"/>
                <w:lang w:eastAsia="en-GB"/>
              </w:rPr>
              <w:t>Exempted substances are: medicines, alcohol, tobacco, caffeine and food.</w:t>
            </w:r>
          </w:p>
        </w:tc>
      </w:tr>
    </w:tbl>
    <w:p w14:paraId="78A62225" w14:textId="77777777" w:rsidR="00C65FD3" w:rsidRPr="00F85A3E" w:rsidRDefault="00C65FD3" w:rsidP="00C65FD3">
      <w:pPr>
        <w:spacing w:line="480" w:lineRule="auto"/>
      </w:pPr>
      <w:r w:rsidRPr="00F85A3E">
        <w:t xml:space="preserve">From the perspective of young people in the current research, the difficulties of defining NPS were irrelevant since none of the participants were familiar with the term, favouring instead the term ‘legal highs’. Despite the salience of the word legal, even before the ban, many participants understood that not all ‘legal highs’ were legal. Nevertheless, numerous comments were made regarding the confusing legal situation. While the implementation of the PS Act in the UK has rendered the sale and distribution of all NPS illegal, personal use and possession are not criminalised. However, except for one or two more knowledgeable participants, most young people assumed that the ban rendered all use and possession of NPS illegal. </w:t>
      </w:r>
    </w:p>
    <w:p w14:paraId="1878E9FF" w14:textId="77777777" w:rsidR="00C65FD3" w:rsidRPr="00F85A3E" w:rsidRDefault="00C65FD3" w:rsidP="00C65FD3">
      <w:pPr>
        <w:spacing w:line="480" w:lineRule="auto"/>
      </w:pPr>
      <w:r w:rsidRPr="00F85A3E">
        <w:t xml:space="preserve">Collectively the participants seemed to identify NPS as any recreational drug that was not cannabis, cocaine, ecstasy or heroin but there was some confusion about whether ketamine and NOS were also legal highs. In addition, participants recognised NPS as branded, packaged products, regardless of how they were acquired. Participants predominantly associated the term ‘legal high’ with synthetic cannabinoids and synthetic stimulants/cathinones. Synthetic cannabinoids were generally referred to as ‘spice’ which was used as an umbrella term for all synthetic cannabinoids. Similarly, stimulants/cathinones were known in general as ‘bath salts’ with a few specific brands/substances mentioned. </w:t>
      </w:r>
    </w:p>
    <w:p w14:paraId="71B58C1D" w14:textId="77777777" w:rsidR="00C65FD3" w:rsidRPr="00F85A3E" w:rsidRDefault="00C65FD3" w:rsidP="00C65FD3">
      <w:pPr>
        <w:spacing w:line="480" w:lineRule="auto"/>
      </w:pPr>
      <w:r w:rsidRPr="00F85A3E">
        <w:t xml:space="preserve">It seems that participants were largely distinguishing substances based on visual cues and the novelty of substances within drug markets. They had greater certainty around the status of long-established substances (not NPS) and novel brands (NPS) with the most uncertainty surrounding popular but less well-established substances such as ketamine. </w:t>
      </w:r>
    </w:p>
    <w:p w14:paraId="5CCD2261" w14:textId="77777777" w:rsidR="00C65FD3" w:rsidRPr="00F85A3E" w:rsidRDefault="00C65FD3" w:rsidP="00C65FD3">
      <w:pPr>
        <w:spacing w:line="480" w:lineRule="auto"/>
      </w:pPr>
      <w:r w:rsidRPr="00F85A3E">
        <w:t xml:space="preserve">Unlike the UNDOC and EMCDDA, participants did not define substances by their harmfulness. Synthetic cannabinoids and heroin and were commonly singled out as high risk and NOS and cannabis as low risk. Their perceptions of the risks of other substances were more ambiguous and mixed. The official definitions of NPS bore little resemblance to young people’s real-world understanding of these substances. </w:t>
      </w:r>
    </w:p>
    <w:p w14:paraId="44ACC82B" w14:textId="77777777" w:rsidR="00C65FD3" w:rsidRPr="00F85A3E" w:rsidRDefault="00C65FD3" w:rsidP="00C65FD3">
      <w:pPr>
        <w:spacing w:line="480" w:lineRule="auto"/>
      </w:pPr>
      <w:r w:rsidRPr="00F85A3E">
        <w:t xml:space="preserve">To work around the difficulty of the diversity of NPS, generic terms were being used for entire classes (e.g. synthetic cannabinoids or synthetic cathinones) of substances based on their appearance (e.g. white powders or plant materials) and/or effects (e.g. stimulants or relaxants). This is a particularly concerning development as potency, action potentials and effects can vary enormously across whole chemical classes making accurate dosing immensely difficult.   </w:t>
      </w:r>
    </w:p>
    <w:p w14:paraId="3387E6CC" w14:textId="77777777" w:rsidR="00C65FD3" w:rsidRPr="00F85A3E" w:rsidRDefault="00C65FD3" w:rsidP="00C65FD3">
      <w:pPr>
        <w:pStyle w:val="Heading3"/>
        <w:tabs>
          <w:tab w:val="left" w:pos="720"/>
        </w:tabs>
        <w:rPr>
          <w:color w:val="auto"/>
        </w:rPr>
      </w:pPr>
      <w:bookmarkStart w:id="593" w:name="_Toc35892783"/>
      <w:r w:rsidRPr="00F85A3E">
        <w:rPr>
          <w:color w:val="auto"/>
        </w:rPr>
        <w:t>Polydrug use, market displacement and unidentified substances</w:t>
      </w:r>
      <w:bookmarkEnd w:id="593"/>
      <w:r w:rsidRPr="00F85A3E">
        <w:rPr>
          <w:color w:val="auto"/>
        </w:rPr>
        <w:t xml:space="preserve"> </w:t>
      </w:r>
    </w:p>
    <w:p w14:paraId="7FADFD64" w14:textId="289AF487" w:rsidR="00C65FD3" w:rsidRPr="00F85A3E" w:rsidRDefault="00C65FD3" w:rsidP="00C65FD3">
      <w:pPr>
        <w:spacing w:line="480" w:lineRule="auto"/>
      </w:pPr>
      <w:r w:rsidRPr="00F85A3E">
        <w:t xml:space="preserve">To what extent the distinction between NPS and traditional illicit drugs mattered to the young people is unclear, their efforts to identify which substances were classed as legal highs may well have been an artefact of the research questions. Although participants were not asked about traditional drugs explicitly, they were frequently mentioned, comparisons were made </w:t>
      </w:r>
      <w:r w:rsidR="00161D96" w:rsidRPr="00F85A3E">
        <w:t>spontaneously,</w:t>
      </w:r>
      <w:r w:rsidRPr="00F85A3E">
        <w:t xml:space="preserve"> and substitution was a salient theme. This interwovenness of traditional illicit drugs and NPS in the young people’s conversations is reflective of the interdependence of drug markets in which polydrug use and displacement are commonplace.</w:t>
      </w:r>
    </w:p>
    <w:p w14:paraId="50DEEB00" w14:textId="77777777" w:rsidR="00C65FD3" w:rsidRPr="00F85A3E" w:rsidRDefault="00C65FD3" w:rsidP="00C65FD3">
      <w:pPr>
        <w:spacing w:line="480" w:lineRule="auto"/>
      </w:pPr>
      <w:r w:rsidRPr="00F85A3E">
        <w:rPr>
          <w:szCs w:val="24"/>
          <w:lang w:eastAsia="en-GB"/>
        </w:rPr>
        <w:t>Although participants made no explicit references to polydrug use, it was implicit in what they described as normal drug-taking behaviour. In their peer groups, drug use was framed as a normal recreational activity at parties, clubs, festivals and home.  Psychoactive substances were typically described as being used alongside alcohol, with stimulants/empathogens taken on nights out, then followed by the use of cannabis to relax and wind down at home.</w:t>
      </w:r>
    </w:p>
    <w:p w14:paraId="12EA3AA4" w14:textId="77777777" w:rsidR="00C65FD3" w:rsidRPr="00F85A3E" w:rsidRDefault="00C65FD3" w:rsidP="00C65FD3">
      <w:pPr>
        <w:spacing w:after="0" w:line="480" w:lineRule="auto"/>
        <w:rPr>
          <w:szCs w:val="24"/>
          <w:lang w:eastAsia="en-GB"/>
        </w:rPr>
      </w:pPr>
      <w:r w:rsidRPr="00F85A3E">
        <w:rPr>
          <w:szCs w:val="24"/>
          <w:lang w:eastAsia="en-GB"/>
        </w:rPr>
        <w:t>Despite the salience of health risks associated with NPS in participants discussions, the young people seemed to have poor awareness of the potentially harmful nature of interaction effects, dangers of mixing substances and the concurrent use of drugs and alcohol. Polydrug use is one of the most significant risk factors related to acute harms associated with NPS use (Corkery, Claridge, Loi, Goodair, &amp; Schifano, 2013) so this lack of awareness is particularly worrying.</w:t>
      </w:r>
    </w:p>
    <w:p w14:paraId="3ED85EAD" w14:textId="77777777" w:rsidR="00C65FD3" w:rsidRPr="00F85A3E" w:rsidRDefault="00C65FD3" w:rsidP="00C65FD3">
      <w:pPr>
        <w:spacing w:after="0" w:line="480" w:lineRule="auto"/>
      </w:pPr>
      <w:r w:rsidRPr="00F85A3E">
        <w:rPr>
          <w:szCs w:val="24"/>
          <w:lang w:eastAsia="en-GB"/>
        </w:rPr>
        <w:t xml:space="preserve">In contrast, participants expressed much concern about the dangerous mixes of chemicals within the products sold as legal highs. ‘Chemicals’ were perceived as dangerous and appeared to refer to adulterants (e.g. battery acid, rat poison and kitty litter) and laboratory-produced drugs (i.e. some NPS). Chemicals were contrasted with ‘natural’ plant-derived substances which were considered safer and less harmful. </w:t>
      </w:r>
      <w:r w:rsidRPr="00F85A3E">
        <w:t>In this way, substances were framed in black and white terms as either good drugs or bad drugs, where typically good drugs are natural and pure, and bad drugs are adulterated with chemicals (With the exception of heroin, which was consistently perceived as very high risk). Although collectively participants perceived NPS as high risk, the lack of nuance in participants understandings of risk indicated an absence of drug education. For example, participants seemed unaware of the growing use of NPS as cutting agents, the dangers associated with changes in the purity of popular substances and showed little awareness of harm-reduction practices.</w:t>
      </w:r>
    </w:p>
    <w:p w14:paraId="0DB4D610" w14:textId="77777777" w:rsidR="00C65FD3" w:rsidRPr="00F85A3E" w:rsidRDefault="00C65FD3" w:rsidP="00C65FD3">
      <w:pPr>
        <w:spacing w:after="0" w:line="480" w:lineRule="auto"/>
      </w:pPr>
    </w:p>
    <w:p w14:paraId="6D84D4AA" w14:textId="77777777" w:rsidR="00C65FD3" w:rsidRPr="00F85A3E" w:rsidRDefault="00C65FD3" w:rsidP="00C65FD3">
      <w:pPr>
        <w:spacing w:after="0" w:line="480" w:lineRule="auto"/>
      </w:pPr>
      <w:r w:rsidRPr="00F85A3E">
        <w:t>With the convergence of the markets for NPS and illicit drugs following the implementation of the PS Act young people may be increasingly at risk. The small amount of information they have has been developed without education and is based upon the circumstantial ideas and experiences they happen to have been exposed to, either in life or through the media.</w:t>
      </w:r>
    </w:p>
    <w:p w14:paraId="1BDF6815" w14:textId="3C688938" w:rsidR="00C65FD3" w:rsidRPr="00F85A3E" w:rsidRDefault="00C65FD3" w:rsidP="00C65FD3">
      <w:pPr>
        <w:spacing w:after="0" w:line="480" w:lineRule="auto"/>
      </w:pPr>
      <w:r w:rsidRPr="00F85A3E">
        <w:t xml:space="preserve">They are generally </w:t>
      </w:r>
      <w:r w:rsidR="002543CE" w:rsidRPr="00F85A3E">
        <w:t>naive</w:t>
      </w:r>
      <w:r w:rsidRPr="00F85A3E">
        <w:t xml:space="preserve"> as to the real risks associated with firstly</w:t>
      </w:r>
      <w:r w:rsidR="002543CE" w:rsidRPr="00F85A3E">
        <w:t>,</w:t>
      </w:r>
      <w:r w:rsidRPr="00F85A3E">
        <w:t xml:space="preserve"> the variability in ingredients and potency of seemingly homogenous substances, and the increased interactional risks this variability poses when combined with other licit or illicit substances. </w:t>
      </w:r>
    </w:p>
    <w:p w14:paraId="58875693" w14:textId="2010EAC6" w:rsidR="00C65FD3" w:rsidRPr="00F85A3E" w:rsidRDefault="00C65FD3" w:rsidP="00C65FD3">
      <w:pPr>
        <w:spacing w:after="0" w:line="480" w:lineRule="auto"/>
      </w:pPr>
      <w:r w:rsidRPr="00F85A3E">
        <w:t xml:space="preserve">Where there may once have been a time when drug harms could be taught and understood for a small group of traditional drugs with relatively well known associated harms, it seems like a more general drug education programme needs to educate young people as to the dangers of not knowing just what is in any particular substance or indeed what interactions they may have.  </w:t>
      </w:r>
    </w:p>
    <w:p w14:paraId="45CC730F" w14:textId="77777777" w:rsidR="00CF2509" w:rsidRPr="00F85A3E" w:rsidRDefault="00CF2509" w:rsidP="00CF2509">
      <w:pPr>
        <w:pStyle w:val="Heading4"/>
        <w:spacing w:line="480" w:lineRule="auto"/>
      </w:pPr>
      <w:r w:rsidRPr="00F85A3E">
        <w:t>Effects of legislative control</w:t>
      </w:r>
    </w:p>
    <w:p w14:paraId="4F66D127" w14:textId="77777777" w:rsidR="00CF2509" w:rsidRPr="00F85A3E" w:rsidRDefault="00CF2509" w:rsidP="00CF2509">
      <w:pPr>
        <w:spacing w:line="480" w:lineRule="auto"/>
      </w:pPr>
      <w:r w:rsidRPr="00F85A3E">
        <w:t>The displacement effects underscore the dynamic nature of drug markets and the complex multifaceted impacts of legislative intervention. Developing a better understanding of these impacts is vital for policy assessment and interventions design. Although small-scale studies with short follow-up times are insufficient for assessing the impact of policy (Sumnall, Evan-Brown &amp; Mcveigh, 2011) the findings of the study can nevertheless be considered in the light of policy approaches in the UK, Europe and other regions.</w:t>
      </w:r>
    </w:p>
    <w:p w14:paraId="3672A2AE" w14:textId="77777777" w:rsidR="00CF2509" w:rsidRPr="00F85A3E" w:rsidRDefault="00CF2509" w:rsidP="00CF2509">
      <w:pPr>
        <w:spacing w:line="480" w:lineRule="auto"/>
      </w:pPr>
      <w:bookmarkStart w:id="594" w:name="_Hlk35875671"/>
      <w:r w:rsidRPr="00F85A3E">
        <w:t>Although drug policies are multifaceted, the drug strategies of various countries can generally be placed on a spectrum from more liberal harm-reduction focused approaches at one end to more prohibitive prevention focused approaches at the other. In addition, while some countries have specific approaches for addressing NPS incorporated in their drug strategies most do not</w:t>
      </w:r>
      <w:bookmarkEnd w:id="594"/>
      <w:r w:rsidRPr="00F85A3E">
        <w:t xml:space="preserve">. While Portugal, the Netherlands are considered to have some of the most liberal drug policies, the UK and Sweden represent countries with far more prohibitive approaches to drugs (EMCDDA, 2019). Other counties fall somewhere between the two extremes, but Ireland offers an example of a country with a similar approach to the UK but moving toward a stronger focus on harm-reduction.  </w:t>
      </w:r>
    </w:p>
    <w:p w14:paraId="66D7BB0F" w14:textId="77777777" w:rsidR="00CF2509" w:rsidRPr="00F85A3E" w:rsidRDefault="00CF2509" w:rsidP="00CF2509">
      <w:pPr>
        <w:spacing w:line="480" w:lineRule="auto"/>
      </w:pPr>
      <w:r w:rsidRPr="00F85A3E">
        <w:t xml:space="preserve">At the furthest end of the spectrum Sweden has one of the most prohibitionist policies within the EU, with a no-tolerance approach to drugs that criminalises all drug activities including personal possession and use. There is no provision for harm-reduction within Swedish drug policy. Despite its relatively small population and low rates of drug use Sweden has an increasing number of problematic drug users with and high drug-related mortality rates (Chatwin, 2016). Usage of NPS is average for Europe. As was the case with the UK, NPS are not automatically covered by their existing drug legation. Unlike the UK Sweden has not opted to implement a blanket ban, however, and continues to rely on the scheduling of individual or groups of NPS based on risk evaluations. Research into the impact of the legal status of NPS in the Swedish context found that, as with the findings of the present research, the legal status is attractive to users (Ledberg, 2015). However, the change to illicit status as substances are brought under control seems to have a stronger deterrent effect than participants in the UK context. </w:t>
      </w:r>
    </w:p>
    <w:p w14:paraId="7D302415" w14:textId="77777777" w:rsidR="00CF2509" w:rsidRPr="00F85A3E" w:rsidRDefault="00CF2509" w:rsidP="00CF2509">
      <w:pPr>
        <w:spacing w:line="480" w:lineRule="auto"/>
      </w:pPr>
      <w:r w:rsidRPr="00F85A3E">
        <w:t xml:space="preserve">The UK has a specific focus on illicit drugs rather than a broad approach to substance use. The UK drugs strategy aims to prevent drug use and support recovery. Drug offences are criminalised except for personal possession and use. The drug-related death rate is high and increasing (EMCDDA, 2019). There are few harm-reduction measures and consumption rooms remain illegal. The priority for harm-reduction are the highest risk users of opiates who are generally in their 40’s. The UK is one of several countries to bring in a blanket ban on NPS. As with illicit drugs personal possession and use of NPS is not a criminal offence. The PS Act uses the broadest definition of NPS. Prevalence rates for NPS have reduced from 6% pre-ban to 3% post-ban and while the ban was effective in preventing open sales but there are reports of widespread displacement of substances, with increases in the harm potential of substances and increased problematic use with marginalised users (CSEW: 2018; Ralphs, Gray &amp; Norton, 2017). </w:t>
      </w:r>
    </w:p>
    <w:p w14:paraId="3AE54093" w14:textId="77777777" w:rsidR="00CF2509" w:rsidRPr="00F85A3E" w:rsidRDefault="00CF2509" w:rsidP="00CF2509">
      <w:pPr>
        <w:spacing w:line="480" w:lineRule="auto"/>
      </w:pPr>
      <w:r w:rsidRPr="00F85A3E">
        <w:t xml:space="preserve">At the opposite end of the spectrum, Portugal has the most liberal approach to drugs taking a broad perspective with harm-reduction as the main priority. Drug use is illegal but decriminalised, with a focus on treatment, recovery and rehabilitation in place of punitive measures. Drug usage and death rate are low with few problematic users. NPS prevalence is well below average at 1% (EMCDDA, 2019). Portugal has a strong focus on harm reduction with a broad range of age-specific measures. </w:t>
      </w:r>
    </w:p>
    <w:p w14:paraId="07EB267D" w14:textId="77777777" w:rsidR="00CF2509" w:rsidRPr="00F85A3E" w:rsidRDefault="00CF2509" w:rsidP="00CF2509">
      <w:pPr>
        <w:spacing w:line="480" w:lineRule="auto"/>
      </w:pPr>
      <w:r w:rsidRPr="00F85A3E">
        <w:t xml:space="preserve">The Netherlands also takes a liberal approach to drugs with a strong focus on harm-reduction and prevention.  There is an attempt to separate less harmful soft drugs and more dangerous hard drugs. Personal possession of drugs is illegal but personal possession and use tolerated. A range of prevention activities focus on schools and high risk groups are supported by complementary harm-reduction approaches. Drug prevalence and deaths are moderate but there are problematic drug users. The prevalence of NPS use is low (EMCDDA, 2019).    </w:t>
      </w:r>
    </w:p>
    <w:p w14:paraId="63305024" w14:textId="77777777" w:rsidR="00CF2509" w:rsidRPr="00F85A3E" w:rsidRDefault="00CF2509" w:rsidP="00CF2509">
      <w:pPr>
        <w:spacing w:line="480" w:lineRule="auto"/>
      </w:pPr>
      <w:r w:rsidRPr="00F85A3E">
        <w:t xml:space="preserve">In the context of this study it is significant to highlight the relative success of the Portuguese and Dutch models of control when compared to the more punitive approaches in countries such as Sweden and the UK. This thesis argues strongly for a move towards harm reduction strategies and the evidence from the experience of other countries bears this out. When it comes to the target demographic for the present study, namely young people, it is even more vital that education and harm reduction are the focus of policy as the criminalisation of young people for relatively minor offences can cause stigmatisation and potential limiting of life prospects. While harm-reduction efforts in the UK are hampered by the prohibitive political and legislative approach that has been pervasive for many years there are areas of the UK approach that can be built on. The UK places a strong emphasis on NPS monitoring and data collection and has been a pioneer in knowledge sharing with the UK Forensic Early Warning System (FEWS). Engaging with NPS users offers mutual benefit in the improvement of horizon scanning, identification of popular substances, information on harms and harm reduction information and drug testing. The changes to drug markets that have accompanied the emergence of NPS mean that the diffusion of large numbers of unknown and potentially harmful substances within drug markets is the new normal. The development of user engaged knowledge sharing and harm-reduction approaches are the logical inevitability for how best to deal with NPS.  </w:t>
      </w:r>
    </w:p>
    <w:p w14:paraId="4F7F60E6" w14:textId="77777777" w:rsidR="00CF2509" w:rsidRPr="00F85A3E" w:rsidRDefault="00CF2509" w:rsidP="00CF2509">
      <w:pPr>
        <w:pStyle w:val="Heading4"/>
        <w:spacing w:line="480" w:lineRule="auto"/>
      </w:pPr>
      <w:r w:rsidRPr="00F85A3E">
        <w:t>Motivations in an national context</w:t>
      </w:r>
    </w:p>
    <w:p w14:paraId="64B54001" w14:textId="06EBDDBB" w:rsidR="00CF2509" w:rsidRPr="00F85A3E" w:rsidRDefault="00CF2509" w:rsidP="00CF2509">
      <w:pPr>
        <w:spacing w:line="480" w:lineRule="auto"/>
      </w:pPr>
      <w:r w:rsidRPr="00F85A3E">
        <w:t>Studies of NPS user motivations across a range of countries show much consistency in the overall range reported reasons for use, with the core set of familiar factors of availability, price, legal status, pleasure, curiosity, quality and substitution re-occurring in many contexts.  What is less clear are the nuances of how people’s motives relate to different legislative, cultural and economic contexts. Patterns are emerging to some extent, legal reasons generally appear to gain significance in more restrictive contexts (Bonar et. al., 2014; Castellanos et. al., 2011; Lauritsen &amp; Rosenberg, 2016; Perrone et. al., 2013), while contextual factors seem to cluster somewhat with coping and habit (Benschop et al., 2017). However, the link between legal reasons and prohibitive context is not consistent, and possibly interacts with many factors such as user groups, substance types, naivety, age, context and more. Although the amount of studies examining users’ motivations seems to be growing rapidly there is yet to be enough data across enough contexts to map the complexity of these interactions. Although there are indications that the influence of user type or substance type may account for greater variance than context, for example, coping motives appear to be linked with marginalised users across international contexts, social motives with nightlife users and expansion motives with cyber-psychonauts (Benschop et al., 2017; Benschop et al., 2020). Similarly, experiential effects show consistency across contexts with enhancement motives best explained by stimulant use and expansion motives by psychedelics (Benschop et al., 2020).</w:t>
      </w:r>
    </w:p>
    <w:p w14:paraId="440B756A" w14:textId="21A61571" w:rsidR="00CF2509" w:rsidRPr="00F85A3E" w:rsidRDefault="00CF2509" w:rsidP="00CF2509">
      <w:pPr>
        <w:spacing w:line="480" w:lineRule="auto"/>
      </w:pPr>
      <w:r w:rsidRPr="00F85A3E">
        <w:t>However, interactions between user motivations and context can be hard to unpick as some studies emphasise internal motivations while others centre on external motives. For example, several studies have applied variations of Cooper’s (1994) Marijuana Motives Measure (MMM) to NPS use in a variety of countries (Benschop et al., 2017; Benschop et al., 2020; Soussan and Kjellgren, 2016). However, the MMM which predominately captures internal motivations and therefore influence of external contextual factors may be deemphasised. While this might be less of an issue for established drug users for whom internal motives may exert the greatest influence in familiar contexts with well-established norms and social groups the findings of our studies suggest that for young people the same might not be true. This research identified a wide range of internal motivations and external reasons that might be brought to bear on young people’s drug taking behaviour. As yet, few studies focus exclusively on young people, but the implications of this research are that young people’s developmental context and relations with caregivers, peers and autonomy present a unique set of conditions worthy of further study. Given the special attention young people receive within substance interventions, a comparative study of NPS use across a range of legislative contexts focusing specifically on young people and using a broad measure of both internal and external motivations and reasons could be of much value.</w:t>
      </w:r>
    </w:p>
    <w:p w14:paraId="5B112B4E" w14:textId="77777777" w:rsidR="00C65FD3" w:rsidRDefault="00C65FD3" w:rsidP="00C65FD3">
      <w:pPr>
        <w:pStyle w:val="Heading3"/>
        <w:tabs>
          <w:tab w:val="left" w:pos="720"/>
        </w:tabs>
      </w:pPr>
      <w:bookmarkStart w:id="595" w:name="_Toc35892784"/>
      <w:r>
        <w:t>Changes to the NPS market</w:t>
      </w:r>
      <w:bookmarkEnd w:id="589"/>
      <w:bookmarkEnd w:id="590"/>
      <w:bookmarkEnd w:id="595"/>
      <w:r>
        <w:t xml:space="preserve"> </w:t>
      </w:r>
    </w:p>
    <w:p w14:paraId="3CB72A60" w14:textId="77777777" w:rsidR="00C65FD3" w:rsidRDefault="00C65FD3" w:rsidP="00C65FD3">
      <w:pPr>
        <w:spacing w:line="480" w:lineRule="auto"/>
        <w:rPr>
          <w:color w:val="000000"/>
        </w:rPr>
      </w:pPr>
      <w:r>
        <w:rPr>
          <w:color w:val="000000"/>
        </w:rPr>
        <w:t xml:space="preserve">The differences in young people’s perceptions of NPS after the ban reflected significant changes to the NPS market, and the current situation around NPS is now very different to the situation at the outset of this research. Given the nature of the changes, there are now important questions to be asked about both the relevance of developing interventions targeted at ‘legal highs’, and the relevance of targeting young people in the general population, who appear to be shifting away from the use of branded ‘legal high’ products. However, the changes to the products and populations signify deeper issues that need to be taken into consideration if interventions are to be both ethical and effective. As we saw in Study 2, the shift away from use of NPS by more affluent users described by participants, was also associated with displacement of NPS use onto traditional illicit drugs. The substitution of one psychoactive substance for another was an unintended consequence of the ban. These compensatory dynamics highlight the systemic nature of drug markets and draws attention to the need to consider young people's behaviour and the NPS market within the wider context of interacting drug markets and systems. </w:t>
      </w:r>
    </w:p>
    <w:p w14:paraId="59E172F3" w14:textId="77777777" w:rsidR="00C65FD3" w:rsidRDefault="00C65FD3" w:rsidP="00C65FD3">
      <w:pPr>
        <w:pStyle w:val="Heading2"/>
        <w:tabs>
          <w:tab w:val="left" w:pos="720"/>
        </w:tabs>
      </w:pPr>
      <w:bookmarkStart w:id="596" w:name="_Toc9509014"/>
      <w:bookmarkStart w:id="597" w:name="_Toc9328594"/>
      <w:bookmarkStart w:id="598" w:name="_Toc35892785"/>
      <w:r>
        <w:t>Unintended consequences and the impact of the PS Act</w:t>
      </w:r>
      <w:bookmarkEnd w:id="596"/>
      <w:bookmarkEnd w:id="597"/>
      <w:bookmarkEnd w:id="598"/>
    </w:p>
    <w:p w14:paraId="3903B875" w14:textId="77777777" w:rsidR="00C65FD3" w:rsidRDefault="00C65FD3" w:rsidP="00C65FD3">
      <w:pPr>
        <w:pStyle w:val="Heading4"/>
        <w:tabs>
          <w:tab w:val="left" w:pos="720"/>
        </w:tabs>
      </w:pPr>
      <w:r>
        <w:t xml:space="preserve">The need to adopt systems thinking </w:t>
      </w:r>
    </w:p>
    <w:p w14:paraId="5EC834B9" w14:textId="77777777" w:rsidR="00C65FD3" w:rsidRDefault="00C65FD3" w:rsidP="00C65FD3">
      <w:pPr>
        <w:spacing w:line="480" w:lineRule="auto"/>
      </w:pPr>
      <w:r>
        <w:t xml:space="preserve">Drug markets are complex systems, and activities in one part affect outcomes in another (ACMD, 2015). Without taking a wider perspective, interventions run the risk of unintended negative consequences. The implementation of the PS Act has highlighted several unintended negative consequences that draw attention to important issues that need to be taken into consideration. Firstly, the shifting of NPS sales on to the black market and accompanying increase in harm potential of NPS products. Secondly, the displacement of drug use from NPS to traditional illicit drugs. Thirdly, the increased stigmatisation of disadvantaged NPS users.  </w:t>
      </w:r>
    </w:p>
    <w:p w14:paraId="419B7D57" w14:textId="77777777" w:rsidR="00C65FD3" w:rsidRDefault="00C65FD3" w:rsidP="00C65FD3">
      <w:pPr>
        <w:pStyle w:val="Heading3"/>
        <w:tabs>
          <w:tab w:val="left" w:pos="720"/>
        </w:tabs>
      </w:pPr>
      <w:bookmarkStart w:id="599" w:name="_Toc9509015"/>
      <w:bookmarkStart w:id="600" w:name="_Toc9328595"/>
      <w:bookmarkStart w:id="601" w:name="_Toc35892786"/>
      <w:r>
        <w:t>Shift of NPS sales on to the black market</w:t>
      </w:r>
      <w:bookmarkEnd w:id="599"/>
      <w:bookmarkEnd w:id="600"/>
      <w:bookmarkEnd w:id="601"/>
      <w:r>
        <w:t xml:space="preserve"> </w:t>
      </w:r>
    </w:p>
    <w:p w14:paraId="05244E2C" w14:textId="77777777" w:rsidR="00C65FD3" w:rsidRDefault="00C65FD3" w:rsidP="00C65FD3">
      <w:pPr>
        <w:spacing w:line="480" w:lineRule="auto"/>
        <w:rPr>
          <w:szCs w:val="24"/>
          <w:lang w:val="en-US"/>
        </w:rPr>
      </w:pPr>
      <w:r>
        <w:t>Critics of the PS Act were concerned that sales of NPS would be driven underground (Measham &amp; Newcombe, 2017; Stevens et al., 2015</w:t>
      </w:r>
      <w:r>
        <w:rPr>
          <w:szCs w:val="24"/>
          <w:lang w:val="en-US"/>
        </w:rPr>
        <w:t>)</w:t>
      </w:r>
      <w:r>
        <w:t>, and in line with the findings of this research, emerging evidence confirms that sales have shifted onto the black market (</w:t>
      </w:r>
      <w:r>
        <w:rPr>
          <w:szCs w:val="24"/>
          <w:lang w:val="en-US"/>
        </w:rPr>
        <w:t>DrugsWatch, 2018; EMCDDA, 2018; HM Government, 2018). The shift of sales onto the black market has several implications. The continued sales of NPS despite the ban is testament to the inability of legislative controls to prevent NPS reaching the market and indicates that NPS will be a continued concern for interventionists. In addition</w:t>
      </w:r>
      <w:r>
        <w:rPr>
          <w:color w:val="000000"/>
        </w:rPr>
        <w:t>, as a result of sales shifting onto the black market, the context of interventions has become more complex and young people encountering NPS now face greater risks. The increased harm potential of NPS is the consequence of the unscrupulous practices of black-market traders and the loss of whatever measure of quality control was maintained by commercial headshops prior to the ban (DrugsWatch, 2018). The complexity of the intervention context has increased as the nature of what constitutes a ‘legal high’ has become unclear.</w:t>
      </w:r>
    </w:p>
    <w:p w14:paraId="5CD7A01C" w14:textId="77777777" w:rsidR="00C65FD3" w:rsidRDefault="00C65FD3" w:rsidP="00C65FD3">
      <w:pPr>
        <w:spacing w:line="480" w:lineRule="auto"/>
      </w:pPr>
      <w:r>
        <w:t xml:space="preserve">As a marketing term ‘legal highs’ effectively offered a catch-all term for describing what was a heterogeneous group of hundreds of drugs, largely united by their legal status (see Chapter 2, Section 2.2). With the change in legal status, there is little to unite this group of psychoactive drugs beyond their relative novelty to authorities and drug monitoring organisations. Within the current research, young people continued to recognise the term legal highs, but it seems likely the term will lose its relevance in time. According to young people in the studies, NPS were largely distinguishable from traditional illicit drugs by the way they were sold, that is, as packaged, branded, products that could be bought online and in shops. </w:t>
      </w:r>
    </w:p>
    <w:p w14:paraId="57263FDE" w14:textId="77777777" w:rsidR="00C65FD3" w:rsidRDefault="00C65FD3" w:rsidP="00C65FD3">
      <w:pPr>
        <w:spacing w:line="480" w:lineRule="auto"/>
      </w:pPr>
      <w:r>
        <w:t xml:space="preserve">While trade in branded ‘legal high’ products continues online, sales from UK sites are limited to use of exempted substances (e.g. caffeine) and therefore differ notably from the strong psychoactive substances previously available. The NPS products previously associated with the term legal highs are now only available through black market sources. With surplus headshop stock running out, there are reports that NPS on the black market are no longer being sold in commercial packaging, but increasingly sold in the same ways as traditional illicit drugs with informal packaging such as clear bags without brand-names (DrugWise, 2017; Ralphs, Gray &amp; Norton, 2017). To further complicate matters, online retailers based outside of the UK continue to sell branded legal high products containing substances now banned in the UK. Although these sites do not ship directly to the UK, nevertheless, a strong global trade in branded NPS continues, that potentially offers lucrative opportunities for black market traders in the UK (EMCDDA, 2018). </w:t>
      </w:r>
    </w:p>
    <w:p w14:paraId="716CFE7D" w14:textId="77777777" w:rsidR="00C65FD3" w:rsidRDefault="00C65FD3" w:rsidP="00C65FD3">
      <w:pPr>
        <w:spacing w:line="480" w:lineRule="auto"/>
      </w:pPr>
      <w:r>
        <w:t>In the wake of the PS Act, UK drug markets appear to be in flux as traders and consumers adapt to the changing conditions, and although it is probable that NPS will continue to be a feature of UK drug markets, it remains to be seen to what extent sales of the sorts of branded products young people here associated with the term legal highs will continue. If sales of branded products do continue, we have yet to see whether that will include trade in products containing banned substances, whether they will remain limited to legally available stimulants, or both. Inevitably, whatever the outcome with branded packaged products, we can also expect to see numerous NPS continue to diffuse into the black market, mixed with and alongside, traditional illicit drugs and sold under a variety of slang names (Measham, 2014).</w:t>
      </w:r>
    </w:p>
    <w:p w14:paraId="7D6BEF40" w14:textId="77777777" w:rsidR="00C65FD3" w:rsidRDefault="00C65FD3" w:rsidP="00C65FD3">
      <w:pPr>
        <w:spacing w:line="480" w:lineRule="auto"/>
      </w:pPr>
      <w:r>
        <w:t xml:space="preserve">For the interventionist these changes present a challenge. For an intervention to be effective, there needs to be a common understanding of what the target of the intervention is. In addition, models, such as the social cognition models considered in this research, work best when the target behaviour is highly specified, such as targeting a person’s intention to use ‘spice’ in the next month (Ajzen, 1988). With such uncertainty of what constitutes a legal high, and how NPS will be perceived by young people in the coming years, there is a risk that the efficacy of NPS interventions will be compromised as they may not be appropriately targeted. Clearly, there is a need for researchers to engage with young people and work closely with them to remain up-to-date with their shifting perceptions of NPS as drug markets adapt to the changing conditions. </w:t>
      </w:r>
    </w:p>
    <w:p w14:paraId="30C6758B" w14:textId="77777777" w:rsidR="00C65FD3" w:rsidRDefault="00C65FD3" w:rsidP="00C65FD3">
      <w:pPr>
        <w:pStyle w:val="Heading3"/>
        <w:tabs>
          <w:tab w:val="left" w:pos="720"/>
        </w:tabs>
      </w:pPr>
      <w:bookmarkStart w:id="602" w:name="_Toc9509016"/>
      <w:bookmarkStart w:id="603" w:name="_Toc9328596"/>
      <w:bookmarkStart w:id="604" w:name="_Toc35892787"/>
      <w:r>
        <w:t>Displacement of drug use from NPS to traditional illicit drugs.</w:t>
      </w:r>
      <w:bookmarkEnd w:id="602"/>
      <w:bookmarkEnd w:id="603"/>
      <w:bookmarkEnd w:id="604"/>
      <w:r>
        <w:t xml:space="preserve"> </w:t>
      </w:r>
    </w:p>
    <w:p w14:paraId="489822BF" w14:textId="77777777" w:rsidR="00C65FD3" w:rsidRDefault="00C65FD3" w:rsidP="00C65FD3">
      <w:pPr>
        <w:spacing w:line="480" w:lineRule="auto"/>
      </w:pPr>
      <w:r>
        <w:t xml:space="preserve">While the increased levels of risk facing users now forms part of the context in which interventionists work, the processes of substitution and displacement are an ongoing concern which must be taken into account in NPS interventions. This requires an understanding of the relative costs and benefits of using the target substances compared with their possible replacements. In this work, the parameters by which young people believed comparative evaluations were made were the harmfulness, quality, cost and availability of the substances being compared. </w:t>
      </w:r>
      <w:r>
        <w:rPr>
          <w:lang w:eastAsia="en-GB"/>
        </w:rPr>
        <w:t xml:space="preserve">Evaluations of the relative harmfulness of NPS and other drugs were </w:t>
      </w:r>
      <w:r>
        <w:t xml:space="preserve">especially salient. </w:t>
      </w:r>
    </w:p>
    <w:p w14:paraId="0F79DDA5" w14:textId="77777777" w:rsidR="00C65FD3" w:rsidRDefault="00C65FD3" w:rsidP="00C65FD3">
      <w:pPr>
        <w:spacing w:line="480" w:lineRule="auto"/>
      </w:pPr>
      <w:r>
        <w:t>Ultimately the overarching goal of drug prevention is to reduce the burden of drug harms in</w:t>
      </w:r>
      <w:r>
        <w:rPr>
          <w:lang w:eastAsia="en-GB"/>
        </w:rPr>
        <w:t xml:space="preserve"> society (UNODC, 2018). However, if one harmful substance is replaced with another, potentially more harmful, substance, then displacement processes may undermine interventionists’ best efforts. To achieve the overriding objective of prevention work, there are times when a harm-reduction perspective will be most effective (Fletcher, Calafat, &amp; Pirona, 2010). It is important therefore, to be aware of the relative harm potential of the different substances available to users to prevent migration from a less dangerous substance to a more dangerous substance. For example, there is good evidence to suggest that the addiction and harm potential of several synthetic cannabinoids are considerably more harmful than naturally grown cannabis, in which case substitution might be preferable where abstinence is unlikely. On the other hand, following the ban, many branded legal highs sold openly on the surface web generally contain caffeine as the main active ingredient in place of banned NPS. Although use of these products should not be actively endorsed, an intervention that resulted in displacement from legally sold caffeine-based products onto black market brands of NPS containing potent illicit substances such as synthetic cathinones would be of concern. </w:t>
      </w:r>
    </w:p>
    <w:p w14:paraId="5138B7C4" w14:textId="77777777" w:rsidR="00C65FD3" w:rsidRDefault="00C65FD3" w:rsidP="00C65FD3">
      <w:pPr>
        <w:spacing w:line="480" w:lineRule="auto"/>
        <w:rPr>
          <w:color w:val="000000"/>
          <w:szCs w:val="24"/>
          <w:lang w:eastAsia="en-GB"/>
        </w:rPr>
      </w:pPr>
      <w:r>
        <w:rPr>
          <w:color w:val="000000"/>
          <w:szCs w:val="24"/>
          <w:lang w:eastAsia="en-GB"/>
        </w:rPr>
        <w:t xml:space="preserve">The high potential for substitution demonstrates that psychoactive substances cannot be viewed individually, and interventions must be placed within a wider contest of drug use rather than focusing on substances in isolation. Many psychoactive substances share the same risk factors, and young people willing to use one substance are more likely to use another to compensate for changes in the market or their risk perceptions (UNODOC, 2018). These compensatory effects highlight the dynamic, interactive nature of drug markets and further emphasises the value of adopting a systems perspective (ACMD, 2015). </w:t>
      </w:r>
    </w:p>
    <w:p w14:paraId="07EEB638" w14:textId="77777777" w:rsidR="00C65FD3" w:rsidRDefault="00C65FD3" w:rsidP="00C65FD3">
      <w:pPr>
        <w:pStyle w:val="Heading3"/>
        <w:tabs>
          <w:tab w:val="left" w:pos="720"/>
        </w:tabs>
      </w:pPr>
      <w:bookmarkStart w:id="605" w:name="_Toc9509017"/>
      <w:bookmarkStart w:id="606" w:name="_Toc9328597"/>
      <w:bookmarkStart w:id="607" w:name="_Toc35892788"/>
      <w:r>
        <w:t>Increased stigmatisation of disadvantaged NPS users.</w:t>
      </w:r>
      <w:bookmarkEnd w:id="605"/>
      <w:bookmarkEnd w:id="606"/>
      <w:bookmarkEnd w:id="607"/>
      <w:r>
        <w:t xml:space="preserve">  </w:t>
      </w:r>
    </w:p>
    <w:p w14:paraId="6BD137EA" w14:textId="77777777" w:rsidR="00C65FD3" w:rsidRDefault="00C65FD3" w:rsidP="00C65FD3">
      <w:pPr>
        <w:spacing w:line="480" w:lineRule="auto"/>
        <w:rPr>
          <w:color w:val="4F81BD" w:themeColor="accent1"/>
        </w:rPr>
      </w:pPr>
      <w:r>
        <w:rPr>
          <w:color w:val="000000" w:themeColor="text1"/>
        </w:rPr>
        <w:t xml:space="preserve">One of the most noticeable differences in young people’s discussions pre- and post-ban was the increased references to homeless users of NPS and the associated reputation of NPS as a cheap drug for people in poverty. With prevalence rates for NPS use reported to decline following the ban, based on measures in which the marginalised groups are systematically unrepresented, we can see that the apparent success of the ban seems to have come at the cost of the most disadvantaged users who are now exposed to greater risks. Furthermore, the increased visibility of those disproportionally affected by the negative consequences of the ban may have served to compound the situation through the processes of stigmatisation described in Study 2 (see Chapter 6, Section 6.5.1.4). The implications of this are that much of the apparent success of the ban may have less to do with the deterrent effect of the change in legal status and more to do with the stigmatisation of dependent users living in conditions of deprivation. Critics of the Government’s response to drugs point towards stigmatisation as a damaging consequence of a prohibition approach which disproportionately affects marginalised groups, further compounding social inequalities and encouraging a tendency for victim-blaming (UKDPC, 2012). </w:t>
      </w:r>
      <w:bookmarkStart w:id="608" w:name="_Hlk9252430"/>
      <w:r>
        <w:rPr>
          <w:color w:val="000000" w:themeColor="text1"/>
        </w:rPr>
        <w:t xml:space="preserve">As discussed in more depth in Study 2 (see Section 6.5), </w:t>
      </w:r>
      <w:bookmarkEnd w:id="608"/>
      <w:r>
        <w:rPr>
          <w:color w:val="000000" w:themeColor="text1"/>
        </w:rPr>
        <w:t xml:space="preserve">the disproportionately negative impact of the PS Act on marginalised and disadvantaged groups draws attention to the </w:t>
      </w:r>
      <w:r>
        <w:t>need for interventions to pay close attention to social inequalities and give careful consideration to how intervention activities may interact with processes of stigmatisation.</w:t>
      </w:r>
    </w:p>
    <w:p w14:paraId="545B0757" w14:textId="77777777" w:rsidR="00C65FD3" w:rsidRDefault="00C65FD3" w:rsidP="00C65FD3">
      <w:pPr>
        <w:pStyle w:val="Heading2"/>
        <w:tabs>
          <w:tab w:val="left" w:pos="720"/>
        </w:tabs>
      </w:pPr>
      <w:bookmarkStart w:id="609" w:name="_Toc9509018"/>
      <w:bookmarkStart w:id="610" w:name="_Toc9328598"/>
      <w:bookmarkStart w:id="611" w:name="_Toc35892789"/>
      <w:r>
        <w:t>Adopting a systems perspective</w:t>
      </w:r>
      <w:bookmarkEnd w:id="609"/>
      <w:bookmarkEnd w:id="610"/>
      <w:bookmarkEnd w:id="611"/>
      <w:r>
        <w:t xml:space="preserve"> </w:t>
      </w:r>
    </w:p>
    <w:p w14:paraId="43356DD8" w14:textId="77777777" w:rsidR="00C65FD3" w:rsidRDefault="00C65FD3" w:rsidP="00C65FD3">
      <w:pPr>
        <w:pStyle w:val="Heading3"/>
        <w:tabs>
          <w:tab w:val="left" w:pos="720"/>
        </w:tabs>
      </w:pPr>
      <w:bookmarkStart w:id="612" w:name="_Toc9509019"/>
      <w:bookmarkStart w:id="613" w:name="_Toc9328599"/>
      <w:bookmarkStart w:id="614" w:name="_Toc35892790"/>
      <w:r>
        <w:t>Complex systems</w:t>
      </w:r>
      <w:bookmarkEnd w:id="612"/>
      <w:bookmarkEnd w:id="613"/>
      <w:bookmarkEnd w:id="614"/>
      <w:r>
        <w:t xml:space="preserve"> </w:t>
      </w:r>
    </w:p>
    <w:p w14:paraId="73C3DE1E" w14:textId="77777777" w:rsidR="00C65FD3" w:rsidRDefault="00C65FD3" w:rsidP="00C65FD3">
      <w:pPr>
        <w:spacing w:line="480" w:lineRule="auto"/>
      </w:pPr>
      <w:r>
        <w:t>The negative unintended consequences associated with the PS Act has drawn attention to the complex systemic nature of drugs markets and the need to consider young people’s NPS behaviour in a wider context. A complex system is composed of multiple interdependent systems within a connected whole (e.g. the human body), it has emergent properties, feedback effects, shows adaptation and behaves in a non-linear fashion (Rutter, Savona, Glonti, et al., 2017). Complex systems are more than the sum of their parts, with emergent effects that cannot easily be directly predicted from a system’s constituent elements. For example, the changing patterns of NPS prevalence across user groups can be conceptualised as an emergent property of the availability, quality, cost, social acceptability and other systems that shape their consumption. Feedback relates to changes that reinforce, or balance, further change. For example, the ban appeared to decrease the visibility of more affluent users of NPS, which may have reduced the appeal of NPS, further decreasing their visibility, further discouraging their use, and so on. Adaptation refers to compensatory dynamics and changes in behaviour in response to interventions, such as the displacement from NPS onto traditional illicit drugs.</w:t>
      </w:r>
    </w:p>
    <w:p w14:paraId="3C2D1F42" w14:textId="77777777" w:rsidR="00C65FD3" w:rsidRDefault="00C65FD3" w:rsidP="00C65FD3">
      <w:pPr>
        <w:spacing w:line="480" w:lineRule="auto"/>
      </w:pPr>
      <w:r>
        <w:t xml:space="preserve">A complex systems perspective moves away from simple linear models of cause and effect to consideration of how processes and outcomes at key points within systems drive change (Rutter, Savona, Glonti, et al., 2017). Rather than asking whether an intervention is successful in meeting specific prevention targets (i.e. reduction in NPS use), a systems mindset would consider if and how intervention work contributes to reshaping prevention systems in favourable ways (e.g. reducing the stigma associated with use of drug services). The systems perspective considers the prevention system as a whole, and therefore appreciates that while individual activities may not influence health outcomes directly, the combined influence of co-ordinated activities and interactions between components can produce knock-on effects until a tipping point is reached (ACMD, 2015).  </w:t>
      </w:r>
    </w:p>
    <w:p w14:paraId="2A14F248" w14:textId="77777777" w:rsidR="00C65FD3" w:rsidRDefault="00C65FD3" w:rsidP="00C65FD3">
      <w:pPr>
        <w:spacing w:line="480" w:lineRule="auto"/>
      </w:pPr>
      <w:r>
        <w:t>From this perspective, the emphasis shifts from identification of individual variables that influence behaviour (although such information remains relevant) to identification of synergies and conflicts between mutually reinforcing and/or disruptive systems. The strength of this approach is that these patterns of interactions with synergistic and disruptive effects can be identified both within and across multiple levels of analysis. On one hand, we might look for synergies between individual level intervention activities and national or international prevention activities, and on the other hand, we can also look for synergies between the motivational domains on the individual level. Similarly, we can look for useful disruptions between systems both across levels or within the individual level.</w:t>
      </w:r>
    </w:p>
    <w:p w14:paraId="009F7CB1" w14:textId="77777777" w:rsidR="00C65FD3" w:rsidRDefault="00C65FD3" w:rsidP="00C65FD3">
      <w:pPr>
        <w:spacing w:line="480" w:lineRule="auto"/>
      </w:pPr>
      <w:r>
        <w:t xml:space="preserve">In the context of young people’s NPS behaviour, each motivational domain can be viewed as part of a wider system that intersects within and across levels. For example, the financial motives identified in this work can be seen as a set of interacting processes where the global economic factors supporting overseas production of low priced NPS interact with dealers’ motives to make profit and users’ need to save money.  </w:t>
      </w:r>
    </w:p>
    <w:p w14:paraId="017F3F30" w14:textId="77777777" w:rsidR="00C65FD3" w:rsidRDefault="00C65FD3" w:rsidP="00C65FD3">
      <w:pPr>
        <w:spacing w:line="480" w:lineRule="auto"/>
      </w:pPr>
      <w:r>
        <w:t xml:space="preserve">Viewing each motivational domain as part of a system draws attention to the interactions between motives which may be complementary (e.g. protect health and avoid a stigmatising drug user identity) or in conflict (e.g. protect health but face rejection by peers). These multiple motivational systems, therefore, present multiple (conflicting and complementary) goals which a young person must balance and regulate. This frames NPS use (and non-use) as the outcome of self-regulatory processes rather than the outcome of decision making. The role of the interventionist then is to shift the balance of the system though levering complementary and conflicting motivational systems to encourage and support healthy outcomes. </w:t>
      </w:r>
    </w:p>
    <w:p w14:paraId="09A7C05A" w14:textId="77777777" w:rsidR="00C65FD3" w:rsidRDefault="00C65FD3" w:rsidP="00C65FD3">
      <w:pPr>
        <w:pStyle w:val="Heading4"/>
        <w:tabs>
          <w:tab w:val="left" w:pos="720"/>
        </w:tabs>
      </w:pPr>
      <w:r>
        <w:t>From decision making to self-regulation</w:t>
      </w:r>
    </w:p>
    <w:p w14:paraId="038AE63F" w14:textId="77777777" w:rsidR="00C65FD3" w:rsidRDefault="00C65FD3" w:rsidP="00C65FD3">
      <w:pPr>
        <w:spacing w:line="480" w:lineRule="auto"/>
      </w:pPr>
      <w:r>
        <w:t xml:space="preserve">Viewing NPS use as part of self-regulatory systems draws our attention to prevention as an ongoing activity rather than a discrete moment in time. Young people are unlikely to make a single decision about whether or not they will become an NPS user or non-user but may face multiple opportunities to engage in NPS use. They may initiate use and then stop, or their level of use may vary over time with a ‘user’ also avoiding use on multiple occasions. Viewing these occasions as part of an ongoing system of self-regulation can help reduce our engagement with processes of stigmatisation that encourage delineation of users and non-users and instead encourage a focus on factors that support on-going processes of regulation. </w:t>
      </w:r>
    </w:p>
    <w:p w14:paraId="02AFA3CD" w14:textId="77777777" w:rsidR="00C65FD3" w:rsidRDefault="00C65FD3" w:rsidP="00C65FD3">
      <w:pPr>
        <w:spacing w:line="480" w:lineRule="auto"/>
      </w:pPr>
      <w:r>
        <w:t xml:space="preserve">Conceptualising NPS use as part of a self-regulatory system also draws attention to the intersections between regulatory processes at the individual level with regulatory processes at local, national and international levels. From this perspective we can see the operation of compensatory systems acting across societal levels. In other words, in their navigation of the NPS market, young people’s self-regulatory processes are currently having to compensate for a lack of regulation at commercial and Governmental levels. </w:t>
      </w:r>
    </w:p>
    <w:p w14:paraId="272BB099" w14:textId="77777777" w:rsidR="00C65FD3" w:rsidRDefault="00C65FD3" w:rsidP="00C65FD3">
      <w:pPr>
        <w:spacing w:line="480" w:lineRule="auto"/>
      </w:pPr>
      <w:r>
        <w:t>As highlighted in Study 2 was that in the absence of the typical pathway for commercial commodities (i.e. packaging, adverts, guidance instructions), social cues appeared to be compensating as an information channel for information important to self-regulation. Perceptions about risk and the quality of substances that might typically come from marketing information now come from these social cues.  This information is then able to inform young people’s expectations which shape their goals.  (Neal, Ballard &amp; Vancouver, 2017)  In identifying multiple motivations this research offers useful information about the types of goals that young people considering NPS use need to balance and highlights various cues to the prioritisation of these goals such as the relative importance of social and pleasure motives (See Chapter 8, Section 8.5). Considering these motives in the light of research on dynamic self-regulation and multiple goal pursuit (Neal, Ballard &amp; Vancouver, 2017) such as the multiple goal pursuit model (MGPM: Ballard, Yeo, Loft, et al., 2016) may offer constructive ways to build on this research. The multiple goals pursuit model provides a framework for predicting the effects of goal conflicts.  The model includes parameters which have been highlighted as especially relevant to NPS motivations in the current research (See Chapter 8, Section 8.5).  For example, key predictors in the MGPM which map onto NPS-related motives are goal type (approach-avoid) prioritisation and uncertainty (i.e. unknown effects of substances).</w:t>
      </w:r>
    </w:p>
    <w:p w14:paraId="52229A66" w14:textId="77777777" w:rsidR="00C65FD3" w:rsidRDefault="00C65FD3" w:rsidP="00C65FD3">
      <w:pPr>
        <w:pStyle w:val="Heading4"/>
        <w:tabs>
          <w:tab w:val="left" w:pos="720"/>
        </w:tabs>
      </w:pPr>
      <w:r>
        <w:t xml:space="preserve">Focusing on markets and motives </w:t>
      </w:r>
    </w:p>
    <w:p w14:paraId="148A1100" w14:textId="77777777" w:rsidR="00C65FD3" w:rsidRDefault="00C65FD3" w:rsidP="00C65FD3">
      <w:pPr>
        <w:spacing w:line="480" w:lineRule="auto"/>
      </w:pPr>
      <w:r>
        <w:t xml:space="preserve">With the disappearance of open sales of products marketed as legal highs and the diffusion of specific substances into various different markets the term ‘legal high’ is likely to become less relevant over time. In place of legal highs, the focus increasingly will need to be on unknown and generic substances and the variability of recreational drug products. From this perspective, the key differentiators are the specific markets, rather than specific populations or substances. As markets are developed around the needs of consumers, this brings potential users’ motivations into the foreground. Within the current research, several types of consumer have been noted but two groups have generally predominated; relatively affluent young people and disadvantaged street users. The key attributes which distinguish these markets appears to be quality and price, the thresholds for which appear to be the priority placed on the desire for pleasure and the need to cope (including with addiction). </w:t>
      </w:r>
    </w:p>
    <w:p w14:paraId="0FBAED97" w14:textId="77777777" w:rsidR="00C65FD3" w:rsidRDefault="00C65FD3" w:rsidP="00C65FD3">
      <w:pPr>
        <w:pStyle w:val="Heading4"/>
        <w:tabs>
          <w:tab w:val="left" w:pos="720"/>
        </w:tabs>
      </w:pPr>
      <w:r>
        <w:t xml:space="preserve">Pleasure and quality </w:t>
      </w:r>
    </w:p>
    <w:p w14:paraId="1139835D" w14:textId="77777777" w:rsidR="00C65FD3" w:rsidRDefault="00C65FD3" w:rsidP="00C65FD3">
      <w:pPr>
        <w:spacing w:line="480" w:lineRule="auto"/>
      </w:pPr>
      <w:r>
        <w:t xml:space="preserve">Young people taking part in the research described the shift away from NPS by more affluent users as the result of their ability to afford better quality drugs and the continued use of NPS by homeless users as the result of the low cost of NPS. For people whose choices were limited by poverty, the low cost of NPS was believed to be the primary reason for their use. In contrast, for more affluent users it was the quality of the drugs, not their legal status, that was the most important driver of use.  This implies that, had the quality of NPS remained high, many recreational users might have continued consuming them. For people living with deprivation and drug dependency who are targeted by black market dealers, however, the low cost of NPS was thought to be more important than the quality. </w:t>
      </w:r>
    </w:p>
    <w:p w14:paraId="66714187" w14:textId="77777777" w:rsidR="00C65FD3" w:rsidRDefault="00C65FD3" w:rsidP="00C65FD3">
      <w:pPr>
        <w:spacing w:line="480" w:lineRule="auto"/>
      </w:pPr>
      <w:r>
        <w:t>Alongside young people’s descriptions of this shift in user types, they also placed  a reduced emphasis on references to the pleasurable effects of NPS. Compared to previous research, where the quality of NPS emerged as an important reason for use, in the current research, quality did not emerge as an important theme in young people’s discussions. According to Blackman and Bradley (2017) as the quality of NPS dropped, recreational users seeking pleasurable experiences lost interest in NPS products. This suggests that the lack of emphasis on quality by the young people in the current research may not be reflective of a disinterest in the quality of substances, but that they did not associate good quality with NPS. In focusing on the substance not the market (i.e. the market for good quality recreational drugs) a primary motivation may have been deemphasised (i.e. pleasure which underlies all recreational use of drugs) and the importance of a key modifier deemphasised (i.e. quality).</w:t>
      </w:r>
    </w:p>
    <w:p w14:paraId="21EBC178" w14:textId="77777777" w:rsidR="00C65FD3" w:rsidRDefault="00C65FD3" w:rsidP="00C65FD3">
      <w:pPr>
        <w:pStyle w:val="Heading4"/>
        <w:tabs>
          <w:tab w:val="left" w:pos="720"/>
        </w:tabs>
        <w:spacing w:line="480" w:lineRule="auto"/>
      </w:pPr>
      <w:r>
        <w:t>At-risk groups</w:t>
      </w:r>
    </w:p>
    <w:p w14:paraId="6C69E1DF" w14:textId="77777777" w:rsidR="00C65FD3" w:rsidRDefault="00C65FD3" w:rsidP="00C65FD3">
      <w:pPr>
        <w:spacing w:line="480" w:lineRule="auto"/>
      </w:pPr>
      <w:r>
        <w:t>The link between NPS use and low cost highlights the vulnerability of young people with little disposable income. Within this study, young people highlighted a clear connection between NPS use and their low cost. Particularly for those facing economic pressures, the low cost of NPS was seen a key part of their appeal. Although after the ban, the appeal of low cost appeared to be linked only with disadvantaged homeless users, it should be noted that even young people who are not from disadvantaged backgrounds may be at risk due to low levels of disposable income.</w:t>
      </w:r>
    </w:p>
    <w:p w14:paraId="350B1A94" w14:textId="77777777" w:rsidR="00C65FD3" w:rsidRDefault="00C65FD3" w:rsidP="00C65FD3">
      <w:pPr>
        <w:pStyle w:val="Heading3"/>
        <w:tabs>
          <w:tab w:val="left" w:pos="720"/>
        </w:tabs>
      </w:pPr>
      <w:bookmarkStart w:id="615" w:name="_Toc9509020"/>
      <w:bookmarkStart w:id="616" w:name="_Toc9328600"/>
      <w:bookmarkStart w:id="617" w:name="_Toc35892791"/>
      <w:r>
        <w:t>Considering wider factors</w:t>
      </w:r>
      <w:bookmarkEnd w:id="615"/>
      <w:bookmarkEnd w:id="616"/>
      <w:bookmarkEnd w:id="617"/>
    </w:p>
    <w:p w14:paraId="06076F45" w14:textId="77777777" w:rsidR="00C65FD3" w:rsidRDefault="00C65FD3" w:rsidP="00C65FD3">
      <w:pPr>
        <w:spacing w:line="480" w:lineRule="auto"/>
        <w:rPr>
          <w:szCs w:val="24"/>
        </w:rPr>
      </w:pPr>
      <w:r>
        <w:rPr>
          <w:szCs w:val="24"/>
        </w:rPr>
        <w:t>The interactions between NPS and social inequalities draws attention to the need for theorists and interventionists to pay attention to wider factors beyond the psychology of individuals.  This section considers in more detail some of the ways we can situate the intervention work undertaken with individuals within a wider context</w:t>
      </w:r>
    </w:p>
    <w:p w14:paraId="664452D3" w14:textId="77777777" w:rsidR="00C65FD3" w:rsidRDefault="00C65FD3" w:rsidP="00C65FD3">
      <w:pPr>
        <w:pStyle w:val="Heading4"/>
        <w:tabs>
          <w:tab w:val="left" w:pos="720"/>
        </w:tabs>
      </w:pPr>
      <w:r>
        <w:t xml:space="preserve">NPS and social inequalities </w:t>
      </w:r>
    </w:p>
    <w:p w14:paraId="662A61A9" w14:textId="77777777" w:rsidR="00C65FD3" w:rsidRDefault="00C65FD3" w:rsidP="00C65FD3">
      <w:pPr>
        <w:spacing w:line="480" w:lineRule="auto"/>
      </w:pPr>
      <w:r>
        <w:t xml:space="preserve">Throughout the work presented in this thesis, interactions between NPS and social inequalities have been consistently highlighted. Understanding how interventions relate to social and health inequalities is vital to prevent the impact of inequalities thwarting efforts to improve people’s health outcomes. If the social determinants of health and the social determinants of health inequalities are not sufficiently accounted for, ameliorative work tackling poor health outcomes (i.e. the acute and chronic harms of drug use) may not only fail to sustain better outcomes, but also runs the risk of obscuring the link between people’s health outcomes and social inequalities that may lead to the further exacerbation of health inequalities (Holman, et al., 2017). </w:t>
      </w:r>
    </w:p>
    <w:p w14:paraId="02F177A6" w14:textId="77777777" w:rsidR="00C65FD3" w:rsidRDefault="00C65FD3" w:rsidP="00C65FD3">
      <w:pPr>
        <w:spacing w:line="480" w:lineRule="auto"/>
      </w:pPr>
      <w:r>
        <w:t>Although use of NPS in marginalised and deprived populations were noted by study participants prior to the ban, this appeared to be happening alongside NPS use across a range of socio-economic backgrounds. Within a year of the PS Act being introduced, however, the situation seemed to have changed considerably, with many users in higher SES groups responding the legislative intervention by migrating away from NPS, while NPS use became more concentrated within deprived populations (see Chapter 6, Section 6.5.1.2). It is important that interventionists remain aware of the potential for unequal outcomes in response to interventions as a result of people’s differing socio-economic conditions and further emphasis should be placed on assessing the differential effectiveness of interventions across different population subgroups (Jepson, et al., 2010).</w:t>
      </w:r>
    </w:p>
    <w:p w14:paraId="0487DA53" w14:textId="77777777" w:rsidR="00C65FD3" w:rsidRDefault="00C65FD3" w:rsidP="00C65FD3">
      <w:pPr>
        <w:spacing w:line="480" w:lineRule="auto"/>
        <w:rPr>
          <w:lang w:eastAsia="en-GB"/>
        </w:rPr>
      </w:pPr>
      <w:r>
        <w:t>The impact of social inequalities</w:t>
      </w:r>
      <w:r>
        <w:rPr>
          <w:lang w:eastAsia="en-GB"/>
        </w:rPr>
        <w:t xml:space="preserve"> become obscured when higher-level structural influences like socioeconomic position become conflated with the proximal causes of behaviour and the personal capacities of individuals. Structural factors are no longer seen as the ‘causes of the causes’ (Marmot, 2005) when they are neglected or given equal status to individual-level </w:t>
      </w:r>
      <w:r>
        <w:t>psychosocial constructs and personal characteristics</w:t>
      </w:r>
      <w:r>
        <w:rPr>
          <w:lang w:eastAsia="en-GB"/>
        </w:rPr>
        <w:t xml:space="preserve"> (Friedli, 2012; Holman et.al. 2017; Marmot et al., 2010; Popay et al., 2010). </w:t>
      </w:r>
    </w:p>
    <w:p w14:paraId="6ACF4C69" w14:textId="77777777" w:rsidR="00C65FD3" w:rsidRDefault="00C65FD3" w:rsidP="00C65FD3">
      <w:pPr>
        <w:spacing w:line="480" w:lineRule="auto"/>
      </w:pPr>
      <w:r>
        <w:t xml:space="preserve">The issue here is the reliance on individual-level factors within models for explaining drug behaviour. By framing drug use as the result of internal psychological and moral deficiencies, explanations of behaviour enable victim blaming, and so facilitate processes of stigmatisation. </w:t>
      </w:r>
      <w:r>
        <w:rPr>
          <w:color w:val="000000"/>
          <w:lang w:eastAsia="en-GB"/>
        </w:rPr>
        <w:t xml:space="preserve">Internalising explanations for drug use are clearly apparent within UK drugs strategy, which, despite acknowledging that drug misuse is both a cause and consequence of wider factors (including health, employment and housing), goes on to promote approaches which focus on building young people’s personal resilience and confidence to make the right decisions and resist risky behaviours (HM Government, 2017). While the focus on psychological factors frames drug use as the result of personal choice, a moral dimension is also invoked by framing abstinence the as ‘right’ choice. </w:t>
      </w:r>
    </w:p>
    <w:p w14:paraId="2DB35A10" w14:textId="77777777" w:rsidR="00C65FD3" w:rsidRDefault="00C65FD3" w:rsidP="00C65FD3">
      <w:pPr>
        <w:spacing w:line="480" w:lineRule="auto"/>
      </w:pPr>
      <w:r>
        <w:t>If interventions are to avoid the perpetuation of processes of stigmatisation, they need to be sensitive to the extent to which they rely on internalised explanations of people’s drug use. In this respect, the social cognition models promoted within this work are problematic. In modelling behaviour as the outcome of rational decision making, these models provide a strongly individualised understanding of behaviour which bear a striking resemblance to the ‘rational consumer’ model presented in UK Government policy papers in which avoidance of drug use is depicted as the outcome of rational decision making (ACMD, 2015; HM Government, 2010; 2016; 2017).</w:t>
      </w:r>
    </w:p>
    <w:p w14:paraId="5492E12B" w14:textId="77777777" w:rsidR="00C65FD3" w:rsidRDefault="00C65FD3" w:rsidP="00C65FD3">
      <w:pPr>
        <w:spacing w:line="480" w:lineRule="auto"/>
      </w:pPr>
      <w:r>
        <w:t xml:space="preserve">The problem lies in both the neglect of wider factors beyond the individual and the emphasis on conscious rational processes. </w:t>
      </w:r>
      <w:r>
        <w:rPr>
          <w:szCs w:val="24"/>
        </w:rPr>
        <w:t xml:space="preserve">In framing drug use as a matter of </w:t>
      </w:r>
      <w:r>
        <w:t>individual choice, responsibility for drug use is clearly placed on the individual and people are expected to be responsible for looking after their own health, and ultimately responsible for mitigating the impact of social inequalities on their health (Friedli, 2013). The focus on personal responsibility serves to shift responsibility for addressing drug harms onto the individual and away from those with the power to shape the social and economic structures that create the conditions of people’s lives (Joseph, 2013). Although the focus on rational decision making in models of social cognition is not a political move, these models nevertheless remain highly compatible with a political agenda that exists in tension with critical perspectives concerned with a social justice agenda. As a consequence, social cognition models such as the TPB have been criticised for their failure to consider wider social factors (Sheeran, Gollwitzer &amp; Bargh, 2013).</w:t>
      </w:r>
    </w:p>
    <w:p w14:paraId="21D501CB" w14:textId="77777777" w:rsidR="00C65FD3" w:rsidRDefault="00C65FD3" w:rsidP="00C65FD3">
      <w:pPr>
        <w:spacing w:line="480" w:lineRule="auto"/>
      </w:pPr>
      <w:r>
        <w:t xml:space="preserve"> The tension between a social justice perspective and the use of social cognition models places the interventionist in a difficult position. As highlighted in the current research, where they offer a good fit with the data and are validated by previous research, there is much potential value to be gained by using such theory in the development of interventions. Use of theory is strongly endorsed in guidelines on behaviour change and drug prevention to aid clarity and evaluation. Moreover, in addition to contributing towards more reliable evidence base, use of theory may also increase the chances of interventions gaining funding and support (NICE, 2007). </w:t>
      </w:r>
    </w:p>
    <w:p w14:paraId="03B2940E" w14:textId="77777777" w:rsidR="00C65FD3" w:rsidRDefault="00C65FD3" w:rsidP="00C65FD3"/>
    <w:p w14:paraId="74E67F40" w14:textId="77777777" w:rsidR="00C65FD3" w:rsidRDefault="00C65FD3" w:rsidP="00C65FD3">
      <w:pPr>
        <w:pStyle w:val="Heading4"/>
        <w:tabs>
          <w:tab w:val="left" w:pos="720"/>
        </w:tabs>
      </w:pPr>
      <w:r>
        <w:t xml:space="preserve">The need to consider autonomous processes </w:t>
      </w:r>
    </w:p>
    <w:p w14:paraId="49ACB3DC" w14:textId="77777777" w:rsidR="00C65FD3" w:rsidRDefault="00C65FD3" w:rsidP="00C65FD3">
      <w:pPr>
        <w:spacing w:line="480" w:lineRule="auto"/>
      </w:pPr>
      <w:r>
        <w:t xml:space="preserve">With regard to neglect of wider factors by social cognition models, some of the difficulty lies in the reliance on conscious rational decision making assumed in these models, and the conflation of motivation with conscious reflective processes. However, this focus is more practical than philosophical. The conflation of motivation with conscious processes in socio-cognitive accounts occurs due to theorists’ interest in the cognitive functions which differentiate one course of action from another, drawing attention to deliberative processes typically associated with conscious reflection. </w:t>
      </w:r>
    </w:p>
    <w:p w14:paraId="017CD146" w14:textId="77777777" w:rsidR="00C65FD3" w:rsidRDefault="00C65FD3" w:rsidP="00C65FD3">
      <w:pPr>
        <w:spacing w:line="480" w:lineRule="auto"/>
      </w:pPr>
      <w:r>
        <w:t>However, the assumption that such evaluative processes are predominantly conscious is not well supported by the evidence, nor is the assumption strongly backed by socio-cognitive theorists, who readily admit that, except for the most important decisions, people rarely integrate information in the way depicted in the models (e.g. Ryan, 2012). Indeed, the importance of implicit and automatic processes is gaining prominence in the rising popularity of dual-process theories which propose two distinct types of processing, generally conceived of as one rapid, intuitive, and largely subconscious system and one slower, more effortful, and typically conscious system (e.g. Evans, 2003; Kahneman, 2003; Petty &amp; Cacioppo, 1986). Further support for automatic and subconscious processes underlying motivational processes comes from findings which demonstrate that non-conscious goal pursuit shares many of the same features as conscious goal pursuit (Dijksterhuis, Aarts &amp; Chartrand, 2007). If motivation relates to processes which support goal-directed behaviour, and goal-oriented behaviour can be directed by both conscious and subconscious processes, to some extent the issue of conscious awareness diminishes as a concern.</w:t>
      </w:r>
    </w:p>
    <w:p w14:paraId="2C750F72" w14:textId="77777777" w:rsidR="00C65FD3" w:rsidRDefault="00C65FD3" w:rsidP="00C65FD3">
      <w:pPr>
        <w:spacing w:line="480" w:lineRule="auto"/>
      </w:pPr>
      <w:r>
        <w:t>Nevertheless, the issue of intentionality remains. When health risk behaviour is presented as volitional and intentional, it follows that individuals can be held fully responsible for their own health outcomes. For this reason, it is argued that it is important to pay attention to how motivation is depicted within theory, and whether it offers an account that allows for automatic in addition to reflective processes. For this reason, it is proposed that social cognition models need to be expanded to include both constructs that account for wider factors and those which account for automatic processes such as the social influences pathway proposed by the PWM (see Chapter 6 Section 5.5.2.6). It is further proposed that an adapted version of the definition of motivation provided by Schunk, Pintrich, and Meece (2008, p.13 in Ryan, 2013) to reflect automatic processes (italics for emphasis) is used:</w:t>
      </w:r>
    </w:p>
    <w:p w14:paraId="21DE57EB" w14:textId="77777777" w:rsidR="00C65FD3" w:rsidRDefault="00C65FD3" w:rsidP="00C65FD3">
      <w:pPr>
        <w:pStyle w:val="Notesstructure"/>
        <w:spacing w:line="480" w:lineRule="auto"/>
        <w:ind w:left="720"/>
        <w:rPr>
          <w:color w:val="auto"/>
        </w:rPr>
      </w:pPr>
      <w:r>
        <w:rPr>
          <w:color w:val="auto"/>
        </w:rPr>
        <w:t xml:space="preserve">Motivation refers to the </w:t>
      </w:r>
      <w:r>
        <w:rPr>
          <w:i/>
          <w:color w:val="auto"/>
        </w:rPr>
        <w:t>automatic</w:t>
      </w:r>
      <w:r>
        <w:rPr>
          <w:color w:val="auto"/>
        </w:rPr>
        <w:t xml:space="preserve"> </w:t>
      </w:r>
      <w:r>
        <w:rPr>
          <w:i/>
          <w:color w:val="auto"/>
        </w:rPr>
        <w:t>and</w:t>
      </w:r>
      <w:r>
        <w:rPr>
          <w:color w:val="auto"/>
        </w:rPr>
        <w:t xml:space="preserve"> </w:t>
      </w:r>
      <w:r>
        <w:rPr>
          <w:i/>
          <w:color w:val="auto"/>
        </w:rPr>
        <w:t>reflective</w:t>
      </w:r>
      <w:r>
        <w:rPr>
          <w:color w:val="auto"/>
        </w:rPr>
        <w:t xml:space="preserve"> processes whereby goal-directed activities are energised, directed and sustained. </w:t>
      </w:r>
    </w:p>
    <w:p w14:paraId="69DF86A2" w14:textId="77777777" w:rsidR="00C65FD3" w:rsidRDefault="00C65FD3" w:rsidP="00C65FD3">
      <w:pPr>
        <w:pStyle w:val="Notesstructure"/>
        <w:spacing w:line="480" w:lineRule="auto"/>
      </w:pPr>
      <w:r>
        <w:rPr>
          <w:color w:val="auto"/>
        </w:rPr>
        <w:t xml:space="preserve">This inclusion of automatic and reflective processes would bring our definition of motivation in line with the COM-B model of behaviour presented by Michie, Stralen, &amp; West (201)1 in the behaviour change wheel (BCW), which is a </w:t>
      </w:r>
      <w:r>
        <w:rPr>
          <w:color w:val="000000" w:themeColor="text1"/>
        </w:rPr>
        <w:t>useful tool for mapping behaviour change interventions.</w:t>
      </w:r>
      <w:r>
        <w:rPr>
          <w:color w:val="auto"/>
        </w:rPr>
        <w:t xml:space="preserve"> </w:t>
      </w:r>
      <w:r>
        <w:rPr>
          <w:color w:val="000000" w:themeColor="text1"/>
        </w:rPr>
        <w:t xml:space="preserve">Within the BCW, behaviour is conceptualised as the result of a combination of a person’s capability, opportunity and motivation. Capability is proposed to be determined by physical and psychological resources opportunity by social and physical contexts and motivation by both automatic and reflective processes. While the COM-B incorporates a set of psycho-social constructs and associated intervention functions, the model also recognises the importance of structural factors in supporting interventions, and accordingly an outer set of constructs represents policy level factors which can facilitate and constrain modes of intervention.   </w:t>
      </w:r>
      <w:r>
        <w:rPr>
          <w:color w:val="auto"/>
        </w:rPr>
        <w:t xml:space="preserve"> </w:t>
      </w:r>
    </w:p>
    <w:p w14:paraId="3F3CD625" w14:textId="77777777" w:rsidR="00C65FD3" w:rsidRDefault="00C65FD3" w:rsidP="00C65FD3">
      <w:pPr>
        <w:pStyle w:val="Heading3"/>
        <w:tabs>
          <w:tab w:val="left" w:pos="720"/>
        </w:tabs>
      </w:pPr>
      <w:bookmarkStart w:id="618" w:name="_Toc9509021"/>
      <w:bookmarkStart w:id="619" w:name="_Toc9328601"/>
      <w:bookmarkStart w:id="620" w:name="_Toc35892792"/>
      <w:r>
        <w:t>Linking with wider strategies</w:t>
      </w:r>
      <w:bookmarkEnd w:id="618"/>
      <w:bookmarkEnd w:id="619"/>
      <w:bookmarkEnd w:id="620"/>
      <w:r>
        <w:t xml:space="preserve"> </w:t>
      </w:r>
    </w:p>
    <w:p w14:paraId="1BF03125" w14:textId="77777777" w:rsidR="00C65FD3" w:rsidRDefault="00C65FD3" w:rsidP="00C65FD3">
      <w:pPr>
        <w:pStyle w:val="Notesstructure"/>
        <w:spacing w:line="480" w:lineRule="auto"/>
        <w:rPr>
          <w:color w:val="244061" w:themeColor="accent1" w:themeShade="80"/>
        </w:rPr>
      </w:pPr>
      <w:r>
        <w:rPr>
          <w:color w:val="auto"/>
        </w:rPr>
        <w:t xml:space="preserve">While the BCW encourages a focus on wider factors and structural influences, ultimately, for individual level interventions to contribute to action addressing social inequalities ameliorative work must be united with transformational change. This requires that interventions at the individual level engage with wider drug prevention and harm reduction strategies across societal levels (see Chapter 3 Section 3.7.2.4). For example, this may involve aligning activities with existing intervention action to facilitate mutually reinforcing activities or by improving knowledge exchange across stakeholder groups to find common goals, improve understanding or support advocacy activities. </w:t>
      </w:r>
    </w:p>
    <w:p w14:paraId="689A1AE7" w14:textId="77777777" w:rsidR="00C65FD3" w:rsidRDefault="00C65FD3" w:rsidP="00C65FD3">
      <w:pPr>
        <w:pStyle w:val="Heading4"/>
        <w:tabs>
          <w:tab w:val="left" w:pos="720"/>
        </w:tabs>
      </w:pPr>
      <w:r>
        <w:t>Engaging with young people</w:t>
      </w:r>
    </w:p>
    <w:p w14:paraId="7B06EE2D" w14:textId="77777777" w:rsidR="00C65FD3" w:rsidRDefault="00C65FD3" w:rsidP="00C65FD3">
      <w:pPr>
        <w:spacing w:line="480" w:lineRule="auto"/>
      </w:pPr>
      <w:r>
        <w:t xml:space="preserve">With legislative measures insufficient to prevent young people being exposed to NPS, young people effectively become the front line in preventing NPS harms. In the context of a rapidly changing dynamic drugs market, we may be dependent on those who encounter NPS in their everyday lives for the most up-to-date information about what substances are called, which substances are most popular, which are most harmful and how and where they are being consumed. As observed in the shifting situation with ‘legal highs’, where terminology and substance are in flux, and sales are increasingly taking place within hard to access peer-to-peer apps and platforms, creating a shared knowledge base will be vital for the development of effective interventions. </w:t>
      </w:r>
    </w:p>
    <w:p w14:paraId="53EC2184" w14:textId="77777777" w:rsidR="00C65FD3" w:rsidRDefault="00C65FD3" w:rsidP="00C65FD3">
      <w:pPr>
        <w:spacing w:line="480" w:lineRule="auto"/>
      </w:pPr>
      <w:r>
        <w:t>This need for engagement places a premium on collaborative ways of working such as co-production. Co-production engages with communities to work with and alongside them to address issues in partnership with researchers. Although not a new method, support for co-productive approaches is growing (Durose, Beedeejaun, Rees, et al., 2012) and has been used effectively in resilience-based interventions with young people (Hart et. al., 2016). In this context, the concept of resilience is applied from a socio-ecological perspective which conceives of resilience as residing in more than just the individual, but also the communities, environments and social structures in which they are embedded (Hart et. al., 2016; Ungar 2008). This offers an opportunity to find synergy with UK drugs strategy which recommends the use of resilience-based approaches, whilst not remaining limited to an overly individualised conception of drug use and personal responsibility for health.</w:t>
      </w:r>
    </w:p>
    <w:p w14:paraId="24CEB7D2" w14:textId="77777777" w:rsidR="00C65FD3" w:rsidRDefault="00C65FD3" w:rsidP="00C65FD3">
      <w:pPr>
        <w:spacing w:line="480" w:lineRule="auto"/>
      </w:pPr>
      <w:r>
        <w:t xml:space="preserve"> The contribution of communities can improve outcomes and enhance the effectiveness of research by making it better informed about the preferences and needs of the target population and developing more achievable solutions (Ostrom, 1996). Including young people in the co-produced materials might also improve intervention efficacy as drug prevention interventions which involve peers can be more effective (Brotherhood et. al, 2013; EMCDDA, 2011; James, 2011; Novakovic, Rutter, Ainsworth, et al., 2016; UNODC, 2018) as well as being recommended in prevention guidelines (EMCDDA, 2011; Mentor-ADEPIS, 2014; UNODC, 2018). Young people consulted in the current research also emphasised the importance of interactive, peer-based approaches to intervention, promoting collaboration between researchers and community groups in the creation of social-media-based intervention videos and documentaries.  </w:t>
      </w:r>
    </w:p>
    <w:p w14:paraId="296EB83A" w14:textId="77777777" w:rsidR="00C65FD3" w:rsidRDefault="00C65FD3" w:rsidP="00C65FD3">
      <w:pPr>
        <w:pStyle w:val="Heading2"/>
        <w:tabs>
          <w:tab w:val="left" w:pos="720"/>
        </w:tabs>
        <w:ind w:left="576" w:hanging="576"/>
      </w:pPr>
      <w:bookmarkStart w:id="621" w:name="_Toc9509022"/>
      <w:bookmarkStart w:id="622" w:name="_Toc9328602"/>
      <w:bookmarkStart w:id="623" w:name="_Toc35892793"/>
      <w:r>
        <w:t>An example approach: Multi-level strategy addressing unknown substances</w:t>
      </w:r>
      <w:bookmarkEnd w:id="621"/>
      <w:bookmarkEnd w:id="622"/>
      <w:bookmarkEnd w:id="623"/>
      <w:r>
        <w:t xml:space="preserve"> </w:t>
      </w:r>
    </w:p>
    <w:p w14:paraId="179E40BF" w14:textId="77777777" w:rsidR="00C65FD3" w:rsidRDefault="00C65FD3" w:rsidP="00C65FD3">
      <w:pPr>
        <w:spacing w:line="480" w:lineRule="auto"/>
      </w:pPr>
      <w:r>
        <w:t xml:space="preserve">Within the current research, young people recommended the development of informative documentaries and videos focusing on the dubious production and processing methods used by NPS traders and the inconsistent and harmful products created as a result. This form of intervention would offer an ideal opportunity to work collaboratively with young people to co-produce a set of intervention materials acceptable to the target audience. </w:t>
      </w:r>
    </w:p>
    <w:p w14:paraId="2D26914A" w14:textId="77777777" w:rsidR="00C65FD3" w:rsidRDefault="00C65FD3" w:rsidP="00C65FD3">
      <w:pPr>
        <w:spacing w:line="480" w:lineRule="auto"/>
      </w:pPr>
      <w:r>
        <w:t>An intervention centring on unknown and variable drug ingredients would be well placed to dovetail with existing drug-testing services offered at entertainment venues, an intervention the young people involved in this research also endorsed. Based on social marketing techniques the videos could be carefully targeted for appropriate audiences with additional signposting for drug-testing services. By conceiving of the target audience as consumers, social marketing approaches naturally bring the motivations of the target population into the foreground. Originally developed for use with low SES groups, social marketing approaches have been found to work well with populations with low incomes and have been shown to have some positive short- and medium-term outcomes in relation to illicit drug use (Botvin 1997; Ellickson 1990; 2003; Pentz 1989; Sussman 2002).</w:t>
      </w:r>
    </w:p>
    <w:p w14:paraId="3BA09CAC" w14:textId="77777777" w:rsidR="00C65FD3" w:rsidRDefault="00C65FD3" w:rsidP="00C65FD3">
      <w:pPr>
        <w:spacing w:line="480" w:lineRule="auto"/>
      </w:pPr>
      <w:r>
        <w:t>Although social marketing approaches have also been criticised for focusing on ‘downstream’ behaviour change, more recently authors have put forward the case that these techniques are also suitable for ‘midstream’ and ‘upstream’ approaches (Stead, McDemott, Angus, &amp; Hastings, 2007; Wood, 2019). Social marketing techniques resonate well with advocacy activities and just as they can be used to sell services to users, they can focus on targeting politicians, media figures, community activists, businesses and schools (Gordon, 2013; Kotler, &amp; Lee, 2008).</w:t>
      </w:r>
    </w:p>
    <w:p w14:paraId="1BA755B1" w14:textId="77777777" w:rsidR="00C65FD3" w:rsidRDefault="00C65FD3" w:rsidP="00C65FD3">
      <w:pPr>
        <w:spacing w:line="480" w:lineRule="auto"/>
      </w:pPr>
      <w:r>
        <w:t>Engaging young people in knowledge exchange with drug-testing services, entertainment venues and local councils would improve understanding of the barriers and facilitators of both service provision and service uptake. By supporting young people in an advocacy role, the capacities of both the researcher/ interventionist and young people would be developed, while the knowledge of multiple stakeholder groups would be improved. As a consequence, a wider understanding of the influences on young people’s drug-related behaviour (e.g. harm-reduction practices or service uptake) could be better modelled. In this context, the model developed in the current research (see Section 9.3.4) would offer an appropriate tool for the development of theory-based messages encouraging the uptake of drug-testing services at entertainment venues. Given the significance of young people’s relationship with authority in regard to NPS, conducting the work in the context of a community of practice that engaged young people, parents and law enforcement or festival security services could highlight useful targets for intervention. For example, this might include young people’s misperceptions about police disapproval of drug-testing services or parents’ attitudes towards such services).</w:t>
      </w:r>
    </w:p>
    <w:p w14:paraId="7D8F2DA8" w14:textId="635040D7" w:rsidR="00C65FD3" w:rsidRDefault="00C65FD3" w:rsidP="00C65FD3">
      <w:pPr>
        <w:spacing w:line="480" w:lineRule="auto"/>
      </w:pPr>
      <w:r>
        <w:t>As part of a wider drug prevention strategy, drug-testing services at entertainment venues typically use engagement with young people as an opportunity to deliver brief harm-reduction and prevention interventions. Furthermore, by improving young people’s engagement with drug testing facilities, the intervention programme could contribute to ongoing data collection by some drug-testing services which is used to inform national and international drug monitoring organisations such as the EMCDDA early warning system (EMCDDA, 2018). The EMCDDA is the primary authority for monitoring the emergence of NPS, providing policymakers with information for the development of laws and policies and alerting national warning systems of emerging threats posed by NPS. The integration of the example approach within a wider perspective is illustrated in Figure 9</w:t>
      </w:r>
      <w:r w:rsidR="00303E1C">
        <w:t>.4</w:t>
      </w:r>
      <w:r>
        <w:t>.</w:t>
      </w:r>
    </w:p>
    <w:p w14:paraId="78D7755F" w14:textId="77777777" w:rsidR="00C65FD3" w:rsidRDefault="00C65FD3" w:rsidP="00C65FD3">
      <w:pPr>
        <w:spacing w:after="0" w:line="480" w:lineRule="auto"/>
        <w:sectPr w:rsidR="00C65FD3">
          <w:pgSz w:w="11900" w:h="16840"/>
          <w:pgMar w:top="1418" w:right="1418" w:bottom="1560" w:left="1418" w:header="709" w:footer="709" w:gutter="0"/>
          <w:cols w:space="720"/>
        </w:sectPr>
      </w:pPr>
    </w:p>
    <w:p w14:paraId="7CBEBAB7" w14:textId="18F858CB" w:rsidR="00C65FD3" w:rsidRDefault="00C65FD3" w:rsidP="00C65FD3">
      <w:pPr>
        <w:pStyle w:val="FigureHeading"/>
      </w:pPr>
      <w:r>
        <w:t xml:space="preserve"> </w:t>
      </w:r>
      <w:bookmarkStart w:id="624" w:name="_Toc9509143"/>
      <w:r>
        <w:t>Figure 9</w:t>
      </w:r>
      <w:r w:rsidR="00303E1C">
        <w:t>.4</w:t>
      </w:r>
      <w:r>
        <w:t>. Integration of the wider perspective</w:t>
      </w:r>
      <w:bookmarkEnd w:id="624"/>
    </w:p>
    <w:p w14:paraId="3C0DEC67" w14:textId="13B14E04" w:rsidR="00C65FD3" w:rsidRDefault="00C65FD3" w:rsidP="00C65FD3">
      <w:pPr>
        <w:spacing w:line="480" w:lineRule="auto"/>
      </w:pPr>
      <w:r>
        <w:rPr>
          <w:noProof/>
        </w:rPr>
        <mc:AlternateContent>
          <mc:Choice Requires="wpg">
            <w:drawing>
              <wp:anchor distT="0" distB="0" distL="114300" distR="114300" simplePos="0" relativeHeight="253741056" behindDoc="0" locked="0" layoutInCell="1" allowOverlap="1" wp14:anchorId="0ADEE357" wp14:editId="05D69225">
                <wp:simplePos x="0" y="0"/>
                <wp:positionH relativeFrom="page">
                  <wp:align>center</wp:align>
                </wp:positionH>
                <wp:positionV relativeFrom="paragraph">
                  <wp:posOffset>186055</wp:posOffset>
                </wp:positionV>
                <wp:extent cx="6389370" cy="5654675"/>
                <wp:effectExtent l="0" t="0" r="11430" b="0"/>
                <wp:wrapNone/>
                <wp:docPr id="23" name="Group 23"/>
                <wp:cNvGraphicFramePr/>
                <a:graphic xmlns:a="http://schemas.openxmlformats.org/drawingml/2006/main">
                  <a:graphicData uri="http://schemas.microsoft.com/office/word/2010/wordprocessingGroup">
                    <wpg:wgp>
                      <wpg:cNvGrpSpPr/>
                      <wpg:grpSpPr>
                        <a:xfrm>
                          <a:off x="0" y="0"/>
                          <a:ext cx="6388735" cy="5633720"/>
                          <a:chOff x="0" y="0"/>
                          <a:chExt cx="6389180" cy="5633771"/>
                        </a:xfrm>
                      </wpg:grpSpPr>
                      <wpg:grpSp>
                        <wpg:cNvPr id="630" name="Group 630"/>
                        <wpg:cNvGrpSpPr/>
                        <wpg:grpSpPr>
                          <a:xfrm>
                            <a:off x="0" y="0"/>
                            <a:ext cx="6389180" cy="5633771"/>
                            <a:chOff x="0" y="0"/>
                            <a:chExt cx="6389180" cy="5633771"/>
                          </a:xfrm>
                        </wpg:grpSpPr>
                        <wps:wsp>
                          <wps:cNvPr id="632" name="Freeform: Shape 632"/>
                          <wps:cNvSpPr/>
                          <wps:spPr>
                            <a:xfrm>
                              <a:off x="85012" y="1847049"/>
                              <a:ext cx="1668987" cy="1659549"/>
                            </a:xfrm>
                            <a:custGeom>
                              <a:avLst/>
                              <a:gdLst>
                                <a:gd name="connsiteX0" fmla="*/ 0 w 1791890"/>
                                <a:gd name="connsiteY0" fmla="*/ 895945 h 1791890"/>
                                <a:gd name="connsiteX1" fmla="*/ 895945 w 1791890"/>
                                <a:gd name="connsiteY1" fmla="*/ 0 h 1791890"/>
                                <a:gd name="connsiteX2" fmla="*/ 1791890 w 1791890"/>
                                <a:gd name="connsiteY2" fmla="*/ 895945 h 1791890"/>
                                <a:gd name="connsiteX3" fmla="*/ 895945 w 1791890"/>
                                <a:gd name="connsiteY3" fmla="*/ 1791890 h 1791890"/>
                                <a:gd name="connsiteX4" fmla="*/ 0 w 1791890"/>
                                <a:gd name="connsiteY4" fmla="*/ 895945 h 179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1890" h="1791890">
                                  <a:moveTo>
                                    <a:pt x="0" y="895945"/>
                                  </a:moveTo>
                                  <a:cubicBezTo>
                                    <a:pt x="0" y="401128"/>
                                    <a:pt x="401128" y="0"/>
                                    <a:pt x="895945" y="0"/>
                                  </a:cubicBezTo>
                                  <a:cubicBezTo>
                                    <a:pt x="1390762" y="0"/>
                                    <a:pt x="1791890" y="401128"/>
                                    <a:pt x="1791890" y="895945"/>
                                  </a:cubicBezTo>
                                  <a:cubicBezTo>
                                    <a:pt x="1791890" y="1390762"/>
                                    <a:pt x="1390762" y="1791890"/>
                                    <a:pt x="895945" y="1791890"/>
                                  </a:cubicBezTo>
                                  <a:cubicBezTo>
                                    <a:pt x="401128" y="1791890"/>
                                    <a:pt x="0" y="1390762"/>
                                    <a:pt x="0" y="895945"/>
                                  </a:cubicBezTo>
                                  <a:close/>
                                </a:path>
                              </a:pathLst>
                            </a:custGeom>
                            <a:solidFill>
                              <a:schemeClr val="bg1">
                                <a:lumMod val="95000"/>
                                <a:alpha val="50000"/>
                              </a:schemeClr>
                            </a:solidFill>
                            <a:ln w="6350">
                              <a:solidFill>
                                <a:schemeClr val="tx1"/>
                              </a:solidFill>
                            </a:ln>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spcFirstLastPara="0" vert="horz" wrap="square" lIns="361030" tIns="309406" rIns="361030" bIns="309406" numCol="1" spcCol="1270" anchor="ctr" anchorCtr="0">
                            <a:noAutofit/>
                          </wps:bodyPr>
                        </wps:wsp>
                        <wps:wsp>
                          <wps:cNvPr id="633" name="Freeform: Shape 633"/>
                          <wps:cNvSpPr/>
                          <wps:spPr>
                            <a:xfrm>
                              <a:off x="1241264" y="1845206"/>
                              <a:ext cx="1668987" cy="1659549"/>
                            </a:xfrm>
                            <a:custGeom>
                              <a:avLst/>
                              <a:gdLst>
                                <a:gd name="connsiteX0" fmla="*/ 0 w 1791890"/>
                                <a:gd name="connsiteY0" fmla="*/ 895945 h 1791890"/>
                                <a:gd name="connsiteX1" fmla="*/ 895945 w 1791890"/>
                                <a:gd name="connsiteY1" fmla="*/ 0 h 1791890"/>
                                <a:gd name="connsiteX2" fmla="*/ 1791890 w 1791890"/>
                                <a:gd name="connsiteY2" fmla="*/ 895945 h 1791890"/>
                                <a:gd name="connsiteX3" fmla="*/ 895945 w 1791890"/>
                                <a:gd name="connsiteY3" fmla="*/ 1791890 h 1791890"/>
                                <a:gd name="connsiteX4" fmla="*/ 0 w 1791890"/>
                                <a:gd name="connsiteY4" fmla="*/ 895945 h 179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1890" h="1791890">
                                  <a:moveTo>
                                    <a:pt x="0" y="895945"/>
                                  </a:moveTo>
                                  <a:cubicBezTo>
                                    <a:pt x="0" y="401128"/>
                                    <a:pt x="401128" y="0"/>
                                    <a:pt x="895945" y="0"/>
                                  </a:cubicBezTo>
                                  <a:cubicBezTo>
                                    <a:pt x="1390762" y="0"/>
                                    <a:pt x="1791890" y="401128"/>
                                    <a:pt x="1791890" y="895945"/>
                                  </a:cubicBezTo>
                                  <a:cubicBezTo>
                                    <a:pt x="1791890" y="1390762"/>
                                    <a:pt x="1390762" y="1791890"/>
                                    <a:pt x="895945" y="1791890"/>
                                  </a:cubicBezTo>
                                  <a:cubicBezTo>
                                    <a:pt x="401128" y="1791890"/>
                                    <a:pt x="0" y="1390762"/>
                                    <a:pt x="0" y="895945"/>
                                  </a:cubicBezTo>
                                  <a:close/>
                                </a:path>
                              </a:pathLst>
                            </a:custGeom>
                            <a:solidFill>
                              <a:schemeClr val="bg1">
                                <a:lumMod val="95000"/>
                                <a:alpha val="50000"/>
                              </a:schemeClr>
                            </a:solidFill>
                            <a:ln w="6350">
                              <a:solidFill>
                                <a:schemeClr val="tx1"/>
                              </a:solidFill>
                            </a:ln>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spcFirstLastPara="0" vert="horz" wrap="square" lIns="361030" tIns="309406" rIns="361030" bIns="309406" numCol="1" spcCol="1270" anchor="ctr" anchorCtr="0">
                            <a:noAutofit/>
                          </wps:bodyPr>
                        </wps:wsp>
                        <wps:wsp>
                          <wps:cNvPr id="634" name="Freeform: Shape 634"/>
                          <wps:cNvSpPr/>
                          <wps:spPr>
                            <a:xfrm>
                              <a:off x="2403703" y="1845206"/>
                              <a:ext cx="1668987" cy="1659549"/>
                            </a:xfrm>
                            <a:custGeom>
                              <a:avLst/>
                              <a:gdLst>
                                <a:gd name="connsiteX0" fmla="*/ 0 w 1791890"/>
                                <a:gd name="connsiteY0" fmla="*/ 895945 h 1791890"/>
                                <a:gd name="connsiteX1" fmla="*/ 895945 w 1791890"/>
                                <a:gd name="connsiteY1" fmla="*/ 0 h 1791890"/>
                                <a:gd name="connsiteX2" fmla="*/ 1791890 w 1791890"/>
                                <a:gd name="connsiteY2" fmla="*/ 895945 h 1791890"/>
                                <a:gd name="connsiteX3" fmla="*/ 895945 w 1791890"/>
                                <a:gd name="connsiteY3" fmla="*/ 1791890 h 1791890"/>
                                <a:gd name="connsiteX4" fmla="*/ 0 w 1791890"/>
                                <a:gd name="connsiteY4" fmla="*/ 895945 h 179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1890" h="1791890">
                                  <a:moveTo>
                                    <a:pt x="0" y="895945"/>
                                  </a:moveTo>
                                  <a:cubicBezTo>
                                    <a:pt x="0" y="401128"/>
                                    <a:pt x="401128" y="0"/>
                                    <a:pt x="895945" y="0"/>
                                  </a:cubicBezTo>
                                  <a:cubicBezTo>
                                    <a:pt x="1390762" y="0"/>
                                    <a:pt x="1791890" y="401128"/>
                                    <a:pt x="1791890" y="895945"/>
                                  </a:cubicBezTo>
                                  <a:cubicBezTo>
                                    <a:pt x="1791890" y="1390762"/>
                                    <a:pt x="1390762" y="1791890"/>
                                    <a:pt x="895945" y="1791890"/>
                                  </a:cubicBezTo>
                                  <a:cubicBezTo>
                                    <a:pt x="401128" y="1791890"/>
                                    <a:pt x="0" y="1390762"/>
                                    <a:pt x="0" y="895945"/>
                                  </a:cubicBezTo>
                                  <a:close/>
                                </a:path>
                              </a:pathLst>
                            </a:custGeom>
                            <a:solidFill>
                              <a:schemeClr val="bg1">
                                <a:lumMod val="95000"/>
                                <a:alpha val="50000"/>
                              </a:schemeClr>
                            </a:solidFill>
                            <a:ln w="6350">
                              <a:solidFill>
                                <a:schemeClr val="tx1"/>
                              </a:solidFill>
                            </a:ln>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spcFirstLastPara="0" vert="horz" wrap="square" lIns="361030" tIns="309406" rIns="361030" bIns="309406" numCol="1" spcCol="1270" anchor="ctr" anchorCtr="0">
                            <a:noAutofit/>
                          </wps:bodyPr>
                        </wps:wsp>
                        <wps:wsp>
                          <wps:cNvPr id="635" name="Freeform: Shape 635"/>
                          <wps:cNvSpPr/>
                          <wps:spPr>
                            <a:xfrm>
                              <a:off x="3566141" y="1845206"/>
                              <a:ext cx="1668987" cy="1659549"/>
                            </a:xfrm>
                            <a:custGeom>
                              <a:avLst/>
                              <a:gdLst>
                                <a:gd name="connsiteX0" fmla="*/ 0 w 1791890"/>
                                <a:gd name="connsiteY0" fmla="*/ 895945 h 1791890"/>
                                <a:gd name="connsiteX1" fmla="*/ 895945 w 1791890"/>
                                <a:gd name="connsiteY1" fmla="*/ 0 h 1791890"/>
                                <a:gd name="connsiteX2" fmla="*/ 1791890 w 1791890"/>
                                <a:gd name="connsiteY2" fmla="*/ 895945 h 1791890"/>
                                <a:gd name="connsiteX3" fmla="*/ 895945 w 1791890"/>
                                <a:gd name="connsiteY3" fmla="*/ 1791890 h 1791890"/>
                                <a:gd name="connsiteX4" fmla="*/ 0 w 1791890"/>
                                <a:gd name="connsiteY4" fmla="*/ 895945 h 179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1890" h="1791890">
                                  <a:moveTo>
                                    <a:pt x="0" y="895945"/>
                                  </a:moveTo>
                                  <a:cubicBezTo>
                                    <a:pt x="0" y="401128"/>
                                    <a:pt x="401128" y="0"/>
                                    <a:pt x="895945" y="0"/>
                                  </a:cubicBezTo>
                                  <a:cubicBezTo>
                                    <a:pt x="1390762" y="0"/>
                                    <a:pt x="1791890" y="401128"/>
                                    <a:pt x="1791890" y="895945"/>
                                  </a:cubicBezTo>
                                  <a:cubicBezTo>
                                    <a:pt x="1791890" y="1390762"/>
                                    <a:pt x="1390762" y="1791890"/>
                                    <a:pt x="895945" y="1791890"/>
                                  </a:cubicBezTo>
                                  <a:cubicBezTo>
                                    <a:pt x="401128" y="1791890"/>
                                    <a:pt x="0" y="1390762"/>
                                    <a:pt x="0" y="895945"/>
                                  </a:cubicBezTo>
                                  <a:close/>
                                </a:path>
                              </a:pathLst>
                            </a:custGeom>
                            <a:solidFill>
                              <a:schemeClr val="bg1">
                                <a:lumMod val="95000"/>
                                <a:alpha val="50000"/>
                              </a:schemeClr>
                            </a:solidFill>
                            <a:ln w="6350">
                              <a:solidFill>
                                <a:schemeClr val="tx1"/>
                              </a:solidFill>
                            </a:ln>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spcFirstLastPara="0" vert="horz" wrap="square" lIns="361030" tIns="309406" rIns="361030" bIns="309406" numCol="1" spcCol="1270" anchor="ctr" anchorCtr="0">
                            <a:noAutofit/>
                          </wps:bodyPr>
                        </wps:wsp>
                        <wps:wsp>
                          <wps:cNvPr id="636" name="Freeform: Shape 636"/>
                          <wps:cNvSpPr/>
                          <wps:spPr>
                            <a:xfrm>
                              <a:off x="4720191" y="1845206"/>
                              <a:ext cx="1668987" cy="1659549"/>
                            </a:xfrm>
                            <a:custGeom>
                              <a:avLst/>
                              <a:gdLst>
                                <a:gd name="connsiteX0" fmla="*/ 0 w 1791890"/>
                                <a:gd name="connsiteY0" fmla="*/ 895945 h 1791890"/>
                                <a:gd name="connsiteX1" fmla="*/ 895945 w 1791890"/>
                                <a:gd name="connsiteY1" fmla="*/ 0 h 1791890"/>
                                <a:gd name="connsiteX2" fmla="*/ 1791890 w 1791890"/>
                                <a:gd name="connsiteY2" fmla="*/ 895945 h 1791890"/>
                                <a:gd name="connsiteX3" fmla="*/ 895945 w 1791890"/>
                                <a:gd name="connsiteY3" fmla="*/ 1791890 h 1791890"/>
                                <a:gd name="connsiteX4" fmla="*/ 0 w 1791890"/>
                                <a:gd name="connsiteY4" fmla="*/ 895945 h 179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1890" h="1791890">
                                  <a:moveTo>
                                    <a:pt x="0" y="895945"/>
                                  </a:moveTo>
                                  <a:cubicBezTo>
                                    <a:pt x="0" y="401128"/>
                                    <a:pt x="401128" y="0"/>
                                    <a:pt x="895945" y="0"/>
                                  </a:cubicBezTo>
                                  <a:cubicBezTo>
                                    <a:pt x="1390762" y="0"/>
                                    <a:pt x="1791890" y="401128"/>
                                    <a:pt x="1791890" y="895945"/>
                                  </a:cubicBezTo>
                                  <a:cubicBezTo>
                                    <a:pt x="1791890" y="1390762"/>
                                    <a:pt x="1390762" y="1791890"/>
                                    <a:pt x="895945" y="1791890"/>
                                  </a:cubicBezTo>
                                  <a:cubicBezTo>
                                    <a:pt x="401128" y="1791890"/>
                                    <a:pt x="0" y="1390762"/>
                                    <a:pt x="0" y="895945"/>
                                  </a:cubicBezTo>
                                  <a:close/>
                                </a:path>
                              </a:pathLst>
                            </a:custGeom>
                            <a:solidFill>
                              <a:schemeClr val="bg1">
                                <a:lumMod val="95000"/>
                                <a:alpha val="50000"/>
                              </a:schemeClr>
                            </a:solidFill>
                            <a:ln w="6350">
                              <a:solidFill>
                                <a:schemeClr val="tx1"/>
                              </a:solidFill>
                            </a:ln>
                          </wps:spPr>
                          <wps:style>
                            <a:lnRef idx="2">
                              <a:schemeClr val="lt1">
                                <a:hueOff val="0"/>
                                <a:satOff val="0"/>
                                <a:lumOff val="0"/>
                                <a:alphaOff val="0"/>
                              </a:schemeClr>
                            </a:lnRef>
                            <a:fillRef idx="1">
                              <a:schemeClr val="accent1">
                                <a:alpha val="50000"/>
                                <a:hueOff val="0"/>
                                <a:satOff val="0"/>
                                <a:lumOff val="0"/>
                                <a:alphaOff val="0"/>
                              </a:schemeClr>
                            </a:fillRef>
                            <a:effectRef idx="0">
                              <a:schemeClr val="accent1">
                                <a:alpha val="50000"/>
                                <a:hueOff val="0"/>
                                <a:satOff val="0"/>
                                <a:lumOff val="0"/>
                                <a:alphaOff val="0"/>
                              </a:schemeClr>
                            </a:effectRef>
                            <a:fontRef idx="minor">
                              <a:schemeClr val="tx1"/>
                            </a:fontRef>
                          </wps:style>
                          <wps:bodyPr spcFirstLastPara="0" vert="horz" wrap="square" lIns="361030" tIns="309406" rIns="361030" bIns="309406" numCol="1" spcCol="1270" anchor="ctr" anchorCtr="0">
                            <a:noAutofit/>
                          </wps:bodyPr>
                        </wps:wsp>
                        <wps:wsp>
                          <wps:cNvPr id="637" name="TextBox 10"/>
                          <wps:cNvSpPr txBox="1"/>
                          <wps:spPr>
                            <a:xfrm>
                              <a:off x="557538" y="2998890"/>
                              <a:ext cx="871220" cy="588010"/>
                            </a:xfrm>
                            <a:prstGeom prst="rect">
                              <a:avLst/>
                            </a:prstGeom>
                            <a:noFill/>
                          </wps:spPr>
                          <wps:txbx>
                            <w:txbxContent>
                              <w:p w14:paraId="452089F3" w14:textId="77777777" w:rsidR="00777EE0" w:rsidRDefault="00777EE0" w:rsidP="00C65FD3">
                                <w:pPr>
                                  <w:jc w:val="center"/>
                                  <w:rPr>
                                    <w:szCs w:val="24"/>
                                  </w:rPr>
                                </w:pPr>
                                <w:r>
                                  <w:rPr>
                                    <w:color w:val="000000" w:themeColor="text1"/>
                                    <w:kern w:val="24"/>
                                    <w:sz w:val="22"/>
                                  </w:rPr>
                                  <w:t xml:space="preserve">Cognitive attitude </w:t>
                                </w:r>
                              </w:p>
                            </w:txbxContent>
                          </wps:txbx>
                          <wps:bodyPr wrap="square" rtlCol="0">
                            <a:spAutoFit/>
                          </wps:bodyPr>
                        </wps:wsp>
                        <wps:wsp>
                          <wps:cNvPr id="638" name="TextBox 11"/>
                          <wps:cNvSpPr txBox="1"/>
                          <wps:spPr>
                            <a:xfrm>
                              <a:off x="0" y="2659706"/>
                              <a:ext cx="871220" cy="588010"/>
                            </a:xfrm>
                            <a:prstGeom prst="rect">
                              <a:avLst/>
                            </a:prstGeom>
                            <a:noFill/>
                          </wps:spPr>
                          <wps:txbx>
                            <w:txbxContent>
                              <w:p w14:paraId="0C5911A9" w14:textId="77777777" w:rsidR="00777EE0" w:rsidRDefault="00777EE0" w:rsidP="00C65FD3">
                                <w:pPr>
                                  <w:jc w:val="center"/>
                                  <w:rPr>
                                    <w:szCs w:val="24"/>
                                  </w:rPr>
                                </w:pPr>
                                <w:r>
                                  <w:rPr>
                                    <w:color w:val="000000" w:themeColor="text1"/>
                                    <w:kern w:val="24"/>
                                    <w:sz w:val="22"/>
                                  </w:rPr>
                                  <w:t xml:space="preserve">Affective  attitude </w:t>
                                </w:r>
                              </w:p>
                            </w:txbxContent>
                          </wps:txbx>
                          <wps:bodyPr wrap="square" rtlCol="0">
                            <a:spAutoFit/>
                          </wps:bodyPr>
                        </wps:wsp>
                        <wps:wsp>
                          <wps:cNvPr id="639" name="TextBox 12"/>
                          <wps:cNvSpPr txBox="1"/>
                          <wps:spPr>
                            <a:xfrm>
                              <a:off x="851058" y="2216343"/>
                              <a:ext cx="871220" cy="588010"/>
                            </a:xfrm>
                            <a:prstGeom prst="rect">
                              <a:avLst/>
                            </a:prstGeom>
                            <a:noFill/>
                          </wps:spPr>
                          <wps:txbx>
                            <w:txbxContent>
                              <w:p w14:paraId="500746D4" w14:textId="77777777" w:rsidR="00777EE0" w:rsidRDefault="00777EE0" w:rsidP="00C65FD3">
                                <w:pPr>
                                  <w:jc w:val="center"/>
                                  <w:rPr>
                                    <w:szCs w:val="24"/>
                                  </w:rPr>
                                </w:pPr>
                                <w:r>
                                  <w:rPr>
                                    <w:color w:val="000000" w:themeColor="text1"/>
                                    <w:kern w:val="24"/>
                                    <w:sz w:val="22"/>
                                  </w:rPr>
                                  <w:t xml:space="preserve">Self-efficacy </w:t>
                                </w:r>
                              </w:p>
                            </w:txbxContent>
                          </wps:txbx>
                          <wps:bodyPr wrap="square" rtlCol="0">
                            <a:spAutoFit/>
                          </wps:bodyPr>
                        </wps:wsp>
                        <wps:wsp>
                          <wps:cNvPr id="640" name="TextBox 13"/>
                          <wps:cNvSpPr txBox="1"/>
                          <wps:spPr>
                            <a:xfrm>
                              <a:off x="1295889" y="2505920"/>
                              <a:ext cx="870585" cy="588010"/>
                            </a:xfrm>
                            <a:prstGeom prst="rect">
                              <a:avLst/>
                            </a:prstGeom>
                            <a:noFill/>
                          </wps:spPr>
                          <wps:txbx>
                            <w:txbxContent>
                              <w:p w14:paraId="423502F7" w14:textId="77777777" w:rsidR="00777EE0" w:rsidRDefault="00777EE0" w:rsidP="00C65FD3">
                                <w:pPr>
                                  <w:jc w:val="center"/>
                                  <w:rPr>
                                    <w:szCs w:val="24"/>
                                  </w:rPr>
                                </w:pPr>
                                <w:r>
                                  <w:rPr>
                                    <w:color w:val="000000" w:themeColor="text1"/>
                                    <w:kern w:val="24"/>
                                    <w:sz w:val="22"/>
                                  </w:rPr>
                                  <w:t>Social norms</w:t>
                                </w:r>
                              </w:p>
                            </w:txbxContent>
                          </wps:txbx>
                          <wps:bodyPr wrap="square" rtlCol="0">
                            <a:spAutoFit/>
                          </wps:bodyPr>
                        </wps:wsp>
                        <wps:wsp>
                          <wps:cNvPr id="641" name="TextBox 14"/>
                          <wps:cNvSpPr txBox="1"/>
                          <wps:spPr>
                            <a:xfrm>
                              <a:off x="64985" y="2286298"/>
                              <a:ext cx="982980" cy="403225"/>
                            </a:xfrm>
                            <a:prstGeom prst="rect">
                              <a:avLst/>
                            </a:prstGeom>
                            <a:noFill/>
                          </wps:spPr>
                          <wps:txbx>
                            <w:txbxContent>
                              <w:p w14:paraId="06BF904E" w14:textId="77777777" w:rsidR="00777EE0" w:rsidRDefault="00777EE0" w:rsidP="00C65FD3">
                                <w:pPr>
                                  <w:jc w:val="center"/>
                                  <w:rPr>
                                    <w:szCs w:val="24"/>
                                  </w:rPr>
                                </w:pPr>
                                <w:r>
                                  <w:rPr>
                                    <w:color w:val="000000" w:themeColor="text1"/>
                                    <w:kern w:val="24"/>
                                    <w:sz w:val="22"/>
                                  </w:rPr>
                                  <w:t>Willingness</w:t>
                                </w:r>
                              </w:p>
                            </w:txbxContent>
                          </wps:txbx>
                          <wps:bodyPr wrap="square" rtlCol="0">
                            <a:spAutoFit/>
                          </wps:bodyPr>
                        </wps:wsp>
                        <wps:wsp>
                          <wps:cNvPr id="642" name="TextBox 15"/>
                          <wps:cNvSpPr txBox="1"/>
                          <wps:spPr>
                            <a:xfrm>
                              <a:off x="434400" y="1932441"/>
                              <a:ext cx="871220" cy="403225"/>
                            </a:xfrm>
                            <a:prstGeom prst="rect">
                              <a:avLst/>
                            </a:prstGeom>
                            <a:noFill/>
                          </wps:spPr>
                          <wps:txbx>
                            <w:txbxContent>
                              <w:p w14:paraId="7E0FBA41" w14:textId="77777777" w:rsidR="00777EE0" w:rsidRDefault="00777EE0" w:rsidP="00C65FD3">
                                <w:pPr>
                                  <w:jc w:val="center"/>
                                  <w:rPr>
                                    <w:szCs w:val="24"/>
                                  </w:rPr>
                                </w:pPr>
                                <w:r>
                                  <w:rPr>
                                    <w:color w:val="000000" w:themeColor="text1"/>
                                    <w:kern w:val="24"/>
                                    <w:sz w:val="22"/>
                                  </w:rPr>
                                  <w:t>Intention</w:t>
                                </w:r>
                              </w:p>
                            </w:txbxContent>
                          </wps:txbx>
                          <wps:bodyPr wrap="square" rtlCol="0">
                            <a:spAutoFit/>
                          </wps:bodyPr>
                        </wps:wsp>
                        <wps:wsp>
                          <wps:cNvPr id="643" name="TextBox 16"/>
                          <wps:cNvSpPr txBox="1"/>
                          <wps:spPr>
                            <a:xfrm>
                              <a:off x="1561450" y="1983707"/>
                              <a:ext cx="871220" cy="403225"/>
                            </a:xfrm>
                            <a:prstGeom prst="rect">
                              <a:avLst/>
                            </a:prstGeom>
                            <a:noFill/>
                          </wps:spPr>
                          <wps:txbx>
                            <w:txbxContent>
                              <w:p w14:paraId="3C69391D" w14:textId="77777777" w:rsidR="00777EE0" w:rsidRDefault="00777EE0" w:rsidP="00C65FD3">
                                <w:pPr>
                                  <w:jc w:val="center"/>
                                  <w:rPr>
                                    <w:szCs w:val="24"/>
                                  </w:rPr>
                                </w:pPr>
                                <w:r>
                                  <w:rPr>
                                    <w:color w:val="000000" w:themeColor="text1"/>
                                    <w:kern w:val="24"/>
                                    <w:sz w:val="22"/>
                                  </w:rPr>
                                  <w:t>Family</w:t>
                                </w:r>
                              </w:p>
                            </w:txbxContent>
                          </wps:txbx>
                          <wps:bodyPr wrap="square" rtlCol="0">
                            <a:spAutoFit/>
                          </wps:bodyPr>
                        </wps:wsp>
                        <wps:wsp>
                          <wps:cNvPr id="644" name="TextBox 18"/>
                          <wps:cNvSpPr txBox="1"/>
                          <wps:spPr>
                            <a:xfrm>
                              <a:off x="1983823" y="2871395"/>
                              <a:ext cx="871220" cy="403225"/>
                            </a:xfrm>
                            <a:prstGeom prst="rect">
                              <a:avLst/>
                            </a:prstGeom>
                            <a:noFill/>
                          </wps:spPr>
                          <wps:txbx>
                            <w:txbxContent>
                              <w:p w14:paraId="2BC0DDC9" w14:textId="77777777" w:rsidR="00777EE0" w:rsidRDefault="00777EE0" w:rsidP="00C65FD3">
                                <w:pPr>
                                  <w:jc w:val="center"/>
                                  <w:rPr>
                                    <w:szCs w:val="24"/>
                                  </w:rPr>
                                </w:pPr>
                                <w:r>
                                  <w:rPr>
                                    <w:color w:val="000000" w:themeColor="text1"/>
                                    <w:kern w:val="24"/>
                                    <w:sz w:val="22"/>
                                  </w:rPr>
                                  <w:t xml:space="preserve">Nightclubs </w:t>
                                </w:r>
                              </w:p>
                            </w:txbxContent>
                          </wps:txbx>
                          <wps:bodyPr wrap="square" rtlCol="0">
                            <a:spAutoFit/>
                          </wps:bodyPr>
                        </wps:wsp>
                        <wps:wsp>
                          <wps:cNvPr id="645" name="TextBox 19"/>
                          <wps:cNvSpPr txBox="1"/>
                          <wps:spPr>
                            <a:xfrm>
                              <a:off x="5286362" y="2411074"/>
                              <a:ext cx="1092200" cy="1084580"/>
                            </a:xfrm>
                            <a:prstGeom prst="rect">
                              <a:avLst/>
                            </a:prstGeom>
                            <a:noFill/>
                          </wps:spPr>
                          <wps:txbx>
                            <w:txbxContent>
                              <w:p w14:paraId="2109301A" w14:textId="77777777" w:rsidR="00777EE0" w:rsidRDefault="00777EE0" w:rsidP="00C65FD3">
                                <w:pPr>
                                  <w:jc w:val="center"/>
                                  <w:rPr>
                                    <w:szCs w:val="24"/>
                                  </w:rPr>
                                </w:pPr>
                                <w:r>
                                  <w:rPr>
                                    <w:color w:val="000000" w:themeColor="text1"/>
                                    <w:kern w:val="24"/>
                                    <w:sz w:val="22"/>
                                  </w:rPr>
                                  <w:t>International drug monitoring</w:t>
                                </w:r>
                              </w:p>
                              <w:p w14:paraId="7887253E" w14:textId="77777777" w:rsidR="00777EE0" w:rsidRDefault="00777EE0" w:rsidP="00C65FD3">
                                <w:pPr>
                                  <w:jc w:val="center"/>
                                </w:pPr>
                                <w:r>
                                  <w:rPr>
                                    <w:color w:val="000000" w:themeColor="text1"/>
                                    <w:kern w:val="24"/>
                                    <w:sz w:val="22"/>
                                  </w:rPr>
                                  <w:t xml:space="preserve">system </w:t>
                                </w:r>
                              </w:p>
                            </w:txbxContent>
                          </wps:txbx>
                          <wps:bodyPr wrap="square" rtlCol="0">
                            <a:spAutoFit/>
                          </wps:bodyPr>
                        </wps:wsp>
                        <wps:wsp>
                          <wps:cNvPr id="646" name="TextBox 20"/>
                          <wps:cNvSpPr txBox="1"/>
                          <wps:spPr>
                            <a:xfrm>
                              <a:off x="5061430" y="1929986"/>
                              <a:ext cx="870585" cy="588010"/>
                            </a:xfrm>
                            <a:prstGeom prst="rect">
                              <a:avLst/>
                            </a:prstGeom>
                            <a:noFill/>
                          </wps:spPr>
                          <wps:txbx>
                            <w:txbxContent>
                              <w:p w14:paraId="73ACA685" w14:textId="77777777" w:rsidR="00777EE0" w:rsidRDefault="00777EE0" w:rsidP="00C65FD3">
                                <w:pPr>
                                  <w:jc w:val="center"/>
                                  <w:rPr>
                                    <w:szCs w:val="24"/>
                                  </w:rPr>
                                </w:pPr>
                                <w:r>
                                  <w:rPr>
                                    <w:color w:val="000000" w:themeColor="text1"/>
                                    <w:kern w:val="24"/>
                                    <w:sz w:val="22"/>
                                  </w:rPr>
                                  <w:t xml:space="preserve">UK drug strategy </w:t>
                                </w:r>
                              </w:p>
                            </w:txbxContent>
                          </wps:txbx>
                          <wps:bodyPr wrap="square" rtlCol="0">
                            <a:spAutoFit/>
                          </wps:bodyPr>
                        </wps:wsp>
                        <wps:wsp>
                          <wps:cNvPr id="647" name="TextBox 22"/>
                          <wps:cNvSpPr txBox="1"/>
                          <wps:spPr>
                            <a:xfrm>
                              <a:off x="4529695" y="2527440"/>
                              <a:ext cx="871220" cy="588010"/>
                            </a:xfrm>
                            <a:prstGeom prst="rect">
                              <a:avLst/>
                            </a:prstGeom>
                            <a:noFill/>
                          </wps:spPr>
                          <wps:txbx>
                            <w:txbxContent>
                              <w:p w14:paraId="417D24D7" w14:textId="77777777" w:rsidR="00777EE0" w:rsidRDefault="00777EE0" w:rsidP="00C65FD3">
                                <w:pPr>
                                  <w:jc w:val="center"/>
                                  <w:rPr>
                                    <w:szCs w:val="24"/>
                                  </w:rPr>
                                </w:pPr>
                                <w:r>
                                  <w:rPr>
                                    <w:color w:val="000000" w:themeColor="text1"/>
                                    <w:kern w:val="24"/>
                                    <w:sz w:val="22"/>
                                  </w:rPr>
                                  <w:t>Societal norms</w:t>
                                </w:r>
                              </w:p>
                            </w:txbxContent>
                          </wps:txbx>
                          <wps:bodyPr wrap="square" rtlCol="0">
                            <a:spAutoFit/>
                          </wps:bodyPr>
                        </wps:wsp>
                        <wps:wsp>
                          <wps:cNvPr id="648" name="TextBox 23"/>
                          <wps:cNvSpPr txBox="1"/>
                          <wps:spPr>
                            <a:xfrm>
                              <a:off x="1527086" y="3109983"/>
                              <a:ext cx="870585" cy="403225"/>
                            </a:xfrm>
                            <a:prstGeom prst="rect">
                              <a:avLst/>
                            </a:prstGeom>
                            <a:noFill/>
                          </wps:spPr>
                          <wps:txbx>
                            <w:txbxContent>
                              <w:p w14:paraId="78FB34ED" w14:textId="77777777" w:rsidR="00777EE0" w:rsidRDefault="00777EE0" w:rsidP="00C65FD3">
                                <w:pPr>
                                  <w:jc w:val="center"/>
                                  <w:rPr>
                                    <w:szCs w:val="24"/>
                                  </w:rPr>
                                </w:pPr>
                                <w:r>
                                  <w:rPr>
                                    <w:color w:val="000000" w:themeColor="text1"/>
                                    <w:kern w:val="24"/>
                                    <w:sz w:val="22"/>
                                  </w:rPr>
                                  <w:t xml:space="preserve">Peers </w:t>
                                </w:r>
                              </w:p>
                            </w:txbxContent>
                          </wps:txbx>
                          <wps:bodyPr wrap="square" rtlCol="0">
                            <a:spAutoFit/>
                          </wps:bodyPr>
                        </wps:wsp>
                        <wps:wsp>
                          <wps:cNvPr id="649" name="TextBox 24"/>
                          <wps:cNvSpPr txBox="1"/>
                          <wps:spPr>
                            <a:xfrm>
                              <a:off x="2006993" y="2164579"/>
                              <a:ext cx="926465" cy="403225"/>
                            </a:xfrm>
                            <a:prstGeom prst="rect">
                              <a:avLst/>
                            </a:prstGeom>
                            <a:noFill/>
                          </wps:spPr>
                          <wps:txbx>
                            <w:txbxContent>
                              <w:p w14:paraId="582A6CB8" w14:textId="77777777" w:rsidR="00777EE0" w:rsidRDefault="00777EE0" w:rsidP="00C65FD3">
                                <w:pPr>
                                  <w:jc w:val="center"/>
                                  <w:rPr>
                                    <w:szCs w:val="24"/>
                                  </w:rPr>
                                </w:pPr>
                                <w:r>
                                  <w:rPr>
                                    <w:color w:val="000000" w:themeColor="text1"/>
                                    <w:kern w:val="24"/>
                                    <w:sz w:val="22"/>
                                  </w:rPr>
                                  <w:t>Community</w:t>
                                </w:r>
                              </w:p>
                            </w:txbxContent>
                          </wps:txbx>
                          <wps:bodyPr wrap="square" rtlCol="0">
                            <a:spAutoFit/>
                          </wps:bodyPr>
                        </wps:wsp>
                        <wps:wsp>
                          <wps:cNvPr id="650" name="TextBox 25"/>
                          <wps:cNvSpPr txBox="1"/>
                          <wps:spPr>
                            <a:xfrm>
                              <a:off x="3249937" y="2805650"/>
                              <a:ext cx="871220" cy="588010"/>
                            </a:xfrm>
                            <a:prstGeom prst="rect">
                              <a:avLst/>
                            </a:prstGeom>
                            <a:noFill/>
                          </wps:spPr>
                          <wps:txbx>
                            <w:txbxContent>
                              <w:p w14:paraId="6E99BC29" w14:textId="77777777" w:rsidR="00777EE0" w:rsidRDefault="00777EE0" w:rsidP="00C65FD3">
                                <w:pPr>
                                  <w:jc w:val="center"/>
                                  <w:rPr>
                                    <w:szCs w:val="24"/>
                                  </w:rPr>
                                </w:pPr>
                                <w:r>
                                  <w:rPr>
                                    <w:color w:val="000000" w:themeColor="text1"/>
                                    <w:kern w:val="24"/>
                                    <w:sz w:val="22"/>
                                  </w:rPr>
                                  <w:t>Cultural norms</w:t>
                                </w:r>
                              </w:p>
                            </w:txbxContent>
                          </wps:txbx>
                          <wps:bodyPr wrap="square" rtlCol="0">
                            <a:spAutoFit/>
                          </wps:bodyPr>
                        </wps:wsp>
                        <wps:wsp>
                          <wps:cNvPr id="651" name="TextBox 26"/>
                          <wps:cNvSpPr txBox="1"/>
                          <wps:spPr>
                            <a:xfrm>
                              <a:off x="3230678" y="2186315"/>
                              <a:ext cx="870585" cy="588010"/>
                            </a:xfrm>
                            <a:prstGeom prst="rect">
                              <a:avLst/>
                            </a:prstGeom>
                            <a:noFill/>
                          </wps:spPr>
                          <wps:txbx>
                            <w:txbxContent>
                              <w:p w14:paraId="1AD471A0" w14:textId="77777777" w:rsidR="00777EE0" w:rsidRDefault="00777EE0" w:rsidP="00C65FD3">
                                <w:pPr>
                                  <w:jc w:val="center"/>
                                  <w:rPr>
                                    <w:szCs w:val="24"/>
                                  </w:rPr>
                                </w:pPr>
                                <w:r>
                                  <w:rPr>
                                    <w:color w:val="000000" w:themeColor="text1"/>
                                    <w:kern w:val="24"/>
                                    <w:sz w:val="22"/>
                                  </w:rPr>
                                  <w:t xml:space="preserve">Local council </w:t>
                                </w:r>
                              </w:p>
                            </w:txbxContent>
                          </wps:txbx>
                          <wps:bodyPr wrap="square" rtlCol="0">
                            <a:spAutoFit/>
                          </wps:bodyPr>
                        </wps:wsp>
                        <wps:wsp>
                          <wps:cNvPr id="652" name="TextBox 27"/>
                          <wps:cNvSpPr txBox="1"/>
                          <wps:spPr>
                            <a:xfrm>
                              <a:off x="3913800" y="1980632"/>
                              <a:ext cx="972185" cy="899795"/>
                            </a:xfrm>
                            <a:prstGeom prst="rect">
                              <a:avLst/>
                            </a:prstGeom>
                            <a:noFill/>
                          </wps:spPr>
                          <wps:txbx>
                            <w:txbxContent>
                              <w:p w14:paraId="6317BCFF" w14:textId="77777777" w:rsidR="00777EE0" w:rsidRDefault="00777EE0" w:rsidP="00C65FD3">
                                <w:pPr>
                                  <w:jc w:val="center"/>
                                  <w:rPr>
                                    <w:szCs w:val="24"/>
                                  </w:rPr>
                                </w:pPr>
                                <w:r>
                                  <w:rPr>
                                    <w:color w:val="000000" w:themeColor="text1"/>
                                    <w:kern w:val="24"/>
                                    <w:sz w:val="22"/>
                                  </w:rPr>
                                  <w:t>National drug early warning</w:t>
                                </w:r>
                              </w:p>
                              <w:p w14:paraId="20BA737B" w14:textId="77777777" w:rsidR="00777EE0" w:rsidRDefault="00777EE0" w:rsidP="00C65FD3">
                                <w:pPr>
                                  <w:jc w:val="center"/>
                                </w:pPr>
                                <w:r>
                                  <w:rPr>
                                    <w:color w:val="000000" w:themeColor="text1"/>
                                    <w:kern w:val="24"/>
                                    <w:sz w:val="22"/>
                                  </w:rPr>
                                  <w:t xml:space="preserve">System   </w:t>
                                </w:r>
                              </w:p>
                            </w:txbxContent>
                          </wps:txbx>
                          <wps:bodyPr wrap="square" rtlCol="0">
                            <a:spAutoFit/>
                          </wps:bodyPr>
                        </wps:wsp>
                        <wps:wsp>
                          <wps:cNvPr id="653" name="TextBox 28"/>
                          <wps:cNvSpPr txBox="1"/>
                          <wps:spPr>
                            <a:xfrm>
                              <a:off x="5019816" y="3069107"/>
                              <a:ext cx="871220" cy="403225"/>
                            </a:xfrm>
                            <a:prstGeom prst="rect">
                              <a:avLst/>
                            </a:prstGeom>
                            <a:noFill/>
                          </wps:spPr>
                          <wps:txbx>
                            <w:txbxContent>
                              <w:p w14:paraId="2BECFE4A" w14:textId="77777777" w:rsidR="00777EE0" w:rsidRDefault="00777EE0" w:rsidP="00C65FD3">
                                <w:pPr>
                                  <w:jc w:val="center"/>
                                  <w:rPr>
                                    <w:szCs w:val="24"/>
                                  </w:rPr>
                                </w:pPr>
                                <w:r>
                                  <w:rPr>
                                    <w:color w:val="000000" w:themeColor="text1"/>
                                    <w:kern w:val="24"/>
                                    <w:sz w:val="22"/>
                                  </w:rPr>
                                  <w:t>Regulation</w:t>
                                </w:r>
                              </w:p>
                            </w:txbxContent>
                          </wps:txbx>
                          <wps:bodyPr wrap="square" rtlCol="0">
                            <a:spAutoFit/>
                          </wps:bodyPr>
                        </wps:wsp>
                        <wps:wsp>
                          <wps:cNvPr id="654" name="Left Brace 654"/>
                          <wps:cNvSpPr/>
                          <wps:spPr>
                            <a:xfrm rot="5400000">
                              <a:off x="3015343" y="-1624399"/>
                              <a:ext cx="443505" cy="6304168"/>
                            </a:xfrm>
                            <a:prstGeom prst="leftBrace">
                              <a:avLst>
                                <a:gd name="adj1" fmla="val 8292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5" name="Left Brace 655"/>
                          <wps:cNvSpPr/>
                          <wps:spPr>
                            <a:xfrm rot="16200000">
                              <a:off x="1258533" y="3049206"/>
                              <a:ext cx="312098" cy="2659132"/>
                            </a:xfrm>
                            <a:prstGeom prst="leftBrace">
                              <a:avLst>
                                <a:gd name="adj1" fmla="val 72160"/>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6" name="Left Brace 656"/>
                          <wps:cNvSpPr/>
                          <wps:spPr>
                            <a:xfrm rot="16200000">
                              <a:off x="4410614" y="2567558"/>
                              <a:ext cx="312097" cy="3645032"/>
                            </a:xfrm>
                            <a:prstGeom prst="leftBrace">
                              <a:avLst>
                                <a:gd name="adj1" fmla="val 72160"/>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7" name="Left Brace 657"/>
                          <wps:cNvSpPr/>
                          <wps:spPr>
                            <a:xfrm rot="16200000">
                              <a:off x="2659345" y="2496635"/>
                              <a:ext cx="234029" cy="2605208"/>
                            </a:xfrm>
                            <a:prstGeom prst="leftBrace">
                              <a:avLst>
                                <a:gd name="adj1" fmla="val 72160"/>
                                <a:gd name="adj2" fmla="val 4882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8" name="TextBox 40"/>
                          <wps:cNvSpPr txBox="1"/>
                          <wps:spPr>
                            <a:xfrm>
                              <a:off x="2292071" y="3880052"/>
                              <a:ext cx="926465" cy="403225"/>
                            </a:xfrm>
                            <a:prstGeom prst="rect">
                              <a:avLst/>
                            </a:prstGeom>
                            <a:noFill/>
                          </wps:spPr>
                          <wps:txbx>
                            <w:txbxContent>
                              <w:p w14:paraId="3DE43719" w14:textId="77777777" w:rsidR="00777EE0" w:rsidRDefault="00777EE0" w:rsidP="00C65FD3">
                                <w:pPr>
                                  <w:jc w:val="center"/>
                                  <w:rPr>
                                    <w:szCs w:val="24"/>
                                  </w:rPr>
                                </w:pPr>
                                <w:r>
                                  <w:rPr>
                                    <w:color w:val="000000" w:themeColor="text1"/>
                                    <w:kern w:val="24"/>
                                    <w:sz w:val="22"/>
                                  </w:rPr>
                                  <w:t>Capacity</w:t>
                                </w:r>
                              </w:p>
                            </w:txbxContent>
                          </wps:txbx>
                          <wps:bodyPr wrap="square" rtlCol="0">
                            <a:spAutoFit/>
                          </wps:bodyPr>
                        </wps:wsp>
                        <wps:wsp>
                          <wps:cNvPr id="659" name="TextBox 41"/>
                          <wps:cNvSpPr txBox="1"/>
                          <wps:spPr>
                            <a:xfrm>
                              <a:off x="951206" y="4493380"/>
                              <a:ext cx="926465" cy="403225"/>
                            </a:xfrm>
                            <a:prstGeom prst="rect">
                              <a:avLst/>
                            </a:prstGeom>
                            <a:noFill/>
                          </wps:spPr>
                          <wps:txbx>
                            <w:txbxContent>
                              <w:p w14:paraId="7722883B" w14:textId="77777777" w:rsidR="00777EE0" w:rsidRDefault="00777EE0" w:rsidP="00C65FD3">
                                <w:pPr>
                                  <w:jc w:val="center"/>
                                  <w:rPr>
                                    <w:szCs w:val="24"/>
                                  </w:rPr>
                                </w:pPr>
                                <w:r>
                                  <w:rPr>
                                    <w:color w:val="000000" w:themeColor="text1"/>
                                    <w:kern w:val="24"/>
                                    <w:sz w:val="22"/>
                                  </w:rPr>
                                  <w:t>Motivation</w:t>
                                </w:r>
                              </w:p>
                            </w:txbxContent>
                          </wps:txbx>
                          <wps:bodyPr wrap="square" rtlCol="0">
                            <a:spAutoFit/>
                          </wps:bodyPr>
                        </wps:wsp>
                        <wps:wsp>
                          <wps:cNvPr id="660" name="TextBox 42"/>
                          <wps:cNvSpPr txBox="1"/>
                          <wps:spPr>
                            <a:xfrm>
                              <a:off x="4078679" y="4529219"/>
                              <a:ext cx="926465" cy="403225"/>
                            </a:xfrm>
                            <a:prstGeom prst="rect">
                              <a:avLst/>
                            </a:prstGeom>
                            <a:noFill/>
                          </wps:spPr>
                          <wps:txbx>
                            <w:txbxContent>
                              <w:p w14:paraId="02D12A96" w14:textId="77777777" w:rsidR="00777EE0" w:rsidRDefault="00777EE0" w:rsidP="00C65FD3">
                                <w:pPr>
                                  <w:jc w:val="center"/>
                                  <w:rPr>
                                    <w:szCs w:val="24"/>
                                  </w:rPr>
                                </w:pPr>
                                <w:r>
                                  <w:rPr>
                                    <w:color w:val="000000" w:themeColor="text1"/>
                                    <w:kern w:val="24"/>
                                    <w:sz w:val="22"/>
                                  </w:rPr>
                                  <w:t>Opportunity</w:t>
                                </w:r>
                              </w:p>
                            </w:txbxContent>
                          </wps:txbx>
                          <wps:bodyPr wrap="square" rtlCol="0">
                            <a:spAutoFit/>
                          </wps:bodyPr>
                        </wps:wsp>
                        <wps:wsp>
                          <wps:cNvPr id="854" name="TextBox 43"/>
                          <wps:cNvSpPr txBox="1"/>
                          <wps:spPr>
                            <a:xfrm>
                              <a:off x="1655907" y="1612768"/>
                              <a:ext cx="870585" cy="403225"/>
                            </a:xfrm>
                            <a:prstGeom prst="rect">
                              <a:avLst/>
                            </a:prstGeom>
                            <a:noFill/>
                          </wps:spPr>
                          <wps:txbx>
                            <w:txbxContent>
                              <w:p w14:paraId="2D5B6661" w14:textId="77777777" w:rsidR="00777EE0" w:rsidRDefault="00777EE0" w:rsidP="00C65FD3">
                                <w:pPr>
                                  <w:jc w:val="center"/>
                                  <w:rPr>
                                    <w:szCs w:val="24"/>
                                  </w:rPr>
                                </w:pPr>
                                <w:r>
                                  <w:rPr>
                                    <w:b/>
                                    <w:bCs/>
                                    <w:color w:val="000000" w:themeColor="text1"/>
                                    <w:kern w:val="24"/>
                                    <w:sz w:val="22"/>
                                  </w:rPr>
                                  <w:t>MICRO</w:t>
                                </w:r>
                              </w:p>
                            </w:txbxContent>
                          </wps:txbx>
                          <wps:bodyPr wrap="square" rtlCol="0">
                            <a:spAutoFit/>
                          </wps:bodyPr>
                        </wps:wsp>
                        <wps:wsp>
                          <wps:cNvPr id="855" name="TextBox 44"/>
                          <wps:cNvSpPr txBox="1"/>
                          <wps:spPr>
                            <a:xfrm>
                              <a:off x="2783136" y="1616930"/>
                              <a:ext cx="871220" cy="403225"/>
                            </a:xfrm>
                            <a:prstGeom prst="rect">
                              <a:avLst/>
                            </a:prstGeom>
                            <a:noFill/>
                          </wps:spPr>
                          <wps:txbx>
                            <w:txbxContent>
                              <w:p w14:paraId="26735F53" w14:textId="77777777" w:rsidR="00777EE0" w:rsidRDefault="00777EE0" w:rsidP="00C65FD3">
                                <w:pPr>
                                  <w:jc w:val="center"/>
                                  <w:rPr>
                                    <w:szCs w:val="24"/>
                                  </w:rPr>
                                </w:pPr>
                                <w:r>
                                  <w:rPr>
                                    <w:b/>
                                    <w:bCs/>
                                    <w:color w:val="000000" w:themeColor="text1"/>
                                    <w:kern w:val="24"/>
                                    <w:sz w:val="22"/>
                                  </w:rPr>
                                  <w:t>MESO</w:t>
                                </w:r>
                              </w:p>
                            </w:txbxContent>
                          </wps:txbx>
                          <wps:bodyPr wrap="square" rtlCol="0">
                            <a:spAutoFit/>
                          </wps:bodyPr>
                        </wps:wsp>
                        <wps:wsp>
                          <wps:cNvPr id="856" name="TextBox 45"/>
                          <wps:cNvSpPr txBox="1"/>
                          <wps:spPr>
                            <a:xfrm>
                              <a:off x="3949054" y="1609312"/>
                              <a:ext cx="871220" cy="403225"/>
                            </a:xfrm>
                            <a:prstGeom prst="rect">
                              <a:avLst/>
                            </a:prstGeom>
                            <a:noFill/>
                          </wps:spPr>
                          <wps:txbx>
                            <w:txbxContent>
                              <w:p w14:paraId="331CB397" w14:textId="77777777" w:rsidR="00777EE0" w:rsidRDefault="00777EE0" w:rsidP="00C65FD3">
                                <w:pPr>
                                  <w:jc w:val="center"/>
                                  <w:rPr>
                                    <w:szCs w:val="24"/>
                                  </w:rPr>
                                </w:pPr>
                                <w:r>
                                  <w:rPr>
                                    <w:b/>
                                    <w:bCs/>
                                    <w:color w:val="000000" w:themeColor="text1"/>
                                    <w:kern w:val="24"/>
                                    <w:sz w:val="22"/>
                                  </w:rPr>
                                  <w:t>EXO</w:t>
                                </w:r>
                              </w:p>
                            </w:txbxContent>
                          </wps:txbx>
                          <wps:bodyPr wrap="square" rtlCol="0">
                            <a:spAutoFit/>
                          </wps:bodyPr>
                        </wps:wsp>
                        <wps:wsp>
                          <wps:cNvPr id="857" name="TextBox 46"/>
                          <wps:cNvSpPr txBox="1"/>
                          <wps:spPr>
                            <a:xfrm>
                              <a:off x="5114972" y="1609312"/>
                              <a:ext cx="871220" cy="403225"/>
                            </a:xfrm>
                            <a:prstGeom prst="rect">
                              <a:avLst/>
                            </a:prstGeom>
                            <a:noFill/>
                          </wps:spPr>
                          <wps:txbx>
                            <w:txbxContent>
                              <w:p w14:paraId="6F2289C9" w14:textId="77777777" w:rsidR="00777EE0" w:rsidRDefault="00777EE0" w:rsidP="00C65FD3">
                                <w:pPr>
                                  <w:jc w:val="center"/>
                                  <w:rPr>
                                    <w:szCs w:val="24"/>
                                  </w:rPr>
                                </w:pPr>
                                <w:r>
                                  <w:rPr>
                                    <w:b/>
                                    <w:bCs/>
                                    <w:color w:val="000000" w:themeColor="text1"/>
                                    <w:kern w:val="24"/>
                                    <w:sz w:val="22"/>
                                  </w:rPr>
                                  <w:t>MACRO</w:t>
                                </w:r>
                              </w:p>
                            </w:txbxContent>
                          </wps:txbx>
                          <wps:bodyPr wrap="square" rtlCol="0">
                            <a:spAutoFit/>
                          </wps:bodyPr>
                        </wps:wsp>
                        <wps:wsp>
                          <wps:cNvPr id="858" name="TextBox 47"/>
                          <wps:cNvSpPr txBox="1"/>
                          <wps:spPr>
                            <a:xfrm>
                              <a:off x="2507926" y="964236"/>
                              <a:ext cx="1478280" cy="403225"/>
                            </a:xfrm>
                            <a:prstGeom prst="rect">
                              <a:avLst/>
                            </a:prstGeom>
                            <a:noFill/>
                          </wps:spPr>
                          <wps:txbx>
                            <w:txbxContent>
                              <w:p w14:paraId="1B0CCD5F" w14:textId="77777777" w:rsidR="00777EE0" w:rsidRDefault="00777EE0" w:rsidP="00C65FD3">
                                <w:pPr>
                                  <w:jc w:val="center"/>
                                  <w:rPr>
                                    <w:szCs w:val="24"/>
                                  </w:rPr>
                                </w:pPr>
                                <w:r>
                                  <w:rPr>
                                    <w:color w:val="000000" w:themeColor="text1"/>
                                    <w:kern w:val="24"/>
                                    <w:sz w:val="22"/>
                                  </w:rPr>
                                  <w:t>NPS use</w:t>
                                </w:r>
                              </w:p>
                            </w:txbxContent>
                          </wps:txbx>
                          <wps:bodyPr wrap="square" rtlCol="0">
                            <a:spAutoFit/>
                          </wps:bodyPr>
                        </wps:wsp>
                        <wps:wsp>
                          <wps:cNvPr id="859" name="TextBox 48"/>
                          <wps:cNvSpPr txBox="1"/>
                          <wps:spPr>
                            <a:xfrm>
                              <a:off x="2507926" y="481123"/>
                              <a:ext cx="1478280" cy="403225"/>
                            </a:xfrm>
                            <a:prstGeom prst="rect">
                              <a:avLst/>
                            </a:prstGeom>
                            <a:noFill/>
                          </wps:spPr>
                          <wps:txbx>
                            <w:txbxContent>
                              <w:p w14:paraId="552F77F9" w14:textId="77777777" w:rsidR="00777EE0" w:rsidRDefault="00777EE0" w:rsidP="00C65FD3">
                                <w:pPr>
                                  <w:jc w:val="center"/>
                                  <w:rPr>
                                    <w:szCs w:val="24"/>
                                  </w:rPr>
                                </w:pPr>
                                <w:r>
                                  <w:rPr>
                                    <w:color w:val="000000" w:themeColor="text1"/>
                                    <w:kern w:val="24"/>
                                    <w:sz w:val="22"/>
                                  </w:rPr>
                                  <w:t>Reduced drug harms</w:t>
                                </w:r>
                              </w:p>
                            </w:txbxContent>
                          </wps:txbx>
                          <wps:bodyPr wrap="square" rtlCol="0">
                            <a:spAutoFit/>
                          </wps:bodyPr>
                        </wps:wsp>
                        <wps:wsp>
                          <wps:cNvPr id="860" name="TextBox 49"/>
                          <wps:cNvSpPr txBox="1"/>
                          <wps:spPr>
                            <a:xfrm>
                              <a:off x="2533093" y="0"/>
                              <a:ext cx="1512570" cy="403225"/>
                            </a:xfrm>
                            <a:prstGeom prst="rect">
                              <a:avLst/>
                            </a:prstGeom>
                            <a:noFill/>
                          </wps:spPr>
                          <wps:txbx>
                            <w:txbxContent>
                              <w:p w14:paraId="191A69B8" w14:textId="77777777" w:rsidR="00777EE0" w:rsidRDefault="00777EE0" w:rsidP="00C65FD3">
                                <w:pPr>
                                  <w:jc w:val="center"/>
                                  <w:rPr>
                                    <w:szCs w:val="24"/>
                                  </w:rPr>
                                </w:pPr>
                                <w:r>
                                  <w:rPr>
                                    <w:color w:val="000000" w:themeColor="text1"/>
                                    <w:kern w:val="24"/>
                                    <w:sz w:val="22"/>
                                  </w:rPr>
                                  <w:t>Healthy development</w:t>
                                </w:r>
                              </w:p>
                            </w:txbxContent>
                          </wps:txbx>
                          <wps:bodyPr wrap="square" rtlCol="0">
                            <a:spAutoFit/>
                          </wps:bodyPr>
                        </wps:wsp>
                        <wps:wsp>
                          <wps:cNvPr id="861" name="Straight Arrow Connector 861"/>
                          <wps:cNvCnPr>
                            <a:cxnSpLocks/>
                          </wps:cNvCnPr>
                          <wps:spPr>
                            <a:xfrm flipV="1">
                              <a:off x="3247237" y="742746"/>
                              <a:ext cx="0" cy="2215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2" name="Straight Arrow Connector 862"/>
                          <wps:cNvCnPr>
                            <a:cxnSpLocks/>
                          </wps:cNvCnPr>
                          <wps:spPr>
                            <a:xfrm flipH="1" flipV="1">
                              <a:off x="3245017" y="282391"/>
                              <a:ext cx="2627" cy="216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3" name="TextBox 53"/>
                          <wps:cNvSpPr txBox="1"/>
                          <wps:spPr>
                            <a:xfrm>
                              <a:off x="2036238" y="2526228"/>
                              <a:ext cx="926465" cy="403225"/>
                            </a:xfrm>
                            <a:prstGeom prst="rect">
                              <a:avLst/>
                            </a:prstGeom>
                            <a:noFill/>
                          </wps:spPr>
                          <wps:txbx>
                            <w:txbxContent>
                              <w:p w14:paraId="25567EA7" w14:textId="77777777" w:rsidR="00777EE0" w:rsidRDefault="00777EE0" w:rsidP="00C65FD3">
                                <w:pPr>
                                  <w:jc w:val="center"/>
                                  <w:rPr>
                                    <w:szCs w:val="24"/>
                                  </w:rPr>
                                </w:pPr>
                                <w:r>
                                  <w:rPr>
                                    <w:color w:val="000000" w:themeColor="text1"/>
                                    <w:kern w:val="24"/>
                                    <w:sz w:val="22"/>
                                  </w:rPr>
                                  <w:t>Festivals</w:t>
                                </w:r>
                              </w:p>
                            </w:txbxContent>
                          </wps:txbx>
                          <wps:bodyPr wrap="square" rtlCol="0">
                            <a:spAutoFit/>
                          </wps:bodyPr>
                        </wps:wsp>
                        <wps:wsp>
                          <wps:cNvPr id="864" name="TextBox 54"/>
                          <wps:cNvSpPr txBox="1"/>
                          <wps:spPr>
                            <a:xfrm>
                              <a:off x="4956449" y="4857992"/>
                              <a:ext cx="1236980" cy="772795"/>
                            </a:xfrm>
                            <a:prstGeom prst="rect">
                              <a:avLst/>
                            </a:prstGeom>
                            <a:noFill/>
                          </wps:spPr>
                          <wps:txbx>
                            <w:txbxContent>
                              <w:p w14:paraId="02459919" w14:textId="77777777" w:rsidR="00777EE0" w:rsidRDefault="00777EE0" w:rsidP="00C65FD3">
                                <w:pPr>
                                  <w:jc w:val="center"/>
                                  <w:rPr>
                                    <w:szCs w:val="24"/>
                                  </w:rPr>
                                </w:pPr>
                                <w:r>
                                  <w:rPr>
                                    <w:color w:val="000000" w:themeColor="text1"/>
                                    <w:kern w:val="24"/>
                                    <w:sz w:val="22"/>
                                  </w:rPr>
                                  <w:t xml:space="preserve">Social determinants of health inequalities </w:t>
                                </w:r>
                              </w:p>
                            </w:txbxContent>
                          </wps:txbx>
                          <wps:bodyPr wrap="square" rtlCol="0">
                            <a:spAutoFit/>
                          </wps:bodyPr>
                        </wps:wsp>
                        <wps:wsp>
                          <wps:cNvPr id="865" name="TextBox 56"/>
                          <wps:cNvSpPr txBox="1"/>
                          <wps:spPr>
                            <a:xfrm>
                              <a:off x="2673603" y="4860976"/>
                              <a:ext cx="1073150" cy="772795"/>
                            </a:xfrm>
                            <a:prstGeom prst="rect">
                              <a:avLst/>
                            </a:prstGeom>
                            <a:noFill/>
                          </wps:spPr>
                          <wps:txbx>
                            <w:txbxContent>
                              <w:p w14:paraId="430F120C" w14:textId="77777777" w:rsidR="00777EE0" w:rsidRDefault="00777EE0" w:rsidP="00C65FD3">
                                <w:pPr>
                                  <w:jc w:val="center"/>
                                  <w:rPr>
                                    <w:szCs w:val="24"/>
                                  </w:rPr>
                                </w:pPr>
                                <w:r>
                                  <w:rPr>
                                    <w:color w:val="000000" w:themeColor="text1"/>
                                    <w:kern w:val="24"/>
                                    <w:sz w:val="22"/>
                                  </w:rPr>
                                  <w:t xml:space="preserve">Social  determinants of health </w:t>
                                </w:r>
                              </w:p>
                            </w:txbxContent>
                          </wps:txbx>
                          <wps:bodyPr wrap="square" rtlCol="0">
                            <a:spAutoFit/>
                          </wps:bodyPr>
                        </wps:wsp>
                        <wps:wsp>
                          <wps:cNvPr id="866" name="TextBox 57"/>
                          <wps:cNvSpPr txBox="1"/>
                          <wps:spPr>
                            <a:xfrm>
                              <a:off x="149795" y="4858084"/>
                              <a:ext cx="1072515" cy="772795"/>
                            </a:xfrm>
                            <a:prstGeom prst="rect">
                              <a:avLst/>
                            </a:prstGeom>
                            <a:noFill/>
                          </wps:spPr>
                          <wps:txbx>
                            <w:txbxContent>
                              <w:p w14:paraId="34343885" w14:textId="77777777" w:rsidR="00777EE0" w:rsidRDefault="00777EE0" w:rsidP="00C65FD3">
                                <w:pPr>
                                  <w:jc w:val="center"/>
                                  <w:rPr>
                                    <w:szCs w:val="24"/>
                                  </w:rPr>
                                </w:pPr>
                                <w:r>
                                  <w:rPr>
                                    <w:color w:val="000000" w:themeColor="text1"/>
                                    <w:kern w:val="24"/>
                                    <w:sz w:val="22"/>
                                  </w:rPr>
                                  <w:t xml:space="preserve">Proximal determinants of health </w:t>
                                </w:r>
                              </w:p>
                            </w:txbxContent>
                          </wps:txbx>
                          <wps:bodyPr wrap="square" rtlCol="0">
                            <a:spAutoFit/>
                          </wps:bodyPr>
                        </wps:wsp>
                        <wps:wsp>
                          <wps:cNvPr id="867" name="Straight Arrow Connector 867"/>
                          <wps:cNvCnPr>
                            <a:cxnSpLocks/>
                          </wps:cNvCnPr>
                          <wps:spPr>
                            <a:xfrm>
                              <a:off x="3746504" y="5149820"/>
                              <a:ext cx="1210290" cy="474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68" name="Straight Arrow Connector 868"/>
                          <wps:cNvCnPr/>
                          <wps:spPr>
                            <a:xfrm>
                              <a:off x="1222520" y="5146764"/>
                              <a:ext cx="1451268" cy="305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69" name="TextBox 58"/>
                          <wps:cNvSpPr txBox="1"/>
                          <wps:spPr>
                            <a:xfrm>
                              <a:off x="3987864" y="2889910"/>
                              <a:ext cx="704215" cy="588010"/>
                            </a:xfrm>
                            <a:prstGeom prst="rect">
                              <a:avLst/>
                            </a:prstGeom>
                            <a:noFill/>
                          </wps:spPr>
                          <wps:txbx>
                            <w:txbxContent>
                              <w:p w14:paraId="52690ED9" w14:textId="77777777" w:rsidR="00777EE0" w:rsidRDefault="00777EE0" w:rsidP="00C65FD3">
                                <w:pPr>
                                  <w:jc w:val="center"/>
                                  <w:rPr>
                                    <w:szCs w:val="24"/>
                                  </w:rPr>
                                </w:pPr>
                                <w:r>
                                  <w:rPr>
                                    <w:color w:val="000000" w:themeColor="text1"/>
                                    <w:kern w:val="24"/>
                                    <w:sz w:val="22"/>
                                  </w:rPr>
                                  <w:t>Mass media</w:t>
                                </w:r>
                              </w:p>
                            </w:txbxContent>
                          </wps:txbx>
                          <wps:bodyPr wrap="square" rtlCol="0">
                            <a:spAutoFit/>
                          </wps:bodyPr>
                        </wps:wsp>
                        <wps:wsp>
                          <wps:cNvPr id="870" name="TextBox 59"/>
                          <wps:cNvSpPr txBox="1"/>
                          <wps:spPr>
                            <a:xfrm>
                              <a:off x="2783136" y="1968132"/>
                              <a:ext cx="871220" cy="588010"/>
                            </a:xfrm>
                            <a:prstGeom prst="rect">
                              <a:avLst/>
                            </a:prstGeom>
                            <a:noFill/>
                          </wps:spPr>
                          <wps:txbx>
                            <w:txbxContent>
                              <w:p w14:paraId="236B6E14" w14:textId="77777777" w:rsidR="00777EE0" w:rsidRDefault="00777EE0" w:rsidP="00C65FD3">
                                <w:pPr>
                                  <w:jc w:val="center"/>
                                  <w:rPr>
                                    <w:szCs w:val="24"/>
                                  </w:rPr>
                                </w:pPr>
                                <w:r>
                                  <w:rPr>
                                    <w:color w:val="000000" w:themeColor="text1"/>
                                    <w:kern w:val="24"/>
                                    <w:sz w:val="22"/>
                                  </w:rPr>
                                  <w:t>Social media</w:t>
                                </w:r>
                              </w:p>
                            </w:txbxContent>
                          </wps:txbx>
                          <wps:bodyPr wrap="square" rtlCol="0">
                            <a:spAutoFit/>
                          </wps:bodyPr>
                        </wps:wsp>
                        <wps:wsp>
                          <wps:cNvPr id="871" name="TextBox 60"/>
                          <wps:cNvSpPr txBox="1"/>
                          <wps:spPr>
                            <a:xfrm>
                              <a:off x="380114" y="1613868"/>
                              <a:ext cx="1093470" cy="403225"/>
                            </a:xfrm>
                            <a:prstGeom prst="rect">
                              <a:avLst/>
                            </a:prstGeom>
                            <a:noFill/>
                          </wps:spPr>
                          <wps:txbx>
                            <w:txbxContent>
                              <w:p w14:paraId="6B6AC789" w14:textId="77777777" w:rsidR="00777EE0" w:rsidRDefault="00777EE0" w:rsidP="00C65FD3">
                                <w:pPr>
                                  <w:jc w:val="center"/>
                                  <w:rPr>
                                    <w:szCs w:val="24"/>
                                  </w:rPr>
                                </w:pPr>
                                <w:r>
                                  <w:rPr>
                                    <w:b/>
                                    <w:bCs/>
                                    <w:color w:val="000000" w:themeColor="text1"/>
                                    <w:kern w:val="24"/>
                                    <w:sz w:val="22"/>
                                  </w:rPr>
                                  <w:t>INDIVIDUAL</w:t>
                                </w:r>
                              </w:p>
                            </w:txbxContent>
                          </wps:txbx>
                          <wps:bodyPr wrap="square" rtlCol="0">
                            <a:spAutoFit/>
                          </wps:bodyPr>
                        </wps:wsp>
                      </wpg:grpSp>
                      <wps:wsp>
                        <wps:cNvPr id="631" name="TextBox 50"/>
                        <wps:cNvSpPr txBox="1"/>
                        <wps:spPr>
                          <a:xfrm>
                            <a:off x="2710015" y="2758241"/>
                            <a:ext cx="870585" cy="772795"/>
                          </a:xfrm>
                          <a:prstGeom prst="rect">
                            <a:avLst/>
                          </a:prstGeom>
                          <a:noFill/>
                        </wps:spPr>
                        <wps:txbx>
                          <w:txbxContent>
                            <w:p w14:paraId="7A75BD8A" w14:textId="77777777" w:rsidR="00777EE0" w:rsidRDefault="00777EE0" w:rsidP="00C65FD3">
                              <w:pPr>
                                <w:jc w:val="center"/>
                                <w:rPr>
                                  <w:szCs w:val="24"/>
                                </w:rPr>
                              </w:pPr>
                              <w:r>
                                <w:rPr>
                                  <w:color w:val="000000" w:themeColor="text1"/>
                                  <w:kern w:val="24"/>
                                  <w:sz w:val="22"/>
                                </w:rPr>
                                <w:t xml:space="preserve">Drug testing services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ADEE357" id="Group 23" o:spid="_x0000_s1546" style="position:absolute;margin-left:0;margin-top:14.65pt;width:503.1pt;height:445.25pt;z-index:253741056;mso-position-horizontal:center;mso-position-horizontal-relative:page" coordsize="63891,5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6Y7g0AABiHAAAOAAAAZHJzL2Uyb0RvYy54bWzsXdly3LgVfU9V/oHVj6maEQHuXZanxvbY&#10;SZWTuGInNX6k2OwlYZMdknLL8/U5FwDBraVeRqLMmC9ScwMB3O3cBeCLn+62ifElzotNll7P2I/m&#10;zIjTKFts0tX17J+f3v7gz4yiDNNFmGRpfD37Ghezn17+8Q8v9rt5zLN1lizi3EAjaTHf765n67Lc&#10;za+uimgdb8Pix2wXp7i4zPJtWOIwX10t8nCP1rfJFTdN92qf5YtdnkVxUeDsG3lx9lK0v1zGUfn3&#10;5bKISyO5nqFvpfibi7839Pfq5YtwvsrD3XoTqW6EF/RiG25SvFQ39SYsQ+M23/Sa2m6iPCuyZflj&#10;lG2vsuVyE8ViDBgNMzujeZdntzsxltV8v9rpacLUdubp4majv335kBubxfWMWzMjDbegkXitgWNM&#10;zn63muOed/nu4+5Drk6s5BGN926Zb+k/RmLciWn9qqc1viuNCCddy/c9y5kZEa45rmV5XE18tAZ1&#10;es9F61/qJwPmg276SY9Rr66qF19R/3R39IHutxqba6GN5uDoxOON7mAfw/mjjw4iUtRcUPw+Lvi4&#10;DnexYK6CKKxnilcz9TaPYxK8uSFuNVyLyzkT92t2KOYFOOMAL/iOydAYaM582zPtgJ4O5xVXMNf1&#10;A9+TtGWuEzjyDk1bTOBtUb6LM8Fg4Zf3RSkaWC3wi1paLRRNoyxNi00Z/woqL7cJBPhPV4Zp7A3m&#10;gTRBJeXd2z83b/cDJ7AdY33kmV9Z4xXqmaPvaT5jHn8FJk2PQo3g+FiaD506Fki8ftGpY2k+U3Xu&#10;6KTZjRedQJfm7YfGAhbRTBCuK76I7lLFGPhlhGSATKGTd1lBOqbJJWDK6hBcIDUKniKuOvIwaNl8&#10;uFJHpz0sxUG/WcgTBnPaw5j55puFej75YUxp82G7OWbZiJq7HCaTjGUijGU5M2As85kBY3kj5XcX&#10;ljTlNFX009hDvpWYGev6N13fZl/iT5m4s6y1vKSo6kB9S3R7s4lexb/1H7BNxriv3i4aUmdoSEq4&#10;d+K8alqfp5G1mm0fyYeYFZieK0nTak0PC6/p96F5tTWk9jvaR+qN1Xyh4ertQrX1O1S9pXG5McjG&#10;1ZOG2pi3xqMgZIM8BzoEPYmePjTIJCtiKUXEE8JAaz4RPasVeZElm8XbTZIQXwicF79OcuNLCKa7&#10;WTEhscnt9q/ZQp4LHNNUZAmT3TqUZ+lkJbi6EfHeVvtJSvzpWo7UBK1r+jHZYnlXyXLjLvQ9gVYA&#10;zKjMnPhVfk1i6n6S/iNeAj1Bu3DR8U6bSSnHs76NCeiIMaqxFCEh09YpjLp7Soy4fRJd0m8RAxad&#10;oN4sMam6P/LF+k75ojCK4lT16dBkhvMn7anqIPU1Fthc91aRh1B/zQ3P3FvdRTG3WVrq3m43aZYf&#10;onfNQ0t5f8U6kmGId26yxVdgrWIXvd3kRfk+LMoPYQ7IAiGDHwUHZZ3lv82MPXyS61nx39swj2dG&#10;8pcUcM9ymUlItpRHZmCbLhR069pN61p6u32dQbBgtfBG+ZN7aCJMI7wHVrCEcpcHr0scS0Kk2c+3&#10;ZbbcEOASvC97rQ4AQglgD4JGtVPSR6PKPzkRjTJuM+5KMwg86nBMnVCqEx49BnlhGjVMVGZjwqPN&#10;SYNKnvDohEcFSmohyAZUq8BKGw+2j/rwr9VaBdkIjE14dMKjIuwy4VHC4Zch5wmPTngU6YNDoff7&#10;oqMAkDKO3MejIqZC4oho6vHoKLdNyzNlTGfCozXAnOKjx7E1mFADcgkx2kHlCY+W8ecJj054tELM&#10;MjTZBtvtIwm9p/jo/bHZOrY1xUdbYdvHi+ROeHTCo2fiUVRV3IdHHYpvnoxHLcd1mS2zmxMerfHV&#10;hEcnPKrKSz5P+fpGSv8QfpKJ4n5ssoGrWhHNKT5aVzwcms/GvDWg7JSvp1qBCY9SXnrK11O9gKiD&#10;mPL130C+HvUI9+FRkW8/GY/aKBJmwYRHUdb6GbOg430THp3w6IRHbeHcIs491Y+q6lVRy9QvIDgA&#10;Gxugu3EVc9lGoO2jKT5KaKsR+WxUYcpo4IRHJzxa1a9OePRbqR/F+iKJRz+hzvNVdmcwEYBowFCj&#10;vMN5KpFV4dJ7ljM5judYWM2I4iseBL5eVlTVj/oe4xwBELFUzfexmo8ahFqtlsjtUO5Lq5kM+oFF&#10;FVhoIWqIq5VNuLW6hSQpzd6inpuaoM7KTtGv8u7mTizYY55XdVkVFbdrhvMyEQW/qrZ6RyR5+w24&#10;CJjDDkn01KvKiVNJIsNNHGvHvG417zNQQ6xQIQqNihpBjxrdVX6nUsN3mOkoAeHMtWyRga8X/D0D&#10;ScSSw7GRxAZbdwSkW+p+KkkYDxxoKqm0HNMJoKAEUKyVFkhWrcwdRGlhNa/Ss2MSE0qMdWjSLfc6&#10;lSauHdCMkxnhvssDtbCtokjg45QyIygR47zydJ7MjPha/Y6KIliV0KFIN+F5KkVsy7axmIxIwgKL&#10;2yB2R0hqyz4QSbQOHhVJ9GIdDba6Mb9TScIcJKOxaE/SxEelpMA6h43JQDTRSnhUNNEFq5omGqec&#10;ibZY4Fs+7RJBqgvG3AqEwD0rTbQSHhVNdNGGpokGKmfSxIEJsdTaZSxwY6YnZqSmCTMDeCXKnjAT&#10;C9+kAX5KvwTmbYwmXqcuKqpIsETw8VyqmNBetFBTWBTyFjtrDX1vcNilNfGoJKXnvnNtGc+kCVZ8&#10;Bi40ltBeDvdg8u+38gDNA/jv2PxkjHLS89+rnYLOlhMGOpiQDaKJBU0FA9OlSS0nA1l5bR1HJSc9&#10;L55ry3imnNCmWkGgrDxzbcfr7NsTYBW1q1zGgWiireOYaELote2gSFfuAnsCnwQkgS4UyMt0XLR9&#10;r4cyjO6SmyqNLbTi9Nx4ru3imXJicct0PRXuYkBhrIeGa901EE1G6cg7PUeea7t4Lk0CZvnak/dN&#10;tWNZjYYDj7Mq3OUHgSc9mKfEwoHGK6PSXT1PXu6/dIHuwiZwgc+UjYdpgYtyv+4axp7Auo0Qdzna&#10;k38fL0vjVR5GseHirBqLkhV11ExiGXmGfJODGBftmUS5pUzuumiZzKEwPdmVH5jLbSvoGHvbxtZJ&#10;ythjz0SbuQIf3S8xCfomulantuiFequ+cPFvXc2E7ZAMRDuluLfv0VuO0D3NvZ5Eskyk1Zq5Mtqj&#10;6Umz8w/upoQpx4Qc3obpwY2N5IMXrvqRDz9p0WOdQWztF0RvJk0w4D5Ajg6ZtJhfBxqOMT+Yu8f9&#10;jCP1YUnuB2sjN9Lx0i3GTYTnRUaXkoxMboD5eMwPa+QqJNcUkIn5aUO1EyTne2F+HZlqMX8XuUIs&#10;SSr7mv8Q8yPJQUEqFQ5xPQeZWzRQQyXB/Gp3VgtuIFJRdMPE/LT2oNqZTk7IpPnF5t1Psx+xo0OA&#10;LebvughnMT8pcwslpMKftgMX+0O2mZ9btskRU6FaHu6a2CzukWHPKZrf9n0uPDrI3AR72iL3vWj+&#10;XqxVRq0v8MM4gLaJ3dNFrBXhbTB1m+eHj+sF2ncZlW/ci7XKeoELaBI4QJjSNbbtwELs4tlJohH1&#10;mEgCEN0Jtdo67HJmCMk2Pd9FyJvEhFJGnHU84mcQEw30RkQTvw5XVOlUWQ94gZjg4wAOtugWNGEu&#10;454MQtRYtZlOHSiEpPHHqGiivWhNE62Cz5QT7vkWs6TuAk3cQH5Qo0mToYumZCUd8deoaKKdO00T&#10;rYPPpIkV2IFJcgfdhcBCABeubU+aFbgDyckYU3d+7XNommgdfCZNHMZsZB2+IZpQNZDylkYlJ30o&#10;rHXwmTThjunBjAuaBK7NocYwIbXqYrbn80FrcLHUeZQ06UNhXT7xO2hi+/jeR6cS5DloojHkmOTk&#10;ABbWOvhsmlgWrIiQk45nwuC5OPQdAYqQDGJKOPZKHaHacnXFwccyDzerdWn8nOfZ3niNRdxYAZbl&#10;ho971MhAoNep/JgWvgn0cfc+i/5T4JpIt+iLBHFaUd5lstn9i1awkRarcnscOyiomhHPRr1bR8kp&#10;2nEOUgpFen9kt1A9112WL7pn3dqFubhwXoab5Jd0YZRfd/gIXZlv8AmnJKapQddO/ArLd5mnqxhk&#10;uHwc1q1UHvcDbK31p+Zc8amrs9j6z8TWxj0MjtqCqiiKW9grBBNRW3HuIrEsI7j41NyxSo+Jx4WY&#10;fbO56Ofg8V4RjKNN0LmW1ESRfrV42AFnVp8z06u+hi6q5Kb2/EeFbnQRTOWZ9QpgTl1iZAeOi6ir&#10;QDc2XL5AlmrVCgQY1NVL8TyPP321GEepDRh9bCEMqgZuV7o6l7rL3PUsV+2Kb/uIYXgd2ILyMVRa&#10;KvAyEFH0YEYlKb24EqIairnO1F4UwVArJyAoPhYRtS0taMIdlL8KYzsQTfRYRkUTnct+ADXpkV2G&#10;mpouAEC/Az1P8UAHRPS7q78ZZ0hzV16cJ3OLz+4HrONwcdgPmHyE+tOP3U2Hjnxw8Dnwk47YPcDt&#10;zXgRub5KQzXd2wZHI6XAUYxRcbTr4YN+eKJhs20EJpAeEqrIMqXKmzj6/7E69Tk4uhfvlFVzF+Q0&#10;LXz63Fefo+TYogN18W1OxgfTEZqRjDzI8hFV4zQ28ElByA74vDje2cxpBq6v6n1r7dLMnw1EEz2W&#10;MeEcKjNq00SWOV8iJ1iIq8pUkWa2/G7qH6tGLXvYQHS9g9jj0ATB3dV8le8+DvdV3R595ILCC+jD&#10;PWZiFYmwyNxzfGxC0NZjzdqMYXwDpsPpj0if/QrUAZBY4bPM6030JizD5jF+73fzmGfrLFnE+cv/&#10;AQAA//8DAFBLAwQUAAYACAAAACEAaaI8it4AAAAIAQAADwAAAGRycy9kb3ducmV2LnhtbEyPQWvC&#10;QBSE7wX/w/KE3uomkRaT5kVE2p6kUC2U3tbsMwlm34bsmsR/3/VUj8MMM9/k68m0YqDeNZYR4kUE&#10;gri0uuEK4fvw/rQC4bxirVrLhHAlB+ti9pCrTNuRv2jY+0qEEnaZQqi97zIpXVmTUW5hO+LgnWxv&#10;lA+yr6Tu1RjKTSuTKHqRRjUcFmrV0bam8ry/GISPUY2bZfw27M6n7fX38Pz5s4sJ8XE+bV5BeJr8&#10;fxhu+AEdisB0tBfWTrQI4YhHSNIliJsbthIQR4Q0Tlcgi1zeHyj+AAAA//8DAFBLAQItABQABgAI&#10;AAAAIQC2gziS/gAAAOEBAAATAAAAAAAAAAAAAAAAAAAAAABbQ29udGVudF9UeXBlc10ueG1sUEsB&#10;Ai0AFAAGAAgAAAAhADj9If/WAAAAlAEAAAsAAAAAAAAAAAAAAAAALwEAAF9yZWxzLy5yZWxzUEsB&#10;Ai0AFAAGAAgAAAAhACPrTpjuDQAAGIcAAA4AAAAAAAAAAAAAAAAALgIAAGRycy9lMm9Eb2MueG1s&#10;UEsBAi0AFAAGAAgAAAAhAGmiPIreAAAACAEAAA8AAAAAAAAAAAAAAAAASBAAAGRycy9kb3ducmV2&#10;LnhtbFBLBQYAAAAABAAEAPMAAABTEQAAAAA=&#10;">
                <v:group id="Group 630" o:spid="_x0000_s1547" style="position:absolute;width:63891;height:56337" coordsize="63891,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Shape 632" o:spid="_x0000_s1548" style="position:absolute;left:850;top:18470;width:16689;height:16595;visibility:visible;mso-wrap-style:square;v-text-anchor:middle" coordsize="1791890,1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XcxgAAANwAAAAPAAAAZHJzL2Rvd25yZXYueG1sRI9Ba8JA&#10;FITvQv/D8gq91U0jhBqzkdIi5iLVtAe9PbKvSWj2bchuNP33bkHwOMzMN0y2nkwnzjS41rKCl3kE&#10;griyuuVawffX5vkVhPPIGjvLpOCPHKzzh1mGqbYXPtC59LUIEHYpKmi871MpXdWQQTe3PXHwfuxg&#10;0Ac51FIPeAlw08k4ihJpsOWw0GBP7w1Vv+VoFCw34+d+irdRMeoPKnb2mFSno1JPj9PbCoSnyd/D&#10;t3ahFSSLGP7PhCMg8ysAAAD//wMAUEsBAi0AFAAGAAgAAAAhANvh9svuAAAAhQEAABMAAAAAAAAA&#10;AAAAAAAAAAAAAFtDb250ZW50X1R5cGVzXS54bWxQSwECLQAUAAYACAAAACEAWvQsW78AAAAVAQAA&#10;CwAAAAAAAAAAAAAAAAAfAQAAX3JlbHMvLnJlbHNQSwECLQAUAAYACAAAACEA2cWV3MYAAADcAAAA&#10;DwAAAAAAAAAAAAAAAAAHAgAAZHJzL2Rvd25yZXYueG1sUEsFBgAAAAADAAMAtwAAAPoCAAAAAA==&#10;" path="m,895945c,401128,401128,,895945,v494817,,895945,401128,895945,895945c1791890,1390762,1390762,1791890,895945,1791890,401128,1791890,,1390762,,895945xe" fillcolor="#f2f2f2 [3052]" strokecolor="black [3213]" strokeweight=".5pt">
                    <v:fill opacity="32896f"/>
                    <v:path arrowok="t" o:connecttype="custom" o:connectlocs="0,829775;834494,0;1668987,829775;834494,1659549;0,829775" o:connectangles="0,0,0,0,0"/>
                  </v:shape>
                  <v:shape id="Freeform: Shape 633" o:spid="_x0000_s1549" style="position:absolute;left:12412;top:18452;width:16690;height:16595;visibility:visible;mso-wrap-style:square;v-text-anchor:middle" coordsize="1791890,1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BHxQAAANwAAAAPAAAAZHJzL2Rvd25yZXYueG1sRI9Pi8Iw&#10;FMTvC36H8ARvmqpQtBpFFLGXZdc/B709mmdbbF5Kk2r99puFhT0OM/MbZrnuTCWe1LjSsoLxKAJB&#10;nFldcq7gct4PZyCcR9ZYWSYFb3KwXvU+lpho++IjPU8+FwHCLkEFhfd1IqXLCjLoRrYmDt7dNgZ9&#10;kE0udYOvADeVnERRLA2WHBYKrGlbUPY4tUbBfN9+fXeTQ5S2ekfpp73G2e2q1KDfbRYgPHX+P/zX&#10;TrWCeDqF3zPhCMjVDwAAAP//AwBQSwECLQAUAAYACAAAACEA2+H2y+4AAACFAQAAEwAAAAAAAAAA&#10;AAAAAAAAAAAAW0NvbnRlbnRfVHlwZXNdLnhtbFBLAQItABQABgAIAAAAIQBa9CxbvwAAABUBAAAL&#10;AAAAAAAAAAAAAAAAAB8BAABfcmVscy8ucmVsc1BLAQItABQABgAIAAAAIQC2iTBHxQAAANwAAAAP&#10;AAAAAAAAAAAAAAAAAAcCAABkcnMvZG93bnJldi54bWxQSwUGAAAAAAMAAwC3AAAA+QIAAAAA&#10;" path="m,895945c,401128,401128,,895945,v494817,,895945,401128,895945,895945c1791890,1390762,1390762,1791890,895945,1791890,401128,1791890,,1390762,,895945xe" fillcolor="#f2f2f2 [3052]" strokecolor="black [3213]" strokeweight=".5pt">
                    <v:fill opacity="32896f"/>
                    <v:path arrowok="t" o:connecttype="custom" o:connectlocs="0,829775;834494,0;1668987,829775;834494,1659549;0,829775" o:connectangles="0,0,0,0,0"/>
                  </v:shape>
                  <v:shape id="Freeform: Shape 634" o:spid="_x0000_s1550" style="position:absolute;left:24037;top:18452;width:16689;height:16595;visibility:visible;mso-wrap-style:square;v-text-anchor:middle" coordsize="1791890,1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gzxgAAANwAAAAPAAAAZHJzL2Rvd25yZXYueG1sRI9Ba8JA&#10;FITvhf6H5RV60021hBqzkVKR5lK00YPeHtlnEpp9G7IbTf99VxB6HGbmGyZdjaYVF+pdY1nByzQC&#10;QVxa3XCl4LDfTN5AOI+ssbVMCn7JwSp7fEgx0fbK33QpfCUChF2CCmrvu0RKV9Zk0E1tRxy8s+0N&#10;+iD7SuoerwFuWjmLolgabDgs1NjRR03lTzEYBYvNsN2Ns88oH/Sa8i97jMvTUannp/F9CcLT6P/D&#10;93auFcTzV7idCUdAZn8AAAD//wMAUEsBAi0AFAAGAAgAAAAhANvh9svuAAAAhQEAABMAAAAAAAAA&#10;AAAAAAAAAAAAAFtDb250ZW50X1R5cGVzXS54bWxQSwECLQAUAAYACAAAACEAWvQsW78AAAAVAQAA&#10;CwAAAAAAAAAAAAAAAAAfAQAAX3JlbHMvLnJlbHNQSwECLQAUAAYACAAAACEAOWCoM8YAAADcAAAA&#10;DwAAAAAAAAAAAAAAAAAHAgAAZHJzL2Rvd25yZXYueG1sUEsFBgAAAAADAAMAtwAAAPoCAAAAAA==&#10;" path="m,895945c,401128,401128,,895945,v494817,,895945,401128,895945,895945c1791890,1390762,1390762,1791890,895945,1791890,401128,1791890,,1390762,,895945xe" fillcolor="#f2f2f2 [3052]" strokecolor="black [3213]" strokeweight=".5pt">
                    <v:fill opacity="32896f"/>
                    <v:path arrowok="t" o:connecttype="custom" o:connectlocs="0,829775;834494,0;1668987,829775;834494,1659549;0,829775" o:connectangles="0,0,0,0,0"/>
                  </v:shape>
                  <v:shape id="Freeform: Shape 635" o:spid="_x0000_s1551" style="position:absolute;left:35661;top:18452;width:16690;height:16595;visibility:visible;mso-wrap-style:square;v-text-anchor:middle" coordsize="1791890,1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2oxgAAANwAAAAPAAAAZHJzL2Rvd25yZXYueG1sRI9Ba8JA&#10;FITvhf6H5RV6002VhhqzkVKR5lK00YPeHtlnEpp9G7IbTf99VxB6HGbmGyZdjaYVF+pdY1nByzQC&#10;QVxa3XCl4LDfTN5AOI+ssbVMCn7JwSp7fEgx0fbK33QpfCUChF2CCmrvu0RKV9Zk0E1tRxy8s+0N&#10;+iD7SuoerwFuWjmLolgabDgs1NjRR03lTzEYBYvNsN2Ns88oH/Sa8i97jMvTUannp/F9CcLT6P/D&#10;93auFcTzV7idCUdAZn8AAAD//wMAUEsBAi0AFAAGAAgAAAAhANvh9svuAAAAhQEAABMAAAAAAAAA&#10;AAAAAAAAAAAAAFtDb250ZW50X1R5cGVzXS54bWxQSwECLQAUAAYACAAAACEAWvQsW78AAAAVAQAA&#10;CwAAAAAAAAAAAAAAAAAfAQAAX3JlbHMvLnJlbHNQSwECLQAUAAYACAAAACEAViwNqMYAAADcAAAA&#10;DwAAAAAAAAAAAAAAAAAHAgAAZHJzL2Rvd25yZXYueG1sUEsFBgAAAAADAAMAtwAAAPoCAAAAAA==&#10;" path="m,895945c,401128,401128,,895945,v494817,,895945,401128,895945,895945c1791890,1390762,1390762,1791890,895945,1791890,401128,1791890,,1390762,,895945xe" fillcolor="#f2f2f2 [3052]" strokecolor="black [3213]" strokeweight=".5pt">
                    <v:fill opacity="32896f"/>
                    <v:path arrowok="t" o:connecttype="custom" o:connectlocs="0,829775;834494,0;1668987,829775;834494,1659549;0,829775" o:connectangles="0,0,0,0,0"/>
                  </v:shape>
                  <v:shape id="Freeform: Shape 636" o:spid="_x0000_s1552" style="position:absolute;left:47201;top:18452;width:16690;height:16595;visibility:visible;mso-wrap-style:square;v-text-anchor:middle" coordsize="1791890,1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AAAANwAAAAPAAAAZHJzL2Rvd25yZXYueG1sRI9Bi8Iw&#10;FITvgv8hPMGbpqtQ3GqUZRexF3FXPejt0TzbYvNSmlTrvzfCgsdhZr5hFqvOVOJGjSstK/gYRyCI&#10;M6tLzhUcD+vRDITzyBory6TgQQ5Wy35vgYm2d/6j297nIkDYJaig8L5OpHRZQQbd2NbEwbvYxqAP&#10;ssmlbvAe4KaSkyiKpcGSw0KBNX0XlF33rVHwuW53v91kE6Wt/qF0a09xdj4pNRx0X3MQnjr/Dv+3&#10;U60gnsbwOhOOgFw+AQAA//8DAFBLAQItABQABgAIAAAAIQDb4fbL7gAAAIUBAAATAAAAAAAAAAAA&#10;AAAAAAAAAABbQ29udGVudF9UeXBlc10ueG1sUEsBAi0AFAAGAAgAAAAhAFr0LFu/AAAAFQEAAAsA&#10;AAAAAAAAAAAAAAAAHwEAAF9yZWxzLy5yZWxzUEsBAi0AFAAGAAgAAAAhAKb+k9/EAAAA3AAAAA8A&#10;AAAAAAAAAAAAAAAABwIAAGRycy9kb3ducmV2LnhtbFBLBQYAAAAAAwADALcAAAD4AgAAAAA=&#10;" path="m,895945c,401128,401128,,895945,v494817,,895945,401128,895945,895945c1791890,1390762,1390762,1791890,895945,1791890,401128,1791890,,1390762,,895945xe" fillcolor="#f2f2f2 [3052]" strokecolor="black [3213]" strokeweight=".5pt">
                    <v:fill opacity="32896f"/>
                    <v:path arrowok="t" o:connecttype="custom" o:connectlocs="0,829775;834494,0;1668987,829775;834494,1659549;0,829775" o:connectangles="0,0,0,0,0"/>
                  </v:shape>
                  <v:shape id="TextBox 10" o:spid="_x0000_s1553" type="#_x0000_t202" style="position:absolute;left:5575;top:29988;width:8712;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VwwAAANwAAAAPAAAAZHJzL2Rvd25yZXYueG1sRI9Ba8JA&#10;FITvQv/D8gredGOl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H/stVcMAAADcAAAADwAA&#10;AAAAAAAAAAAAAAAHAgAAZHJzL2Rvd25yZXYueG1sUEsFBgAAAAADAAMAtwAAAPcCAAAAAA==&#10;" filled="f" stroked="f">
                    <v:textbox style="mso-fit-shape-to-text:t">
                      <w:txbxContent>
                        <w:p w14:paraId="452089F3" w14:textId="77777777" w:rsidR="00777EE0" w:rsidRDefault="00777EE0" w:rsidP="00C65FD3">
                          <w:pPr>
                            <w:jc w:val="center"/>
                            <w:rPr>
                              <w:szCs w:val="24"/>
                            </w:rPr>
                          </w:pPr>
                          <w:r>
                            <w:rPr>
                              <w:color w:val="000000" w:themeColor="text1"/>
                              <w:kern w:val="24"/>
                              <w:sz w:val="22"/>
                            </w:rPr>
                            <w:t xml:space="preserve">Cognitive attitude </w:t>
                          </w:r>
                        </w:p>
                      </w:txbxContent>
                    </v:textbox>
                  </v:shape>
                  <v:shape id="TextBox 11" o:spid="_x0000_s1554" type="#_x0000_t202" style="position:absolute;top:26597;width:871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knvwAAANwAAAAPAAAAZHJzL2Rvd25yZXYueG1sRE9La8JA&#10;EL4X/A/LCN7qxkq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BuZLknvwAAANwAAAAPAAAAAAAA&#10;AAAAAAAAAAcCAABkcnMvZG93bnJldi54bWxQSwUGAAAAAAMAAwC3AAAA8wIAAAAA&#10;" filled="f" stroked="f">
                    <v:textbox style="mso-fit-shape-to-text:t">
                      <w:txbxContent>
                        <w:p w14:paraId="0C5911A9" w14:textId="77777777" w:rsidR="00777EE0" w:rsidRDefault="00777EE0" w:rsidP="00C65FD3">
                          <w:pPr>
                            <w:jc w:val="center"/>
                            <w:rPr>
                              <w:szCs w:val="24"/>
                            </w:rPr>
                          </w:pPr>
                          <w:r>
                            <w:rPr>
                              <w:color w:val="000000" w:themeColor="text1"/>
                              <w:kern w:val="24"/>
                              <w:sz w:val="22"/>
                            </w:rPr>
                            <w:t xml:space="preserve">Affective  attitude </w:t>
                          </w:r>
                        </w:p>
                      </w:txbxContent>
                    </v:textbox>
                  </v:shape>
                  <v:shape id="TextBox 12" o:spid="_x0000_s1555" type="#_x0000_t202" style="position:absolute;left:8510;top:22163;width:871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8wwAAANwAAAAPAAAAZHJzL2Rvd25yZXYueG1sRI9Ba8JA&#10;FITvQv/D8gredGOl0qauIlXBgxdten9kX7Oh2bch+2riv3cLgsdhZr5hluvBN+pCXawDG5hNM1DE&#10;ZbA1VwaKr/3kDVQUZItNYDJwpQjr1dNoibkNPZ/ocpZKJQjHHA04kTbXOpaOPMZpaImT9xM6j5Jk&#10;V2nbYZ/gvtEvWbbQHmtOCw5b+nRU/p7/vAERu5ldi52Ph+/huO1dVr5iYcz4edh8gBIa5BG+tw/W&#10;wGL+Dv9n0hHQqxsAAAD//wMAUEsBAi0AFAAGAAgAAAAhANvh9svuAAAAhQEAABMAAAAAAAAAAAAA&#10;AAAAAAAAAFtDb250ZW50X1R5cGVzXS54bWxQSwECLQAUAAYACAAAACEAWvQsW78AAAAVAQAACwAA&#10;AAAAAAAAAAAAAAAfAQAAX3JlbHMvLnJlbHNQSwECLQAUAAYACAAAACEAASgcvMMAAADcAAAADwAA&#10;AAAAAAAAAAAAAAAHAgAAZHJzL2Rvd25yZXYueG1sUEsFBgAAAAADAAMAtwAAAPcCAAAAAA==&#10;" filled="f" stroked="f">
                    <v:textbox style="mso-fit-shape-to-text:t">
                      <w:txbxContent>
                        <w:p w14:paraId="500746D4" w14:textId="77777777" w:rsidR="00777EE0" w:rsidRDefault="00777EE0" w:rsidP="00C65FD3">
                          <w:pPr>
                            <w:jc w:val="center"/>
                            <w:rPr>
                              <w:szCs w:val="24"/>
                            </w:rPr>
                          </w:pPr>
                          <w:r>
                            <w:rPr>
                              <w:color w:val="000000" w:themeColor="text1"/>
                              <w:kern w:val="24"/>
                              <w:sz w:val="22"/>
                            </w:rPr>
                            <w:t xml:space="preserve">Self-efficacy </w:t>
                          </w:r>
                        </w:p>
                      </w:txbxContent>
                    </v:textbox>
                  </v:shape>
                  <v:shape id="TextBox 13" o:spid="_x0000_s1556" type="#_x0000_t202" style="position:absolute;left:12958;top:25059;width:8706;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cvwAAANwAAAAPAAAAZHJzL2Rvd25yZXYueG1sRE9La8JA&#10;EL4X/A/LCN7qxmK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DIFMZcvwAAANwAAAAPAAAAAAAA&#10;AAAAAAAAAAcCAABkcnMvZG93bnJldi54bWxQSwUGAAAAAAMAAwC3AAAA8wIAAAAA&#10;" filled="f" stroked="f">
                    <v:textbox style="mso-fit-shape-to-text:t">
                      <w:txbxContent>
                        <w:p w14:paraId="423502F7" w14:textId="77777777" w:rsidR="00777EE0" w:rsidRDefault="00777EE0" w:rsidP="00C65FD3">
                          <w:pPr>
                            <w:jc w:val="center"/>
                            <w:rPr>
                              <w:szCs w:val="24"/>
                            </w:rPr>
                          </w:pPr>
                          <w:r>
                            <w:rPr>
                              <w:color w:val="000000" w:themeColor="text1"/>
                              <w:kern w:val="24"/>
                              <w:sz w:val="22"/>
                            </w:rPr>
                            <w:t>Social norms</w:t>
                          </w:r>
                        </w:p>
                      </w:txbxContent>
                    </v:textbox>
                  </v:shape>
                  <v:shape id="TextBox 14" o:spid="_x0000_s1557" type="#_x0000_t202" style="position:absolute;left:649;top:22862;width:9830;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PHwgAAANwAAAAPAAAAZHJzL2Rvd25yZXYueG1sRI9Pa8JA&#10;FMTvQr/D8gRvuklp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CnWGPHwgAAANwAAAAPAAAA&#10;AAAAAAAAAAAAAAcCAABkcnMvZG93bnJldi54bWxQSwUGAAAAAAMAAwC3AAAA9gIAAAAA&#10;" filled="f" stroked="f">
                    <v:textbox style="mso-fit-shape-to-text:t">
                      <w:txbxContent>
                        <w:p w14:paraId="06BF904E" w14:textId="77777777" w:rsidR="00777EE0" w:rsidRDefault="00777EE0" w:rsidP="00C65FD3">
                          <w:pPr>
                            <w:jc w:val="center"/>
                            <w:rPr>
                              <w:szCs w:val="24"/>
                            </w:rPr>
                          </w:pPr>
                          <w:r>
                            <w:rPr>
                              <w:color w:val="000000" w:themeColor="text1"/>
                              <w:kern w:val="24"/>
                              <w:sz w:val="22"/>
                            </w:rPr>
                            <w:t>Willingness</w:t>
                          </w:r>
                        </w:p>
                      </w:txbxContent>
                    </v:textbox>
                  </v:shape>
                  <v:shape id="TextBox 15" o:spid="_x0000_s1558" type="#_x0000_t202" style="position:absolute;left:4344;top:19324;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2wwwAAANwAAAAPAAAAZHJzL2Rvd25yZXYueG1sRI9Pa8JA&#10;FMTvhX6H5RW81Y1i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V4r9sMMAAADcAAAADwAA&#10;AAAAAAAAAAAAAAAHAgAAZHJzL2Rvd25yZXYueG1sUEsFBgAAAAADAAMAtwAAAPcCAAAAAA==&#10;" filled="f" stroked="f">
                    <v:textbox style="mso-fit-shape-to-text:t">
                      <w:txbxContent>
                        <w:p w14:paraId="7E0FBA41" w14:textId="77777777" w:rsidR="00777EE0" w:rsidRDefault="00777EE0" w:rsidP="00C65FD3">
                          <w:pPr>
                            <w:jc w:val="center"/>
                            <w:rPr>
                              <w:szCs w:val="24"/>
                            </w:rPr>
                          </w:pPr>
                          <w:r>
                            <w:rPr>
                              <w:color w:val="000000" w:themeColor="text1"/>
                              <w:kern w:val="24"/>
                              <w:sz w:val="22"/>
                            </w:rPr>
                            <w:t>Intention</w:t>
                          </w:r>
                        </w:p>
                      </w:txbxContent>
                    </v:textbox>
                  </v:shape>
                  <v:shape id="TextBox 16" o:spid="_x0000_s1559" type="#_x0000_t202" style="position:absolute;left:15614;top:19837;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grwwAAANwAAAAPAAAAZHJzL2Rvd25yZXYueG1sRI9Ba8JA&#10;FITvgv9heUJvutFWKamriG3BQy/GeH9kX7Oh2bch+2riv+8WCj0OM/MNs92PvlU36mMT2MBykYEi&#10;roJtuDZQXt7nz6CiIFtsA5OBO0XY76aTLeY2DHymWyG1ShCOORpwIl2udawceYyL0BEn7zP0HiXJ&#10;vta2xyHBfatXWbbRHhtOCw47Ojqqvopvb0DEHpb38s3H03X8eB1cVq2xNOZhNh5eQAmN8h/+a5+s&#10;gc3TI/yeSUdA734AAAD//wMAUEsBAi0AFAAGAAgAAAAhANvh9svuAAAAhQEAABMAAAAAAAAAAAAA&#10;AAAAAAAAAFtDb250ZW50X1R5cGVzXS54bWxQSwECLQAUAAYACAAAACEAWvQsW78AAAAVAQAACwAA&#10;AAAAAAAAAAAAAAAfAQAAX3JlbHMvLnJlbHNQSwECLQAUAAYACAAAACEAOMZYK8MAAADcAAAADwAA&#10;AAAAAAAAAAAAAAAHAgAAZHJzL2Rvd25yZXYueG1sUEsFBgAAAAADAAMAtwAAAPcCAAAAAA==&#10;" filled="f" stroked="f">
                    <v:textbox style="mso-fit-shape-to-text:t">
                      <w:txbxContent>
                        <w:p w14:paraId="3C69391D" w14:textId="77777777" w:rsidR="00777EE0" w:rsidRDefault="00777EE0" w:rsidP="00C65FD3">
                          <w:pPr>
                            <w:jc w:val="center"/>
                            <w:rPr>
                              <w:szCs w:val="24"/>
                            </w:rPr>
                          </w:pPr>
                          <w:r>
                            <w:rPr>
                              <w:color w:val="000000" w:themeColor="text1"/>
                              <w:kern w:val="24"/>
                              <w:sz w:val="22"/>
                            </w:rPr>
                            <w:t>Family</w:t>
                          </w:r>
                        </w:p>
                      </w:txbxContent>
                    </v:textbox>
                  </v:shape>
                  <v:shape id="TextBox 18" o:spid="_x0000_s1560" type="#_x0000_t202" style="position:absolute;left:19838;top:28713;width:8712;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BfwwAAANwAAAAPAAAAZHJzL2Rvd25yZXYueG1sRI9Pa8JA&#10;FMTvBb/D8gRvdWOxItFVxD/goZdqvD+yr9nQ7NuQfTXx27uFQo/DzPyGWW8H36g7dbEObGA2zUAR&#10;l8HWXBkorqfXJagoyBabwGTgQRG2m9HLGnMbev6k+0UqlSAcczTgRNpc61g68hinoSVO3lfoPEqS&#10;XaVth32C+0a/ZdlCe6w5LThsae+o/L78eAMidjd7FEcfz7fh49C7rHzHwpjJeNitQAkN8h/+a5+t&#10;gcV8Dr9n0hHQmycAAAD//wMAUEsBAi0AFAAGAAgAAAAhANvh9svuAAAAhQEAABMAAAAAAAAAAAAA&#10;AAAAAAAAAFtDb250ZW50X1R5cGVzXS54bWxQSwECLQAUAAYACAAAACEAWvQsW78AAAAVAQAACwAA&#10;AAAAAAAAAAAAAAAfAQAAX3JlbHMvLnJlbHNQSwECLQAUAAYACAAAACEAty/AX8MAAADcAAAADwAA&#10;AAAAAAAAAAAAAAAHAgAAZHJzL2Rvd25yZXYueG1sUEsFBgAAAAADAAMAtwAAAPcCAAAAAA==&#10;" filled="f" stroked="f">
                    <v:textbox style="mso-fit-shape-to-text:t">
                      <w:txbxContent>
                        <w:p w14:paraId="2BC0DDC9" w14:textId="77777777" w:rsidR="00777EE0" w:rsidRDefault="00777EE0" w:rsidP="00C65FD3">
                          <w:pPr>
                            <w:jc w:val="center"/>
                            <w:rPr>
                              <w:szCs w:val="24"/>
                            </w:rPr>
                          </w:pPr>
                          <w:r>
                            <w:rPr>
                              <w:color w:val="000000" w:themeColor="text1"/>
                              <w:kern w:val="24"/>
                              <w:sz w:val="22"/>
                            </w:rPr>
                            <w:t xml:space="preserve">Nightclubs </w:t>
                          </w:r>
                        </w:p>
                      </w:txbxContent>
                    </v:textbox>
                  </v:shape>
                  <v:shape id="TextBox 19" o:spid="_x0000_s1561" type="#_x0000_t202" style="position:absolute;left:52863;top:24110;width:10922;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v:textbox style="mso-fit-shape-to-text:t">
                      <w:txbxContent>
                        <w:p w14:paraId="2109301A" w14:textId="77777777" w:rsidR="00777EE0" w:rsidRDefault="00777EE0" w:rsidP="00C65FD3">
                          <w:pPr>
                            <w:jc w:val="center"/>
                            <w:rPr>
                              <w:szCs w:val="24"/>
                            </w:rPr>
                          </w:pPr>
                          <w:r>
                            <w:rPr>
                              <w:color w:val="000000" w:themeColor="text1"/>
                              <w:kern w:val="24"/>
                              <w:sz w:val="22"/>
                            </w:rPr>
                            <w:t>International drug monitoring</w:t>
                          </w:r>
                        </w:p>
                        <w:p w14:paraId="7887253E" w14:textId="77777777" w:rsidR="00777EE0" w:rsidRDefault="00777EE0" w:rsidP="00C65FD3">
                          <w:pPr>
                            <w:jc w:val="center"/>
                          </w:pPr>
                          <w:r>
                            <w:rPr>
                              <w:color w:val="000000" w:themeColor="text1"/>
                              <w:kern w:val="24"/>
                              <w:sz w:val="22"/>
                            </w:rPr>
                            <w:t xml:space="preserve">system </w:t>
                          </w:r>
                        </w:p>
                      </w:txbxContent>
                    </v:textbox>
                  </v:shape>
                  <v:shape id="TextBox 20" o:spid="_x0000_s1562" type="#_x0000_t202" style="position:absolute;left:50614;top:19299;width:8706;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uzwgAAANwAAAAPAAAAZHJzL2Rvd25yZXYueG1sRI9Ba8JA&#10;FITvhf6H5Qm91Y1iQ0ldRaqCh17U9P7IvmaD2bch+zTx33cLBY/DzHzDLNejb9WN+tgENjCbZqCI&#10;q2Abrg2U5/3rO6goyBbbwGTgThHWq+enJRY2DHyk20lqlSAcCzTgRLpC61g58hinoSNO3k/oPUqS&#10;fa1tj0OC+1bPsyzXHhtOCw47+nRUXU5Xb0DEbmb3cufj4Xv82g4uq96wNOZlMm4+QAmN8gj/tw/W&#10;QL7I4e9MOgJ69QsAAP//AwBQSwECLQAUAAYACAAAACEA2+H2y+4AAACFAQAAEwAAAAAAAAAAAAAA&#10;AAAAAAAAW0NvbnRlbnRfVHlwZXNdLnhtbFBLAQItABQABgAIAAAAIQBa9CxbvwAAABUBAAALAAAA&#10;AAAAAAAAAAAAAB8BAABfcmVscy8ucmVsc1BLAQItABQABgAIAAAAIQAosfuzwgAAANwAAAAPAAAA&#10;AAAAAAAAAAAAAAcCAABkcnMvZG93bnJldi54bWxQSwUGAAAAAAMAAwC3AAAA9gIAAAAA&#10;" filled="f" stroked="f">
                    <v:textbox style="mso-fit-shape-to-text:t">
                      <w:txbxContent>
                        <w:p w14:paraId="73ACA685" w14:textId="77777777" w:rsidR="00777EE0" w:rsidRDefault="00777EE0" w:rsidP="00C65FD3">
                          <w:pPr>
                            <w:jc w:val="center"/>
                            <w:rPr>
                              <w:szCs w:val="24"/>
                            </w:rPr>
                          </w:pPr>
                          <w:r>
                            <w:rPr>
                              <w:color w:val="000000" w:themeColor="text1"/>
                              <w:kern w:val="24"/>
                              <w:sz w:val="22"/>
                            </w:rPr>
                            <w:t xml:space="preserve">UK drug strategy </w:t>
                          </w:r>
                        </w:p>
                      </w:txbxContent>
                    </v:textbox>
                  </v:shape>
                  <v:shape id="TextBox 22" o:spid="_x0000_s1563" type="#_x0000_t202" style="position:absolute;left:45296;top:25274;width:8713;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owwAAANwAAAAPAAAAZHJzL2Rvd25yZXYueG1sRI9Ba8JA&#10;FITvQv/D8gredGOx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R/1eKMMAAADcAAAADwAA&#10;AAAAAAAAAAAAAAAHAgAAZHJzL2Rvd25yZXYueG1sUEsFBgAAAAADAAMAtwAAAPcCAAAAAA==&#10;" filled="f" stroked="f">
                    <v:textbox style="mso-fit-shape-to-text:t">
                      <w:txbxContent>
                        <w:p w14:paraId="417D24D7" w14:textId="77777777" w:rsidR="00777EE0" w:rsidRDefault="00777EE0" w:rsidP="00C65FD3">
                          <w:pPr>
                            <w:jc w:val="center"/>
                            <w:rPr>
                              <w:szCs w:val="24"/>
                            </w:rPr>
                          </w:pPr>
                          <w:r>
                            <w:rPr>
                              <w:color w:val="000000" w:themeColor="text1"/>
                              <w:kern w:val="24"/>
                              <w:sz w:val="22"/>
                            </w:rPr>
                            <w:t>Societal norms</w:t>
                          </w:r>
                        </w:p>
                      </w:txbxContent>
                    </v:textbox>
                  </v:shape>
                  <v:shape id="TextBox 23" o:spid="_x0000_s1564" type="#_x0000_t202" style="position:absolute;left:15270;top:31099;width:8706;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pavwAAANwAAAAPAAAAZHJzL2Rvd25yZXYueG1sRE9La8JA&#10;EL4X/A/LCN7qxmK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A2YspavwAAANwAAAAPAAAAAAAA&#10;AAAAAAAAAAcCAABkcnMvZG93bnJldi54bWxQSwUGAAAAAAMAAwC3AAAA8wIAAAAA&#10;" filled="f" stroked="f">
                    <v:textbox style="mso-fit-shape-to-text:t">
                      <w:txbxContent>
                        <w:p w14:paraId="78FB34ED" w14:textId="77777777" w:rsidR="00777EE0" w:rsidRDefault="00777EE0" w:rsidP="00C65FD3">
                          <w:pPr>
                            <w:jc w:val="center"/>
                            <w:rPr>
                              <w:szCs w:val="24"/>
                            </w:rPr>
                          </w:pPr>
                          <w:r>
                            <w:rPr>
                              <w:color w:val="000000" w:themeColor="text1"/>
                              <w:kern w:val="24"/>
                              <w:sz w:val="22"/>
                            </w:rPr>
                            <w:t xml:space="preserve">Peers </w:t>
                          </w:r>
                        </w:p>
                      </w:txbxContent>
                    </v:textbox>
                  </v:shape>
                  <v:shape id="TextBox 24" o:spid="_x0000_s1565" type="#_x0000_t202" style="position:absolute;left:20069;top:21645;width:9265;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BwwAAANwAAAAPAAAAZHJzL2Rvd25yZXYueG1sRI9Ba8JA&#10;FITvQv/D8gredGOx0qauIlXBgxdten9kX7Oh2bch+2riv3cLgsdhZr5hluvBN+pCXawDG5hNM1DE&#10;ZbA1VwaKr/3kDVQUZItNYDJwpQjr1dNoibkNPZ/ocpZKJQjHHA04kTbXOpaOPMZpaImT9xM6j5Jk&#10;V2nbYZ/gvtEvWbbQHmtOCw5b+nRU/p7/vAERu5ldi52Ph+/huO1dVr5iYcz4edh8gBIa5BG+tw/W&#10;wGL+Dv9n0hHQqxsAAAD//wMAUEsBAi0AFAAGAAgAAAAhANvh9svuAAAAhQEAABMAAAAAAAAAAAAA&#10;AAAAAAAAAFtDb250ZW50X1R5cGVzXS54bWxQSwECLQAUAAYACAAAACEAWvQsW78AAAAVAQAACwAA&#10;AAAAAAAAAAAAAAAfAQAAX3JlbHMvLnJlbHNQSwECLQAUAAYACAAAACEAWS5vwcMAAADcAAAADwAA&#10;AAAAAAAAAAAAAAAHAgAAZHJzL2Rvd25yZXYueG1sUEsFBgAAAAADAAMAtwAAAPcCAAAAAA==&#10;" filled="f" stroked="f">
                    <v:textbox style="mso-fit-shape-to-text:t">
                      <w:txbxContent>
                        <w:p w14:paraId="582A6CB8" w14:textId="77777777" w:rsidR="00777EE0" w:rsidRDefault="00777EE0" w:rsidP="00C65FD3">
                          <w:pPr>
                            <w:jc w:val="center"/>
                            <w:rPr>
                              <w:szCs w:val="24"/>
                            </w:rPr>
                          </w:pPr>
                          <w:r>
                            <w:rPr>
                              <w:color w:val="000000" w:themeColor="text1"/>
                              <w:kern w:val="24"/>
                              <w:sz w:val="22"/>
                            </w:rPr>
                            <w:t>Community</w:t>
                          </w:r>
                        </w:p>
                      </w:txbxContent>
                    </v:textbox>
                  </v:shape>
                  <v:shape id="TextBox 25" o:spid="_x0000_s1566" type="#_x0000_t202" style="position:absolute;left:32499;top:28056;width:871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CBvgAAANwAAAAPAAAAZHJzL2Rvd25yZXYueG1sRE9Ni8Iw&#10;EL0v+B/CCN7WVEGRrlFEV/DgZbV7H5qxKTaT0sza+u/NQdjj432vt4Nv1IO6WAc2MJtmoIjLYGuu&#10;DBTX4+cKVBRki01gMvCkCNvN6GONuQ09/9DjIpVKIRxzNOBE2lzrWDryGKehJU7cLXQeJcGu0rbD&#10;PoX7Rs+zbKk91pwaHLa0d1TeL3/egIjdzZ7Ft4+n3+F86F1WLrAwZjIedl+ghAb5F7/dJ2tguUjz&#10;05l0BPTmBQAA//8DAFBLAQItABQABgAIAAAAIQDb4fbL7gAAAIUBAAATAAAAAAAAAAAAAAAAAAAA&#10;AABbQ29udGVudF9UeXBlc10ueG1sUEsBAi0AFAAGAAgAAAAhAFr0LFu/AAAAFQEAAAsAAAAAAAAA&#10;AAAAAAAAHwEAAF9yZWxzLy5yZWxzUEsBAi0AFAAGAAgAAAAhAE3NUIG+AAAA3AAAAA8AAAAAAAAA&#10;AAAAAAAABwIAAGRycy9kb3ducmV2LnhtbFBLBQYAAAAAAwADALcAAADyAgAAAAA=&#10;" filled="f" stroked="f">
                    <v:textbox style="mso-fit-shape-to-text:t">
                      <w:txbxContent>
                        <w:p w14:paraId="6E99BC29" w14:textId="77777777" w:rsidR="00777EE0" w:rsidRDefault="00777EE0" w:rsidP="00C65FD3">
                          <w:pPr>
                            <w:jc w:val="center"/>
                            <w:rPr>
                              <w:szCs w:val="24"/>
                            </w:rPr>
                          </w:pPr>
                          <w:r>
                            <w:rPr>
                              <w:color w:val="000000" w:themeColor="text1"/>
                              <w:kern w:val="24"/>
                              <w:sz w:val="22"/>
                            </w:rPr>
                            <w:t>Cultural norms</w:t>
                          </w:r>
                        </w:p>
                      </w:txbxContent>
                    </v:textbox>
                  </v:shape>
                  <v:shape id="TextBox 26" o:spid="_x0000_s1567" type="#_x0000_t202" style="position:absolute;left:32306;top:21863;width:8706;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14:paraId="1AD471A0" w14:textId="77777777" w:rsidR="00777EE0" w:rsidRDefault="00777EE0" w:rsidP="00C65FD3">
                          <w:pPr>
                            <w:jc w:val="center"/>
                            <w:rPr>
                              <w:szCs w:val="24"/>
                            </w:rPr>
                          </w:pPr>
                          <w:r>
                            <w:rPr>
                              <w:color w:val="000000" w:themeColor="text1"/>
                              <w:kern w:val="24"/>
                              <w:sz w:val="22"/>
                            </w:rPr>
                            <w:t xml:space="preserve">Local council </w:t>
                          </w:r>
                        </w:p>
                      </w:txbxContent>
                    </v:textbox>
                  </v:shape>
                  <v:shape id="TextBox 27" o:spid="_x0000_s1568" type="#_x0000_t202" style="position:absolute;left:39138;top:19806;width:9721;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ttwgAAANwAAAAPAAAAZHJzL2Rvd25yZXYueG1sRI9Ba8JA&#10;FITvBf/D8gRvdaOgSOoqohU8eKmm90f2mQ1m34bsq4n/3i0Uehxm5htmvR18ox7UxTqwgdk0A0Vc&#10;BltzZaC4Ht9XoKIgW2wCk4EnRdhuRm9rzG3o+YseF6lUgnDM0YATaXOtY+nIY5yGljh5t9B5lCS7&#10;StsO+wT3jZ5n2VJ7rDktOGxp76i8X368ARG7mz2LTx9P38P50LusXGBhzGQ87D5ACQ3yH/5rn6yB&#10;5WIOv2fSEdCbFwAAAP//AwBQSwECLQAUAAYACAAAACEA2+H2y+4AAACFAQAAEwAAAAAAAAAAAAAA&#10;AAAAAAAAW0NvbnRlbnRfVHlwZXNdLnhtbFBLAQItABQABgAIAAAAIQBa9CxbvwAAABUBAAALAAAA&#10;AAAAAAAAAAAAAB8BAABfcmVscy8ucmVsc1BLAQItABQABgAIAAAAIQDSU2ttwgAAANwAAAAPAAAA&#10;AAAAAAAAAAAAAAcCAABkcnMvZG93bnJldi54bWxQSwUGAAAAAAMAAwC3AAAA9gIAAAAA&#10;" filled="f" stroked="f">
                    <v:textbox style="mso-fit-shape-to-text:t">
                      <w:txbxContent>
                        <w:p w14:paraId="6317BCFF" w14:textId="77777777" w:rsidR="00777EE0" w:rsidRDefault="00777EE0" w:rsidP="00C65FD3">
                          <w:pPr>
                            <w:jc w:val="center"/>
                            <w:rPr>
                              <w:szCs w:val="24"/>
                            </w:rPr>
                          </w:pPr>
                          <w:r>
                            <w:rPr>
                              <w:color w:val="000000" w:themeColor="text1"/>
                              <w:kern w:val="24"/>
                              <w:sz w:val="22"/>
                            </w:rPr>
                            <w:t>National drug early warning</w:t>
                          </w:r>
                        </w:p>
                        <w:p w14:paraId="20BA737B" w14:textId="77777777" w:rsidR="00777EE0" w:rsidRDefault="00777EE0" w:rsidP="00C65FD3">
                          <w:pPr>
                            <w:jc w:val="center"/>
                          </w:pPr>
                          <w:r>
                            <w:rPr>
                              <w:color w:val="000000" w:themeColor="text1"/>
                              <w:kern w:val="24"/>
                              <w:sz w:val="22"/>
                            </w:rPr>
                            <w:t xml:space="preserve">System   </w:t>
                          </w:r>
                        </w:p>
                      </w:txbxContent>
                    </v:textbox>
                  </v:shape>
                  <v:shape id="TextBox 28" o:spid="_x0000_s1569" type="#_x0000_t202" style="position:absolute;left:50198;top:30691;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72wwAAANwAAAAPAAAAZHJzL2Rvd25yZXYueG1sRI9Pa8JA&#10;FMTvBb/D8gRvdWNFKdFVxD/goRdtvD+yr9nQ7NuQfTXx23cLBY/DzPyGWW8H36g7dbEObGA2zUAR&#10;l8HWXBkoPk+v76CiIFtsApOBB0XYbkYva8xt6PlC96tUKkE45mjAibS51rF05DFOQ0ucvK/QeZQk&#10;u0rbDvsE941+y7Kl9lhzWnDY0t5R+X398QZE7G72KI4+nm/Dx6F3WbnAwpjJeNitQAkN8gz/t8/W&#10;wHIxh78z6QjozS8AAAD//wMAUEsBAi0AFAAGAAgAAAAhANvh9svuAAAAhQEAABMAAAAAAAAAAAAA&#10;AAAAAAAAAFtDb250ZW50X1R5cGVzXS54bWxQSwECLQAUAAYACAAAACEAWvQsW78AAAAVAQAACwAA&#10;AAAAAAAAAAAAAAAfAQAAX3JlbHMvLnJlbHNQSwECLQAUAAYACAAAACEAvR/O9sMAAADcAAAADwAA&#10;AAAAAAAAAAAAAAAHAgAAZHJzL2Rvd25yZXYueG1sUEsFBgAAAAADAAMAtwAAAPcCAAAAAA==&#10;" filled="f" stroked="f">
                    <v:textbox style="mso-fit-shape-to-text:t">
                      <w:txbxContent>
                        <w:p w14:paraId="2BECFE4A" w14:textId="77777777" w:rsidR="00777EE0" w:rsidRDefault="00777EE0" w:rsidP="00C65FD3">
                          <w:pPr>
                            <w:jc w:val="center"/>
                            <w:rPr>
                              <w:szCs w:val="24"/>
                            </w:rPr>
                          </w:pPr>
                          <w:r>
                            <w:rPr>
                              <w:color w:val="000000" w:themeColor="text1"/>
                              <w:kern w:val="24"/>
                              <w:sz w:val="22"/>
                            </w:rPr>
                            <w:t>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54" o:spid="_x0000_s1570" type="#_x0000_t87" style="position:absolute;left:30153;top:-16244;width:4435;height:630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f4xQAAANwAAAAPAAAAZHJzL2Rvd25yZXYueG1sRI9Ba8JA&#10;FITvBf/D8gpeRDfaGiR1lSBqi0ihWnp+ZJ9JMPs27K4a/323IPQ4zMw3zHzZmUZcyfnasoLxKAFB&#10;XFhdc6ng+7gZzkD4gKyxsUwK7uRhueg9zTHT9sZfdD2EUkQI+wwVVCG0mZS+qMigH9mWOHon6wyG&#10;KF0ptcNbhJtGTpIklQZrjgsVtrSqqDgfLkZBvl/R5eflfkpn7n3XDlz5uV3nSvWfu/wNRKAu/Icf&#10;7Q+tIJ2+wt+ZeATk4hcAAP//AwBQSwECLQAUAAYACAAAACEA2+H2y+4AAACFAQAAEwAAAAAAAAAA&#10;AAAAAAAAAAAAW0NvbnRlbnRfVHlwZXNdLnhtbFBLAQItABQABgAIAAAAIQBa9CxbvwAAABUBAAAL&#10;AAAAAAAAAAAAAAAAAB8BAABfcmVscy8ucmVsc1BLAQItABQABgAIAAAAIQDHTof4xQAAANwAAAAP&#10;AAAAAAAAAAAAAAAAAAcCAABkcnMvZG93bnJldi54bWxQSwUGAAAAAAMAAwC3AAAA+QIAAAAA&#10;" adj="1260" strokecolor="black [3213]"/>
                  <v:shape id="Left Brace 655" o:spid="_x0000_s1571" type="#_x0000_t87" style="position:absolute;left:12585;top:30492;width:3121;height:26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XwxAAAANwAAAAPAAAAZHJzL2Rvd25yZXYueG1sRI9BawIx&#10;FITvhf6H8Aq91awFRVejyFJR8OS2h/b22Dx3F5OXZRM19dcbQfA4zMw3zHwZrRFn6n3rWMFwkIEg&#10;rpxuuVbw873+mIDwAVmjcUwK/snDcvH6Msdcuwvv6VyGWiQI+xwVNCF0uZS+asiiH7iOOHkH11sM&#10;Sfa11D1eEtwa+ZllY2mx5bTQYEdFQ9WxPFkFv9MY/3bX0iAeC2z3xXr6tTFKvb/F1QxEoBie4Ud7&#10;qxWMRyO4n0lHQC5uAAAA//8DAFBLAQItABQABgAIAAAAIQDb4fbL7gAAAIUBAAATAAAAAAAAAAAA&#10;AAAAAAAAAABbQ29udGVudF9UeXBlc10ueG1sUEsBAi0AFAAGAAgAAAAhAFr0LFu/AAAAFQEAAAsA&#10;AAAAAAAAAAAAAAAAHwEAAF9yZWxzLy5yZWxzUEsBAi0AFAAGAAgAAAAhAKF0xfDEAAAA3AAAAA8A&#10;AAAAAAAAAAAAAAAABwIAAGRycy9kb3ducmV2LnhtbFBLBQYAAAAAAwADALcAAAD4AgAAAAA=&#10;" adj="1829" strokecolor="black [3213]"/>
                  <v:shape id="Left Brace 656" o:spid="_x0000_s1572" type="#_x0000_t87" style="position:absolute;left:44105;top:25676;width:3121;height:36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r8xQAAANwAAAAPAAAAZHJzL2Rvd25yZXYueG1sRI9PSwMx&#10;FMTvgt8hvII3m63SRbZNS1EU8dY/ULy9bl43oZuXNUm767dvCoLHYWZ+w8yXg2vFhUK0nhVMxgUI&#10;4tpry42C3fb98QVETMgaW8+k4JciLBf3d3OstO95TZdNakSGcKxQgUmpq6SMtSGHcew74uwdfXCY&#10;sgyN1AH7DHetfCqKUjq0nBcMdvRqqD5tzk7BwXa7yeqrL+xPMG/fzx/7E5/3Sj2MhtUMRKIh/Yf/&#10;2p9aQTkt4XYmHwG5uAIAAP//AwBQSwECLQAUAAYACAAAACEA2+H2y+4AAACFAQAAEwAAAAAAAAAA&#10;AAAAAAAAAAAAW0NvbnRlbnRfVHlwZXNdLnhtbFBLAQItABQABgAIAAAAIQBa9CxbvwAAABUBAAAL&#10;AAAAAAAAAAAAAAAAAB8BAABfcmVscy8ucmVsc1BLAQItABQABgAIAAAAIQBcl8r8xQAAANwAAAAP&#10;AAAAAAAAAAAAAAAAAAcCAABkcnMvZG93bnJldi54bWxQSwUGAAAAAAMAAwC3AAAA+QIAAAAA&#10;" adj="1335" strokecolor="black [3213]"/>
                  <v:shape id="Left Brace 657" o:spid="_x0000_s1573" type="#_x0000_t87" style="position:absolute;left:26593;top:24966;width:2340;height:260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9dxAAAANwAAAAPAAAAZHJzL2Rvd25yZXYueG1sRI9Ba8JA&#10;FITvgv9heYXedFOrsaZuggiV4s20eH5mX5PQ7NuY3Sbpv+8WBI/DzHzDbLPRNKKnztWWFTzNIxDE&#10;hdU1lwo+P95mLyCcR9bYWCYFv+QgS6eTLSbaDnyiPvelCBB2CSqovG8TKV1RkUE3ty1x8L5sZ9AH&#10;2ZVSdzgEuGnkIopiabDmsFBhS/uKiu/8xyg4lmeOl5f95tlcDkN/yvW1rTdKPT6Mu1cQnkZ/D9/a&#10;71pBvFrD/5lwBGT6BwAA//8DAFBLAQItABQABgAIAAAAIQDb4fbL7gAAAIUBAAATAAAAAAAAAAAA&#10;AAAAAAAAAABbQ29udGVudF9UeXBlc10ueG1sUEsBAi0AFAAGAAgAAAAhAFr0LFu/AAAAFQEAAAsA&#10;AAAAAAAAAAAAAAAAHwEAAF9yZWxzLy5yZWxzUEsBAi0AFAAGAAgAAAAhAGvHr13EAAAA3AAAAA8A&#10;AAAAAAAAAAAAAAAABwIAAGRycy9kb3ducmV2LnhtbFBLBQYAAAAAAwADALcAAAD4AgAAAAA=&#10;" adj="1400,10545" strokecolor="black [3213]"/>
                  <v:shape id="TextBox 40" o:spid="_x0000_s1574" type="#_x0000_t202" style="position:absolute;left:22920;top:38800;width:926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yHvgAAANwAAAAPAAAAZHJzL2Rvd25yZXYueG1sRE9Ni8Iw&#10;EL0v+B/CCN7WVEGRrlFEV/DgZbV7H5qxKTaT0sza+u/NQdjj432vt4Nv1IO6WAc2MJtmoIjLYGuu&#10;DBTX4+cKVBRki01gMvCkCNvN6GONuQ09/9DjIpVKIRxzNOBE2lzrWDryGKehJU7cLXQeJcGu0rbD&#10;PoX7Rs+zbKk91pwaHLa0d1TeL3/egIjdzZ7Ft4+n3+F86F1WLrAwZjIedl+ghAb5F7/dJ2tguUhr&#10;05l0BPTmBQAA//8DAFBLAQItABQABgAIAAAAIQDb4fbL7gAAAIUBAAATAAAAAAAAAAAAAAAAAAAA&#10;AABbQ29udGVudF9UeXBlc10ueG1sUEsBAi0AFAAGAAgAAAAhAFr0LFu/AAAAFQEAAAsAAAAAAAAA&#10;AAAAAAAAHwEAAF9yZWxzLy5yZWxzUEsBAi0AFAAGAAgAAAAhALO7XIe+AAAA3AAAAA8AAAAAAAAA&#10;AAAAAAAABwIAAGRycy9kb3ducmV2LnhtbFBLBQYAAAAAAwADALcAAADyAgAAAAA=&#10;" filled="f" stroked="f">
                    <v:textbox style="mso-fit-shape-to-text:t">
                      <w:txbxContent>
                        <w:p w14:paraId="3DE43719" w14:textId="77777777" w:rsidR="00777EE0" w:rsidRDefault="00777EE0" w:rsidP="00C65FD3">
                          <w:pPr>
                            <w:jc w:val="center"/>
                            <w:rPr>
                              <w:szCs w:val="24"/>
                            </w:rPr>
                          </w:pPr>
                          <w:r>
                            <w:rPr>
                              <w:color w:val="000000" w:themeColor="text1"/>
                              <w:kern w:val="24"/>
                              <w:sz w:val="22"/>
                            </w:rPr>
                            <w:t>Capacity</w:t>
                          </w:r>
                        </w:p>
                      </w:txbxContent>
                    </v:textbox>
                  </v:shape>
                  <v:shape id="TextBox 41" o:spid="_x0000_s1575" type="#_x0000_t202" style="position:absolute;left:9512;top:44933;width:9264;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cwwAAANwAAAAPAAAAZHJzL2Rvd25yZXYueG1sRI9Pa8JA&#10;FMTvBb/D8oTe6kZBsdFVxD/goRdtvD+yr9nQ7NuQfZr47buFQo/DzPyGWW8H36gHdbEObGA6yUAR&#10;l8HWXBkoPk9vS1BRkC02gcnAkyJsN6OXNeY29Hyhx1UqlSAcczTgRNpc61g68hgnoSVO3lfoPEqS&#10;XaVth32C+0bPsmyhPdacFhy2tHdUfl/v3oCI3U2fxdHH8234OPQuK+dYGPM6HnYrUEKD/If/2mdr&#10;YDF/h98z6QjozQ8AAAD//wMAUEsBAi0AFAAGAAgAAAAhANvh9svuAAAAhQEAABMAAAAAAAAAAAAA&#10;AAAAAAAAAFtDb250ZW50X1R5cGVzXS54bWxQSwECLQAUAAYACAAAACEAWvQsW78AAAAVAQAACwAA&#10;AAAAAAAAAAAAAAAfAQAAX3JlbHMvLnJlbHNQSwECLQAUAAYACAAAACEA3Pf5HMMAAADcAAAADwAA&#10;AAAAAAAAAAAAAAAHAgAAZHJzL2Rvd25yZXYueG1sUEsFBgAAAAADAAMAtwAAAPcCAAAAAA==&#10;" filled="f" stroked="f">
                    <v:textbox style="mso-fit-shape-to-text:t">
                      <w:txbxContent>
                        <w:p w14:paraId="7722883B" w14:textId="77777777" w:rsidR="00777EE0" w:rsidRDefault="00777EE0" w:rsidP="00C65FD3">
                          <w:pPr>
                            <w:jc w:val="center"/>
                            <w:rPr>
                              <w:szCs w:val="24"/>
                            </w:rPr>
                          </w:pPr>
                          <w:r>
                            <w:rPr>
                              <w:color w:val="000000" w:themeColor="text1"/>
                              <w:kern w:val="24"/>
                              <w:sz w:val="22"/>
                            </w:rPr>
                            <w:t>Motivation</w:t>
                          </w:r>
                        </w:p>
                      </w:txbxContent>
                    </v:textbox>
                  </v:shape>
                  <v:shape id="TextBox 42" o:spid="_x0000_s1576" type="#_x0000_t202" style="position:absolute;left:40786;top:45292;width:926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o8wAAAANwAAAAPAAAAZHJzL2Rvd25yZXYueG1sRE89a8Mw&#10;EN0L/Q/iCt1qOYWa4kQxpmkhQ5amzn5YF8vUOhnrEjv/vhoCHR/ve1MtflBXmmIf2MAqy0ERt8H2&#10;3Blofr5e3kFFQbY4BCYDN4pQbR8fNljaMPM3XY/SqRTCsUQDTmQstY6tI48xCyNx4s5h8igJTp22&#10;E84p3A/6Nc8L7bHn1OBwpA9H7e/x4g2I2Hp1az593J+Ww252efuGjTHPT0u9BiW0yL/47t5bA0WR&#10;5qcz6Qjo7R8AAAD//wMAUEsBAi0AFAAGAAgAAAAhANvh9svuAAAAhQEAABMAAAAAAAAAAAAAAAAA&#10;AAAAAFtDb250ZW50X1R5cGVzXS54bWxQSwECLQAUAAYACAAAACEAWvQsW78AAAAVAQAACwAAAAAA&#10;AAAAAAAAAAAfAQAAX3JlbHMvLnJlbHNQSwECLQAUAAYACAAAACEAg6GaPMAAAADcAAAADwAAAAAA&#10;AAAAAAAAAAAHAgAAZHJzL2Rvd25yZXYueG1sUEsFBgAAAAADAAMAtwAAAPQCAAAAAA==&#10;" filled="f" stroked="f">
                    <v:textbox style="mso-fit-shape-to-text:t">
                      <w:txbxContent>
                        <w:p w14:paraId="02D12A96" w14:textId="77777777" w:rsidR="00777EE0" w:rsidRDefault="00777EE0" w:rsidP="00C65FD3">
                          <w:pPr>
                            <w:jc w:val="center"/>
                            <w:rPr>
                              <w:szCs w:val="24"/>
                            </w:rPr>
                          </w:pPr>
                          <w:r>
                            <w:rPr>
                              <w:color w:val="000000" w:themeColor="text1"/>
                              <w:kern w:val="24"/>
                              <w:sz w:val="22"/>
                            </w:rPr>
                            <w:t>Opportunity</w:t>
                          </w:r>
                        </w:p>
                      </w:txbxContent>
                    </v:textbox>
                  </v:shape>
                  <v:shape id="TextBox 43" o:spid="_x0000_s1577" type="#_x0000_t202" style="position:absolute;left:16559;top:16127;width:870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81JwwAAANwAAAAPAAAAZHJzL2Rvd25yZXYueG1sRI9Pa8JA&#10;FMTvBb/D8gq91Y2iRaKriH/AQy+16f2RfWZDs29D9mnit+8WBI/DzPyGWW0G36gbdbEObGAyzkAR&#10;l8HWXBkovo/vC1BRkC02gcnAnSJs1qOXFeY29PxFt7NUKkE45mjAibS51rF05DGOQ0ucvEvoPEqS&#10;XaVth32C+0ZPs+xDe6w5LThsaeeo/D1fvQERu53ci4OPp5/hc9+7rJxjYczb67BdghIa5Bl+tE/W&#10;wGI+g/8z6Qjo9R8AAAD//wMAUEsBAi0AFAAGAAgAAAAhANvh9svuAAAAhQEAABMAAAAAAAAAAAAA&#10;AAAAAAAAAFtDb250ZW50X1R5cGVzXS54bWxQSwECLQAUAAYACAAAACEAWvQsW78AAAAVAQAACwAA&#10;AAAAAAAAAAAAAAAfAQAAX3JlbHMvLnJlbHNQSwECLQAUAAYACAAAACEAsqPNScMAAADcAAAADwAA&#10;AAAAAAAAAAAAAAAHAgAAZHJzL2Rvd25yZXYueG1sUEsFBgAAAAADAAMAtwAAAPcCAAAAAA==&#10;" filled="f" stroked="f">
                    <v:textbox style="mso-fit-shape-to-text:t">
                      <w:txbxContent>
                        <w:p w14:paraId="2D5B6661" w14:textId="77777777" w:rsidR="00777EE0" w:rsidRDefault="00777EE0" w:rsidP="00C65FD3">
                          <w:pPr>
                            <w:jc w:val="center"/>
                            <w:rPr>
                              <w:szCs w:val="24"/>
                            </w:rPr>
                          </w:pPr>
                          <w:r>
                            <w:rPr>
                              <w:b/>
                              <w:bCs/>
                              <w:color w:val="000000" w:themeColor="text1"/>
                              <w:kern w:val="24"/>
                              <w:sz w:val="22"/>
                            </w:rPr>
                            <w:t>MICRO</w:t>
                          </w:r>
                        </w:p>
                      </w:txbxContent>
                    </v:textbox>
                  </v:shape>
                  <v:shape id="TextBox 44" o:spid="_x0000_s1578" type="#_x0000_t202" style="position:absolute;left:27831;top:16169;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2jSwgAAANwAAAAPAAAAZHJzL2Rvd25yZXYueG1sRI9Ba8JA&#10;FITvhf6H5RV6qxuFiKSuItaCh17UeH9kX7PB7NuQfTXx33cFweMwM98wy/XoW3WlPjaBDUwnGSji&#10;KtiGawPl6ftjASoKssU2MBm4UYT16vVliYUNAx/oepRaJQjHAg04ka7QOlaOPMZJ6IiT9xt6j5Jk&#10;X2vb45DgvtWzLJtrjw2nBYcdbR1Vl+OfNyBiN9NbufNxfx5/vgaXVTmWxry/jZtPUEKjPMOP9t4a&#10;WOQ53M+kI6BX/wAAAP//AwBQSwECLQAUAAYACAAAACEA2+H2y+4AAACFAQAAEwAAAAAAAAAAAAAA&#10;AAAAAAAAW0NvbnRlbnRfVHlwZXNdLnhtbFBLAQItABQABgAIAAAAIQBa9CxbvwAAABUBAAALAAAA&#10;AAAAAAAAAAAAAB8BAABfcmVscy8ucmVsc1BLAQItABQABgAIAAAAIQDd72jSwgAAANwAAAAPAAAA&#10;AAAAAAAAAAAAAAcCAABkcnMvZG93bnJldi54bWxQSwUGAAAAAAMAAwC3AAAA9gIAAAAA&#10;" filled="f" stroked="f">
                    <v:textbox style="mso-fit-shape-to-text:t">
                      <w:txbxContent>
                        <w:p w14:paraId="26735F53" w14:textId="77777777" w:rsidR="00777EE0" w:rsidRDefault="00777EE0" w:rsidP="00C65FD3">
                          <w:pPr>
                            <w:jc w:val="center"/>
                            <w:rPr>
                              <w:szCs w:val="24"/>
                            </w:rPr>
                          </w:pPr>
                          <w:r>
                            <w:rPr>
                              <w:b/>
                              <w:bCs/>
                              <w:color w:val="000000" w:themeColor="text1"/>
                              <w:kern w:val="24"/>
                              <w:sz w:val="22"/>
                            </w:rPr>
                            <w:t>MESO</w:t>
                          </w:r>
                        </w:p>
                      </w:txbxContent>
                    </v:textbox>
                  </v:shape>
                  <v:shape id="TextBox 45" o:spid="_x0000_s1579" type="#_x0000_t202" style="position:absolute;left:39490;top:16093;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alwgAAANwAAAAPAAAAZHJzL2Rvd25yZXYueG1sRI9Ba8JA&#10;FITvBf/D8gre6saCItFVpLbgwYs23h/ZZzaYfRuyryb+e1cQehxm5htmtRl8o27UxTqwgekkA0Vc&#10;BltzZaD4/flYgIqCbLEJTAbuFGGzHr2tMLeh5yPdTlKpBOGYowEn0uZax9KRxzgJLXHyLqHzKEl2&#10;lbYd9gnuG/2ZZXPtsea04LClL0fl9fTnDYjY7fRefPu4Pw+HXe+ycoaFMeP3YbsEJTTIf/jV3lsD&#10;i9kcnmfSEdDrBwAAAP//AwBQSwECLQAUAAYACAAAACEA2+H2y+4AAACFAQAAEwAAAAAAAAAAAAAA&#10;AAAAAAAAW0NvbnRlbnRfVHlwZXNdLnhtbFBLAQItABQABgAIAAAAIQBa9CxbvwAAABUBAAALAAAA&#10;AAAAAAAAAAAAAB8BAABfcmVscy8ucmVsc1BLAQItABQABgAIAAAAIQAtPfalwgAAANwAAAAPAAAA&#10;AAAAAAAAAAAAAAcCAABkcnMvZG93bnJldi54bWxQSwUGAAAAAAMAAwC3AAAA9gIAAAAA&#10;" filled="f" stroked="f">
                    <v:textbox style="mso-fit-shape-to-text:t">
                      <w:txbxContent>
                        <w:p w14:paraId="331CB397" w14:textId="77777777" w:rsidR="00777EE0" w:rsidRDefault="00777EE0" w:rsidP="00C65FD3">
                          <w:pPr>
                            <w:jc w:val="center"/>
                            <w:rPr>
                              <w:szCs w:val="24"/>
                            </w:rPr>
                          </w:pPr>
                          <w:r>
                            <w:rPr>
                              <w:b/>
                              <w:bCs/>
                              <w:color w:val="000000" w:themeColor="text1"/>
                              <w:kern w:val="24"/>
                              <w:sz w:val="22"/>
                            </w:rPr>
                            <w:t>EXO</w:t>
                          </w:r>
                        </w:p>
                      </w:txbxContent>
                    </v:textbox>
                  </v:shape>
                  <v:shape id="TextBox 46" o:spid="_x0000_s1580" type="#_x0000_t202" style="position:absolute;left:51149;top:16093;width:8712;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M+wwAAANwAAAAPAAAAZHJzL2Rvd25yZXYueG1sRI9Ba8JA&#10;FITvgv9heYXedGNBK9E1BNuCBy+16f2RfWZDs29D9tXEf98tFHocZuYbZl9MvlM3GmIb2MBqmYEi&#10;roNtuTFQfbwttqCiIFvsApOBO0UoDvPZHnMbRn6n20UalSAcczTgRPpc61g78hiXoSdO3jUMHiXJ&#10;odF2wDHBfaefsmyjPbacFhz2dHRUf12+vQERW67u1auPp8/p/DK6rF5jZczjw1TuQAlN8h/+a5+s&#10;ge36GX7PpCOgDz8AAAD//wMAUEsBAi0AFAAGAAgAAAAhANvh9svuAAAAhQEAABMAAAAAAAAAAAAA&#10;AAAAAAAAAFtDb250ZW50X1R5cGVzXS54bWxQSwECLQAUAAYACAAAACEAWvQsW78AAAAVAQAACwAA&#10;AAAAAAAAAAAAAAAfAQAAX3JlbHMvLnJlbHNQSwECLQAUAAYACAAAACEAQnFTPsMAAADcAAAADwAA&#10;AAAAAAAAAAAAAAAHAgAAZHJzL2Rvd25yZXYueG1sUEsFBgAAAAADAAMAtwAAAPcCAAAAAA==&#10;" filled="f" stroked="f">
                    <v:textbox style="mso-fit-shape-to-text:t">
                      <w:txbxContent>
                        <w:p w14:paraId="6F2289C9" w14:textId="77777777" w:rsidR="00777EE0" w:rsidRDefault="00777EE0" w:rsidP="00C65FD3">
                          <w:pPr>
                            <w:jc w:val="center"/>
                            <w:rPr>
                              <w:szCs w:val="24"/>
                            </w:rPr>
                          </w:pPr>
                          <w:r>
                            <w:rPr>
                              <w:b/>
                              <w:bCs/>
                              <w:color w:val="000000" w:themeColor="text1"/>
                              <w:kern w:val="24"/>
                              <w:sz w:val="22"/>
                            </w:rPr>
                            <w:t>MACRO</w:t>
                          </w:r>
                        </w:p>
                      </w:txbxContent>
                    </v:textbox>
                  </v:shape>
                  <v:shape id="TextBox 47" o:spid="_x0000_s1581" type="#_x0000_t202" style="position:absolute;left:25079;top:9642;width:1478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dMvgAAANwAAAAPAAAAZHJzL2Rvd25yZXYueG1sRE9Ni8Iw&#10;EL0v+B/CCN40VXCRrlFEV/DgZbV7H5qxKTaT0sza+u/NQdjj432vt4Nv1IO6WAc2MJ9loIjLYGuu&#10;DBTX43QFKgqyxSYwGXhShO1m9LHG3Iaef+hxkUqlEI45GnAiba51LB15jLPQEifuFjqPkmBXadth&#10;n8J9oxdZ9qk91pwaHLa0d1TeL3/egIjdzZ/Ft4+n3+F86F1WLrEwZjIedl+ghAb5F7/dJ2tgtUxr&#10;05l0BPTmBQAA//8DAFBLAQItABQABgAIAAAAIQDb4fbL7gAAAIUBAAATAAAAAAAAAAAAAAAAAAAA&#10;AABbQ29udGVudF9UeXBlc10ueG1sUEsBAi0AFAAGAAgAAAAhAFr0LFu/AAAAFQEAAAsAAAAAAAAA&#10;AAAAAAAAHwEAAF9yZWxzLy5yZWxzUEsBAi0AFAAGAAgAAAAhADPux0y+AAAA3AAAAA8AAAAAAAAA&#10;AAAAAAAABwIAAGRycy9kb3ducmV2LnhtbFBLBQYAAAAAAwADALcAAADyAgAAAAA=&#10;" filled="f" stroked="f">
                    <v:textbox style="mso-fit-shape-to-text:t">
                      <w:txbxContent>
                        <w:p w14:paraId="1B0CCD5F" w14:textId="77777777" w:rsidR="00777EE0" w:rsidRDefault="00777EE0" w:rsidP="00C65FD3">
                          <w:pPr>
                            <w:jc w:val="center"/>
                            <w:rPr>
                              <w:szCs w:val="24"/>
                            </w:rPr>
                          </w:pPr>
                          <w:r>
                            <w:rPr>
                              <w:color w:val="000000" w:themeColor="text1"/>
                              <w:kern w:val="24"/>
                              <w:sz w:val="22"/>
                            </w:rPr>
                            <w:t>NPS use</w:t>
                          </w:r>
                        </w:p>
                      </w:txbxContent>
                    </v:textbox>
                  </v:shape>
                  <v:shape id="TextBox 48" o:spid="_x0000_s1582" type="#_x0000_t202" style="position:absolute;left:25079;top:4811;width:1478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wwAAANwAAAAPAAAAZHJzL2Rvd25yZXYueG1sRI9Pa8JA&#10;FMTvBb/D8gRvdWPBotFVxD/goZdqvD+yr9nQ7NuQfTXx27uFQo/DzPyGWW8H36g7dbEObGA2zUAR&#10;l8HWXBkorqfXBagoyBabwGTgQRG2m9HLGnMbev6k+0UqlSAcczTgRNpc61g68hinoSVO3lfoPEqS&#10;XaVth32C+0a/Zdm79lhzWnDY0t5R+X358QZE7G72KI4+nm/Dx6F3WTnHwpjJeNitQAkN8h/+a5+t&#10;gcV8Cb9n0hHQmycAAAD//wMAUEsBAi0AFAAGAAgAAAAhANvh9svuAAAAhQEAABMAAAAAAAAAAAAA&#10;AAAAAAAAAFtDb250ZW50X1R5cGVzXS54bWxQSwECLQAUAAYACAAAACEAWvQsW78AAAAVAQAACwAA&#10;AAAAAAAAAAAAAAAfAQAAX3JlbHMvLnJlbHNQSwECLQAUAAYACAAAACEAXKJi18MAAADcAAAADwAA&#10;AAAAAAAAAAAAAAAHAgAAZHJzL2Rvd25yZXYueG1sUEsFBgAAAAADAAMAtwAAAPcCAAAAAA==&#10;" filled="f" stroked="f">
                    <v:textbox style="mso-fit-shape-to-text:t">
                      <w:txbxContent>
                        <w:p w14:paraId="552F77F9" w14:textId="77777777" w:rsidR="00777EE0" w:rsidRDefault="00777EE0" w:rsidP="00C65FD3">
                          <w:pPr>
                            <w:jc w:val="center"/>
                            <w:rPr>
                              <w:szCs w:val="24"/>
                            </w:rPr>
                          </w:pPr>
                          <w:r>
                            <w:rPr>
                              <w:color w:val="000000" w:themeColor="text1"/>
                              <w:kern w:val="24"/>
                              <w:sz w:val="22"/>
                            </w:rPr>
                            <w:t>Reduced drug harms</w:t>
                          </w:r>
                        </w:p>
                      </w:txbxContent>
                    </v:textbox>
                  </v:shape>
                  <v:shape id="TextBox 49" o:spid="_x0000_s1583" type="#_x0000_t202" style="position:absolute;left:25330;width:1512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H3vgAAANwAAAAPAAAAZHJzL2Rvd25yZXYueG1sRE9Ni8Iw&#10;EL0L+x/CCHvT1IUVqUYR1wUPXtR6H5rZpmwzKc1o6783B8Hj432vNoNv1J26WAc2MJtmoIjLYGuu&#10;DBSX38kCVBRki01gMvCgCJv1x2iFuQ09n+h+lkqlEI45GnAiba51LB15jNPQEifuL3QeJcGu0rbD&#10;PoX7Rn9l2Vx7rDk1OGxp56j8P9+8ARG7nT2KvY+H63D86V1WfmNhzOd42C5BCQ3yFr/cB2tgMU/z&#10;05l0BPT6CQAA//8DAFBLAQItABQABgAIAAAAIQDb4fbL7gAAAIUBAAATAAAAAAAAAAAAAAAAAAAA&#10;AABbQ29udGVudF9UeXBlc10ueG1sUEsBAi0AFAAGAAgAAAAhAFr0LFu/AAAAFQEAAAsAAAAAAAAA&#10;AAAAAAAAHwEAAF9yZWxzLy5yZWxzUEsBAi0AFAAGAAgAAAAhAAP0Afe+AAAA3AAAAA8AAAAAAAAA&#10;AAAAAAAABwIAAGRycy9kb3ducmV2LnhtbFBLBQYAAAAAAwADALcAAADyAgAAAAA=&#10;" filled="f" stroked="f">
                    <v:textbox style="mso-fit-shape-to-text:t">
                      <w:txbxContent>
                        <w:p w14:paraId="191A69B8" w14:textId="77777777" w:rsidR="00777EE0" w:rsidRDefault="00777EE0" w:rsidP="00C65FD3">
                          <w:pPr>
                            <w:jc w:val="center"/>
                            <w:rPr>
                              <w:szCs w:val="24"/>
                            </w:rPr>
                          </w:pPr>
                          <w:r>
                            <w:rPr>
                              <w:color w:val="000000" w:themeColor="text1"/>
                              <w:kern w:val="24"/>
                              <w:sz w:val="22"/>
                            </w:rPr>
                            <w:t>Healthy development</w:t>
                          </w:r>
                        </w:p>
                      </w:txbxContent>
                    </v:textbox>
                  </v:shape>
                  <v:shape id="Straight Arrow Connector 861" o:spid="_x0000_s1584" type="#_x0000_t32" style="position:absolute;left:32472;top:7427;width:0;height:2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bxgAAANwAAAAPAAAAZHJzL2Rvd25yZXYueG1sRI9Pa8JA&#10;FMTvBb/D8oTe6iYKmqZuggj+aW9NBe3tkX0mwezbkN1q/PbdgtDjMDO/YZb5YFpxpd41lhXEkwgE&#10;cWl1w5WCw9fmJQHhPLLG1jIpuJODPBs9LTHV9safdC18JQKEXYoKau+7VEpX1mTQTWxHHLyz7Q36&#10;IPtK6h5vAW5aOY2iuTTYcFiosaN1TeWl+DEKFvK4i5JyP41fZ4fT97qw7x9bq9TzeFi9gfA0+P/w&#10;o73XCpJ5DH9nwhGQ2S8AAAD//wMAUEsBAi0AFAAGAAgAAAAhANvh9svuAAAAhQEAABMAAAAAAAAA&#10;AAAAAAAAAAAAAFtDb250ZW50X1R5cGVzXS54bWxQSwECLQAUAAYACAAAACEAWvQsW78AAAAVAQAA&#10;CwAAAAAAAAAAAAAAAAAfAQAAX3JlbHMvLnJlbHNQSwECLQAUAAYACAAAACEA/sJQ28YAAADcAAAA&#10;DwAAAAAAAAAAAAAAAAAHAgAAZHJzL2Rvd25yZXYueG1sUEsFBgAAAAADAAMAtwAAAPoCAAAAAA==&#10;" strokecolor="black [3213]">
                    <v:stroke endarrow="block"/>
                    <o:lock v:ext="edit" shapetype="f"/>
                  </v:shape>
                  <v:shape id="Straight Arrow Connector 862" o:spid="_x0000_s1585" type="#_x0000_t32" style="position:absolute;left:32450;top:2823;width:26;height:21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XixgAAANwAAAAPAAAAZHJzL2Rvd25yZXYueG1sRI9BawIx&#10;FITvQv9DeIXeNKulVlajtIJQKghaEb09kufu4uZl2WR16683guBxmJlvmMmstaU4U+0Lxwr6vQQE&#10;sXam4EzB9m/RHYHwAdlg6ZgU/JOH2fSlM8HUuAuv6bwJmYgQ9ikqyEOoUim9zsmi77mKOHpHV1sM&#10;UdaZNDVeItyWcpAkQ2mx4LiQY0XznPRp01gFej/HxfFqm4/3w+/3dfe51Kv9Uqm31/ZrDCJQG57h&#10;R/vHKBgNB3A/E4+AnN4AAAD//wMAUEsBAi0AFAAGAAgAAAAhANvh9svuAAAAhQEAABMAAAAAAAAA&#10;AAAAAAAAAAAAAFtDb250ZW50X1R5cGVzXS54bWxQSwECLQAUAAYACAAAACEAWvQsW78AAAAVAQAA&#10;CwAAAAAAAAAAAAAAAAAfAQAAX3JlbHMvLnJlbHNQSwECLQAUAAYACAAAACEAlyLV4sYAAADcAAAA&#10;DwAAAAAAAAAAAAAAAAAHAgAAZHJzL2Rvd25yZXYueG1sUEsFBgAAAAADAAMAtwAAAPoCAAAAAA==&#10;" strokecolor="black [3213]">
                    <v:stroke endarrow="block"/>
                    <o:lock v:ext="edit" shapetype="f"/>
                  </v:shape>
                  <v:shape id="TextBox 53" o:spid="_x0000_s1586" type="#_x0000_t202" style="position:absolute;left:20362;top:25262;width:9265;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AwgAAANwAAAAPAAAAZHJzL2Rvd25yZXYueG1sRI9Ba8JA&#10;FITvBf/D8gre6sZKRVJXEavgoRc13h/Z12xo9m3IPk38926h4HGYmW+Y5XrwjbpRF+vABqaTDBRx&#10;GWzNlYHivH9bgIqCbLEJTAbuFGG9Gr0sMbeh5yPdTlKpBOGYowEn0uZax9KRxzgJLXHyfkLnUZLs&#10;Km077BPcN/o9y+baY81pwWFLW0fl7+nqDYjYzfRe7Hw8XIbvr95l5QcWxoxfh80nKKFBnuH/9sEa&#10;WMxn8HcmHQG9egAAAP//AwBQSwECLQAUAAYACAAAACEA2+H2y+4AAACFAQAAEwAAAAAAAAAAAAAA&#10;AAAAAAAAW0NvbnRlbnRfVHlwZXNdLnhtbFBLAQItABQABgAIAAAAIQBa9CxbvwAAABUBAAALAAAA&#10;AAAAAAAAAAAAAB8BAABfcmVscy8ucmVsc1BLAQItABQABgAIAAAAIQDzJp+AwgAAANwAAAAPAAAA&#10;AAAAAAAAAAAAAAcCAABkcnMvZG93bnJldi54bWxQSwUGAAAAAAMAAwC3AAAA9gIAAAAA&#10;" filled="f" stroked="f">
                    <v:textbox style="mso-fit-shape-to-text:t">
                      <w:txbxContent>
                        <w:p w14:paraId="25567EA7" w14:textId="77777777" w:rsidR="00777EE0" w:rsidRDefault="00777EE0" w:rsidP="00C65FD3">
                          <w:pPr>
                            <w:jc w:val="center"/>
                            <w:rPr>
                              <w:szCs w:val="24"/>
                            </w:rPr>
                          </w:pPr>
                          <w:r>
                            <w:rPr>
                              <w:color w:val="000000" w:themeColor="text1"/>
                              <w:kern w:val="24"/>
                              <w:sz w:val="22"/>
                            </w:rPr>
                            <w:t>Festivals</w:t>
                          </w:r>
                        </w:p>
                      </w:txbxContent>
                    </v:textbox>
                  </v:shape>
                  <v:shape id="TextBox 54" o:spid="_x0000_s1587" type="#_x0000_t202" style="position:absolute;left:49564;top:48579;width:12370;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f0wgAAANwAAAAPAAAAZHJzL2Rvd25yZXYueG1sRI9Ba8JA&#10;FITvBf/D8gre6sZiRVJXEavgoRc13h/Z12xo9m3IPk38926h4HGYmW+Y5XrwjbpRF+vABqaTDBRx&#10;GWzNlYHivH9bgIqCbLEJTAbuFGG9Gr0sMbeh5yPdTlKpBOGYowEn0uZax9KRxzgJLXHyfkLnUZLs&#10;Km077BPcN/o9y+baY81pwWFLW0fl7+nqDYjYzfRe7Hw8XIbvr95l5QcWxoxfh80nKKFBnuH/9sEa&#10;WMxn8HcmHQG9egAAAP//AwBQSwECLQAUAAYACAAAACEA2+H2y+4AAACFAQAAEwAAAAAAAAAAAAAA&#10;AAAAAAAAW0NvbnRlbnRfVHlwZXNdLnhtbFBLAQItABQABgAIAAAAIQBa9CxbvwAAABUBAAALAAAA&#10;AAAAAAAAAAAAAB8BAABfcmVscy8ucmVsc1BLAQItABQABgAIAAAAIQB8zwf0wgAAANwAAAAPAAAA&#10;AAAAAAAAAAAAAAcCAABkcnMvZG93bnJldi54bWxQSwUGAAAAAAMAAwC3AAAA9gIAAAAA&#10;" filled="f" stroked="f">
                    <v:textbox style="mso-fit-shape-to-text:t">
                      <w:txbxContent>
                        <w:p w14:paraId="02459919" w14:textId="77777777" w:rsidR="00777EE0" w:rsidRDefault="00777EE0" w:rsidP="00C65FD3">
                          <w:pPr>
                            <w:jc w:val="center"/>
                            <w:rPr>
                              <w:szCs w:val="24"/>
                            </w:rPr>
                          </w:pPr>
                          <w:r>
                            <w:rPr>
                              <w:color w:val="000000" w:themeColor="text1"/>
                              <w:kern w:val="24"/>
                              <w:sz w:val="22"/>
                            </w:rPr>
                            <w:t xml:space="preserve">Social determinants of health inequalities </w:t>
                          </w:r>
                        </w:p>
                      </w:txbxContent>
                    </v:textbox>
                  </v:shape>
                  <v:shape id="TextBox 56" o:spid="_x0000_s1588" type="#_x0000_t202" style="position:absolute;left:26736;top:48609;width:10731;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JvwgAAANwAAAAPAAAAZHJzL2Rvd25yZXYueG1sRI9Ba8JA&#10;FITvBf/D8gre6saCItFVpLbgwYs23h/ZZzaYfRuyryb+e1cQehxm5htmtRl8o27UxTqwgekkA0Vc&#10;BltzZaD4/flYgIqCbLEJTAbuFGGzHr2tMLeh5yPdTlKpBOGYowEn0uZax9KRxzgJLXHyLqHzKEl2&#10;lbYd9gnuG/2ZZXPtsea04LClL0fl9fTnDYjY7fRefPu4Pw+HXe+ycoaFMeP3YbsEJTTIf/jV3lsD&#10;i/kMnmfSEdDrBwAAAP//AwBQSwECLQAUAAYACAAAACEA2+H2y+4AAACFAQAAEwAAAAAAAAAAAAAA&#10;AAAAAAAAW0NvbnRlbnRfVHlwZXNdLnhtbFBLAQItABQABgAIAAAAIQBa9CxbvwAAABUBAAALAAAA&#10;AAAAAAAAAAAAAB8BAABfcmVscy8ucmVsc1BLAQItABQABgAIAAAAIQATg6JvwgAAANwAAAAPAAAA&#10;AAAAAAAAAAAAAAcCAABkcnMvZG93bnJldi54bWxQSwUGAAAAAAMAAwC3AAAA9gIAAAAA&#10;" filled="f" stroked="f">
                    <v:textbox style="mso-fit-shape-to-text:t">
                      <w:txbxContent>
                        <w:p w14:paraId="430F120C" w14:textId="77777777" w:rsidR="00777EE0" w:rsidRDefault="00777EE0" w:rsidP="00C65FD3">
                          <w:pPr>
                            <w:jc w:val="center"/>
                            <w:rPr>
                              <w:szCs w:val="24"/>
                            </w:rPr>
                          </w:pPr>
                          <w:r>
                            <w:rPr>
                              <w:color w:val="000000" w:themeColor="text1"/>
                              <w:kern w:val="24"/>
                              <w:sz w:val="22"/>
                            </w:rPr>
                            <w:t xml:space="preserve">Social  determinants of health </w:t>
                          </w:r>
                        </w:p>
                      </w:txbxContent>
                    </v:textbox>
                  </v:shape>
                  <v:shape id="TextBox 57" o:spid="_x0000_s1589" type="#_x0000_t202" style="position:absolute;left:1497;top:48580;width:10726;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wYwgAAANwAAAAPAAAAZHJzL2Rvd25yZXYueG1sRI9Ba8JA&#10;FITvQv/D8gredGPBIKmriK3goRdtvD+yr9lg9m3Ivpr4792C0OMwM98w6+3oW3WjPjaBDSzmGSji&#10;KtiGawPl92G2AhUF2WIbmAzcKcJ28zJZY2HDwCe6naVWCcKxQANOpCu0jpUjj3EeOuLk/YTeoyTZ&#10;19r2OCS4b/VbluXaY8NpwWFHe0fV9fzrDYjY3eJefvp4vIxfH4PLqiWWxkxfx907KKFR/sPP9tEa&#10;WOU5/J1JR0BvHgAAAP//AwBQSwECLQAUAAYACAAAACEA2+H2y+4AAACFAQAAEwAAAAAAAAAAAAAA&#10;AAAAAAAAW0NvbnRlbnRfVHlwZXNdLnhtbFBLAQItABQABgAIAAAAIQBa9CxbvwAAABUBAAALAAAA&#10;AAAAAAAAAAAAAB8BAABfcmVscy8ucmVsc1BLAQItABQABgAIAAAAIQDjUTwYwgAAANwAAAAPAAAA&#10;AAAAAAAAAAAAAAcCAABkcnMvZG93bnJldi54bWxQSwUGAAAAAAMAAwC3AAAA9gIAAAAA&#10;" filled="f" stroked="f">
                    <v:textbox style="mso-fit-shape-to-text:t">
                      <w:txbxContent>
                        <w:p w14:paraId="34343885" w14:textId="77777777" w:rsidR="00777EE0" w:rsidRDefault="00777EE0" w:rsidP="00C65FD3">
                          <w:pPr>
                            <w:jc w:val="center"/>
                            <w:rPr>
                              <w:szCs w:val="24"/>
                            </w:rPr>
                          </w:pPr>
                          <w:r>
                            <w:rPr>
                              <w:color w:val="000000" w:themeColor="text1"/>
                              <w:kern w:val="24"/>
                              <w:sz w:val="22"/>
                            </w:rPr>
                            <w:t xml:space="preserve">Proximal determinants of health </w:t>
                          </w:r>
                        </w:p>
                      </w:txbxContent>
                    </v:textbox>
                  </v:shape>
                  <v:shape id="Straight Arrow Connector 867" o:spid="_x0000_s1590" type="#_x0000_t32" style="position:absolute;left:37465;top:51498;width:12102;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HxwAAANwAAAAPAAAAZHJzL2Rvd25yZXYueG1sRI9Pa8JA&#10;FMTvhX6H5Qnemo2CNkRXKaLioRS0rX9uz+xrEpp9G3a3mn57Vyj0OMzMb5jpvDONuJDztWUFgyQF&#10;QVxYXXOp4ON99ZSB8AFZY2OZFPySh/ns8WGKubZX3tJlF0oRIexzVFCF0OZS+qIigz6xLXH0vqwz&#10;GKJ0pdQOrxFuGjlM07E0WHNcqLClRUXF9+7HKDi+bV5H5XnxeQzunC3X7eG0T1mpfq97mYAI1IX/&#10;8F97oxVk42e4n4lHQM5uAAAA//8DAFBLAQItABQABgAIAAAAIQDb4fbL7gAAAIUBAAATAAAAAAAA&#10;AAAAAAAAAAAAAABbQ29udGVudF9UeXBlc10ueG1sUEsBAi0AFAAGAAgAAAAhAFr0LFu/AAAAFQEA&#10;AAsAAAAAAAAAAAAAAAAAHwEAAF9yZWxzLy5yZWxzUEsBAi0AFAAGAAgAAAAhAD65WYfHAAAA3AAA&#10;AA8AAAAAAAAAAAAAAAAABwIAAGRycy9kb3ducmV2LnhtbFBLBQYAAAAAAwADALcAAAD7AgAAAAA=&#10;" strokecolor="black [3213]">
                    <v:stroke startarrow="block" endarrow="block"/>
                    <o:lock v:ext="edit" shapetype="f"/>
                  </v:shape>
                  <v:shape id="Straight Arrow Connector 868" o:spid="_x0000_s1591" type="#_x0000_t32" style="position:absolute;left:12225;top:51467;width:14512;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31wwAAANwAAAAPAAAAZHJzL2Rvd25yZXYueG1sRE/Pa8Iw&#10;FL4P9j+EJ3hbUwWldEYZouJBBHWbens2b21Z81KSqPW/N4fBjh/f78msM424kfO1ZQWDJAVBXFhd&#10;c6ng87B8y0D4gKyxsUwKHuRhNn19mWCu7Z13dNuHUsQQ9jkqqEJocyl9UZFBn9iWOHI/1hkMEbpS&#10;aof3GG4aOUzTsTRYc2yosKV5RcXv/moUnLbrzai8zL9OwV2yxao9nr9TVqrf6z7eQQTqwr/4z73W&#10;CrJxXBvPxCMgp08AAAD//wMAUEsBAi0AFAAGAAgAAAAhANvh9svuAAAAhQEAABMAAAAAAAAAAAAA&#10;AAAAAAAAAFtDb250ZW50X1R5cGVzXS54bWxQSwECLQAUAAYACAAAACEAWvQsW78AAAAVAQAACwAA&#10;AAAAAAAAAAAAAAAfAQAAX3JlbHMvLnJlbHNQSwECLQAUAAYACAAAACEATybN9cMAAADcAAAADwAA&#10;AAAAAAAAAAAAAAAHAgAAZHJzL2Rvd25yZXYueG1sUEsFBgAAAAADAAMAtwAAAPcCAAAAAA==&#10;" strokecolor="black [3213]">
                    <v:stroke startarrow="block" endarrow="block"/>
                  </v:shape>
                  <v:shape id="TextBox 58" o:spid="_x0000_s1592" type="#_x0000_t202" style="position:absolute;left:39878;top:28899;width:704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hqwwAAANwAAAAPAAAAZHJzL2Rvd25yZXYueG1sRI9Pa8JA&#10;FMTvBb/D8gRvdWNBsdFVxD/goRdtvD+yr9nQ7NuQfTXx23cLBY/DzPyGWW8H36g7dbEObGA2zUAR&#10;l8HWXBkoPk+vS1BRkC02gcnAgyJsN6OXNeY29Hyh+1UqlSAcczTgRNpc61g68hinoSVO3lfoPEqS&#10;XaVth32C+0a/ZdlCe6w5LThsae+o/L7+eAMidjd7FEcfz7fh49C7rJxjYcxkPOxWoIQGeYb/22dr&#10;YLl4h78z6QjozS8AAAD//wMAUEsBAi0AFAAGAAgAAAAhANvh9svuAAAAhQEAABMAAAAAAAAAAAAA&#10;AAAAAAAAAFtDb250ZW50X1R5cGVzXS54bWxQSwECLQAUAAYACAAAACEAWvQsW78AAAAVAQAACwAA&#10;AAAAAAAAAAAAAAAfAQAAX3JlbHMvLnJlbHNQSwECLQAUAAYACAAAACEAks6oasMAAADcAAAADwAA&#10;AAAAAAAAAAAAAAAHAgAAZHJzL2Rvd25yZXYueG1sUEsFBgAAAAADAAMAtwAAAPcCAAAAAA==&#10;" filled="f" stroked="f">
                    <v:textbox style="mso-fit-shape-to-text:t">
                      <w:txbxContent>
                        <w:p w14:paraId="52690ED9" w14:textId="77777777" w:rsidR="00777EE0" w:rsidRDefault="00777EE0" w:rsidP="00C65FD3">
                          <w:pPr>
                            <w:jc w:val="center"/>
                            <w:rPr>
                              <w:szCs w:val="24"/>
                            </w:rPr>
                          </w:pPr>
                          <w:r>
                            <w:rPr>
                              <w:color w:val="000000" w:themeColor="text1"/>
                              <w:kern w:val="24"/>
                              <w:sz w:val="22"/>
                            </w:rPr>
                            <w:t>Mass media</w:t>
                          </w:r>
                        </w:p>
                      </w:txbxContent>
                    </v:textbox>
                  </v:shape>
                  <v:shape id="TextBox 59" o:spid="_x0000_s1593" type="#_x0000_t202" style="position:absolute;left:27831;top:19681;width:871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cqvwAAANwAAAAPAAAAZHJzL2Rvd25yZXYueG1sRE9Na8JA&#10;EL0X/A/LCL3VjYJWoquIVvDgRZveh+yYDWZnQ3Zq4r/vHgoeH+97vR18ox7UxTqwgekkA0VcBltz&#10;ZaD4Pn4sQUVBttgEJgNPirDdjN7WmNvQ84UeV6lUCuGYowEn0uZax9KRxzgJLXHibqHzKAl2lbYd&#10;9incN3qWZQvtsebU4LClvaPyfv31BkTsbvosvnw8/QznQ++yco6FMe/jYbcCJTTIS/zvPlkDy880&#10;P51JR0Bv/gAAAP//AwBQSwECLQAUAAYACAAAACEA2+H2y+4AAACFAQAAEwAAAAAAAAAAAAAAAAAA&#10;AAAAW0NvbnRlbnRfVHlwZXNdLnhtbFBLAQItABQABgAIAAAAIQBa9CxbvwAAABUBAAALAAAAAAAA&#10;AAAAAAAAAB8BAABfcmVscy8ucmVsc1BLAQItABQABgAIAAAAIQCGLZcqvwAAANwAAAAPAAAAAAAA&#10;AAAAAAAAAAcCAABkcnMvZG93bnJldi54bWxQSwUGAAAAAAMAAwC3AAAA8wIAAAAA&#10;" filled="f" stroked="f">
                    <v:textbox style="mso-fit-shape-to-text:t">
                      <w:txbxContent>
                        <w:p w14:paraId="236B6E14" w14:textId="77777777" w:rsidR="00777EE0" w:rsidRDefault="00777EE0" w:rsidP="00C65FD3">
                          <w:pPr>
                            <w:jc w:val="center"/>
                            <w:rPr>
                              <w:szCs w:val="24"/>
                            </w:rPr>
                          </w:pPr>
                          <w:r>
                            <w:rPr>
                              <w:color w:val="000000" w:themeColor="text1"/>
                              <w:kern w:val="24"/>
                              <w:sz w:val="22"/>
                            </w:rPr>
                            <w:t>Social media</w:t>
                          </w:r>
                        </w:p>
                      </w:txbxContent>
                    </v:textbox>
                  </v:shape>
                  <v:shape id="TextBox 60" o:spid="_x0000_s1594" type="#_x0000_t202" style="position:absolute;left:3801;top:16138;width:10934;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KxwgAAANwAAAAPAAAAZHJzL2Rvd25yZXYueG1sRI9Ba8JA&#10;FITvhf6H5RW81U0KthJdRVoFD71U4/2RfWaD2bch+2riv3eFQo/DzHzDLNejb9WV+tgENpBPM1DE&#10;VbAN1wbK4+51DioKssU2MBm4UYT16vlpiYUNA//Q9SC1ShCOBRpwIl2hdawceYzT0BEn7xx6j5Jk&#10;X2vb45DgvtVvWfauPTacFhx29Omouhx+vQERu8lv5dbH/Wn8/hpcVs2wNGbyMm4WoIRG+Q//tffW&#10;wPwjh8eZdAT06g4AAP//AwBQSwECLQAUAAYACAAAACEA2+H2y+4AAACFAQAAEwAAAAAAAAAAAAAA&#10;AAAAAAAAW0NvbnRlbnRfVHlwZXNdLnhtbFBLAQItABQABgAIAAAAIQBa9CxbvwAAABUBAAALAAAA&#10;AAAAAAAAAAAAAB8BAABfcmVscy8ucmVsc1BLAQItABQABgAIAAAAIQDpYTKxwgAAANwAAAAPAAAA&#10;AAAAAAAAAAAAAAcCAABkcnMvZG93bnJldi54bWxQSwUGAAAAAAMAAwC3AAAA9gIAAAAA&#10;" filled="f" stroked="f">
                    <v:textbox style="mso-fit-shape-to-text:t">
                      <w:txbxContent>
                        <w:p w14:paraId="6B6AC789" w14:textId="77777777" w:rsidR="00777EE0" w:rsidRDefault="00777EE0" w:rsidP="00C65FD3">
                          <w:pPr>
                            <w:jc w:val="center"/>
                            <w:rPr>
                              <w:szCs w:val="24"/>
                            </w:rPr>
                          </w:pPr>
                          <w:r>
                            <w:rPr>
                              <w:b/>
                              <w:bCs/>
                              <w:color w:val="000000" w:themeColor="text1"/>
                              <w:kern w:val="24"/>
                              <w:sz w:val="22"/>
                            </w:rPr>
                            <w:t>INDIVIDUAL</w:t>
                          </w:r>
                        </w:p>
                      </w:txbxContent>
                    </v:textbox>
                  </v:shape>
                </v:group>
                <v:shape id="TextBox 50" o:spid="_x0000_s1595" type="#_x0000_t202" style="position:absolute;left:27100;top:27582;width:8706;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6wgAAANwAAAAPAAAAZHJzL2Rvd25yZXYueG1sRI9Pa8JA&#10;FMTvQr/D8gRvuklL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D/XhC6wgAAANwAAAAPAAAA&#10;AAAAAAAAAAAAAAcCAABkcnMvZG93bnJldi54bWxQSwUGAAAAAAMAAwC3AAAA9gIAAAAA&#10;" filled="f" stroked="f">
                  <v:textbox style="mso-fit-shape-to-text:t">
                    <w:txbxContent>
                      <w:p w14:paraId="7A75BD8A" w14:textId="77777777" w:rsidR="00777EE0" w:rsidRDefault="00777EE0" w:rsidP="00C65FD3">
                        <w:pPr>
                          <w:jc w:val="center"/>
                          <w:rPr>
                            <w:szCs w:val="24"/>
                          </w:rPr>
                        </w:pPr>
                        <w:r>
                          <w:rPr>
                            <w:color w:val="000000" w:themeColor="text1"/>
                            <w:kern w:val="24"/>
                            <w:sz w:val="22"/>
                          </w:rPr>
                          <w:t xml:space="preserve">Drug testing services </w:t>
                        </w:r>
                      </w:p>
                    </w:txbxContent>
                  </v:textbox>
                </v:shape>
                <w10:wrap anchorx="page"/>
              </v:group>
            </w:pict>
          </mc:Fallback>
        </mc:AlternateContent>
      </w:r>
    </w:p>
    <w:p w14:paraId="7D32F0E0" w14:textId="77777777" w:rsidR="00C65FD3" w:rsidRDefault="00C65FD3" w:rsidP="00C65FD3">
      <w:pPr>
        <w:spacing w:after="0" w:line="480" w:lineRule="auto"/>
        <w:sectPr w:rsidR="00C65FD3">
          <w:pgSz w:w="16840" w:h="11900" w:orient="landscape"/>
          <w:pgMar w:top="1418" w:right="1418" w:bottom="1418" w:left="1560" w:header="709" w:footer="709" w:gutter="0"/>
          <w:cols w:space="720"/>
        </w:sectPr>
      </w:pPr>
    </w:p>
    <w:p w14:paraId="264FA9D4" w14:textId="77777777" w:rsidR="00C65FD3" w:rsidRDefault="00C65FD3" w:rsidP="00C65FD3">
      <w:pPr>
        <w:pStyle w:val="Heading2"/>
        <w:tabs>
          <w:tab w:val="left" w:pos="720"/>
        </w:tabs>
      </w:pPr>
      <w:bookmarkStart w:id="625" w:name="_Toc9509023"/>
      <w:bookmarkStart w:id="626" w:name="_Toc9328603"/>
      <w:bookmarkStart w:id="627" w:name="_Toc35892794"/>
      <w:r>
        <w:t>Strengths and limitations of the research project</w:t>
      </w:r>
      <w:bookmarkEnd w:id="625"/>
      <w:bookmarkEnd w:id="626"/>
      <w:bookmarkEnd w:id="627"/>
      <w:r>
        <w:t xml:space="preserve"> </w:t>
      </w:r>
    </w:p>
    <w:p w14:paraId="5932E595" w14:textId="77777777" w:rsidR="00C65FD3" w:rsidRDefault="00C65FD3" w:rsidP="00C65FD3">
      <w:pPr>
        <w:spacing w:line="480" w:lineRule="auto"/>
      </w:pPr>
      <w:r>
        <w:t xml:space="preserve">While the strengths and limitations of each study are addressed in the appropriate chapter, this section discusses the strengths and weaknesses of the research project as a whole. </w:t>
      </w:r>
    </w:p>
    <w:p w14:paraId="109E6E7B" w14:textId="77777777" w:rsidR="00C65FD3" w:rsidRDefault="00C65FD3" w:rsidP="00C65FD3">
      <w:pPr>
        <w:pStyle w:val="Heading3"/>
        <w:tabs>
          <w:tab w:val="left" w:pos="720"/>
        </w:tabs>
      </w:pPr>
      <w:bookmarkStart w:id="628" w:name="_Toc9509024"/>
      <w:bookmarkStart w:id="629" w:name="_Toc9328604"/>
      <w:bookmarkStart w:id="630" w:name="_Toc35892795"/>
      <w:r>
        <w:t>Strengths</w:t>
      </w:r>
      <w:bookmarkEnd w:id="628"/>
      <w:bookmarkEnd w:id="629"/>
      <w:bookmarkEnd w:id="630"/>
      <w:r>
        <w:t xml:space="preserve"> </w:t>
      </w:r>
    </w:p>
    <w:p w14:paraId="290126FF" w14:textId="77777777" w:rsidR="00C65FD3" w:rsidRDefault="00C65FD3" w:rsidP="00C65FD3">
      <w:pPr>
        <w:spacing w:line="480" w:lineRule="auto"/>
      </w:pPr>
      <w:r>
        <w:t xml:space="preserve">The current research project has a number of strengths. First, while the majority of studies exclusively focusing on young people and NPS are based outside of the UK, the current research is UK-based and is therefore directly relevant to young people in this country (reviewed in Chapter 4). As the wider legislative context and cultural norms appear to have an important influence on people’s reasons for using or not using NPS (e.g. greater use of mandatory drug testing in the USA) a contextually appropriate study is of value. </w:t>
      </w:r>
    </w:p>
    <w:p w14:paraId="2C41D4F6" w14:textId="77777777" w:rsidR="00C65FD3" w:rsidRDefault="00C65FD3" w:rsidP="00C65FD3">
      <w:pPr>
        <w:spacing w:line="480" w:lineRule="auto"/>
      </w:pPr>
      <w:r>
        <w:t>Second, the inclusion of theory in the study design has brought attention to key areas of young people’s perceptions that might have been less salient without the use of theory. For example, the inclusion of questions based on the prototype constructs of the PWM drew our attention to important social processes and the issue of stigmatisation. The use of theory also aided the alignment of the work with a well-developed evidence base that can support intervention development. In addition, the use of theory also ensured that the work was in line with key drug prevention organisations that recommend the use of theory in intervention design.</w:t>
      </w:r>
    </w:p>
    <w:p w14:paraId="7493B06A" w14:textId="77777777" w:rsidR="00C65FD3" w:rsidRDefault="00C65FD3" w:rsidP="00C65FD3">
      <w:pPr>
        <w:spacing w:line="480" w:lineRule="auto"/>
      </w:pPr>
      <w:r>
        <w:t xml:space="preserve">Third, in incorporating the use of an inductive approach to data analysis, the key themes emerging from the data were not limited to existing theoretical constructs and important aspects of the context of young people’s lives were made salient. In contrast to studies based on older populations, this included the importance of social and identity influences in shaping young people’s perceptions of NPS use and their relationship with authority. </w:t>
      </w:r>
    </w:p>
    <w:p w14:paraId="60E3C48C" w14:textId="77777777" w:rsidR="00C65FD3" w:rsidRDefault="00C65FD3" w:rsidP="00C65FD3">
      <w:pPr>
        <w:spacing w:line="480" w:lineRule="auto"/>
      </w:pPr>
      <w:r>
        <w:t>Fourth, by working with local community groups, the participant sample was more diverse than if a typical student population had been used and the generalisability of the findings is therefore more likely to have been improved. In addition, by working with local young people to determine the nature of the research project the relevance of the project to the target population was increased.</w:t>
      </w:r>
    </w:p>
    <w:p w14:paraId="1CF81A62" w14:textId="77777777" w:rsidR="00C65FD3" w:rsidRDefault="00C65FD3" w:rsidP="00C65FD3">
      <w:pPr>
        <w:pStyle w:val="Heading3"/>
        <w:tabs>
          <w:tab w:val="left" w:pos="720"/>
        </w:tabs>
      </w:pPr>
      <w:bookmarkStart w:id="631" w:name="_Toc9509025"/>
      <w:bookmarkStart w:id="632" w:name="_Toc9328605"/>
      <w:bookmarkStart w:id="633" w:name="_Toc35892796"/>
      <w:r>
        <w:t>Weaknesses</w:t>
      </w:r>
      <w:bookmarkEnd w:id="631"/>
      <w:bookmarkEnd w:id="632"/>
      <w:bookmarkEnd w:id="633"/>
    </w:p>
    <w:p w14:paraId="7518EE2D" w14:textId="77777777" w:rsidR="00C65FD3" w:rsidRDefault="00C65FD3" w:rsidP="00C65FD3">
      <w:pPr>
        <w:spacing w:line="480" w:lineRule="auto"/>
      </w:pPr>
      <w:r>
        <w:t xml:space="preserve">The research project also has several limitations. First, the research was conducted in specific community group settings with a relatively small number of participants. While engagement with community groups offered several advantages, the use of convenience sampling also represents a limitation as participants were not selected randomly and therefore the sample might not be entirely representative of the target population. There are various factors that might limit the external validity and generalisability of the findings to the general population. For example, the groups each had specific agendas (e.g. health promotion, raising awareness of mental health issues, youth empowerment) which may have influenced their perspectives. As community group peer-mentors, several participants had received advocacy and social awareness training, which may have altered their perspective compared with that of an average young person their age. Also, the sample included a high proportion of females, while the majority of NPS users are male. This might limit the generalisability of the findings to a typical NPS user. The sample included a higher proportion of people with some experience of illicit drug use than estimates for their age group and therefore may represent a population at greater than average risk of NPS use. Nonetheless, there were more NPS non-users than users in the focus groups. </w:t>
      </w:r>
    </w:p>
    <w:p w14:paraId="5876269D" w14:textId="77777777" w:rsidR="00C65FD3" w:rsidRDefault="00C65FD3" w:rsidP="00C65FD3">
      <w:pPr>
        <w:spacing w:line="480" w:lineRule="auto"/>
      </w:pPr>
      <w:r>
        <w:t>Second, although the implementation of the PS Act during the course of the project presented a unique opportunity, the project was initially conceived and designed prior to the announcement of the introduction of the Act. Consequently, the study designs for Studies 1 and 2 were adapted for use as a comparative study rather than purposefully designed as such from the outset. As a result, the comparative aspect of the project suffers from some methodological weaknesses. In particular, the design was cross-sectional and individuals’ attitudes and intentions toward NPS use were not measured, so attitudes could only be inferred from the group data. This limited the extent to which pre- and post-ban differences could be measured, as well as limiting the extent to which individual opinions could be related to attitudes, intentions or past behaviour. The use of convenience sampling meant that the pre- and post-ban samples were largely comprised of different participants, and although the samples were drawn from similar populations, one community group was not running at the time of the second study.  Consequently, an alternative group was used which may have reduced the similarity of the pre- and post-ban samples. The different participants in the pre- and post-ban focus groups could, in part, account for differences in the expressed views towards NPS use and non-use.</w:t>
      </w:r>
    </w:p>
    <w:p w14:paraId="47B42F06" w14:textId="77777777" w:rsidR="00C65FD3" w:rsidRDefault="00C65FD3" w:rsidP="00C65FD3">
      <w:pPr>
        <w:spacing w:line="480" w:lineRule="auto"/>
      </w:pPr>
      <w:r>
        <w:t xml:space="preserve">Thirdly, the research did not include any direct or proxy measure of the target behaviour, relying entirely on self-reported measures. This may have introduced bias as result of social desirability. The effect of social desirability may have been limited by the use of self-administered and anonymous questionnaires, but nevertheless, the social group dynamics and sensitive nature of the topic may have influenced social desirably concerns. </w:t>
      </w:r>
    </w:p>
    <w:p w14:paraId="667CD8C9" w14:textId="77777777" w:rsidR="00C65FD3" w:rsidRDefault="00C65FD3" w:rsidP="00C65FD3">
      <w:pPr>
        <w:spacing w:line="480" w:lineRule="auto"/>
      </w:pPr>
      <w:r>
        <w:t>Fourth, the target behaviour was not well specified as the terminology used (i.e. legal highs) covered such a broad range of substances. The lack of clarity may reduce the effectiveness of interventions as the specificity of target behaviour can affect the efficacy of interventions. In addition, young people’s shifting perceptions of the term as a result of the changing legislative context may have further affected the clarity of the intended target behaviour. Furthermore, as the problematic nature of the term ‘legal highs’ is likely to increase in time, this limits the applicability of the study findings in the development of future interventions.</w:t>
      </w:r>
    </w:p>
    <w:p w14:paraId="5E958E87" w14:textId="69270B8A" w:rsidR="00C65FD3" w:rsidRPr="00F85A3E" w:rsidRDefault="00C65FD3" w:rsidP="00C65FD3">
      <w:pPr>
        <w:spacing w:after="160" w:line="480" w:lineRule="auto"/>
      </w:pPr>
      <w:bookmarkStart w:id="634" w:name="_Hlk35769859"/>
      <w:r w:rsidRPr="00F85A3E">
        <w:t xml:space="preserve">Fifth, for pragmatic reasons the decision was made to restrict the literature review to generalised terms for NPS and ‘legal highs’ rather than extending the inclusion criteria to encompass searches of the names of specific substances or substance categories (e.g. synthetic stimulants, synthetic cannabinoids etc.). As a consequence, many important sources of literature were missed from the review. Had a more specific approach to terminology been used highly relevant research would have been found much earlier in the research process enabling greater refinement of the research at vital stages of development. The reliance on generic terminology in the earlier stages of the research reflects the authors' relative naivety of the research topic, which had been determined through consultation with young people in the local community. While community engagement is vital for exposing important health concerns that may be under-researched by health psychologists, conducting in-depth research on a topic relatively unfamiliar to the researcher requires rapid familiarisation with the core issues involved. On reflection, the research would have benefited from an initial scoping review to better identify key texts, topical issues and useful contacts outside of a health psychology perspective. This would have enabled the identification of the most popular NPS and important clusters of research organised around specific substances such as, 2-FA, 4-FA, 4-MEC, 4-MMC, BVP, BZP, MPV, MXE, JWH-018,  In addition, the importance of research examining ‘historical’ NPS such as ketamine, GHB and mephedrone that are excluded from many of the more recent definitions would have been recognised sooner. A more effective approach to the literature review would have been to conduct searches of the specific names of popular NPS in addition to the generic NPS terms and a MESH search of NPS across each of the major functional NPS classes  i.e. stimulant/cathinone; GABA activating; hallucinogen, dissociative, cannabinoid, opioid and other/unspecified/uncategorised NPS. </w:t>
      </w:r>
      <w:bookmarkEnd w:id="634"/>
    </w:p>
    <w:p w14:paraId="2A89C662" w14:textId="77777777" w:rsidR="00C65FD3" w:rsidRDefault="00C65FD3" w:rsidP="00C65FD3">
      <w:pPr>
        <w:spacing w:line="480" w:lineRule="auto"/>
      </w:pPr>
      <w:r>
        <w:t xml:space="preserve">Finally, due to the time restrictions of the project and the complexity of the changing situation regarding the legal context of NPS, it was not possible to conduct a quantitative study to test the predictive power of the identified model constructs. Including a quantitative investigation of the model outlined would have provided a valuable validation process (i.e. triangulation of findings) that would offer a more robust tool for use in future interventions. </w:t>
      </w:r>
    </w:p>
    <w:p w14:paraId="028C6251" w14:textId="77777777" w:rsidR="00C65FD3" w:rsidRDefault="00C65FD3" w:rsidP="00C65FD3">
      <w:pPr>
        <w:pStyle w:val="Heading2"/>
        <w:tabs>
          <w:tab w:val="left" w:pos="720"/>
        </w:tabs>
      </w:pPr>
      <w:bookmarkStart w:id="635" w:name="_Toc9509026"/>
      <w:bookmarkStart w:id="636" w:name="_Toc9328606"/>
      <w:bookmarkStart w:id="637" w:name="_Toc35892797"/>
      <w:r>
        <w:t>Implications for research</w:t>
      </w:r>
      <w:bookmarkEnd w:id="635"/>
      <w:bookmarkEnd w:id="636"/>
      <w:bookmarkEnd w:id="637"/>
    </w:p>
    <w:p w14:paraId="5EA46031" w14:textId="757F3655" w:rsidR="00C65FD3" w:rsidRDefault="00C65FD3" w:rsidP="00C65FD3">
      <w:pPr>
        <w:spacing w:line="480" w:lineRule="auto"/>
      </w:pPr>
      <w:r>
        <w:t>Exploration of young people’s perceptions of NPS and NPS behaviour has supported the identification of a model that is relevant to the target behaviour, however, its validity would be greatly improved through a quantitative test of its predictive power. Therefore, an NPS survey based on the model identified constructs and associated salient beliefs would be an appropriate next step following this project. However, as has been noted, the changing situation regarding the nature of NPS and how they are perceived by young people as drug markets reach a new equilibrium may limit the relevance of interventions targeting the group of substances previously known as ‘legal highs’. A more beneficial line of research for intervention development would be to continue to track young people’s perceptions of the changing drug markets, with a particular focus on the common names by which popular NPS and ‘generic’ (i.e. variable mixtures of power drugs and smoking mixtures) substances are known. Without a clear understanding of substances, who uses them and how, intervention effectiveness will be heavily compromised. It was noted during the current research that young people were often confused about the legal status of various substances, and the situation became more confusing over time. Participants demonstrated particular confusion around the legal status of nitrous oxide, and whether it constituted a legal high. Given that the harm profile of nitrous oxide is lower than many of the forms of NPS previously referred to as legal highs (E</w:t>
      </w:r>
      <w:r w:rsidR="002543CE">
        <w:t>MCDDA</w:t>
      </w:r>
      <w:r>
        <w:t xml:space="preserve">, 2018) such confusion may have negative implications if ‘legal highs’ gain a growing reputation for being less harmful than other drugs.   </w:t>
      </w:r>
    </w:p>
    <w:p w14:paraId="630B1C6E" w14:textId="77777777" w:rsidR="00C65FD3" w:rsidRDefault="00C65FD3" w:rsidP="00C65FD3">
      <w:pPr>
        <w:spacing w:line="480" w:lineRule="auto"/>
      </w:pPr>
      <w:r>
        <w:t xml:space="preserve">Another area of concern raised by participants throughout the study was the increasing use of social media apps (in particular Snapchat and Instagram) for dealing substances including NPS. Participants were particularly concerned due to the growing confidence displayed by dealers who appeared to believe their transactions were protected by encryption and closed membership groups. Although this research project did not focus on drug dealing, this was described by participants a new dynamic in the context of recreational drugs and is worthy of attention. </w:t>
      </w:r>
    </w:p>
    <w:p w14:paraId="3C4E96A1" w14:textId="77777777" w:rsidR="00C65FD3" w:rsidRDefault="00C65FD3" w:rsidP="00C65FD3">
      <w:pPr>
        <w:spacing w:line="480" w:lineRule="auto"/>
      </w:pPr>
      <w:r>
        <w:t xml:space="preserve">Although this research focuses explicitly on young people in the general population, from an ethical perspective it is important to highlight the need for research with populations most at risk. Disadvantaged and marginalised groups now appear to be facing the greatest risks in relation to NPS and it is therefore vital that these groups should be represented in research, practice and policy. It is also important to note that there is very little research examining the very young users identified by participants, as well as the young people who were described as using NPS, but not illicit drugs. As these groups appear to have reduced in visibility, the assumption here is that their NPS use has reduced following the ban, but it is important to verify whether this is the case. It is unknown what the long-term impacts are for the children who have used NPS during formative stages of their development. Early initiation of drug use has been linked with higher levels of drug dependency and a variety of negative outcomes later in life (Behrendt, Wittchen, Hőfler, et. al., 2009; Chen, Sorr &amp; Anthony, 2009). The apparent disappearance of these users does not mean they are no longer at-risk for long-term negative outcomes. </w:t>
      </w:r>
    </w:p>
    <w:p w14:paraId="2DF58331" w14:textId="77777777" w:rsidR="00C65FD3" w:rsidRDefault="00C65FD3" w:rsidP="00C65FD3">
      <w:pPr>
        <w:spacing w:line="480" w:lineRule="auto"/>
      </w:pPr>
      <w:r>
        <w:t xml:space="preserve">Concerning the findings of the current research project, the example intervention approach laid out would be the natural evolution of this work and a recommended avenue for future research. The suggested next step would be to test the viability of the model specified in this project in the context of drug-testing services in entertainment settings. In addition, this work highlighted the particular importance of social influences, relationships with authority and identity concerns (including stigmatising identities) for the target population. Exploring these areas in relation to young people’s perceptions of drug testing services at entertainment venues would offer a fruitful direction for further research. </w:t>
      </w:r>
    </w:p>
    <w:p w14:paraId="3EB6CD70" w14:textId="77777777" w:rsidR="00C65FD3" w:rsidRDefault="00C65FD3" w:rsidP="00C65FD3">
      <w:pPr>
        <w:pStyle w:val="Heading2"/>
        <w:tabs>
          <w:tab w:val="left" w:pos="720"/>
        </w:tabs>
      </w:pPr>
      <w:bookmarkStart w:id="638" w:name="_Toc9509027"/>
      <w:bookmarkStart w:id="639" w:name="_Toc9328607"/>
      <w:bookmarkStart w:id="640" w:name="_Toc35892798"/>
      <w:r>
        <w:t>Conclusions</w:t>
      </w:r>
      <w:bookmarkEnd w:id="638"/>
      <w:bookmarkEnd w:id="639"/>
      <w:bookmarkEnd w:id="640"/>
    </w:p>
    <w:p w14:paraId="05F404FA" w14:textId="77777777" w:rsidR="00C65FD3" w:rsidRDefault="00C65FD3" w:rsidP="00C65FD3">
      <w:pPr>
        <w:spacing w:line="480" w:lineRule="auto"/>
      </w:pPr>
      <w:r>
        <w:t xml:space="preserve">Throughout the research, the complexity of the NPS markets and challenges they pose to communities, researchers, practitioners and authorities have become apparent. Furthermore, the situation with NPS has changed considerably since the start of the current research project, with changes in the nature of the substances themselves, patterns of prevalence and user populations as well as young people’s perceptions of them. </w:t>
      </w:r>
    </w:p>
    <w:p w14:paraId="7D6FA2A3" w14:textId="77777777" w:rsidR="00C65FD3" w:rsidRDefault="00C65FD3" w:rsidP="00C65FD3">
      <w:pPr>
        <w:spacing w:line="480" w:lineRule="auto"/>
      </w:pPr>
      <w:r>
        <w:t>Many of these changes can be linked to the introduction of the PS Act which has resulted in the convergence of NPS markets with those of illicit drugs, in addition to several other unintended negative consequences. These include the displacement of NPS use onto other substances and a number of increased risks to users as well as increased stigmatisation of vulnerable users. These unintended consequences draw attention to the systemic nature of drugs markets and the way in which the PS Act has interacted with processes which exacerbate social inequalities.</w:t>
      </w:r>
    </w:p>
    <w:p w14:paraId="3EBF53C8" w14:textId="77777777" w:rsidR="00C65FD3" w:rsidRDefault="00C65FD3" w:rsidP="00C65FD3">
      <w:pPr>
        <w:spacing w:line="480" w:lineRule="auto"/>
      </w:pPr>
      <w:r>
        <w:t>The changing dynamics of NPS markets and users was apparent in young people’s perceptions of NPS. This led to the conclusion that, in the absence of formal regulation of NPS, young people’s perceptions of NPS users offer important social cues about the safety and desirability of NPS use. However, the possibility that more advantaged young people’s reduction in NPS use might be partially attributable to processes of stigmatisation involving less advantaged users which were stimulated by the implementation of the PS Act raises important ethical questions.</w:t>
      </w:r>
    </w:p>
    <w:p w14:paraId="4CFDF034" w14:textId="77777777" w:rsidR="00C65FD3" w:rsidRDefault="00C65FD3" w:rsidP="00C65FD3">
      <w:pPr>
        <w:spacing w:line="480" w:lineRule="auto"/>
      </w:pPr>
      <w:r>
        <w:t xml:space="preserve">While the social processes observed in the current research point toward the suitability of social cognition models, particularly the prototype willingness model, for modelling young people’s NPS behaviour, their similarity to the strongly individualising perspective of UK drugs strategy is problematic. With internalised explanations of drug use enabling processes of stigmatisation, it is essential that these models are used as part of wider harm-reduction and prevention strategies that adopt a systems perspective, taking into account wider contextual factors and adopting a multi-level strategy. </w:t>
      </w:r>
    </w:p>
    <w:p w14:paraId="44F4DED8" w14:textId="77777777" w:rsidR="00C65FD3" w:rsidRDefault="00C65FD3" w:rsidP="00C65FD3">
      <w:pPr>
        <w:spacing w:line="480" w:lineRule="auto"/>
        <w:rPr>
          <w:lang w:eastAsia="en-GB"/>
        </w:rPr>
      </w:pPr>
      <w:r>
        <w:rPr>
          <w:lang w:eastAsia="en-GB"/>
        </w:rPr>
        <w:t xml:space="preserve">Although the significant changes to the NPS market which have occurred over the last three years call into question the utility of developing interventions using the term ‘legal highs’, NPS continue to be a cause for concern. The emergence of NPS was a symptom of fundamental changes to drug production, distribution and marketing that have irrevocably altered the nature of the market for recreational drugs. The innovation in production and distribution methods prompted by the technological developments that accompanied the growth of the internet has made the large-scale production and distribution of low-cost psychoactive drugs an ongoing feature of the global drugs market. </w:t>
      </w:r>
    </w:p>
    <w:p w14:paraId="0115EA27" w14:textId="77777777" w:rsidR="00C65FD3" w:rsidRDefault="00C65FD3" w:rsidP="00C65FD3">
      <w:pPr>
        <w:spacing w:line="480" w:lineRule="auto"/>
        <w:rPr>
          <w:lang w:eastAsia="en-GB"/>
        </w:rPr>
      </w:pPr>
      <w:r>
        <w:rPr>
          <w:lang w:eastAsia="en-GB"/>
        </w:rPr>
        <w:t>Furthermore, the arms race between authorities and producers has resulted in an unprecedented diversity of substances that has transformed recreational drug markets from a relatively small number of commonly known and relatively well-understood substances to hundreds of poorly understood psychoactive chemicals. As a result of these changes, the recreational drugs market is proving more diverse and resilient than ever before. Moving forward, greater variability is expected in the ingredients, potency and consistency of many psychoactive products, including those sold under the guise of traditional illicit drugs, in addition to increased sales of generic products of mixed and variable ingredients sold under non-specific names.</w:t>
      </w:r>
    </w:p>
    <w:p w14:paraId="40C479F0" w14:textId="77777777" w:rsidR="00C65FD3" w:rsidRDefault="00C65FD3" w:rsidP="00C65FD3">
      <w:pPr>
        <w:spacing w:after="0" w:line="480" w:lineRule="auto"/>
        <w:rPr>
          <w:b/>
          <w:color w:val="000000" w:themeColor="text1"/>
        </w:rPr>
      </w:pPr>
      <w:r>
        <w:rPr>
          <w:color w:val="000000"/>
          <w:szCs w:val="24"/>
          <w:lang w:eastAsia="en-GB"/>
        </w:rPr>
        <w:t>Inevitably, all recreational drug interventions must adapt to new market conditions. Therefore, it is not so much a question of whether we need NPS-specific interventions, but a question of how drug interventions will adapt to account for the market changes signified by NPS.</w:t>
      </w:r>
    </w:p>
    <w:p w14:paraId="4C86C6A0" w14:textId="77777777" w:rsidR="00C65FD3" w:rsidRDefault="00C65FD3" w:rsidP="00C65FD3"/>
    <w:p w14:paraId="2A2DCD8C" w14:textId="77777777" w:rsidR="00C65FD3" w:rsidRPr="00C65FD3" w:rsidRDefault="00C65FD3" w:rsidP="00C65FD3"/>
    <w:sectPr w:rsidR="00C65FD3" w:rsidRPr="00C65FD3" w:rsidSect="00D454BA">
      <w:headerReference w:type="default" r:id="rId76"/>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8147D" w14:textId="77777777" w:rsidR="00251E9C" w:rsidRDefault="00251E9C" w:rsidP="00C32B50">
      <w:pPr>
        <w:spacing w:after="0" w:line="240" w:lineRule="auto"/>
      </w:pPr>
      <w:r>
        <w:separator/>
      </w:r>
    </w:p>
  </w:endnote>
  <w:endnote w:type="continuationSeparator" w:id="0">
    <w:p w14:paraId="0C8E76E3" w14:textId="77777777" w:rsidR="00251E9C" w:rsidRDefault="00251E9C" w:rsidP="00C3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FC02" w14:textId="77777777" w:rsidR="00777EE0" w:rsidRDefault="00777EE0" w:rsidP="00A710F4">
    <w:pPr>
      <w:pStyle w:val="ListParagraph"/>
      <w:rPr>
        <w:szCs w:val="24"/>
      </w:rPr>
    </w:pPr>
  </w:p>
  <w:p w14:paraId="2CD59409" w14:textId="77777777" w:rsidR="00777EE0" w:rsidRPr="00CD2E80" w:rsidRDefault="00777EE0" w:rsidP="00A710F4">
    <w:pPr>
      <w:pStyle w:val="ListParagraph"/>
      <w:jc w:val="center"/>
      <w:rPr>
        <w:b/>
        <w:bCs/>
        <w:szCs w:val="24"/>
      </w:rPr>
    </w:pPr>
    <w:r w:rsidRPr="00CD2E80">
      <w:rPr>
        <w:b/>
        <w:bCs/>
        <w:szCs w:val="24"/>
      </w:rPr>
      <w:t>Please turn over.</w:t>
    </w:r>
  </w:p>
  <w:p w14:paraId="189CF20E" w14:textId="77777777" w:rsidR="00777EE0" w:rsidRDefault="00777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4817B" w14:textId="77777777" w:rsidR="00777EE0" w:rsidRDefault="00777EE0" w:rsidP="00A710F4">
    <w:pPr>
      <w:pStyle w:val="ListParagraph"/>
      <w:rPr>
        <w:szCs w:val="24"/>
      </w:rPr>
    </w:pPr>
  </w:p>
  <w:p w14:paraId="2F782F7D" w14:textId="77777777" w:rsidR="00777EE0" w:rsidRPr="00CD2E80" w:rsidRDefault="00777EE0" w:rsidP="00A710F4">
    <w:pPr>
      <w:pStyle w:val="ListParagraph"/>
      <w:jc w:val="center"/>
      <w:rPr>
        <w:b/>
        <w:bCs/>
        <w:szCs w:val="24"/>
      </w:rPr>
    </w:pPr>
    <w:r w:rsidRPr="00CD2E80">
      <w:rPr>
        <w:b/>
        <w:bCs/>
        <w:szCs w:val="24"/>
      </w:rPr>
      <w:t>Please turn over.</w:t>
    </w:r>
  </w:p>
  <w:p w14:paraId="30C2A627" w14:textId="77777777" w:rsidR="00777EE0" w:rsidRDefault="00777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A319" w14:textId="77777777" w:rsidR="00777EE0" w:rsidRDefault="00777EE0" w:rsidP="00A710F4">
    <w:pPr>
      <w:pStyle w:val="ListParagraph"/>
      <w:rPr>
        <w:szCs w:val="24"/>
      </w:rPr>
    </w:pPr>
  </w:p>
  <w:p w14:paraId="7BADB8B1" w14:textId="77777777" w:rsidR="00777EE0" w:rsidRPr="00CD2E80" w:rsidRDefault="00777EE0" w:rsidP="00A710F4">
    <w:pPr>
      <w:pStyle w:val="ListParagraph"/>
      <w:jc w:val="center"/>
      <w:rPr>
        <w:b/>
        <w:bCs/>
        <w:szCs w:val="24"/>
      </w:rPr>
    </w:pPr>
    <w:r w:rsidRPr="00CD2E80">
      <w:rPr>
        <w:b/>
        <w:bCs/>
        <w:szCs w:val="24"/>
      </w:rPr>
      <w:t>Please turn over.</w:t>
    </w:r>
  </w:p>
  <w:p w14:paraId="52934A7F" w14:textId="77777777" w:rsidR="00777EE0" w:rsidRDefault="00777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C191D" w14:textId="77777777" w:rsidR="00251E9C" w:rsidRDefault="00251E9C" w:rsidP="00C32B50">
      <w:pPr>
        <w:spacing w:after="0" w:line="240" w:lineRule="auto"/>
      </w:pPr>
      <w:r>
        <w:separator/>
      </w:r>
    </w:p>
  </w:footnote>
  <w:footnote w:type="continuationSeparator" w:id="0">
    <w:p w14:paraId="6F50E4B8" w14:textId="77777777" w:rsidR="00251E9C" w:rsidRDefault="00251E9C" w:rsidP="00C32B50">
      <w:pPr>
        <w:spacing w:after="0" w:line="240" w:lineRule="auto"/>
      </w:pPr>
      <w:r>
        <w:continuationSeparator/>
      </w:r>
    </w:p>
  </w:footnote>
  <w:footnote w:id="1">
    <w:p w14:paraId="05E58AAC" w14:textId="77777777" w:rsidR="00777EE0" w:rsidRDefault="00777EE0" w:rsidP="00443002">
      <w:pPr>
        <w:pStyle w:val="FootnoteText"/>
      </w:pPr>
      <w:r>
        <w:rPr>
          <w:rStyle w:val="FootnoteReference"/>
        </w:rPr>
        <w:footnoteRef/>
      </w:r>
      <w:r>
        <w:t xml:space="preserve"> Percentage of the 30 studies within the reasons for use set citing one or more reasons in this theme </w:t>
      </w:r>
    </w:p>
  </w:footnote>
  <w:footnote w:id="2">
    <w:p w14:paraId="52058A93" w14:textId="77777777" w:rsidR="00777EE0" w:rsidRDefault="00777EE0" w:rsidP="00443002">
      <w:pPr>
        <w:pStyle w:val="FootnoteText"/>
      </w:pPr>
      <w:r>
        <w:rPr>
          <w:rStyle w:val="FootnoteReference"/>
        </w:rPr>
        <w:footnoteRef/>
      </w:r>
      <w:r>
        <w:t xml:space="preserve"> Percentage of the 30 studies within the reasons for use set citing each unique reason </w:t>
      </w:r>
    </w:p>
  </w:footnote>
  <w:footnote w:id="3">
    <w:p w14:paraId="39A21C0B" w14:textId="77777777" w:rsidR="00777EE0" w:rsidRDefault="00777EE0" w:rsidP="00443002">
      <w:pPr>
        <w:pStyle w:val="FootnoteText"/>
      </w:pPr>
      <w:r>
        <w:rPr>
          <w:rStyle w:val="FootnoteReference"/>
        </w:rPr>
        <w:footnoteRef/>
      </w:r>
      <w:r>
        <w:t xml:space="preserve"> Percentage of the 30 studies within the reasons for use set citing one or more reasons in this theme </w:t>
      </w:r>
    </w:p>
  </w:footnote>
  <w:footnote w:id="4">
    <w:p w14:paraId="1B1AA864" w14:textId="77777777" w:rsidR="00777EE0" w:rsidRDefault="00777EE0" w:rsidP="00443002">
      <w:pPr>
        <w:pStyle w:val="FootnoteText"/>
      </w:pPr>
      <w:r>
        <w:rPr>
          <w:rStyle w:val="FootnoteReference"/>
        </w:rPr>
        <w:footnoteRef/>
      </w:r>
      <w:r>
        <w:t xml:space="preserve"> Percentage of the 30 studies within the reasons for use set citing each unique reason </w:t>
      </w:r>
    </w:p>
  </w:footnote>
  <w:footnote w:id="5">
    <w:p w14:paraId="68BAC85C" w14:textId="77777777" w:rsidR="00777EE0" w:rsidRDefault="00777EE0" w:rsidP="00443002">
      <w:pPr>
        <w:pStyle w:val="FootnoteText"/>
      </w:pPr>
      <w:r>
        <w:rPr>
          <w:rStyle w:val="FootnoteReference"/>
        </w:rPr>
        <w:footnoteRef/>
      </w:r>
      <w:r>
        <w:t xml:space="preserve"> Percentage of the 30 studies within the reasons for use set citing one or more reasons in this theme </w:t>
      </w:r>
    </w:p>
  </w:footnote>
  <w:footnote w:id="6">
    <w:p w14:paraId="60A56EED" w14:textId="77777777" w:rsidR="00777EE0" w:rsidRDefault="00777EE0" w:rsidP="00443002">
      <w:pPr>
        <w:pStyle w:val="FootnoteText"/>
      </w:pPr>
      <w:r>
        <w:rPr>
          <w:rStyle w:val="FootnoteReference"/>
        </w:rPr>
        <w:footnoteRef/>
      </w:r>
      <w:r>
        <w:t xml:space="preserve"> Percentage of the 30 studies within the reasons for use set citing each unique reason </w:t>
      </w:r>
    </w:p>
  </w:footnote>
  <w:footnote w:id="7">
    <w:p w14:paraId="4116FF6F" w14:textId="77777777" w:rsidR="00777EE0" w:rsidRDefault="00777EE0" w:rsidP="00443002">
      <w:pPr>
        <w:pStyle w:val="FootnoteText"/>
      </w:pPr>
      <w:r>
        <w:rPr>
          <w:rStyle w:val="FootnoteReference"/>
        </w:rPr>
        <w:footnoteRef/>
      </w:r>
      <w:r>
        <w:t xml:space="preserve"> Percentage of the 10 studies within the reasons for non-use set citing one or more reasons in this theme </w:t>
      </w:r>
    </w:p>
  </w:footnote>
  <w:footnote w:id="8">
    <w:p w14:paraId="2A522C6D" w14:textId="77777777" w:rsidR="00777EE0" w:rsidRDefault="00777EE0" w:rsidP="00443002">
      <w:pPr>
        <w:pStyle w:val="FootnoteText"/>
      </w:pPr>
      <w:r>
        <w:rPr>
          <w:rStyle w:val="FootnoteReference"/>
        </w:rPr>
        <w:footnoteRef/>
      </w:r>
      <w:r>
        <w:t xml:space="preserve"> Percentage of the 10 studies within the reasons for non-use set citing each unique reason </w:t>
      </w:r>
    </w:p>
  </w:footnote>
  <w:footnote w:id="9">
    <w:p w14:paraId="2A8B68D0" w14:textId="77777777" w:rsidR="00777EE0" w:rsidRDefault="00777EE0" w:rsidP="008B27A0">
      <w:pPr>
        <w:pStyle w:val="FootnoteText"/>
      </w:pPr>
      <w:r>
        <w:rPr>
          <w:rStyle w:val="FootnoteReference"/>
        </w:rPr>
        <w:footnoteRef/>
      </w:r>
      <w:r>
        <w:t xml:space="preserve"> Note: some participants reported dual occupations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F2EC5" w14:textId="77777777" w:rsidR="00777EE0" w:rsidRDefault="00777EE0" w:rsidP="00A710F4">
    <w:pPr>
      <w:pStyle w:val="Header"/>
      <w:jc w:val="center"/>
      <w:rPr>
        <w:b/>
      </w:rPr>
    </w:pPr>
    <w:r w:rsidRPr="00794DB3">
      <w:rPr>
        <w:b/>
      </w:rPr>
      <w:t>Beliefs Questionnaire</w:t>
    </w:r>
  </w:p>
  <w:p w14:paraId="0D11E0A9" w14:textId="77777777" w:rsidR="00777EE0" w:rsidRPr="00794DB3" w:rsidRDefault="00777EE0" w:rsidP="00A710F4">
    <w:pPr>
      <w:pStyle w:val="Head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7E43" w14:textId="4C679336" w:rsidR="00777EE0" w:rsidRPr="0054216C" w:rsidRDefault="00777EE0" w:rsidP="0054216C">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4144" behindDoc="0" locked="0" layoutInCell="1" allowOverlap="1" wp14:anchorId="7C1D8C59" wp14:editId="149E3622">
              <wp:simplePos x="0" y="0"/>
              <wp:positionH relativeFrom="column">
                <wp:posOffset>-310515</wp:posOffset>
              </wp:positionH>
              <wp:positionV relativeFrom="paragraph">
                <wp:posOffset>200555</wp:posOffset>
              </wp:positionV>
              <wp:extent cx="6047117" cy="0"/>
              <wp:effectExtent l="0" t="0" r="0" b="0"/>
              <wp:wrapNone/>
              <wp:docPr id="233" name="Straight Connector 233"/>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49F99" id="Straight Connector 233" o:spid="_x0000_s1026" style="position:absolute;flip:x;z-index:251727360;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X6+AEAAD4EAAAOAAAAZHJzL2Uyb0RvYy54bWysU02P2yAQvVfqf0DcG9tJd1NZcfaQ1baH&#10;fkTd9gcQDDESMAjYOPn3HcDx7ranVr0gMzPvzbznYXN3NpqchA8KbEebRU2JsBx6ZY8d/fnj4d0H&#10;SkJktmcarOjoRQR6t337ZjO6VixhAN0LT5DEhnZ0HR1idG1VBT4Iw8ICnLCYlOANi3j1x6r3bER2&#10;o6tlXd9WI/jeeeAiBIzelyTdZn4pBY/fpAwiEt1RnC3m0+fzkM5qu2Ht0TM3KD6Nwf5hCsOUxaYz&#10;1T2LjDx59QeVUdxDABkXHEwFUiousgZU09S/qXkcmBNZC5oT3GxT+H+0/Otp74nqO7pcrSixzOBP&#10;eoyeqeMQyQ6sRQvBk5RFr0YXWoTs7N5Pt+D2Pgk/S2+I1Mp9wjXIVqA4cs5OX2anxTkSjsHb+v26&#10;adaU8GuuKhSJyvkQPwowJH10VCubTGAtO30OEdti6bUkhbUlIzKubupcFUCr/kFpnXJ5j8ROe3Ji&#10;uAGHYxlNP5kv0JfY+qau8x4g7Vyem7xgwpy2GEz6i+L8FS9alBG+C4kuorLSYCYqPRjnwsYmOZiZ&#10;sDrBJE45A6fp0+I/D/waONUnqMi7/TfgGZE7g40z2CgLvnj3uns8X0eWpf7qQNGdLDhAf8m7kK3B&#10;Jc0KpweVXsHLe4Y/P/vtLwA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Kx1lfr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60</w:t>
    </w:r>
    <w:r w:rsidRPr="000440BC">
      <w:rPr>
        <w:color w:val="808080" w:themeColor="background1" w:themeShade="80"/>
        <w:sz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4FEC" w14:textId="77777777" w:rsidR="00777EE0" w:rsidRDefault="00777EE0" w:rsidP="00A710F4">
    <w:pPr>
      <w:pStyle w:val="Header"/>
      <w:jc w:val="center"/>
      <w:rPr>
        <w:b/>
      </w:rPr>
    </w:pPr>
    <w:r w:rsidRPr="00794DB3">
      <w:rPr>
        <w:b/>
      </w:rPr>
      <w:t>Beliefs Questionnaire</w:t>
    </w:r>
  </w:p>
  <w:p w14:paraId="55E2D8E4" w14:textId="77777777" w:rsidR="00777EE0" w:rsidRPr="00794DB3" w:rsidRDefault="00777EE0" w:rsidP="00A710F4">
    <w:pPr>
      <w:pStyle w:val="Head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0B846" w14:textId="77777777" w:rsidR="00777EE0" w:rsidRPr="000440BC" w:rsidRDefault="00777EE0" w:rsidP="004B3AED">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8240" behindDoc="0" locked="0" layoutInCell="1" allowOverlap="1" wp14:anchorId="3ABE5D82" wp14:editId="3416129A">
              <wp:simplePos x="0" y="0"/>
              <wp:positionH relativeFrom="column">
                <wp:posOffset>-310515</wp:posOffset>
              </wp:positionH>
              <wp:positionV relativeFrom="paragraph">
                <wp:posOffset>200555</wp:posOffset>
              </wp:positionV>
              <wp:extent cx="6047117" cy="0"/>
              <wp:effectExtent l="0" t="0" r="0" b="0"/>
              <wp:wrapNone/>
              <wp:docPr id="661" name="Straight Connector 661"/>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C17A4" id="Straight Connector 661" o:spid="_x0000_s1026" style="position:absolute;flip:x;z-index:251733504;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3i9wEAAD4EAAAOAAAAZHJzL2Uyb0RvYy54bWysU8tu2zAQvBfoPxC815LSxi4Eyzk4SHvo&#10;w0iaD6Ap0iJAcgmSsey/75KUlaQ9NeiFEHd3ZndGy/XNyWhyFD4osB1tFjUlwnLolT109PHX3YfP&#10;lITIbM80WNHRswj0ZvP+3Xp0rbiCAXQvPEESG9rRdXSI0bVVFfggDAsLcMJiUoI3LOLVH6resxHZ&#10;ja6u6npZjeB754GLEDB6W5J0k/mlFDz+lDKISHRHcbaYT5/PfTqrzZq1B8/coPg0BnvDFIYpi01n&#10;qlsWGXny6i8qo7iHADIuOJgKpFRcZA2opqn/UPMwMCeyFjQnuNmm8P9o+Y/jzhPVd3S5bCixzOBP&#10;eoieqcMQyRasRQvBk5RFr0YXWoRs7c5Pt+B2Pgk/SW+I1Mp9xTXIVqA4cspOn2enxSkSjsFl/WnV&#10;NCtK+CVXFYpE5XyIXwQYkj46qpVNJrCWHb+FiG2x9FKSwtqSERk/Xte5KoBW/Z3SOuXyHomt9uTI&#10;cAP2hzKafjLfoS+x1XVd5z1A2rk8N3nBhDltMZj0F8X5K561KCPcC4kuorLSYCYqPRjnwsbsYGbC&#10;6gSTOOUMnKZPi/888GvgVJ+gIu/2v4BnRO4MNs5goyz44t3r7vF0GVmW+osDRXeyYA/9Oe9CtgaX&#10;NDs3Paj0Cl7eM/z52W9+AwAA//8DAFBLAwQUAAYACAAAACEAhExs/+AAAAAJAQAADwAAAGRycy9k&#10;b3ducmV2LnhtbEyPwU4CMRCG7ya8QzMkXgx0kc0G1u0SonLhIALGc9mO2w3bad0WWHx6azzocWa+&#10;/PP9xaI3LTtj5xtLAibjBBhSZVVDtYC3/Wo0A+aDJCVbSyjgih4W5eCmkLmyF9rieRdqFkPI51KA&#10;DsHlnPtKo5F+bB1SvH3YzsgQx67mqpOXGG5afp8kGTeyofhBS4ePGqvj7mQEZKuX9dO7vq4z95Vu&#10;Pp9fsXfuTojbYb98ABawD38w/OhHdSij08GeSHnWChils3lEBUwnGbAIzJNpCuzwu+Blwf83KL8B&#10;AAD//wMAUEsBAi0AFAAGAAgAAAAhALaDOJL+AAAA4QEAABMAAAAAAAAAAAAAAAAAAAAAAFtDb250&#10;ZW50X1R5cGVzXS54bWxQSwECLQAUAAYACAAAACEAOP0h/9YAAACUAQAACwAAAAAAAAAAAAAAAAAv&#10;AQAAX3JlbHMvLnJlbHNQSwECLQAUAAYACAAAACEAkRxd4vcBAAA+BAAADgAAAAAAAAAAAAAAAAAu&#10;AgAAZHJzL2Uyb0RvYy54bWxQSwECLQAUAAYACAAAACEAhExs/+AAAAAJAQAADwAAAAAAAAAAAAAA&#10;AABRBAAAZHJzL2Rvd25yZXYueG1sUEsFBgAAAAAEAAQA8wAAAF4FA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58</w:t>
    </w:r>
    <w:r w:rsidRPr="000440BC">
      <w:rPr>
        <w:color w:val="808080" w:themeColor="background1" w:themeShade="80"/>
        <w:sz w:val="22"/>
      </w:rPr>
      <w:fldChar w:fldCharType="end"/>
    </w:r>
  </w:p>
  <w:p w14:paraId="6AEA1E8F" w14:textId="77777777" w:rsidR="00777EE0" w:rsidRPr="00E2133A" w:rsidRDefault="00777EE0" w:rsidP="004B3AED">
    <w:pPr>
      <w:pStyle w:val="Header"/>
      <w:tabs>
        <w:tab w:val="clear" w:pos="4513"/>
        <w:tab w:val="clear" w:pos="9026"/>
        <w:tab w:val="left" w:pos="2751"/>
      </w:tabs>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F7D38" w14:textId="77777777" w:rsidR="00777EE0" w:rsidRPr="000440BC" w:rsidRDefault="00777EE0" w:rsidP="007E1D13">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61312" behindDoc="0" locked="0" layoutInCell="1" allowOverlap="1" wp14:anchorId="3C801277" wp14:editId="18513AB8">
              <wp:simplePos x="0" y="0"/>
              <wp:positionH relativeFrom="column">
                <wp:posOffset>-310515</wp:posOffset>
              </wp:positionH>
              <wp:positionV relativeFrom="paragraph">
                <wp:posOffset>200555</wp:posOffset>
              </wp:positionV>
              <wp:extent cx="6047117" cy="0"/>
              <wp:effectExtent l="0" t="0" r="0" b="0"/>
              <wp:wrapNone/>
              <wp:docPr id="759" name="Straight Connector 759"/>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7BA9E" id="Straight Connector 759" o:spid="_x0000_s1026" style="position:absolute;flip:x;z-index:251736576;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kh+AEAAD4EAAAOAAAAZHJzL2Uyb0RvYy54bWysU01z2yAQvXem/4HhXktK67jRWM7BmbSH&#10;fnia9gdgBBYzwDJALPnfdwFbSdpTOr0wYnff231Py/p2MpochQ8KbEebRU2JsBx6ZQ8d/fXz/t1H&#10;SkJktmcarOjoSQR6u3n7Zj26VlzBALoXniCJDe3oOjrE6NqqCnwQhoUFOGExKcEbFvHqD1Xv2Yjs&#10;RldXdX1djeB754GLEDB6V5J0k/mlFDx+lzKISHRHcbaYT5/PfTqrzZq1B8/coPh5DPYPUximLDad&#10;qe5YZOTRq7+ojOIeAsi44GAqkFJxkTWgmqb+Q83DwJzIWtCc4Gabwv+j5d+OO09U39HV8oYSywz+&#10;pIfomToMkWzBWrQQPElZ9Gp0oUXI1u78+Rbczifhk/SGSK3cZ1yDbAWKI1N2+jQ7LaZIOAav6w+r&#10;pllRwi+5qlAkKudD/CTAkPTRUa1sMoG17PglRGyLpZeSFNaWjMj4flnnqgBa9fdK65TLeyS22pMj&#10;ww3YH8po+tF8hb7EVsu6znuAtHN5bvKMCXPaYjDpL4rzVzxpUUb4ISS6iMpKg5mo9GCcCxub5GBm&#10;wuoEkzjlDDxPnxb/aeCXwHN9goq8268Bz4jcGWycwUZZ8MW7l93jdBlZlvqLA0V3smAP/SnvQrYG&#10;lzQrPD+o9Aqe3zP86dlvfgM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O5uKSH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18</w:t>
    </w:r>
    <w:r w:rsidRPr="000440BC">
      <w:rPr>
        <w:color w:val="808080" w:themeColor="background1" w:themeShade="80"/>
        <w:sz w:val="22"/>
      </w:rPr>
      <w:fldChar w:fldCharType="end"/>
    </w:r>
  </w:p>
  <w:p w14:paraId="5E039F77" w14:textId="77777777" w:rsidR="00777EE0" w:rsidRPr="00E2133A" w:rsidRDefault="00777EE0" w:rsidP="007E1D13">
    <w:pPr>
      <w:pStyle w:val="Header"/>
      <w:tabs>
        <w:tab w:val="clear" w:pos="4513"/>
        <w:tab w:val="clear" w:pos="9026"/>
        <w:tab w:val="left" w:pos="2751"/>
      </w:tabs>
      <w:rPr>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CE90A" w14:textId="77777777" w:rsidR="00777EE0" w:rsidRPr="000440BC" w:rsidRDefault="00777EE0" w:rsidP="007E1D13">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63360" behindDoc="0" locked="0" layoutInCell="1" allowOverlap="1" wp14:anchorId="7F46765D" wp14:editId="4D37BF9A">
              <wp:simplePos x="0" y="0"/>
              <wp:positionH relativeFrom="column">
                <wp:posOffset>-310515</wp:posOffset>
              </wp:positionH>
              <wp:positionV relativeFrom="paragraph">
                <wp:posOffset>200555</wp:posOffset>
              </wp:positionV>
              <wp:extent cx="6047117" cy="0"/>
              <wp:effectExtent l="0" t="0" r="0" b="0"/>
              <wp:wrapNone/>
              <wp:docPr id="760" name="Straight Connector 760"/>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2C695" id="Straight Connector 760" o:spid="_x0000_s1026" style="position:absolute;flip:x;z-index:251738624;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Zv9wEAAD4EAAAOAAAAZHJzL2Uyb0RvYy54bWysU8tu2zAQvBfoPxC815LSxi4Eyzk4SHvo&#10;w0iaD6Ap0iJAcgmSsey/75KUlaQ9NeiFEHd3ZndGy/XNyWhyFD4osB1tFjUlwnLolT109PHX3YfP&#10;lITIbM80WNHRswj0ZvP+3Xp0rbiCAXQvPEESG9rRdXSI0bVVFfggDAsLcMJiUoI3LOLVH6resxHZ&#10;ja6u6npZjeB754GLEDB6W5J0k/mlFDz+lDKISHRHcbaYT5/PfTqrzZq1B8/coPg0BnvDFIYpi01n&#10;qlsWGXny6i8qo7iHADIuOJgKpFRcZA2opqn/UPMwMCeyFjQnuNmm8P9o+Y/jzhPVd3S1RH8sM/iT&#10;HqJn6jBEsgVr0ULwJGXRq9GFFiFbu/PTLbidT8JP0hsitXJfcQ2yFSiOnLLT59lpcYqEY3BZf1o1&#10;zYoSfslVhSJROR/iFwGGpI+OamWTCaxlx28hYlssvZSksLZkRMaP13WuCqBVf6e0Trm8R2KrPTky&#10;3ID9oYymn8x36EtsdV3XWRvSzuW5yQsmzGmLwaS/KM5f8axFGeFeSHQRlZUGM1HpwTgXNjbJwcyE&#10;1QkmccoZOE2fFv954NfAqT5BRd7tfwHPiNwZbJzBRlnwxbvX3ePpMrIs9RcHiu5kwR76c96FbA0u&#10;aVY4Paj0Cl7eM/z52W9+AwAA//8DAFBLAwQUAAYACAAAACEAhExs/+AAAAAJAQAADwAAAGRycy9k&#10;b3ducmV2LnhtbEyPwU4CMRCG7ya8QzMkXgx0kc0G1u0SonLhIALGc9mO2w3bad0WWHx6azzocWa+&#10;/PP9xaI3LTtj5xtLAibjBBhSZVVDtYC3/Wo0A+aDJCVbSyjgih4W5eCmkLmyF9rieRdqFkPI51KA&#10;DsHlnPtKo5F+bB1SvH3YzsgQx67mqpOXGG5afp8kGTeyofhBS4ePGqvj7mQEZKuX9dO7vq4z95Vu&#10;Pp9fsXfuTojbYb98ABawD38w/OhHdSij08GeSHnWChils3lEBUwnGbAIzJNpCuzwu+Blwf83KL8B&#10;AAD//wMAUEsBAi0AFAAGAAgAAAAhALaDOJL+AAAA4QEAABMAAAAAAAAAAAAAAAAAAAAAAFtDb250&#10;ZW50X1R5cGVzXS54bWxQSwECLQAUAAYACAAAACEAOP0h/9YAAACUAQAACwAAAAAAAAAAAAAAAAAv&#10;AQAAX3JlbHMvLnJlbHNQSwECLQAUAAYACAAAACEAa86Wb/cBAAA+BAAADgAAAAAAAAAAAAAAAAAu&#10;AgAAZHJzL2Uyb0RvYy54bWxQSwECLQAUAAYACAAAACEAhExs/+AAAAAJAQAADwAAAAAAAAAAAAAA&#10;AABRBAAAZHJzL2Rvd25yZXYueG1sUEsFBgAAAAAEAAQA8wAAAF4FA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21</w:t>
    </w:r>
    <w:r w:rsidRPr="000440BC">
      <w:rPr>
        <w:color w:val="808080" w:themeColor="background1" w:themeShade="80"/>
        <w:sz w:val="22"/>
      </w:rPr>
      <w:fldChar w:fldCharType="end"/>
    </w:r>
  </w:p>
  <w:p w14:paraId="32E4F2A2" w14:textId="77777777" w:rsidR="00777EE0" w:rsidRPr="00E2133A" w:rsidRDefault="00777EE0" w:rsidP="007E1D13">
    <w:pPr>
      <w:pStyle w:val="Header"/>
      <w:tabs>
        <w:tab w:val="clear" w:pos="4513"/>
        <w:tab w:val="clear" w:pos="9026"/>
        <w:tab w:val="left" w:pos="2751"/>
      </w:tabs>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5428" w14:textId="77777777" w:rsidR="00777EE0" w:rsidRPr="000440BC" w:rsidRDefault="00777EE0" w:rsidP="007E1D13">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9264" behindDoc="0" locked="0" layoutInCell="1" allowOverlap="1" wp14:anchorId="6EBE4D7C" wp14:editId="15AF8662">
              <wp:simplePos x="0" y="0"/>
              <wp:positionH relativeFrom="column">
                <wp:posOffset>-310515</wp:posOffset>
              </wp:positionH>
              <wp:positionV relativeFrom="paragraph">
                <wp:posOffset>200555</wp:posOffset>
              </wp:positionV>
              <wp:extent cx="6047117" cy="0"/>
              <wp:effectExtent l="0" t="0" r="0" b="0"/>
              <wp:wrapNone/>
              <wp:docPr id="761" name="Straight Connector 761"/>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744A0" id="Straight Connector 761" o:spid="_x0000_s1026" style="position:absolute;flip:x;z-index:251735552;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9wEAAD4EAAAOAAAAZHJzL2Uyb0RvYy54bWysU8tu2zAQvBfoPxC815LSxi4Eyzk4SHvo&#10;w0iaD6Ap0iJAcgmSsey/75KUlaQ9NeiFEHd3ZndGy/XNyWhyFD4osB1tFjUlwnLolT109PHX3YfP&#10;lITIbM80WNHRswj0ZvP+3Xp0rbiCAXQvPEESG9rRdXSI0bVVFfggDAsLcMJiUoI3LOLVH6resxHZ&#10;ja6u6npZjeB754GLEDB6W5J0k/mlFDz+lDKISHRHcbaYT5/PfTqrzZq1B8/coPg0BnvDFIYpi01n&#10;qlsWGXny6i8qo7iHADIuOJgKpFRcZA2opqn/UPMwMCeyFjQnuNmm8P9o+Y/jzhPVd3S1bCixzOBP&#10;eoieqcMQyRasRQvBk5RFr0YXWoRs7c5Pt+B2Pgk/SW+I1Mp9xTXIVqA4cspOn2enxSkSjsFl/WnV&#10;NCtK+CVXFYpE5XyIXwQYkj46qpVNJrCWHb+FiG2x9FKSwtqSERk/Xte5KoBW/Z3SOuXyHomt9uTI&#10;cAP2hzKafjLfoS+x1XVd5z1A2rk8N3nBhDltMZj0F8X5K561KCPcC4kuorLSYCYqPRjnwsbsYGbC&#10;6gSTOOUMnKZPi/888GvgVJ+gIu/2v4BnRO4MNs5goyz44t3r7vF0GVmW+osDRXeyYA/9Oe9CtgaX&#10;NDs3Paj0Cl7eM/z52W9+AwAA//8DAFBLAwQUAAYACAAAACEAhExs/+AAAAAJAQAADwAAAGRycy9k&#10;b3ducmV2LnhtbEyPwU4CMRCG7ya8QzMkXgx0kc0G1u0SonLhIALGc9mO2w3bad0WWHx6azzocWa+&#10;/PP9xaI3LTtj5xtLAibjBBhSZVVDtYC3/Wo0A+aDJCVbSyjgih4W5eCmkLmyF9rieRdqFkPI51KA&#10;DsHlnPtKo5F+bB1SvH3YzsgQx67mqpOXGG5afp8kGTeyofhBS4ePGqvj7mQEZKuX9dO7vq4z95Vu&#10;Pp9fsXfuTojbYb98ABawD38w/OhHdSij08GeSHnWChils3lEBUwnGbAIzJNpCuzwu+Blwf83KL8B&#10;AAD//wMAUEsBAi0AFAAGAAgAAAAhALaDOJL+AAAA4QEAABMAAAAAAAAAAAAAAAAAAAAAAFtDb250&#10;ZW50X1R5cGVzXS54bWxQSwECLQAUAAYACAAAACEAOP0h/9YAAACUAQAACwAAAAAAAAAAAAAAAAAv&#10;AQAAX3JlbHMvLnJlbHNQSwECLQAUAAYACAAAACEAGFH/hvcBAAA+BAAADgAAAAAAAAAAAAAAAAAu&#10;AgAAZHJzL2Uyb0RvYy54bWxQSwECLQAUAAYACAAAACEAhExs/+AAAAAJAQAADwAAAAAAAAAAAAAA&#10;AABRBAAAZHJzL2Rvd25yZXYueG1sUEsFBgAAAAAEAAQA8wAAAF4FA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24</w:t>
    </w:r>
    <w:r w:rsidRPr="000440BC">
      <w:rPr>
        <w:color w:val="808080" w:themeColor="background1" w:themeShade="80"/>
        <w:sz w:val="22"/>
      </w:rPr>
      <w:fldChar w:fldCharType="end"/>
    </w:r>
  </w:p>
  <w:p w14:paraId="1C163BEE" w14:textId="77777777" w:rsidR="00777EE0" w:rsidRPr="00E2133A" w:rsidRDefault="00777EE0" w:rsidP="007E1D13">
    <w:pPr>
      <w:pStyle w:val="Header"/>
      <w:tabs>
        <w:tab w:val="clear" w:pos="4513"/>
        <w:tab w:val="clear" w:pos="9026"/>
        <w:tab w:val="left" w:pos="2751"/>
      </w:tabs>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1BCF" w14:textId="77777777" w:rsidR="00777EE0" w:rsidRPr="000440BC" w:rsidRDefault="00777EE0" w:rsidP="007E1D13">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62336" behindDoc="0" locked="0" layoutInCell="1" allowOverlap="1" wp14:anchorId="09C32CA8" wp14:editId="1F94CE59">
              <wp:simplePos x="0" y="0"/>
              <wp:positionH relativeFrom="column">
                <wp:posOffset>-310515</wp:posOffset>
              </wp:positionH>
              <wp:positionV relativeFrom="paragraph">
                <wp:posOffset>200555</wp:posOffset>
              </wp:positionV>
              <wp:extent cx="6047117" cy="0"/>
              <wp:effectExtent l="0" t="0" r="0" b="0"/>
              <wp:wrapNone/>
              <wp:docPr id="762" name="Straight Connector 762"/>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8CAD5" id="Straight Connector 762" o:spid="_x0000_s1026" style="position:absolute;flip:x;z-index:251737600;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Rm+AEAAD4EAAAOAAAAZHJzL2Uyb0RvYy54bWysU02P2yAQvVfqf0DcG9tpN6msOHvIattD&#10;P6Ld9gcQDDESMAjYOPn3HcDx7ranVr0gMzPvzbznYXN7NpqchA8KbEebRU2JsBx6ZY8d/fnj/t1H&#10;SkJktmcarOjoRQR6u337ZjO6VixhAN0LT5DEhnZ0HR1idG1VBT4Iw8ICnLCYlOANi3j1x6r3bER2&#10;o6tlXa+qEXzvPHARAkbvSpJuM7+UgsfvUgYRie4ozhbz6fN5SGe13bD26JkbFJ/GYP8whWHKYtOZ&#10;6o5FRp68+oPKKO4hgIwLDqYCKRUXWQOqaerf1DwOzImsBc0JbrYp/D9a/u2090T1HV2vlpRYZvAn&#10;PUbP1HGIZAfWooXgScqiV6MLLUJ2du+nW3B7n4SfpTdEauU+4xpkK1AcOWenL7PT4hwJx+Cq/rBu&#10;mjUl/JqrCkWicj7ETwIMSR8d1comE1jLTl9CxLZYei1JYW3JiIzvb+pcFUCr/l5pnXJ5j8ROe3Ji&#10;uAGHYxlNP5mv0JfY+qau8x4g7Vyem7xgwpy2GEz6i+L8FS9alBEehEQXUVlpMBOVHoxzYWOTHMxM&#10;WJ1gEqecgdP0afGfB34NnOoTVOTd/hvwjMidwcYZbJQFX7x73T2eryPLUn91oOhOFhygv+RdyNbg&#10;kmaF04NKr+DlPcOfn/32FwA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Mz2NGb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50</w:t>
    </w:r>
    <w:r w:rsidRPr="000440BC">
      <w:rPr>
        <w:color w:val="808080" w:themeColor="background1" w:themeShade="80"/>
        <w:sz w:val="22"/>
      </w:rPr>
      <w:fldChar w:fldCharType="end"/>
    </w:r>
  </w:p>
  <w:p w14:paraId="5D0099A8" w14:textId="77777777" w:rsidR="00777EE0" w:rsidRPr="00E2133A" w:rsidRDefault="00777EE0" w:rsidP="007E1D13">
    <w:pPr>
      <w:pStyle w:val="Header"/>
      <w:tabs>
        <w:tab w:val="clear" w:pos="4513"/>
        <w:tab w:val="clear" w:pos="9026"/>
        <w:tab w:val="left" w:pos="2751"/>
      </w:tabs>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7F7B3" w14:textId="77777777" w:rsidR="00777EE0" w:rsidRPr="000440BC" w:rsidRDefault="00777EE0" w:rsidP="007E1D13">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67456" behindDoc="0" locked="0" layoutInCell="1" allowOverlap="1" wp14:anchorId="09D1A302" wp14:editId="4A6737E0">
              <wp:simplePos x="0" y="0"/>
              <wp:positionH relativeFrom="column">
                <wp:posOffset>-310515</wp:posOffset>
              </wp:positionH>
              <wp:positionV relativeFrom="paragraph">
                <wp:posOffset>200555</wp:posOffset>
              </wp:positionV>
              <wp:extent cx="6047117" cy="0"/>
              <wp:effectExtent l="0" t="0" r="0" b="0"/>
              <wp:wrapNone/>
              <wp:docPr id="905" name="Straight Connector 905"/>
              <wp:cNvGraphicFramePr/>
              <a:graphic xmlns:a="http://schemas.openxmlformats.org/drawingml/2006/main">
                <a:graphicData uri="http://schemas.microsoft.com/office/word/2010/wordprocessingShape">
                  <wps:wsp>
                    <wps:cNvCnPr/>
                    <wps:spPr>
                      <a:xfrm flipH="1">
                        <a:off x="0" y="0"/>
                        <a:ext cx="6047117" cy="0"/>
                      </a:xfrm>
                      <a:prstGeom prst="line">
                        <a:avLst/>
                      </a:prstGeom>
                      <a:noFill/>
                      <a:ln w="6350" cap="flat" cmpd="sng" algn="ctr">
                        <a:solidFill>
                          <a:sysClr val="window" lastClr="FFFFFF">
                            <a:lumMod val="75000"/>
                          </a:sysClr>
                        </a:solidFill>
                        <a:prstDash val="solid"/>
                      </a:ln>
                      <a:effectLst/>
                    </wps:spPr>
                    <wps:bodyPr/>
                  </wps:wsp>
                </a:graphicData>
              </a:graphic>
            </wp:anchor>
          </w:drawing>
        </mc:Choice>
        <mc:Fallback>
          <w:pict>
            <v:line w14:anchorId="318457F4" id="Straight Connector 905"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Ig3gEAAJwDAAAOAAAAZHJzL2Uyb0RvYy54bWysU8tu2zAQvBfoPxC815LTOmkFyznYcHvo&#10;w0DaD9jwIRHgC1zGsv++S8oxkvZWVAeCu8sd7gxH6/uTs+yoEprge75ctJwpL4I0fuj5r5/7dx85&#10;wwxegg1e9fyskN9v3r5ZT7FTN2EMVqrECMRjN8WejznHrmlQjMoBLkJUnoo6JAeZwjQ0MsFE6M42&#10;N21720whyZiCUIiU3c1Fvqn4WiuRf2iNKjPbc5ot1zXV9bGszWYN3ZAgjkZcxoB/mMKB8XTpFWoH&#10;GdhTMn9BOSNSwKDzQgTXBK2NUJUDsVm2f7B5GCGqyoXEwXiVCf8frPh+PCRmZM8/tSvOPDh6pIec&#10;wAxjZtvgPUkYEitV0mqK2FHL1h/SJcJ4SIX4SSfHtDXxC9mgSkHk2Kkqfb4qrU6ZCUreth/ulss7&#10;zsRzrZkhClRMmD+r4FjZ9NwaX0SADo5fMdO1dPT5SEn7sDfW1oe0nk0E/n5FTy2A7KQtZNq6SATR&#10;D5yBHcinIqeKiMEaWboLDp5xaxM7AlmFHCbDxJkFzJTs+b5+tck+uW9BzufuVm1bTUQzzf11vFe4&#10;ZdYd4Dh31FKRkjqsL/eqatMLtSLwLGnZPQZ5rko3JSIL1LaLXYvHXsa0f/lTbX4DAAD//wMAUEsD&#10;BBQABgAIAAAAIQCSQTl63QAAAAkBAAAPAAAAZHJzL2Rvd25yZXYueG1sTI/LTsMwEEX3SPyDNUjs&#10;Wic0qpoQp6qQskBdIFo+wI0ncUQ8jmznwd9jxAKWM3N059zyuJqBzeh8b0lAuk2AITVW9dQJ+LjW&#10;mwMwHyQpOVhCAV/o4Vjd35WyUHahd5wvoWMxhHwhBegQxoJz32g00m/tiBRvrXVGhji6jisnlxhu&#10;Bv6UJHtuZE/xg5YjvmhsPi+TEWApP+v29ZzVpn5rKaVlcvNJiMeH9fQMLOAa/mD40Y/qUEWnm51I&#10;eTYI2GSHPKICdukeWATyZJcBu/0ueFXy/w2qbwAAAP//AwBQSwECLQAUAAYACAAAACEAtoM4kv4A&#10;AADhAQAAEwAAAAAAAAAAAAAAAAAAAAAAW0NvbnRlbnRfVHlwZXNdLnhtbFBLAQItABQABgAIAAAA&#10;IQA4/SH/1gAAAJQBAAALAAAAAAAAAAAAAAAAAC8BAABfcmVscy8ucmVsc1BLAQItABQABgAIAAAA&#10;IQC0xRIg3gEAAJwDAAAOAAAAAAAAAAAAAAAAAC4CAABkcnMvZTJvRG9jLnhtbFBLAQItABQABgAI&#10;AAAAIQCSQTl63QAAAAkBAAAPAAAAAAAAAAAAAAAAADgEAABkcnMvZG93bnJldi54bWxQSwUGAAAA&#10;AAQABADzAAAAQgUAAAAA&#10;" strokecolor="#bfbfbf"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50</w:t>
    </w:r>
    <w:r w:rsidRPr="000440BC">
      <w:rPr>
        <w:color w:val="808080" w:themeColor="background1" w:themeShade="80"/>
        <w:sz w:val="22"/>
      </w:rPr>
      <w:fldChar w:fldCharType="end"/>
    </w:r>
  </w:p>
  <w:p w14:paraId="69268157" w14:textId="77777777" w:rsidR="00777EE0" w:rsidRPr="00E2133A" w:rsidRDefault="00777EE0" w:rsidP="007E1D13">
    <w:pPr>
      <w:pStyle w:val="Header"/>
      <w:tabs>
        <w:tab w:val="clear" w:pos="4513"/>
        <w:tab w:val="clear" w:pos="9026"/>
        <w:tab w:val="left" w:pos="2751"/>
      </w:tabs>
      <w:rPr>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6DBD" w14:textId="77777777" w:rsidR="00777EE0" w:rsidRPr="000440BC" w:rsidRDefault="00777EE0" w:rsidP="00597221">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64384" behindDoc="0" locked="0" layoutInCell="1" allowOverlap="1" wp14:anchorId="506E7C37" wp14:editId="39A01941">
              <wp:simplePos x="0" y="0"/>
              <wp:positionH relativeFrom="column">
                <wp:posOffset>-310515</wp:posOffset>
              </wp:positionH>
              <wp:positionV relativeFrom="paragraph">
                <wp:posOffset>200555</wp:posOffset>
              </wp:positionV>
              <wp:extent cx="6047117" cy="0"/>
              <wp:effectExtent l="0" t="0" r="0" b="0"/>
              <wp:wrapNone/>
              <wp:docPr id="904" name="Straight Connector 904"/>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58928" id="Straight Connector 904" o:spid="_x0000_s1026" style="position:absolute;flip:x;z-index:251741696;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K2+AEAAD4EAAAOAAAAZHJzL2Uyb0RvYy54bWysU01z2yAQvXem/4HhXktKk7jVWM7BmbSH&#10;fniS9gdgBBYzwDJALPnfdwFbSdpTMr0wYnff231Py+pmMpochA8KbEebRU2JsBx6Zfcd/f3r7sMn&#10;SkJktmcarOjoUQR6s37/bjW6VlzAALoXniCJDe3oOjrE6NqqCnwQhoUFOGExKcEbFvHq91Xv2Yjs&#10;RlcXdX1djeB754GLEDB6W5J0nfmlFDz+lDKISHRHcbaYT5/PXTqr9Yq1e8/coPhpDPaGKQxTFpvO&#10;VLcsMvLo1T9URnEPAWRccDAVSKm4yBpQTVP/peZhYE5kLWhOcLNN4f/R8h+HrSeq7+jn+pISywz+&#10;pIfomdoPkWzAWrQQPElZ9Gp0oUXIxm796Rbc1ifhk/SGSK3cV1yDbAWKI1N2+jg7LaZIOAav68tl&#10;0ywp4edcVSgSlfMhfhFgSProqFY2mcBadvgWIrbF0nNJCmtLRmT8eFXnqgBa9XdK65TLeyQ22pMD&#10;ww3Y7cto+tF8h77Elld1nfcAaefy3OQZE+a0xWDSXxTnr3jUooxwLyS6iMpKg5mo9GCcCxub5GBm&#10;wuoEkzjlDDxNnxb/aeCXwFN9goq8268Bz4jcGWycwUZZ8MW7l93jdB5ZlvqzA0V3smAH/THvQrYG&#10;lzQrPD2o9Aqe3zP86dmv/wA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A3IUrb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color w:val="808080" w:themeColor="background1" w:themeShade="80"/>
        <w:sz w:val="22"/>
      </w:rPr>
      <w:t>1</w:t>
    </w:r>
    <w:r w:rsidRPr="000440BC">
      <w:rPr>
        <w:color w:val="808080" w:themeColor="background1" w:themeShade="80"/>
        <w:sz w:val="22"/>
      </w:rPr>
      <w:fldChar w:fldCharType="end"/>
    </w:r>
  </w:p>
  <w:p w14:paraId="321DA25C" w14:textId="77777777" w:rsidR="00777EE0" w:rsidRPr="00E2133A" w:rsidRDefault="00777EE0" w:rsidP="00597221">
    <w:pPr>
      <w:pStyle w:val="Header"/>
      <w:tabs>
        <w:tab w:val="clear" w:pos="4513"/>
        <w:tab w:val="clear" w:pos="9026"/>
        <w:tab w:val="left" w:pos="7518"/>
      </w:tabs>
      <w:rPr>
        <w:b/>
      </w:rPr>
    </w:pP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0930" w14:textId="77777777" w:rsidR="00777EE0" w:rsidRPr="000440BC" w:rsidRDefault="00777EE0">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3120" behindDoc="0" locked="0" layoutInCell="1" allowOverlap="1" wp14:anchorId="21CF929A" wp14:editId="3337DAB7">
              <wp:simplePos x="0" y="0"/>
              <wp:positionH relativeFrom="column">
                <wp:posOffset>-310515</wp:posOffset>
              </wp:positionH>
              <wp:positionV relativeFrom="paragraph">
                <wp:posOffset>200555</wp:posOffset>
              </wp:positionV>
              <wp:extent cx="6047117"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40818" id="Straight Connector 4" o:spid="_x0000_s1026" style="position:absolute;flip:x;z-index:251725312;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lZ9QEAADoEAAAOAAAAZHJzL2Uyb0RvYy54bWysU8tu2zAQvBfoPxC815JSJy4Eyzk4SHvo&#10;w2iaD6Ap0iJAcgmSsey/75KUlaQ9peiFEPcxOzNarm9PRpOj8EGB7WizqCkRlkOv7KGjj7/uP3yi&#10;JERme6bBio6eRaC3m/fv1qNrxRUMoHvhCYLY0I6uo0OMrq2qwAdhWFiAExaTErxhEa/+UPWejYhu&#10;dHVV1zfVCL53HrgIAaN3JUk3GV9KweMPKYOIRHcUucV8+nzu01lt1qw9eOYGxSca7B9YGKYsDp2h&#10;7lhk5Mmrv6CM4h4CyLjgYCqQUnGRNaCapv5DzcPAnMha0JzgZpvC/4Pl3487T1Tf0SUllhn8RQ/R&#10;M3UYItmCtWggeLJMPo0utFi+tTs/3YLb+ST6JL0hUiv3BVcg24DCyCm7fJ5dFqdIOAZv6uWqaVaU&#10;8EuuKhAJyvkQPwswJH10VCubDGAtO34NEcdi6aUkhbUlIyJ+vK5zVQCt+nuldcrlHRJb7cmR4d/f&#10;Hwo1/WS+QV9iq+u6zjuAsHN5HvICCXPaYjDpL4rzVzxrUSj8FBIdRGVlwAxUZjDOhY1NcjAjYXVq&#10;k8hybpzYp6V/Jvy6capPrSLv9Vua5448GWycm42y4It3r6fH04WyLPUXB4ruZMEe+nPehWwNLmhW&#10;OD2m9AJe3nP785Pf/AYAAP//AwBQSwMEFAAGAAgAAAAhAIRMbP/gAAAACQEAAA8AAABkcnMvZG93&#10;bnJldi54bWxMj8FOAjEQhu8mvEMzJF4MdJHNBtbtEqJy4SACxnPZjtsN22ndFlh8ems86HFmvvzz&#10;/cWiNy07Y+cbSwIm4wQYUmVVQ7WAt/1qNAPmgyQlW0so4IoeFuXgppC5shfa4nkXahZDyOdSgA7B&#10;5Zz7SqORfmwdUrx92M7IEMeu5qqTlxhuWn6fJBk3sqH4QUuHjxqr4+5kBGSrl/XTu76uM/eVbj6f&#10;X7F37k6I22G/fAAWsA9/MPzoR3Uoo9PBnkh51goYpbN5RAVMJxmwCMyTaQrs8LvgZcH/Nyi/AQAA&#10;//8DAFBLAQItABQABgAIAAAAIQC2gziS/gAAAOEBAAATAAAAAAAAAAAAAAAAAAAAAABbQ29udGVu&#10;dF9UeXBlc10ueG1sUEsBAi0AFAAGAAgAAAAhADj9If/WAAAAlAEAAAsAAAAAAAAAAAAAAAAALwEA&#10;AF9yZWxzLy5yZWxzUEsBAi0AFAAGAAgAAAAhALG+OVn1AQAAOgQAAA4AAAAAAAAAAAAAAAAALgIA&#10;AGRycy9lMm9Eb2MueG1sUEsBAi0AFAAGAAgAAAAhAIRMbP/gAAAACQEAAA8AAAAAAAAAAAAAAAAA&#10;TwQAAGRycy9kb3ducmV2LnhtbFBLBQYAAAAABAAEAPMAAABc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1</w:t>
    </w:r>
    <w:r w:rsidRPr="000440BC">
      <w:rPr>
        <w:color w:val="808080" w:themeColor="background1" w:themeShade="80"/>
        <w:sz w:val="22"/>
      </w:rPr>
      <w:fldChar w:fldCharType="end"/>
    </w:r>
  </w:p>
  <w:p w14:paraId="4B356C4D" w14:textId="77777777" w:rsidR="00777EE0" w:rsidRPr="008D12F0" w:rsidRDefault="00777EE0">
    <w:pPr>
      <w:pStyle w:val="Header"/>
      <w:jc w:val="right"/>
      <w:rPr>
        <w:szCs w:val="24"/>
      </w:rPr>
    </w:pPr>
  </w:p>
  <w:p w14:paraId="5B88952C" w14:textId="77777777" w:rsidR="00777EE0" w:rsidRDefault="0077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31B2" w14:textId="77777777" w:rsidR="00777EE0" w:rsidRPr="000440BC" w:rsidRDefault="00777EE0">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1072" behindDoc="0" locked="0" layoutInCell="1" allowOverlap="1" wp14:anchorId="7516BA8A" wp14:editId="03FF334D">
              <wp:simplePos x="0" y="0"/>
              <wp:positionH relativeFrom="column">
                <wp:posOffset>-310515</wp:posOffset>
              </wp:positionH>
              <wp:positionV relativeFrom="paragraph">
                <wp:posOffset>200555</wp:posOffset>
              </wp:positionV>
              <wp:extent cx="6047117"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58A97" id="Straight Connector 3" o:spid="_x0000_s1026" style="position:absolute;flip:x;z-index:251646464;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S9QEAADoEAAAOAAAAZHJzL2Uyb0RvYy54bWysU8tu2zAQvBfoPxC815LiJi4Eyzk4SHvo&#10;w2iaD6Ap0iJAcgmSsey/75KUlaQ9peiFEPcxOzNarm9PRpOj8EGB7WizqCkRlkOv7KGjj7/uP3yi&#10;JERme6bBio6eRaC3m/fv1qNrxRUMoHvhCYLY0I6uo0OMrq2qwAdhWFiAExaTErxhEa/+UPWejYhu&#10;dHVV1zfVCL53HrgIAaN3JUk3GV9KweMPKYOIRHcUucV8+nzu01lt1qw9eOYGxSca7B9YGKYsDp2h&#10;7lhk5Mmrv6CM4h4CyLjgYCqQUnGRNaCapv5DzcPAnMha0JzgZpvC/4Pl3487T1Tf0SUllhn8RQ/R&#10;M3UYItmCtWggeLJMPo0utFi+tTs/3YLb+ST6JL0hUiv3BVcg24DCyCm7fJ5dFqdIOAZv6o+rpllR&#10;wi+5qkAkKOdD/CzAkPTRUa1sMoC17Pg1RByLpZeSFNaWjIi4vK5zVQCt+nuldcrlHRJb7cmR4d/f&#10;Hwo1/WS+QV9iq+u6zjuAsHN5HvICCXPaYjDpL4rzVzxrUSj8FBIdRGVlwAxUZjDOhY1NcjAjYXVq&#10;k8hybpzYp6V/Jvy6capPrSLv9Vua5448GWycm42y4It3r6fH04WyLPUXB4ruZMEe+nPehWwNLmhW&#10;OD2m9AJe3nP785Pf/AYAAP//AwBQSwMEFAAGAAgAAAAhAIRMbP/gAAAACQEAAA8AAABkcnMvZG93&#10;bnJldi54bWxMj8FOAjEQhu8mvEMzJF4MdJHNBtbtEqJy4SACxnPZjtsN22ndFlh8ems86HFmvvzz&#10;/cWiNy07Y+cbSwIm4wQYUmVVQ7WAt/1qNAPmgyQlW0so4IoeFuXgppC5shfa4nkXahZDyOdSgA7B&#10;5Zz7SqORfmwdUrx92M7IEMeu5qqTlxhuWn6fJBk3sqH4QUuHjxqr4+5kBGSrl/XTu76uM/eVbj6f&#10;X7F37k6I22G/fAAWsA9/MPzoR3Uoo9PBnkh51goYpbN5RAVMJxmwCMyTaQrs8LvgZcH/Nyi/AQAA&#10;//8DAFBLAQItABQABgAIAAAAIQC2gziS/gAAAOEBAAATAAAAAAAAAAAAAAAAAAAAAABbQ29udGVu&#10;dF9UeXBlc10ueG1sUEsBAi0AFAAGAAgAAAAhADj9If/WAAAAlAEAAAsAAAAAAAAAAAAAAAAALwEA&#10;AF9yZWxzLy5yZWxzUEsBAi0AFAAGAAgAAAAhALX5KRL1AQAAOgQAAA4AAAAAAAAAAAAAAAAALgIA&#10;AGRycy9lMm9Eb2MueG1sUEsBAi0AFAAGAAgAAAAhAIRMbP/gAAAACQEAAA8AAAAAAAAAAAAAAAAA&#10;TwQAAGRycy9kb3ducmV2LnhtbFBLBQYAAAAABAAEAPMAAABc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1</w:t>
    </w:r>
    <w:r w:rsidRPr="000440BC">
      <w:rPr>
        <w:color w:val="808080" w:themeColor="background1" w:themeShade="80"/>
        <w:sz w:val="22"/>
      </w:rPr>
      <w:fldChar w:fldCharType="end"/>
    </w:r>
  </w:p>
  <w:p w14:paraId="45AC3E00" w14:textId="77777777" w:rsidR="00777EE0" w:rsidRPr="008D12F0" w:rsidRDefault="00777EE0">
    <w:pPr>
      <w:pStyle w:val="Header"/>
      <w:jc w:val="right"/>
      <w:rPr>
        <w:szCs w:val="24"/>
      </w:rPr>
    </w:pPr>
  </w:p>
  <w:p w14:paraId="7BD352A7" w14:textId="77777777" w:rsidR="00777EE0" w:rsidRDefault="0077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4E9C" w14:textId="77777777" w:rsidR="00777EE0" w:rsidRPr="000440BC" w:rsidRDefault="00777EE0" w:rsidP="00A64E15">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2096" behindDoc="0" locked="0" layoutInCell="1" allowOverlap="1" wp14:anchorId="2D839787" wp14:editId="2C58E060">
              <wp:simplePos x="0" y="0"/>
              <wp:positionH relativeFrom="column">
                <wp:posOffset>-310515</wp:posOffset>
              </wp:positionH>
              <wp:positionV relativeFrom="paragraph">
                <wp:posOffset>200555</wp:posOffset>
              </wp:positionV>
              <wp:extent cx="6047117" cy="0"/>
              <wp:effectExtent l="0" t="0" r="0" b="0"/>
              <wp:wrapNone/>
              <wp:docPr id="267" name="Straight Connector 267"/>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8003E" id="Straight Connector 267"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Ox9wEAAD4EAAAOAAAAZHJzL2Uyb0RvYy54bWysU02P2yAQvVfqf0DcG9tpN6msOHvIattD&#10;P6Ld9gcQDDESMAjYOPn3HcDx7ranVr0gMzPvzbznYXN7NpqchA8KbEebRU2JsBx6ZY8d/fnj/t1H&#10;SkJktmcarOjoRQR6u337ZjO6VixhAN0LT5DEhnZ0HR1idG1VBT4Iw8ICnLCYlOANi3j1x6r3bER2&#10;o6tlXa+qEXzvPHARAkbvSpJuM7+UgsfvUgYRie4ozhbz6fN5SGe13bD26JkbFJ/GYP8whWHKYtOZ&#10;6o5FRp68+oPKKO4hgIwLDqYCKRUXWQOqaerf1DwOzImsBc0JbrYp/D9a/u2090T1HV2u1pRYZvAn&#10;PUbP1HGIZAfWooXgScqiV6MLLUJ2du+nW3B7n4SfpTdEauU+4xpkK1AcOWenL7PT4hwJx+Cq/rBu&#10;GmzIr7mqUCQq50P8JMCQ9NFRrWwygbXs9CVEbIul15IU1paMyPj+ps5VAbTq75XWKZf3SOy0JyeG&#10;G3A4ltH0k/kKfYmtb+o67wHSzuW5yQsmzGmLwaS/KM5f8aJFGeFBSHQRlZUGM1HpwTgXNjbJwcyE&#10;1QkmccoZOE2fFv954NfAqT5BRd7tvwHPiNwZbJzBRlnwxbvX3eP5OrIs9VcHiu5kwQH6S96FbA0u&#10;aVY4Paj0Cl7eM/z52W9/AQAA//8DAFBLAwQUAAYACAAAACEAhExs/+AAAAAJAQAADwAAAGRycy9k&#10;b3ducmV2LnhtbEyPwU4CMRCG7ya8QzMkXgx0kc0G1u0SonLhIALGc9mO2w3bad0WWHx6azzocWa+&#10;/PP9xaI3LTtj5xtLAibjBBhSZVVDtYC3/Wo0A+aDJCVbSyjgih4W5eCmkLmyF9rieRdqFkPI51KA&#10;DsHlnPtKo5F+bB1SvH3YzsgQx67mqpOXGG5afp8kGTeyofhBS4ePGqvj7mQEZKuX9dO7vq4z95Vu&#10;Pp9fsXfuTojbYb98ABawD38w/OhHdSij08GeSHnWChils3lEBUwnGbAIzJNpCuzwu+Blwf83KL8B&#10;AAD//wMAUEsBAi0AFAAGAAgAAAAhALaDOJL+AAAA4QEAABMAAAAAAAAAAAAAAAAAAAAAAFtDb250&#10;ZW50X1R5cGVzXS54bWxQSwECLQAUAAYACAAAACEAOP0h/9YAAACUAQAACwAAAAAAAAAAAAAAAAAv&#10;AQAAX3JlbHMvLnJlbHNQSwECLQAUAAYACAAAACEAHWVDsfcBAAA+BAAADgAAAAAAAAAAAAAAAAAu&#10;AgAAZHJzL2Uyb0RvYy54bWxQSwECLQAUAAYACAAAACEAhExs/+AAAAAJAQAADwAAAAAAAAAAAAAA&#10;AABRBAAAZHJzL2Rvd25yZXYueG1sUEsFBgAAAAAEAAQA8wAAAF4FA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67</w:t>
    </w:r>
    <w:r w:rsidRPr="000440BC">
      <w:rPr>
        <w:color w:val="808080" w:themeColor="background1" w:themeShade="80"/>
        <w:sz w:val="22"/>
      </w:rPr>
      <w:fldChar w:fldCharType="end"/>
    </w:r>
  </w:p>
  <w:p w14:paraId="01E89C21" w14:textId="77777777" w:rsidR="00777EE0" w:rsidRPr="00E2133A" w:rsidRDefault="00777EE0" w:rsidP="00A64E15">
    <w:pPr>
      <w:pStyle w:val="Header"/>
      <w:tabs>
        <w:tab w:val="clear" w:pos="4513"/>
        <w:tab w:val="clear" w:pos="9026"/>
        <w:tab w:val="left" w:pos="2751"/>
      </w:tabs>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47D8B" w14:textId="77777777" w:rsidR="00777EE0" w:rsidRPr="000440BC" w:rsidRDefault="00777EE0">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0048" behindDoc="0" locked="0" layoutInCell="1" allowOverlap="1" wp14:anchorId="0CEE5230" wp14:editId="2DD3BF2D">
              <wp:simplePos x="0" y="0"/>
              <wp:positionH relativeFrom="column">
                <wp:posOffset>-310515</wp:posOffset>
              </wp:positionH>
              <wp:positionV relativeFrom="paragraph">
                <wp:posOffset>200555</wp:posOffset>
              </wp:positionV>
              <wp:extent cx="6047117"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0C701" id="Straight Connector 2" o:spid="_x0000_s1026" style="position:absolute;flip:x;z-index:251589120;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kK9QEAADoEAAAOAAAAZHJzL2Uyb0RvYy54bWysU8tu2zAQvBfoPxC815LcJi4Eyzk4SHvo&#10;w0iaD6Ap0iJAcgmSsey/75KUlaQ9NeiFEPcxOzNarm9ORpOj8EGB7WizqCkRlkOv7KGjj7/uPnym&#10;JERme6bBio6eRaA3m/fv1qNrxRIG0L3wBEFsaEfX0SFG11ZV4IMwLCzACYtJCd6wiFd/qHrPRkQ3&#10;ulrW9XU1gu+dBy5CwOhtSdJNxpdS8PhTyiAi0R1FbjGfPp/7dFabNWsPnrlB8YkGewMLw5TFoTPU&#10;LYuMPHn1F5RR3EMAGRccTAVSKi6yBlTT1H+oeRiYE1kLmhPcbFP4f7D8x3Hnieo7uqTEMoO/6CF6&#10;pg5DJFuwFg0ET5bJp9GFFsu3duenW3A7n0SfpDdEauW+4gpkG1AYOWWXz7PL4hQJx+B1/WnVNCtK&#10;+CVXFYgE5XyIXwQYkj46qpVNBrCWHb+FiGOx9FKSwtqSERE/XtW5KoBW/Z3SOuXyDomt9uTI8O/v&#10;D4WafjLfoS+x1VVd5x1A2Lk8D3mBhDltMZj0F8X5K561KBTuhUQHUVkZMAOVGYxzYWOTHMxIWJ3a&#10;JLKcGyf2aemfCb9unOpTq8h7/S/Nc0eeDDbOzUZZ8MW719Pj6UJZlvqLA0V3smAP/TnvQrYGFzQr&#10;nB5TegEv77n9+clvfgMAAP//AwBQSwMEFAAGAAgAAAAhAIRMbP/gAAAACQEAAA8AAABkcnMvZG93&#10;bnJldi54bWxMj8FOAjEQhu8mvEMzJF4MdJHNBtbtEqJy4SACxnPZjtsN22ndFlh8ems86HFmvvzz&#10;/cWiNy07Y+cbSwIm4wQYUmVVQ7WAt/1qNAPmgyQlW0so4IoeFuXgppC5shfa4nkXahZDyOdSgA7B&#10;5Zz7SqORfmwdUrx92M7IEMeu5qqTlxhuWn6fJBk3sqH4QUuHjxqr4+5kBGSrl/XTu76uM/eVbj6f&#10;X7F37k6I22G/fAAWsA9/MPzoR3Uoo9PBnkh51goYpbN5RAVMJxmwCMyTaQrs8LvgZcH/Nyi/AQAA&#10;//8DAFBLAQItABQABgAIAAAAIQC2gziS/gAAAOEBAAATAAAAAAAAAAAAAAAAAAAAAABbQ29udGVu&#10;dF9UeXBlc10ueG1sUEsBAi0AFAAGAAgAAAAhADj9If/WAAAAlAEAAAsAAAAAAAAAAAAAAAAALwEA&#10;AF9yZWxzLy5yZWxzUEsBAi0AFAAGAAgAAAAhANnjmQr1AQAAOgQAAA4AAAAAAAAAAAAAAAAALgIA&#10;AGRycy9lMm9Eb2MueG1sUEsBAi0AFAAGAAgAAAAhAIRMbP/gAAAACQEAAA8AAAAAAAAAAAAAAAAA&#10;TwQAAGRycy9kb3ducmV2LnhtbFBLBQYAAAAABAAEAPMAAABc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71</w:t>
    </w:r>
    <w:r w:rsidRPr="000440BC">
      <w:rPr>
        <w:color w:val="808080" w:themeColor="background1" w:themeShade="80"/>
        <w:sz w:val="22"/>
      </w:rPr>
      <w:fldChar w:fldCharType="end"/>
    </w:r>
  </w:p>
  <w:p w14:paraId="09711FF5" w14:textId="77777777" w:rsidR="00777EE0" w:rsidRPr="008D12F0" w:rsidRDefault="00777EE0">
    <w:pPr>
      <w:pStyle w:val="Header"/>
      <w:jc w:val="right"/>
      <w:rPr>
        <w:szCs w:val="24"/>
      </w:rPr>
    </w:pPr>
  </w:p>
  <w:p w14:paraId="53E3A10A" w14:textId="77777777" w:rsidR="00777EE0" w:rsidRDefault="00777E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E79A" w14:textId="77777777" w:rsidR="00777EE0" w:rsidRDefault="00777EE0" w:rsidP="00A710F4">
    <w:pPr>
      <w:pStyle w:val="Header"/>
      <w:jc w:val="center"/>
      <w:rPr>
        <w:b/>
      </w:rPr>
    </w:pPr>
    <w:r w:rsidRPr="00794DB3">
      <w:rPr>
        <w:b/>
      </w:rPr>
      <w:t>Beliefs Questionnaire</w:t>
    </w:r>
  </w:p>
  <w:p w14:paraId="760CB557" w14:textId="77777777" w:rsidR="00777EE0" w:rsidRPr="00794DB3" w:rsidRDefault="00777EE0" w:rsidP="00A710F4">
    <w:pPr>
      <w:pStyle w:val="Header"/>
      <w:rPr>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63D80" w14:textId="626217AF" w:rsidR="00777EE0" w:rsidRPr="00516D5E" w:rsidRDefault="00777EE0" w:rsidP="00516D5E">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6192" behindDoc="0" locked="0" layoutInCell="1" allowOverlap="1" wp14:anchorId="1FF9B76E" wp14:editId="49FEBAFF">
              <wp:simplePos x="0" y="0"/>
              <wp:positionH relativeFrom="column">
                <wp:posOffset>-310515</wp:posOffset>
              </wp:positionH>
              <wp:positionV relativeFrom="paragraph">
                <wp:posOffset>200555</wp:posOffset>
              </wp:positionV>
              <wp:extent cx="6047117" cy="0"/>
              <wp:effectExtent l="0" t="0" r="0" b="0"/>
              <wp:wrapNone/>
              <wp:docPr id="301" name="Straight Connector 301"/>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A8A75" id="Straight Connector 301" o:spid="_x0000_s1026" style="position:absolute;flip:x;z-index:251730432;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sW9wEAAD4EAAAOAAAAZHJzL2Uyb0RvYy54bWysU01v3CAQvVfqf0Dcu7aTJltZ681ho7SH&#10;fqya9gewGGwkYBCQtfffd4BdJ2lPrXpBZmbem3nPw+ZuNpochQ8KbEebVU2JsBx6ZYeO/vzx8O4D&#10;JSEy2zMNVnT0JAK92759s5lcK65gBN0LT5DEhnZyHR1jdG1VBT4Kw8IKnLCYlOANi3j1Q9V7NiG7&#10;0dVVXd9WE/jeeeAiBIzelyTdZn4pBY/fpAwiEt1RnC3m0+fzkM5qu2Ht4JkbFT+Pwf5hCsOUxaYL&#10;1T2LjDx59QeVUdxDABlXHEwFUiousgZU09S/qXkcmRNZC5oT3GJT+H+0/Otx74nqO3pdN5RYZvAn&#10;PUbP1DBGsgNr0ULwJGXRq8mFFiE7u/fnW3B7n4TP0hsitXKfcA2yFSiOzNnp0+K0mCPhGLyt36+b&#10;Zk0Jv+SqQpGonA/xowBD0kdHtbLJBNay4+cQsS2WXkpSWFsyIeP1TZ2rAmjVPyitUy7vkdhpT44M&#10;N+AwlNH0k/kCfYmtb+o67wHSLuW5yQsmzGmLwaS/KM5f8aRFGeG7kOgiKisNFqLSg3EubMwOZias&#10;TjCJUy7A8/Rp8Z8Hfg081yeoyLv9N+AFkTuDjQvYKAu+ePe6e5wvI8tSf3Gg6E4WHKA/5V3I1uCS&#10;ZufODyq9gpf3DH9+9ttfAAAA//8DAFBLAwQUAAYACAAAACEAhExs/+AAAAAJAQAADwAAAGRycy9k&#10;b3ducmV2LnhtbEyPwU4CMRCG7ya8QzMkXgx0kc0G1u0SonLhIALGc9mO2w3bad0WWHx6azzocWa+&#10;/PP9xaI3LTtj5xtLAibjBBhSZVVDtYC3/Wo0A+aDJCVbSyjgih4W5eCmkLmyF9rieRdqFkPI51KA&#10;DsHlnPtKo5F+bB1SvH3YzsgQx67mqpOXGG5afp8kGTeyofhBS4ePGqvj7mQEZKuX9dO7vq4z95Vu&#10;Pp9fsXfuTojbYb98ABawD38w/OhHdSij08GeSHnWChils3lEBUwnGbAIzJNpCuzwu+Blwf83KL8B&#10;AAD//wMAUEsBAi0AFAAGAAgAAAAhALaDOJL+AAAA4QEAABMAAAAAAAAAAAAAAAAAAAAAAFtDb250&#10;ZW50X1R5cGVzXS54bWxQSwECLQAUAAYACAAAACEAOP0h/9YAAACUAQAACwAAAAAAAAAAAAAAAAAv&#10;AQAAX3JlbHMvLnJlbHNQSwECLQAUAAYACAAAACEA6N3LFvcBAAA+BAAADgAAAAAAAAAAAAAAAAAu&#10;AgAAZHJzL2Uyb0RvYy54bWxQSwECLQAUAAYACAAAACEAhExs/+AAAAAJAQAADwAAAAAAAAAAAAAA&#10;AABRBAAAZHJzL2Rvd25yZXYueG1sUEsFBgAAAAAEAAQA8wAAAF4FA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8</w:t>
    </w:r>
    <w:r w:rsidRPr="000440BC">
      <w:rPr>
        <w:color w:val="808080" w:themeColor="background1" w:themeShade="80"/>
        <w:sz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8E4D" w14:textId="77777777" w:rsidR="00777EE0" w:rsidRPr="000440BC" w:rsidRDefault="00777EE0" w:rsidP="00443002">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5168" behindDoc="0" locked="0" layoutInCell="1" allowOverlap="1" wp14:anchorId="4C589FC7" wp14:editId="7EF678A5">
              <wp:simplePos x="0" y="0"/>
              <wp:positionH relativeFrom="column">
                <wp:posOffset>-310515</wp:posOffset>
              </wp:positionH>
              <wp:positionV relativeFrom="paragraph">
                <wp:posOffset>200555</wp:posOffset>
              </wp:positionV>
              <wp:extent cx="6047117" cy="0"/>
              <wp:effectExtent l="0" t="0" r="0" b="0"/>
              <wp:wrapNone/>
              <wp:docPr id="302" name="Straight Connector 302"/>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46E25" id="Straight Connector 302" o:spid="_x0000_s1026" style="position:absolute;flip:x;z-index:251729408;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D2+AEAAD4EAAAOAAAAZHJzL2Uyb0RvYy54bWysU8tu2zAQvBfoPxC815KcJi4Eyzk4SHvo&#10;w2iaD6Ap0iJAcgmSsey/75KUlaQ9peiFEHd3ZndGy/XtyWhyFD4osB1tFjUlwnLolT109PHX/YdP&#10;lITIbM80WNHRswj0dvP+3Xp0rVjCALoXniCJDe3oOjrE6NqqCnwQhoUFOGExKcEbFvHqD1Xv2Yjs&#10;RlfLur6pRvC988BFCBi9K0m6yfxSCh5/SBlEJLqjOFvMp8/nPp3VZs3ag2duUHwag/3DFIYpi01n&#10;qjsWGXny6i8qo7iHADIuOJgKpFRcZA2opqn/UPMwMCeyFjQnuNmm8P9o+ffjzhPVd/SqXlJimcGf&#10;9BA9U4chki1YixaCJymLXo0utAjZ2p2fbsHtfBJ+kt4QqZX7gmuQrUBx5JSdPs9Oi1MkHIM39cdV&#10;06wo4ZdcVSgSlfMhfhZgSProqFY2mcBadvwaIrbF0ktJCmtLRmS8uq5zVQCt+nuldcrlPRJb7cmR&#10;4QbsD2U0/WS+QV9iq+u6znuAtHN5bvKCCXPaYjDpL4rzVzxrUUb4KSS6iMpKg5mo9GCcCxub5GBm&#10;wuoEkzjlDJymT4v/PPBr4FSfoCLv9lvAMyJ3BhtnsFEWfPHudfd4uowsS/3FgaI7WbCH/px3IVuD&#10;S5oVTg8qvYKX9wx/fvab3wA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Dx6APb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13</w:t>
    </w:r>
    <w:r w:rsidRPr="000440BC">
      <w:rPr>
        <w:color w:val="808080" w:themeColor="background1" w:themeShade="80"/>
        <w:sz w:val="22"/>
      </w:rPr>
      <w:fldChar w:fldCharType="end"/>
    </w:r>
  </w:p>
  <w:p w14:paraId="41860055" w14:textId="77777777" w:rsidR="00777EE0" w:rsidRPr="00E2133A" w:rsidRDefault="00777EE0" w:rsidP="00443002">
    <w:pPr>
      <w:pStyle w:val="Header"/>
      <w:tabs>
        <w:tab w:val="clear" w:pos="4513"/>
        <w:tab w:val="clear" w:pos="9026"/>
        <w:tab w:val="left" w:pos="2751"/>
      </w:tabs>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3DAD" w14:textId="77777777" w:rsidR="00777EE0" w:rsidRPr="000440BC" w:rsidRDefault="00777EE0" w:rsidP="00443002">
    <w:pPr>
      <w:pStyle w:val="Header"/>
      <w:jc w:val="right"/>
      <w:rPr>
        <w:color w:val="808080" w:themeColor="background1" w:themeShade="80"/>
        <w:sz w:val="22"/>
      </w:rPr>
    </w:pPr>
    <w:r w:rsidRPr="000440BC">
      <w:rPr>
        <w:noProof/>
        <w:color w:val="808080" w:themeColor="background1" w:themeShade="80"/>
        <w:spacing w:val="20"/>
        <w:sz w:val="22"/>
        <w:lang w:val="en-US" w:eastAsia="en-US"/>
      </w:rPr>
      <mc:AlternateContent>
        <mc:Choice Requires="wps">
          <w:drawing>
            <wp:anchor distT="0" distB="0" distL="114300" distR="114300" simplePos="0" relativeHeight="251657216" behindDoc="0" locked="0" layoutInCell="1" allowOverlap="1" wp14:anchorId="507F4C99" wp14:editId="3EAA70C2">
              <wp:simplePos x="0" y="0"/>
              <wp:positionH relativeFrom="column">
                <wp:posOffset>-310515</wp:posOffset>
              </wp:positionH>
              <wp:positionV relativeFrom="paragraph">
                <wp:posOffset>200555</wp:posOffset>
              </wp:positionV>
              <wp:extent cx="6047117" cy="0"/>
              <wp:effectExtent l="0" t="0" r="0" b="0"/>
              <wp:wrapNone/>
              <wp:docPr id="303" name="Straight Connector 303"/>
              <wp:cNvGraphicFramePr/>
              <a:graphic xmlns:a="http://schemas.openxmlformats.org/drawingml/2006/main">
                <a:graphicData uri="http://schemas.microsoft.com/office/word/2010/wordprocessingShape">
                  <wps:wsp>
                    <wps:cNvCnPr/>
                    <wps:spPr>
                      <a:xfrm flipH="1">
                        <a:off x="0" y="0"/>
                        <a:ext cx="6047117"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6758F" id="Straight Connector 303" o:spid="_x0000_s1026" style="position:absolute;flip:x;z-index:251731456;visibility:visible;mso-wrap-style:square;mso-wrap-distance-left:9pt;mso-wrap-distance-top:0;mso-wrap-distance-right:9pt;mso-wrap-distance-bottom:0;mso-position-horizontal:absolute;mso-position-horizontal-relative:text;mso-position-vertical:absolute;mso-position-vertical-relative:text" from="-24.45pt,15.8pt" to="45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kf+AEAAD4EAAAOAAAAZHJzL2Uyb0RvYy54bWysU8tu2zAQvBfoPxC815LiJi4Eyzk4SHvo&#10;w2iaD6Ap0iJAcgmSsey/75KUlaQ9peiFEHd3ZndGy/XtyWhyFD4osB1tFjUlwnLolT109PHX/YdP&#10;lITIbM80WNHRswj0dvP+3Xp0rbiCAXQvPEESG9rRdXSI0bVVFfggDAsLcMJiUoI3LOLVH6resxHZ&#10;ja6u6vqmGsH3zgMXIWD0riTpJvNLKXj8IWUQkeiO4mwxnz6f+3RWmzVrD565QfFpDPYPUximLDad&#10;qe5YZOTJq7+ojOIeAsi44GAqkFJxkTWgmqb+Q83DwJzIWtCc4Gabwv+j5d+PO09U39FlvaTEMoM/&#10;6SF6pg5DJFuwFi0ET1IWvRpdaBGytTs/3YLb+ST8JL0hUiv3BdcgW4HiyCk7fZ6dFqdIOAZv6o+r&#10;pllRwi+5qlAkKudD/CzAkPTRUa1sMoG17Pg1RGyLpZeSFNaWjMi4vK5zVQCt+nuldcrlPRJb7cmR&#10;4QbsD2U0/WS+QV9iq+u6znuAtHN5bvKCCXPaYjDpL4rzVzxrUUb4KSS6iMpKg5mo9GCcCxub5GBm&#10;wuoEkzjlDJymT4v/PPBr4FSfoCLv9lvAMyJ3BhtnsFEWfPHudfd4uowsS/3FgaI7WbCH/px3IVuD&#10;S5oVTg8qvYKX9wx/fvab3wAAAP//AwBQSwMEFAAGAAgAAAAhAIRMbP/gAAAACQEAAA8AAABkcnMv&#10;ZG93bnJldi54bWxMj8FOAjEQhu8mvEMzJF4MdJHNBtbtEqJy4SACxnPZjtsN22ndFlh8ems86HFm&#10;vvzz/cWiNy07Y+cbSwIm4wQYUmVVQ7WAt/1qNAPmgyQlW0so4IoeFuXgppC5shfa4nkXahZDyOdS&#10;gA7B5Zz7SqORfmwdUrx92M7IEMeu5qqTlxhuWn6fJBk3sqH4QUuHjxqr4+5kBGSrl/XTu76uM/eV&#10;bj6fX7F37k6I22G/fAAWsA9/MPzoR3Uoo9PBnkh51goYpbN5RAVMJxmwCMyTaQrs8LvgZcH/Nyi/&#10;AQAA//8DAFBLAQItABQABgAIAAAAIQC2gziS/gAAAOEBAAATAAAAAAAAAAAAAAAAAAAAAABbQ29u&#10;dGVudF9UeXBlc10ueG1sUEsBAi0AFAAGAAgAAAAhADj9If/WAAAAlAEAAAsAAAAAAAAAAAAAAAAA&#10;LwEAAF9yZWxzLy5yZWxzUEsBAi0AFAAGAAgAAAAhAE/laR/4AQAAPgQAAA4AAAAAAAAAAAAAAAAA&#10;LgIAAGRycy9lMm9Eb2MueG1sUEsBAi0AFAAGAAgAAAAhAIRMbP/gAAAACQEAAA8AAAAAAAAAAAAA&#10;AAAAUgQAAGRycy9kb3ducmV2LnhtbFBLBQYAAAAABAAEAPMAAABfBQAAAAA=&#10;" strokecolor="#bfbfbf [2412]" strokeweight=".5pt"/>
          </w:pict>
        </mc:Fallback>
      </mc:AlternateContent>
    </w:r>
    <w:r w:rsidRPr="000440BC">
      <w:rPr>
        <w:color w:val="808080" w:themeColor="background1" w:themeShade="80"/>
        <w:spacing w:val="20"/>
        <w:sz w:val="22"/>
      </w:rPr>
      <w:t>Page</w:t>
    </w:r>
    <w:r w:rsidRPr="000440BC">
      <w:rPr>
        <w:color w:val="808080" w:themeColor="background1" w:themeShade="80"/>
        <w:sz w:val="22"/>
      </w:rPr>
      <w:t xml:space="preserve"> | </w:t>
    </w:r>
    <w:r w:rsidRPr="000440BC">
      <w:rPr>
        <w:color w:val="808080" w:themeColor="background1" w:themeShade="80"/>
        <w:sz w:val="22"/>
      </w:rPr>
      <w:fldChar w:fldCharType="begin"/>
    </w:r>
    <w:r w:rsidRPr="000440BC">
      <w:rPr>
        <w:color w:val="808080" w:themeColor="background1" w:themeShade="80"/>
        <w:sz w:val="22"/>
      </w:rPr>
      <w:instrText xml:space="preserve"> PAGE   \* MERGEFORMAT </w:instrText>
    </w:r>
    <w:r w:rsidRPr="000440BC">
      <w:rPr>
        <w:color w:val="808080" w:themeColor="background1" w:themeShade="80"/>
        <w:sz w:val="22"/>
      </w:rPr>
      <w:fldChar w:fldCharType="separate"/>
    </w:r>
    <w:r>
      <w:rPr>
        <w:noProof/>
        <w:color w:val="808080" w:themeColor="background1" w:themeShade="80"/>
        <w:sz w:val="22"/>
      </w:rPr>
      <w:t>31</w:t>
    </w:r>
    <w:r w:rsidRPr="000440BC">
      <w:rPr>
        <w:color w:val="808080" w:themeColor="background1" w:themeShade="80"/>
        <w:sz w:val="22"/>
      </w:rPr>
      <w:fldChar w:fldCharType="end"/>
    </w:r>
  </w:p>
  <w:p w14:paraId="0E54DE4F" w14:textId="77777777" w:rsidR="00777EE0" w:rsidRPr="00E2133A" w:rsidRDefault="00777EE0" w:rsidP="00443002">
    <w:pPr>
      <w:pStyle w:val="Header"/>
      <w:tabs>
        <w:tab w:val="clear" w:pos="4513"/>
        <w:tab w:val="clear" w:pos="9026"/>
        <w:tab w:val="left" w:pos="2751"/>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5EE6"/>
    <w:multiLevelType w:val="hybridMultilevel"/>
    <w:tmpl w:val="F69A3412"/>
    <w:lvl w:ilvl="0" w:tplc="0910F34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61F04"/>
    <w:multiLevelType w:val="hybridMultilevel"/>
    <w:tmpl w:val="467EE708"/>
    <w:lvl w:ilvl="0" w:tplc="08090001">
      <w:start w:val="1"/>
      <w:numFmt w:val="bullet"/>
      <w:lvlText w:val=""/>
      <w:lvlJc w:val="left"/>
      <w:pPr>
        <w:ind w:left="2564" w:hanging="360"/>
      </w:pPr>
      <w:rPr>
        <w:rFonts w:ascii="Symbol" w:hAnsi="Symbol" w:hint="default"/>
      </w:rPr>
    </w:lvl>
    <w:lvl w:ilvl="1" w:tplc="08090003" w:tentative="1">
      <w:start w:val="1"/>
      <w:numFmt w:val="bullet"/>
      <w:lvlText w:val="o"/>
      <w:lvlJc w:val="left"/>
      <w:pPr>
        <w:ind w:left="3284" w:hanging="360"/>
      </w:pPr>
      <w:rPr>
        <w:rFonts w:ascii="Courier New" w:hAnsi="Courier New" w:cs="Courier New" w:hint="default"/>
      </w:rPr>
    </w:lvl>
    <w:lvl w:ilvl="2" w:tplc="08090005" w:tentative="1">
      <w:start w:val="1"/>
      <w:numFmt w:val="bullet"/>
      <w:lvlText w:val=""/>
      <w:lvlJc w:val="left"/>
      <w:pPr>
        <w:ind w:left="4004" w:hanging="360"/>
      </w:pPr>
      <w:rPr>
        <w:rFonts w:ascii="Wingdings" w:hAnsi="Wingdings" w:hint="default"/>
      </w:rPr>
    </w:lvl>
    <w:lvl w:ilvl="3" w:tplc="08090001" w:tentative="1">
      <w:start w:val="1"/>
      <w:numFmt w:val="bullet"/>
      <w:lvlText w:val=""/>
      <w:lvlJc w:val="left"/>
      <w:pPr>
        <w:ind w:left="4724" w:hanging="360"/>
      </w:pPr>
      <w:rPr>
        <w:rFonts w:ascii="Symbol" w:hAnsi="Symbol" w:hint="default"/>
      </w:rPr>
    </w:lvl>
    <w:lvl w:ilvl="4" w:tplc="08090003" w:tentative="1">
      <w:start w:val="1"/>
      <w:numFmt w:val="bullet"/>
      <w:lvlText w:val="o"/>
      <w:lvlJc w:val="left"/>
      <w:pPr>
        <w:ind w:left="5444" w:hanging="360"/>
      </w:pPr>
      <w:rPr>
        <w:rFonts w:ascii="Courier New" w:hAnsi="Courier New" w:cs="Courier New" w:hint="default"/>
      </w:rPr>
    </w:lvl>
    <w:lvl w:ilvl="5" w:tplc="08090005" w:tentative="1">
      <w:start w:val="1"/>
      <w:numFmt w:val="bullet"/>
      <w:lvlText w:val=""/>
      <w:lvlJc w:val="left"/>
      <w:pPr>
        <w:ind w:left="6164" w:hanging="360"/>
      </w:pPr>
      <w:rPr>
        <w:rFonts w:ascii="Wingdings" w:hAnsi="Wingdings" w:hint="default"/>
      </w:rPr>
    </w:lvl>
    <w:lvl w:ilvl="6" w:tplc="08090001" w:tentative="1">
      <w:start w:val="1"/>
      <w:numFmt w:val="bullet"/>
      <w:lvlText w:val=""/>
      <w:lvlJc w:val="left"/>
      <w:pPr>
        <w:ind w:left="6884" w:hanging="360"/>
      </w:pPr>
      <w:rPr>
        <w:rFonts w:ascii="Symbol" w:hAnsi="Symbol" w:hint="default"/>
      </w:rPr>
    </w:lvl>
    <w:lvl w:ilvl="7" w:tplc="08090003" w:tentative="1">
      <w:start w:val="1"/>
      <w:numFmt w:val="bullet"/>
      <w:lvlText w:val="o"/>
      <w:lvlJc w:val="left"/>
      <w:pPr>
        <w:ind w:left="7604" w:hanging="360"/>
      </w:pPr>
      <w:rPr>
        <w:rFonts w:ascii="Courier New" w:hAnsi="Courier New" w:cs="Courier New" w:hint="default"/>
      </w:rPr>
    </w:lvl>
    <w:lvl w:ilvl="8" w:tplc="08090005" w:tentative="1">
      <w:start w:val="1"/>
      <w:numFmt w:val="bullet"/>
      <w:lvlText w:val=""/>
      <w:lvlJc w:val="left"/>
      <w:pPr>
        <w:ind w:left="8324" w:hanging="360"/>
      </w:pPr>
      <w:rPr>
        <w:rFonts w:ascii="Wingdings" w:hAnsi="Wingdings" w:hint="default"/>
      </w:rPr>
    </w:lvl>
  </w:abstractNum>
  <w:abstractNum w:abstractNumId="2" w15:restartNumberingAfterBreak="0">
    <w:nsid w:val="0AB85CF8"/>
    <w:multiLevelType w:val="hybridMultilevel"/>
    <w:tmpl w:val="049A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86A20"/>
    <w:multiLevelType w:val="hybridMultilevel"/>
    <w:tmpl w:val="EF762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B11B9"/>
    <w:multiLevelType w:val="hybridMultilevel"/>
    <w:tmpl w:val="4B1E2FEC"/>
    <w:lvl w:ilvl="0" w:tplc="450643D2">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200E8"/>
    <w:multiLevelType w:val="hybridMultilevel"/>
    <w:tmpl w:val="A5B8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C3372"/>
    <w:multiLevelType w:val="hybridMultilevel"/>
    <w:tmpl w:val="D472C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C757D9"/>
    <w:multiLevelType w:val="hybridMultilevel"/>
    <w:tmpl w:val="CB44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D3489"/>
    <w:multiLevelType w:val="hybridMultilevel"/>
    <w:tmpl w:val="D2C6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81DDF"/>
    <w:multiLevelType w:val="hybridMultilevel"/>
    <w:tmpl w:val="4BF0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145DB"/>
    <w:multiLevelType w:val="hybridMultilevel"/>
    <w:tmpl w:val="3F1801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10444E"/>
    <w:multiLevelType w:val="hybridMultilevel"/>
    <w:tmpl w:val="343A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83D45"/>
    <w:multiLevelType w:val="multilevel"/>
    <w:tmpl w:val="DBF8529A"/>
    <w:lvl w:ilvl="0">
      <w:start w:val="6"/>
      <w:numFmt w:val="decimal"/>
      <w:lvlText w:val="Chapter %1"/>
      <w:lvlJc w:val="left"/>
      <w:pPr>
        <w:ind w:left="432" w:hanging="432"/>
      </w:pPr>
      <w:rPr>
        <w:rFonts w:ascii="Times New Roman" w:hAnsi="Times New Roman" w:hint="default"/>
        <w:b/>
        <w:i w:val="0"/>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5DF18CD"/>
    <w:multiLevelType w:val="hybridMultilevel"/>
    <w:tmpl w:val="DE9EF682"/>
    <w:lvl w:ilvl="0" w:tplc="0910F34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402EDD"/>
    <w:multiLevelType w:val="hybridMultilevel"/>
    <w:tmpl w:val="ACE6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F614E"/>
    <w:multiLevelType w:val="hybridMultilevel"/>
    <w:tmpl w:val="CF44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D0012"/>
    <w:multiLevelType w:val="hybridMultilevel"/>
    <w:tmpl w:val="E2986BB2"/>
    <w:lvl w:ilvl="0" w:tplc="0809000F">
      <w:start w:val="1"/>
      <w:numFmt w:val="decimal"/>
      <w:lvlText w:val="%1."/>
      <w:lvlJc w:val="left"/>
      <w:pPr>
        <w:ind w:left="720" w:hanging="360"/>
      </w:pPr>
      <w:rPr>
        <w:rFonts w:hint="default"/>
      </w:rPr>
    </w:lvl>
    <w:lvl w:ilvl="1" w:tplc="24D6A94E">
      <w:start w:val="50"/>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F54EDA"/>
    <w:multiLevelType w:val="hybridMultilevel"/>
    <w:tmpl w:val="D660CC82"/>
    <w:lvl w:ilvl="0" w:tplc="CF3812B8">
      <w:start w:val="1"/>
      <w:numFmt w:val="bullet"/>
      <w:lvlText w:val=""/>
      <w:lvlJc w:val="left"/>
      <w:pPr>
        <w:ind w:left="720" w:hanging="360"/>
      </w:pPr>
      <w:rPr>
        <w:rFonts w:ascii="Symbol" w:hAnsi="Symbol" w:hint="default"/>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C6193"/>
    <w:multiLevelType w:val="hybridMultilevel"/>
    <w:tmpl w:val="08365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F227B"/>
    <w:multiLevelType w:val="hybridMultilevel"/>
    <w:tmpl w:val="0EDA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A14E8"/>
    <w:multiLevelType w:val="hybridMultilevel"/>
    <w:tmpl w:val="8416AB02"/>
    <w:lvl w:ilvl="0" w:tplc="0DF4B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0B2720"/>
    <w:multiLevelType w:val="hybridMultilevel"/>
    <w:tmpl w:val="849E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53C36"/>
    <w:multiLevelType w:val="hybridMultilevel"/>
    <w:tmpl w:val="26FC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8B387B"/>
    <w:multiLevelType w:val="hybridMultilevel"/>
    <w:tmpl w:val="0A30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8373D"/>
    <w:multiLevelType w:val="hybridMultilevel"/>
    <w:tmpl w:val="35CA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66DEA"/>
    <w:multiLevelType w:val="hybridMultilevel"/>
    <w:tmpl w:val="A5AEA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B767C"/>
    <w:multiLevelType w:val="hybridMultilevel"/>
    <w:tmpl w:val="910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900E2D"/>
    <w:multiLevelType w:val="hybridMultilevel"/>
    <w:tmpl w:val="09160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71A40"/>
    <w:multiLevelType w:val="hybridMultilevel"/>
    <w:tmpl w:val="85D4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E3F0D"/>
    <w:multiLevelType w:val="hybridMultilevel"/>
    <w:tmpl w:val="17DE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C9679E"/>
    <w:multiLevelType w:val="hybridMultilevel"/>
    <w:tmpl w:val="B40A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E0061"/>
    <w:multiLevelType w:val="multilevel"/>
    <w:tmpl w:val="EAE29BE0"/>
    <w:lvl w:ilvl="0">
      <w:start w:val="1"/>
      <w:numFmt w:val="decimal"/>
      <w:pStyle w:val="Heading1"/>
      <w:lvlText w:val="Chapter %1"/>
      <w:lvlJc w:val="left"/>
      <w:pPr>
        <w:ind w:left="1851"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A33109C"/>
    <w:multiLevelType w:val="hybridMultilevel"/>
    <w:tmpl w:val="D750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30F7C"/>
    <w:multiLevelType w:val="hybridMultilevel"/>
    <w:tmpl w:val="95B6F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7643E"/>
    <w:multiLevelType w:val="hybridMultilevel"/>
    <w:tmpl w:val="E272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75618C"/>
    <w:multiLevelType w:val="hybridMultilevel"/>
    <w:tmpl w:val="07B05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5CE6D84"/>
    <w:multiLevelType w:val="multilevel"/>
    <w:tmpl w:val="F65CDA96"/>
    <w:lvl w:ilvl="0">
      <w:start w:val="1"/>
      <w:numFmt w:val="decimal"/>
      <w:lvlText w:val="%1."/>
      <w:lvlJc w:val="left"/>
      <w:pPr>
        <w:ind w:left="1211" w:hanging="360"/>
      </w:pPr>
      <w:rPr>
        <w:rFonts w:hint="default"/>
      </w:rPr>
    </w:lvl>
    <w:lvl w:ilvl="1">
      <w:start w:val="1"/>
      <w:numFmt w:val="decimal"/>
      <w:isLgl/>
      <w:lvlText w:val="%1.%2"/>
      <w:lvlJc w:val="left"/>
      <w:pPr>
        <w:ind w:left="1702" w:hanging="360"/>
      </w:pPr>
      <w:rPr>
        <w:rFonts w:hint="default"/>
      </w:rPr>
    </w:lvl>
    <w:lvl w:ilvl="2">
      <w:start w:val="1"/>
      <w:numFmt w:val="decimal"/>
      <w:isLgl/>
      <w:lvlText w:val="%1.%2.%3"/>
      <w:lvlJc w:val="left"/>
      <w:pPr>
        <w:ind w:left="2553" w:hanging="720"/>
      </w:pPr>
      <w:rPr>
        <w:rFonts w:hint="default"/>
      </w:rPr>
    </w:lvl>
    <w:lvl w:ilvl="3">
      <w:start w:val="1"/>
      <w:numFmt w:val="decimal"/>
      <w:isLgl/>
      <w:lvlText w:val="%1.%2.%3.%4"/>
      <w:lvlJc w:val="left"/>
      <w:pPr>
        <w:ind w:left="3404" w:hanging="1080"/>
      </w:pPr>
      <w:rPr>
        <w:rFonts w:hint="default"/>
      </w:rPr>
    </w:lvl>
    <w:lvl w:ilvl="4">
      <w:start w:val="1"/>
      <w:numFmt w:val="decimal"/>
      <w:isLgl/>
      <w:lvlText w:val="%1.%2.%3.%4.%5"/>
      <w:lvlJc w:val="left"/>
      <w:pPr>
        <w:ind w:left="3895" w:hanging="1080"/>
      </w:pPr>
      <w:rPr>
        <w:rFonts w:hint="default"/>
      </w:rPr>
    </w:lvl>
    <w:lvl w:ilvl="5">
      <w:start w:val="1"/>
      <w:numFmt w:val="decimal"/>
      <w:isLgl/>
      <w:lvlText w:val="%1.%2.%3.%4.%5.%6"/>
      <w:lvlJc w:val="left"/>
      <w:pPr>
        <w:ind w:left="4746" w:hanging="1440"/>
      </w:pPr>
      <w:rPr>
        <w:rFonts w:hint="default"/>
      </w:rPr>
    </w:lvl>
    <w:lvl w:ilvl="6">
      <w:start w:val="1"/>
      <w:numFmt w:val="decimal"/>
      <w:isLgl/>
      <w:lvlText w:val="%1.%2.%3.%4.%5.%6.%7"/>
      <w:lvlJc w:val="left"/>
      <w:pPr>
        <w:ind w:left="5237" w:hanging="1440"/>
      </w:pPr>
      <w:rPr>
        <w:rFonts w:hint="default"/>
      </w:rPr>
    </w:lvl>
    <w:lvl w:ilvl="7">
      <w:start w:val="1"/>
      <w:numFmt w:val="decimal"/>
      <w:isLgl/>
      <w:lvlText w:val="%1.%2.%3.%4.%5.%6.%7.%8"/>
      <w:lvlJc w:val="left"/>
      <w:pPr>
        <w:ind w:left="6088" w:hanging="1800"/>
      </w:pPr>
      <w:rPr>
        <w:rFonts w:hint="default"/>
      </w:rPr>
    </w:lvl>
    <w:lvl w:ilvl="8">
      <w:start w:val="1"/>
      <w:numFmt w:val="decimal"/>
      <w:isLgl/>
      <w:lvlText w:val="%1.%2.%3.%4.%5.%6.%7.%8.%9"/>
      <w:lvlJc w:val="left"/>
      <w:pPr>
        <w:ind w:left="6579" w:hanging="1800"/>
      </w:pPr>
      <w:rPr>
        <w:rFonts w:hint="default"/>
      </w:rPr>
    </w:lvl>
  </w:abstractNum>
  <w:abstractNum w:abstractNumId="37" w15:restartNumberingAfterBreak="0">
    <w:nsid w:val="668C650C"/>
    <w:multiLevelType w:val="hybridMultilevel"/>
    <w:tmpl w:val="6EC0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B54D2C"/>
    <w:multiLevelType w:val="hybridMultilevel"/>
    <w:tmpl w:val="95C8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E23DD7"/>
    <w:multiLevelType w:val="hybridMultilevel"/>
    <w:tmpl w:val="668A1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E47666A"/>
    <w:multiLevelType w:val="hybridMultilevel"/>
    <w:tmpl w:val="6DA4BB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CA0A11"/>
    <w:multiLevelType w:val="hybridMultilevel"/>
    <w:tmpl w:val="D2520AB8"/>
    <w:lvl w:ilvl="0" w:tplc="5900B596">
      <w:start w:val="9"/>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5418E8"/>
    <w:multiLevelType w:val="hybridMultilevel"/>
    <w:tmpl w:val="04F80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9770B6"/>
    <w:multiLevelType w:val="hybridMultilevel"/>
    <w:tmpl w:val="49C8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641A0"/>
    <w:multiLevelType w:val="multilevel"/>
    <w:tmpl w:val="6CA2F776"/>
    <w:lvl w:ilvl="0">
      <w:start w:val="1"/>
      <w:numFmt w:val="decimal"/>
      <w:lvlText w:val="Chapter %1"/>
      <w:lvlJc w:val="left"/>
      <w:pPr>
        <w:ind w:left="432" w:hanging="432"/>
      </w:pPr>
      <w:rPr>
        <w:rFonts w:ascii="Times New Roman" w:hAnsi="Times New Roman" w:cs="Times New Roman" w:hint="default"/>
        <w:b/>
        <w:i w:val="0"/>
        <w:color w:val="auto"/>
        <w:sz w:val="28"/>
      </w:rPr>
    </w:lvl>
    <w:lvl w:ilvl="1">
      <w:start w:val="1"/>
      <w:numFmt w:val="decimal"/>
      <w:lvlText w:val="%1.%2"/>
      <w:lvlJc w:val="left"/>
      <w:pPr>
        <w:ind w:left="576" w:hanging="576"/>
      </w:pPr>
      <w:rPr>
        <w:rFonts w:asciiTheme="majorBidi" w:hAnsiTheme="majorBidi" w:cstheme="majorBidi" w:hint="default"/>
        <w:b/>
        <w:bCs/>
        <w:i w:val="0"/>
        <w:iCs w:val="0"/>
        <w:caps w:val="0"/>
        <w:smallCaps w:val="0"/>
        <w:strike w:val="0"/>
        <w:dstrike w:val="0"/>
        <w:noProof w:val="0"/>
        <w:vanish w:val="0"/>
        <w:color w:val="auto"/>
        <w:spacing w:val="0"/>
        <w:kern w:val="0"/>
        <w:position w:val="0"/>
        <w:sz w:val="24"/>
        <w:szCs w:val="24"/>
        <w:u w:val="none"/>
        <w:vertAlign w:val="baseline"/>
        <w:em w:val="none"/>
      </w:rPr>
    </w:lvl>
    <w:lvl w:ilvl="2">
      <w:start w:val="1"/>
      <w:numFmt w:val="decimal"/>
      <w:lvlText w:val="%1.%2.%3"/>
      <w:lvlJc w:val="left"/>
      <w:pPr>
        <w:ind w:left="1571" w:hanging="720"/>
      </w:pPr>
      <w:rPr>
        <w:rFonts w:asciiTheme="majorBidi" w:hAnsiTheme="majorBidi" w:cstheme="majorBidi"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rFonts w:asciiTheme="majorBidi" w:hAnsiTheme="majorBidi" w:cstheme="majorBidi" w:hint="default"/>
        <w:b w:val="0"/>
        <w:bCs w:val="0"/>
        <w:color w:val="auto"/>
      </w:rPr>
    </w:lvl>
    <w:lvl w:ilvl="4">
      <w:start w:val="1"/>
      <w:numFmt w:val="decimal"/>
      <w:lvlText w:val="%1.%2.%3.%4.%5"/>
      <w:lvlJc w:val="left"/>
      <w:pPr>
        <w:ind w:left="1008" w:hanging="1008"/>
      </w:pPr>
      <w:rPr>
        <w:rFonts w:asciiTheme="majorBidi" w:hAnsiTheme="majorBidi" w:cstheme="majorBidi" w:hint="default"/>
        <w:color w:val="auto"/>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74B4F8D"/>
    <w:multiLevelType w:val="hybridMultilevel"/>
    <w:tmpl w:val="313C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3E1D59"/>
    <w:multiLevelType w:val="hybridMultilevel"/>
    <w:tmpl w:val="3EB28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7"/>
  </w:num>
  <w:num w:numId="6">
    <w:abstractNumId w:val="4"/>
  </w:num>
  <w:num w:numId="7">
    <w:abstractNumId w:val="36"/>
  </w:num>
  <w:num w:numId="8">
    <w:abstractNumId w:val="24"/>
  </w:num>
  <w:num w:numId="9">
    <w:abstractNumId w:val="33"/>
  </w:num>
  <w:num w:numId="10">
    <w:abstractNumId w:val="26"/>
  </w:num>
  <w:num w:numId="11">
    <w:abstractNumId w:val="11"/>
  </w:num>
  <w:num w:numId="12">
    <w:abstractNumId w:val="14"/>
  </w:num>
  <w:num w:numId="13">
    <w:abstractNumId w:val="9"/>
  </w:num>
  <w:num w:numId="14">
    <w:abstractNumId w:val="15"/>
  </w:num>
  <w:num w:numId="15">
    <w:abstractNumId w:val="8"/>
  </w:num>
  <w:num w:numId="16">
    <w:abstractNumId w:val="22"/>
  </w:num>
  <w:num w:numId="17">
    <w:abstractNumId w:val="45"/>
  </w:num>
  <w:num w:numId="18">
    <w:abstractNumId w:val="2"/>
  </w:num>
  <w:num w:numId="19">
    <w:abstractNumId w:val="21"/>
  </w:num>
  <w:num w:numId="20">
    <w:abstractNumId w:val="1"/>
  </w:num>
  <w:num w:numId="21">
    <w:abstractNumId w:val="27"/>
  </w:num>
  <w:num w:numId="22">
    <w:abstractNumId w:val="29"/>
  </w:num>
  <w:num w:numId="23">
    <w:abstractNumId w:val="18"/>
  </w:num>
  <w:num w:numId="24">
    <w:abstractNumId w:val="37"/>
  </w:num>
  <w:num w:numId="25">
    <w:abstractNumId w:val="19"/>
  </w:num>
  <w:num w:numId="26">
    <w:abstractNumId w:val="7"/>
  </w:num>
  <w:num w:numId="27">
    <w:abstractNumId w:val="5"/>
  </w:num>
  <w:num w:numId="28">
    <w:abstractNumId w:val="28"/>
  </w:num>
  <w:num w:numId="29">
    <w:abstractNumId w:val="25"/>
  </w:num>
  <w:num w:numId="30">
    <w:abstractNumId w:val="43"/>
  </w:num>
  <w:num w:numId="31">
    <w:abstractNumId w:val="23"/>
  </w:num>
  <w:num w:numId="32">
    <w:abstractNumId w:val="30"/>
  </w:num>
  <w:num w:numId="33">
    <w:abstractNumId w:val="34"/>
  </w:num>
  <w:num w:numId="34">
    <w:abstractNumId w:val="38"/>
  </w:num>
  <w:num w:numId="35">
    <w:abstractNumId w:val="46"/>
  </w:num>
  <w:num w:numId="36">
    <w:abstractNumId w:val="16"/>
  </w:num>
  <w:num w:numId="37">
    <w:abstractNumId w:val="0"/>
  </w:num>
  <w:num w:numId="38">
    <w:abstractNumId w:val="40"/>
  </w:num>
  <w:num w:numId="39">
    <w:abstractNumId w:val="32"/>
  </w:num>
  <w:num w:numId="40">
    <w:abstractNumId w:val="20"/>
  </w:num>
  <w:num w:numId="41">
    <w:abstractNumId w:val="41"/>
  </w:num>
  <w:num w:numId="42">
    <w:abstractNumId w:val="42"/>
  </w:num>
  <w:num w:numId="43">
    <w:abstractNumId w:val="12"/>
  </w:num>
  <w:num w:numId="44">
    <w:abstractNumId w:val="13"/>
  </w:num>
  <w:num w:numId="45">
    <w:abstractNumId w:val="3"/>
  </w:num>
  <w:num w:numId="46">
    <w:abstractNumId w:val="35"/>
  </w:num>
  <w:num w:numId="47">
    <w:abstractNumId w:val="39"/>
  </w:num>
  <w:num w:numId="48">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2MDM0tjSxMDc1NTdV0lEKTi0uzszPAykwqQUACMyz6iwAAAA="/>
    <w:docVar w:name="EN.InstantFormat" w:val="&lt;ENInstantFormat&gt;&lt;Enabled&gt;0&lt;/Enabled&gt;&lt;ScanUnformatted&gt;1&lt;/ScanUnformatted&gt;&lt;ScanChanges&gt;1&lt;/ScanChanges&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ENLibraries&gt;&lt;Libraries&gt;&lt;item&gt;Main ENlib.enl&lt;/item&gt;&lt;/Libraries&gt;&lt;/ENLibraries&gt;"/>
  </w:docVars>
  <w:rsids>
    <w:rsidRoot w:val="00A96BA8"/>
    <w:rsid w:val="000006F2"/>
    <w:rsid w:val="00001826"/>
    <w:rsid w:val="0000228F"/>
    <w:rsid w:val="000024CF"/>
    <w:rsid w:val="0000254A"/>
    <w:rsid w:val="00003318"/>
    <w:rsid w:val="00004F43"/>
    <w:rsid w:val="00005AD7"/>
    <w:rsid w:val="00005CDB"/>
    <w:rsid w:val="00007D87"/>
    <w:rsid w:val="00007EE3"/>
    <w:rsid w:val="00011CA8"/>
    <w:rsid w:val="00013121"/>
    <w:rsid w:val="00014C69"/>
    <w:rsid w:val="00015283"/>
    <w:rsid w:val="00015BEA"/>
    <w:rsid w:val="000163E4"/>
    <w:rsid w:val="000163FE"/>
    <w:rsid w:val="0001645C"/>
    <w:rsid w:val="000164AE"/>
    <w:rsid w:val="0001679B"/>
    <w:rsid w:val="00017623"/>
    <w:rsid w:val="0002110E"/>
    <w:rsid w:val="00021C46"/>
    <w:rsid w:val="00022C26"/>
    <w:rsid w:val="000231AF"/>
    <w:rsid w:val="00023F04"/>
    <w:rsid w:val="000244D9"/>
    <w:rsid w:val="00025EC8"/>
    <w:rsid w:val="00026967"/>
    <w:rsid w:val="00026B2D"/>
    <w:rsid w:val="000270AE"/>
    <w:rsid w:val="00027145"/>
    <w:rsid w:val="00027725"/>
    <w:rsid w:val="0003088D"/>
    <w:rsid w:val="00032167"/>
    <w:rsid w:val="00032706"/>
    <w:rsid w:val="000332F0"/>
    <w:rsid w:val="000334B1"/>
    <w:rsid w:val="00034087"/>
    <w:rsid w:val="00034792"/>
    <w:rsid w:val="0003549A"/>
    <w:rsid w:val="00035F43"/>
    <w:rsid w:val="00035FE9"/>
    <w:rsid w:val="00036E5E"/>
    <w:rsid w:val="00040073"/>
    <w:rsid w:val="000407BD"/>
    <w:rsid w:val="00040FD2"/>
    <w:rsid w:val="000420F7"/>
    <w:rsid w:val="000427F1"/>
    <w:rsid w:val="0004280D"/>
    <w:rsid w:val="000439C3"/>
    <w:rsid w:val="00043B59"/>
    <w:rsid w:val="000440BC"/>
    <w:rsid w:val="0004592D"/>
    <w:rsid w:val="000464DC"/>
    <w:rsid w:val="00047422"/>
    <w:rsid w:val="00047897"/>
    <w:rsid w:val="000479DF"/>
    <w:rsid w:val="000505EA"/>
    <w:rsid w:val="00052AAA"/>
    <w:rsid w:val="00053270"/>
    <w:rsid w:val="00054968"/>
    <w:rsid w:val="00054E3E"/>
    <w:rsid w:val="0005594A"/>
    <w:rsid w:val="00055A0A"/>
    <w:rsid w:val="000568D2"/>
    <w:rsid w:val="00056AFA"/>
    <w:rsid w:val="00056DB6"/>
    <w:rsid w:val="0005705C"/>
    <w:rsid w:val="00057F29"/>
    <w:rsid w:val="00057F44"/>
    <w:rsid w:val="00060E76"/>
    <w:rsid w:val="000615D1"/>
    <w:rsid w:val="00061C3A"/>
    <w:rsid w:val="0006233F"/>
    <w:rsid w:val="00065453"/>
    <w:rsid w:val="000654A3"/>
    <w:rsid w:val="000656BC"/>
    <w:rsid w:val="00065C11"/>
    <w:rsid w:val="00065EF1"/>
    <w:rsid w:val="000702D6"/>
    <w:rsid w:val="00071B54"/>
    <w:rsid w:val="00072417"/>
    <w:rsid w:val="00072EBE"/>
    <w:rsid w:val="00073641"/>
    <w:rsid w:val="0007602E"/>
    <w:rsid w:val="0007692F"/>
    <w:rsid w:val="00076C12"/>
    <w:rsid w:val="0007703B"/>
    <w:rsid w:val="00077FEC"/>
    <w:rsid w:val="00080A98"/>
    <w:rsid w:val="00082031"/>
    <w:rsid w:val="0008203E"/>
    <w:rsid w:val="0008218C"/>
    <w:rsid w:val="0008218F"/>
    <w:rsid w:val="00082229"/>
    <w:rsid w:val="00082ACA"/>
    <w:rsid w:val="000830F5"/>
    <w:rsid w:val="00083424"/>
    <w:rsid w:val="000842D4"/>
    <w:rsid w:val="000846E2"/>
    <w:rsid w:val="00084D85"/>
    <w:rsid w:val="000857CE"/>
    <w:rsid w:val="000857D7"/>
    <w:rsid w:val="0008598F"/>
    <w:rsid w:val="00086A51"/>
    <w:rsid w:val="000878D6"/>
    <w:rsid w:val="00087AB6"/>
    <w:rsid w:val="000906C9"/>
    <w:rsid w:val="0009075C"/>
    <w:rsid w:val="000907E6"/>
    <w:rsid w:val="0009141D"/>
    <w:rsid w:val="00092CE8"/>
    <w:rsid w:val="0009322C"/>
    <w:rsid w:val="00093671"/>
    <w:rsid w:val="000937F1"/>
    <w:rsid w:val="000939B6"/>
    <w:rsid w:val="0009403E"/>
    <w:rsid w:val="000949BE"/>
    <w:rsid w:val="000951BF"/>
    <w:rsid w:val="000952AD"/>
    <w:rsid w:val="00095B5B"/>
    <w:rsid w:val="000968BD"/>
    <w:rsid w:val="00096FE2"/>
    <w:rsid w:val="00097673"/>
    <w:rsid w:val="000A0074"/>
    <w:rsid w:val="000A0EB4"/>
    <w:rsid w:val="000A18B0"/>
    <w:rsid w:val="000A1CB1"/>
    <w:rsid w:val="000A217F"/>
    <w:rsid w:val="000A2230"/>
    <w:rsid w:val="000A2231"/>
    <w:rsid w:val="000A2903"/>
    <w:rsid w:val="000A2FF8"/>
    <w:rsid w:val="000A45B2"/>
    <w:rsid w:val="000A5972"/>
    <w:rsid w:val="000A5B77"/>
    <w:rsid w:val="000A5E02"/>
    <w:rsid w:val="000A6014"/>
    <w:rsid w:val="000A6FE6"/>
    <w:rsid w:val="000A753E"/>
    <w:rsid w:val="000A7A47"/>
    <w:rsid w:val="000B09EE"/>
    <w:rsid w:val="000B2555"/>
    <w:rsid w:val="000B2C12"/>
    <w:rsid w:val="000B4799"/>
    <w:rsid w:val="000B4F82"/>
    <w:rsid w:val="000B5864"/>
    <w:rsid w:val="000B5F43"/>
    <w:rsid w:val="000B6D0E"/>
    <w:rsid w:val="000B7087"/>
    <w:rsid w:val="000B7CD6"/>
    <w:rsid w:val="000C2983"/>
    <w:rsid w:val="000C3251"/>
    <w:rsid w:val="000C469A"/>
    <w:rsid w:val="000C58D3"/>
    <w:rsid w:val="000C5CAD"/>
    <w:rsid w:val="000C6871"/>
    <w:rsid w:val="000D05A8"/>
    <w:rsid w:val="000D071C"/>
    <w:rsid w:val="000D07A4"/>
    <w:rsid w:val="000D18BF"/>
    <w:rsid w:val="000D1B79"/>
    <w:rsid w:val="000D2E34"/>
    <w:rsid w:val="000D2E9A"/>
    <w:rsid w:val="000D418B"/>
    <w:rsid w:val="000D5262"/>
    <w:rsid w:val="000D6216"/>
    <w:rsid w:val="000D6820"/>
    <w:rsid w:val="000D6E54"/>
    <w:rsid w:val="000E1C9D"/>
    <w:rsid w:val="000E28A8"/>
    <w:rsid w:val="000E2E5E"/>
    <w:rsid w:val="000E42EE"/>
    <w:rsid w:val="000E4BF2"/>
    <w:rsid w:val="000E5EA6"/>
    <w:rsid w:val="000E6470"/>
    <w:rsid w:val="000E6AF4"/>
    <w:rsid w:val="000E6D88"/>
    <w:rsid w:val="000E7631"/>
    <w:rsid w:val="000E7D98"/>
    <w:rsid w:val="000F00B4"/>
    <w:rsid w:val="000F1FAA"/>
    <w:rsid w:val="000F2815"/>
    <w:rsid w:val="000F3191"/>
    <w:rsid w:val="000F31EA"/>
    <w:rsid w:val="000F3EF2"/>
    <w:rsid w:val="000F407C"/>
    <w:rsid w:val="000F4EDB"/>
    <w:rsid w:val="000F503C"/>
    <w:rsid w:val="000F55F2"/>
    <w:rsid w:val="000F5B8D"/>
    <w:rsid w:val="000F6AA6"/>
    <w:rsid w:val="000F79CC"/>
    <w:rsid w:val="000F7B4C"/>
    <w:rsid w:val="001004F1"/>
    <w:rsid w:val="0010222C"/>
    <w:rsid w:val="00102900"/>
    <w:rsid w:val="00103282"/>
    <w:rsid w:val="001037E1"/>
    <w:rsid w:val="001042B1"/>
    <w:rsid w:val="001046FE"/>
    <w:rsid w:val="00104A9B"/>
    <w:rsid w:val="00105977"/>
    <w:rsid w:val="0010711F"/>
    <w:rsid w:val="0011103D"/>
    <w:rsid w:val="0011136F"/>
    <w:rsid w:val="001113B2"/>
    <w:rsid w:val="00111A23"/>
    <w:rsid w:val="00111F2A"/>
    <w:rsid w:val="001125DE"/>
    <w:rsid w:val="00113059"/>
    <w:rsid w:val="00114963"/>
    <w:rsid w:val="001151B0"/>
    <w:rsid w:val="00115EAF"/>
    <w:rsid w:val="001165B3"/>
    <w:rsid w:val="00116F2F"/>
    <w:rsid w:val="001172E3"/>
    <w:rsid w:val="00117C81"/>
    <w:rsid w:val="0012056E"/>
    <w:rsid w:val="0012086A"/>
    <w:rsid w:val="0012170B"/>
    <w:rsid w:val="001218F6"/>
    <w:rsid w:val="00123311"/>
    <w:rsid w:val="00123589"/>
    <w:rsid w:val="001243AC"/>
    <w:rsid w:val="001246EB"/>
    <w:rsid w:val="001253E8"/>
    <w:rsid w:val="00125719"/>
    <w:rsid w:val="00125D65"/>
    <w:rsid w:val="00126133"/>
    <w:rsid w:val="00126D81"/>
    <w:rsid w:val="001274B4"/>
    <w:rsid w:val="00127669"/>
    <w:rsid w:val="00130605"/>
    <w:rsid w:val="00130667"/>
    <w:rsid w:val="00131B31"/>
    <w:rsid w:val="00131B98"/>
    <w:rsid w:val="00131C28"/>
    <w:rsid w:val="001325AD"/>
    <w:rsid w:val="0013295A"/>
    <w:rsid w:val="0013364B"/>
    <w:rsid w:val="00134021"/>
    <w:rsid w:val="00134386"/>
    <w:rsid w:val="0013458C"/>
    <w:rsid w:val="00134B86"/>
    <w:rsid w:val="00135EE0"/>
    <w:rsid w:val="00137078"/>
    <w:rsid w:val="0013738C"/>
    <w:rsid w:val="001400C8"/>
    <w:rsid w:val="00140AE5"/>
    <w:rsid w:val="00140C5B"/>
    <w:rsid w:val="00144564"/>
    <w:rsid w:val="001449D7"/>
    <w:rsid w:val="00145433"/>
    <w:rsid w:val="001470C4"/>
    <w:rsid w:val="001471AA"/>
    <w:rsid w:val="00147529"/>
    <w:rsid w:val="00147843"/>
    <w:rsid w:val="00147A25"/>
    <w:rsid w:val="001504F0"/>
    <w:rsid w:val="00152830"/>
    <w:rsid w:val="0015397F"/>
    <w:rsid w:val="00153BA8"/>
    <w:rsid w:val="0015528F"/>
    <w:rsid w:val="00155C41"/>
    <w:rsid w:val="001562EF"/>
    <w:rsid w:val="00156594"/>
    <w:rsid w:val="00156D99"/>
    <w:rsid w:val="00156E85"/>
    <w:rsid w:val="001571C6"/>
    <w:rsid w:val="001572CD"/>
    <w:rsid w:val="00160AFB"/>
    <w:rsid w:val="00161751"/>
    <w:rsid w:val="00161D96"/>
    <w:rsid w:val="00162780"/>
    <w:rsid w:val="00164716"/>
    <w:rsid w:val="00164CC4"/>
    <w:rsid w:val="00164E13"/>
    <w:rsid w:val="00164FF4"/>
    <w:rsid w:val="00165B8F"/>
    <w:rsid w:val="00166159"/>
    <w:rsid w:val="0016747E"/>
    <w:rsid w:val="0016795A"/>
    <w:rsid w:val="00167B78"/>
    <w:rsid w:val="00170863"/>
    <w:rsid w:val="00171062"/>
    <w:rsid w:val="00171182"/>
    <w:rsid w:val="00171773"/>
    <w:rsid w:val="00171D7E"/>
    <w:rsid w:val="00171DA8"/>
    <w:rsid w:val="0017204F"/>
    <w:rsid w:val="00173F03"/>
    <w:rsid w:val="001746A4"/>
    <w:rsid w:val="00175090"/>
    <w:rsid w:val="001767D0"/>
    <w:rsid w:val="00176E13"/>
    <w:rsid w:val="00176E98"/>
    <w:rsid w:val="00177336"/>
    <w:rsid w:val="00177E6E"/>
    <w:rsid w:val="00177F12"/>
    <w:rsid w:val="001809BF"/>
    <w:rsid w:val="00181149"/>
    <w:rsid w:val="001813A9"/>
    <w:rsid w:val="00181440"/>
    <w:rsid w:val="00181443"/>
    <w:rsid w:val="00183C29"/>
    <w:rsid w:val="001852D5"/>
    <w:rsid w:val="00185D18"/>
    <w:rsid w:val="001900C0"/>
    <w:rsid w:val="00190223"/>
    <w:rsid w:val="0019292A"/>
    <w:rsid w:val="001935D5"/>
    <w:rsid w:val="00193921"/>
    <w:rsid w:val="00194219"/>
    <w:rsid w:val="001944BC"/>
    <w:rsid w:val="00195751"/>
    <w:rsid w:val="00195CB7"/>
    <w:rsid w:val="00196312"/>
    <w:rsid w:val="00196AFC"/>
    <w:rsid w:val="001A05B1"/>
    <w:rsid w:val="001A0A68"/>
    <w:rsid w:val="001A1D1E"/>
    <w:rsid w:val="001A262C"/>
    <w:rsid w:val="001A2C91"/>
    <w:rsid w:val="001A3C93"/>
    <w:rsid w:val="001A3F30"/>
    <w:rsid w:val="001A4631"/>
    <w:rsid w:val="001A5212"/>
    <w:rsid w:val="001A5443"/>
    <w:rsid w:val="001A6125"/>
    <w:rsid w:val="001A777C"/>
    <w:rsid w:val="001A79E6"/>
    <w:rsid w:val="001A7A9E"/>
    <w:rsid w:val="001A7CA7"/>
    <w:rsid w:val="001B039E"/>
    <w:rsid w:val="001B1583"/>
    <w:rsid w:val="001B1E6E"/>
    <w:rsid w:val="001B2EEA"/>
    <w:rsid w:val="001B2F65"/>
    <w:rsid w:val="001B377E"/>
    <w:rsid w:val="001B3C4A"/>
    <w:rsid w:val="001B4AC1"/>
    <w:rsid w:val="001B5618"/>
    <w:rsid w:val="001B6172"/>
    <w:rsid w:val="001B65D2"/>
    <w:rsid w:val="001C0011"/>
    <w:rsid w:val="001C063D"/>
    <w:rsid w:val="001C1483"/>
    <w:rsid w:val="001C2C86"/>
    <w:rsid w:val="001C322C"/>
    <w:rsid w:val="001C327B"/>
    <w:rsid w:val="001C47CC"/>
    <w:rsid w:val="001C4C84"/>
    <w:rsid w:val="001C5192"/>
    <w:rsid w:val="001C6609"/>
    <w:rsid w:val="001C70C8"/>
    <w:rsid w:val="001C749D"/>
    <w:rsid w:val="001D15B7"/>
    <w:rsid w:val="001D1D03"/>
    <w:rsid w:val="001D265E"/>
    <w:rsid w:val="001D29F7"/>
    <w:rsid w:val="001D357E"/>
    <w:rsid w:val="001D3BE6"/>
    <w:rsid w:val="001D6877"/>
    <w:rsid w:val="001D6934"/>
    <w:rsid w:val="001D6DA9"/>
    <w:rsid w:val="001E1026"/>
    <w:rsid w:val="001E152A"/>
    <w:rsid w:val="001E1F20"/>
    <w:rsid w:val="001E3B9E"/>
    <w:rsid w:val="001E56ED"/>
    <w:rsid w:val="001E5882"/>
    <w:rsid w:val="001E646D"/>
    <w:rsid w:val="001E6D9A"/>
    <w:rsid w:val="001E74C4"/>
    <w:rsid w:val="001F0666"/>
    <w:rsid w:val="001F097E"/>
    <w:rsid w:val="001F0E63"/>
    <w:rsid w:val="001F147D"/>
    <w:rsid w:val="001F1A1B"/>
    <w:rsid w:val="001F3219"/>
    <w:rsid w:val="001F36D0"/>
    <w:rsid w:val="001F4831"/>
    <w:rsid w:val="001F490A"/>
    <w:rsid w:val="001F5514"/>
    <w:rsid w:val="001F5DB9"/>
    <w:rsid w:val="001F7181"/>
    <w:rsid w:val="001F7503"/>
    <w:rsid w:val="001F7BA6"/>
    <w:rsid w:val="0020030A"/>
    <w:rsid w:val="0020043E"/>
    <w:rsid w:val="002007E1"/>
    <w:rsid w:val="00201CEB"/>
    <w:rsid w:val="00204128"/>
    <w:rsid w:val="00204566"/>
    <w:rsid w:val="00204BFB"/>
    <w:rsid w:val="00204C16"/>
    <w:rsid w:val="00205373"/>
    <w:rsid w:val="00205F34"/>
    <w:rsid w:val="00210B53"/>
    <w:rsid w:val="00210E14"/>
    <w:rsid w:val="0021485B"/>
    <w:rsid w:val="00214A45"/>
    <w:rsid w:val="002153D9"/>
    <w:rsid w:val="00217BA1"/>
    <w:rsid w:val="00217DFF"/>
    <w:rsid w:val="00217F97"/>
    <w:rsid w:val="00220354"/>
    <w:rsid w:val="00220B0F"/>
    <w:rsid w:val="002223D1"/>
    <w:rsid w:val="00223D56"/>
    <w:rsid w:val="002259BE"/>
    <w:rsid w:val="002261E2"/>
    <w:rsid w:val="00226F09"/>
    <w:rsid w:val="00227666"/>
    <w:rsid w:val="00227C54"/>
    <w:rsid w:val="0023030A"/>
    <w:rsid w:val="0023283C"/>
    <w:rsid w:val="002328E0"/>
    <w:rsid w:val="00233644"/>
    <w:rsid w:val="00233EB8"/>
    <w:rsid w:val="00235406"/>
    <w:rsid w:val="00235CC9"/>
    <w:rsid w:val="002368DF"/>
    <w:rsid w:val="0023752B"/>
    <w:rsid w:val="002375A9"/>
    <w:rsid w:val="002375B0"/>
    <w:rsid w:val="0023771F"/>
    <w:rsid w:val="00240850"/>
    <w:rsid w:val="00241FE7"/>
    <w:rsid w:val="00242085"/>
    <w:rsid w:val="00243E86"/>
    <w:rsid w:val="0024410C"/>
    <w:rsid w:val="00244947"/>
    <w:rsid w:val="00245BED"/>
    <w:rsid w:val="002462BF"/>
    <w:rsid w:val="00246969"/>
    <w:rsid w:val="00246A08"/>
    <w:rsid w:val="0024774C"/>
    <w:rsid w:val="00247FA5"/>
    <w:rsid w:val="00250622"/>
    <w:rsid w:val="00250C87"/>
    <w:rsid w:val="00251E9C"/>
    <w:rsid w:val="00251F39"/>
    <w:rsid w:val="00251FBC"/>
    <w:rsid w:val="0025319F"/>
    <w:rsid w:val="0025375B"/>
    <w:rsid w:val="00253CD5"/>
    <w:rsid w:val="002543CE"/>
    <w:rsid w:val="00254592"/>
    <w:rsid w:val="00254848"/>
    <w:rsid w:val="00254E31"/>
    <w:rsid w:val="00254FA8"/>
    <w:rsid w:val="002554B6"/>
    <w:rsid w:val="00256616"/>
    <w:rsid w:val="00256E5A"/>
    <w:rsid w:val="002579E3"/>
    <w:rsid w:val="00260615"/>
    <w:rsid w:val="00261CFD"/>
    <w:rsid w:val="00262884"/>
    <w:rsid w:val="00262C02"/>
    <w:rsid w:val="00262CB6"/>
    <w:rsid w:val="00264432"/>
    <w:rsid w:val="00264A62"/>
    <w:rsid w:val="00264B83"/>
    <w:rsid w:val="00264C98"/>
    <w:rsid w:val="00264CD5"/>
    <w:rsid w:val="00264F43"/>
    <w:rsid w:val="0026579C"/>
    <w:rsid w:val="00265ADB"/>
    <w:rsid w:val="00266FC7"/>
    <w:rsid w:val="00267917"/>
    <w:rsid w:val="0026793F"/>
    <w:rsid w:val="00267BB7"/>
    <w:rsid w:val="00267D22"/>
    <w:rsid w:val="0027008A"/>
    <w:rsid w:val="00270550"/>
    <w:rsid w:val="002706D0"/>
    <w:rsid w:val="00270806"/>
    <w:rsid w:val="00270A40"/>
    <w:rsid w:val="00271344"/>
    <w:rsid w:val="00273026"/>
    <w:rsid w:val="00273E7A"/>
    <w:rsid w:val="002751DD"/>
    <w:rsid w:val="0027525C"/>
    <w:rsid w:val="0027604E"/>
    <w:rsid w:val="00276783"/>
    <w:rsid w:val="002777BB"/>
    <w:rsid w:val="00281B85"/>
    <w:rsid w:val="00282897"/>
    <w:rsid w:val="002829A5"/>
    <w:rsid w:val="002832FC"/>
    <w:rsid w:val="00283DC9"/>
    <w:rsid w:val="00284B38"/>
    <w:rsid w:val="00285F73"/>
    <w:rsid w:val="002869B0"/>
    <w:rsid w:val="00287287"/>
    <w:rsid w:val="002876FB"/>
    <w:rsid w:val="002878AC"/>
    <w:rsid w:val="002927D5"/>
    <w:rsid w:val="00296492"/>
    <w:rsid w:val="00296596"/>
    <w:rsid w:val="00297837"/>
    <w:rsid w:val="002A0CCA"/>
    <w:rsid w:val="002A141E"/>
    <w:rsid w:val="002A3071"/>
    <w:rsid w:val="002A31A5"/>
    <w:rsid w:val="002A330F"/>
    <w:rsid w:val="002A3A72"/>
    <w:rsid w:val="002A3FFC"/>
    <w:rsid w:val="002A4241"/>
    <w:rsid w:val="002A4645"/>
    <w:rsid w:val="002A4C4F"/>
    <w:rsid w:val="002A5E7E"/>
    <w:rsid w:val="002A79A1"/>
    <w:rsid w:val="002B047F"/>
    <w:rsid w:val="002B0611"/>
    <w:rsid w:val="002B1964"/>
    <w:rsid w:val="002B22CE"/>
    <w:rsid w:val="002B26E0"/>
    <w:rsid w:val="002B26FF"/>
    <w:rsid w:val="002B347F"/>
    <w:rsid w:val="002B34B5"/>
    <w:rsid w:val="002B35A0"/>
    <w:rsid w:val="002B380A"/>
    <w:rsid w:val="002B52A1"/>
    <w:rsid w:val="002B5648"/>
    <w:rsid w:val="002B58C9"/>
    <w:rsid w:val="002B5ED6"/>
    <w:rsid w:val="002B755A"/>
    <w:rsid w:val="002C2228"/>
    <w:rsid w:val="002C33B9"/>
    <w:rsid w:val="002C3500"/>
    <w:rsid w:val="002C3A74"/>
    <w:rsid w:val="002C3B42"/>
    <w:rsid w:val="002C3D2A"/>
    <w:rsid w:val="002C3E06"/>
    <w:rsid w:val="002C4252"/>
    <w:rsid w:val="002C4408"/>
    <w:rsid w:val="002C53D4"/>
    <w:rsid w:val="002C5F07"/>
    <w:rsid w:val="002C658F"/>
    <w:rsid w:val="002D0156"/>
    <w:rsid w:val="002D0B04"/>
    <w:rsid w:val="002D0E9E"/>
    <w:rsid w:val="002D255F"/>
    <w:rsid w:val="002D3822"/>
    <w:rsid w:val="002D3F1F"/>
    <w:rsid w:val="002D496F"/>
    <w:rsid w:val="002D5789"/>
    <w:rsid w:val="002E165E"/>
    <w:rsid w:val="002E17FB"/>
    <w:rsid w:val="002E26AC"/>
    <w:rsid w:val="002E31F2"/>
    <w:rsid w:val="002E3A59"/>
    <w:rsid w:val="002E4DB2"/>
    <w:rsid w:val="002E54AD"/>
    <w:rsid w:val="002E6203"/>
    <w:rsid w:val="002E6BF4"/>
    <w:rsid w:val="002E6DCF"/>
    <w:rsid w:val="002E7EDF"/>
    <w:rsid w:val="002E7EE7"/>
    <w:rsid w:val="002F03A3"/>
    <w:rsid w:val="002F06B8"/>
    <w:rsid w:val="002F33F1"/>
    <w:rsid w:val="002F39A9"/>
    <w:rsid w:val="002F3A68"/>
    <w:rsid w:val="002F47CF"/>
    <w:rsid w:val="002F5291"/>
    <w:rsid w:val="002F537F"/>
    <w:rsid w:val="002F5471"/>
    <w:rsid w:val="002F5816"/>
    <w:rsid w:val="002F5E25"/>
    <w:rsid w:val="002F6212"/>
    <w:rsid w:val="00300172"/>
    <w:rsid w:val="00302603"/>
    <w:rsid w:val="00303E1C"/>
    <w:rsid w:val="00304974"/>
    <w:rsid w:val="00304B99"/>
    <w:rsid w:val="00305178"/>
    <w:rsid w:val="0030685F"/>
    <w:rsid w:val="00307117"/>
    <w:rsid w:val="00307A90"/>
    <w:rsid w:val="00307E01"/>
    <w:rsid w:val="00307E36"/>
    <w:rsid w:val="00311727"/>
    <w:rsid w:val="00311FB4"/>
    <w:rsid w:val="00312394"/>
    <w:rsid w:val="00313CB4"/>
    <w:rsid w:val="00313D13"/>
    <w:rsid w:val="003145AB"/>
    <w:rsid w:val="0031481E"/>
    <w:rsid w:val="00315533"/>
    <w:rsid w:val="003163A3"/>
    <w:rsid w:val="0031663F"/>
    <w:rsid w:val="003168A2"/>
    <w:rsid w:val="003171C5"/>
    <w:rsid w:val="003205BC"/>
    <w:rsid w:val="00321347"/>
    <w:rsid w:val="00321A99"/>
    <w:rsid w:val="00322432"/>
    <w:rsid w:val="003230E1"/>
    <w:rsid w:val="003238A6"/>
    <w:rsid w:val="00323A87"/>
    <w:rsid w:val="00324B8F"/>
    <w:rsid w:val="00324FB1"/>
    <w:rsid w:val="003257A1"/>
    <w:rsid w:val="00326BAF"/>
    <w:rsid w:val="003309DE"/>
    <w:rsid w:val="0033131D"/>
    <w:rsid w:val="00331D1A"/>
    <w:rsid w:val="00332433"/>
    <w:rsid w:val="00332601"/>
    <w:rsid w:val="00332775"/>
    <w:rsid w:val="003327C8"/>
    <w:rsid w:val="00332C2E"/>
    <w:rsid w:val="00332C74"/>
    <w:rsid w:val="00333260"/>
    <w:rsid w:val="00333416"/>
    <w:rsid w:val="00333C9B"/>
    <w:rsid w:val="003341BF"/>
    <w:rsid w:val="0033479F"/>
    <w:rsid w:val="00334DCE"/>
    <w:rsid w:val="003352B0"/>
    <w:rsid w:val="00335698"/>
    <w:rsid w:val="00336AC5"/>
    <w:rsid w:val="003400D4"/>
    <w:rsid w:val="00341DC6"/>
    <w:rsid w:val="003428F5"/>
    <w:rsid w:val="00343766"/>
    <w:rsid w:val="00343985"/>
    <w:rsid w:val="003440EA"/>
    <w:rsid w:val="0034445A"/>
    <w:rsid w:val="003458AA"/>
    <w:rsid w:val="003471F3"/>
    <w:rsid w:val="00347247"/>
    <w:rsid w:val="00350370"/>
    <w:rsid w:val="00350836"/>
    <w:rsid w:val="00351116"/>
    <w:rsid w:val="00352067"/>
    <w:rsid w:val="003524D5"/>
    <w:rsid w:val="00352B02"/>
    <w:rsid w:val="003534D4"/>
    <w:rsid w:val="003541AA"/>
    <w:rsid w:val="0035586A"/>
    <w:rsid w:val="003565EA"/>
    <w:rsid w:val="0035693C"/>
    <w:rsid w:val="00357889"/>
    <w:rsid w:val="00357E9C"/>
    <w:rsid w:val="003611DF"/>
    <w:rsid w:val="00361A53"/>
    <w:rsid w:val="00362381"/>
    <w:rsid w:val="00363599"/>
    <w:rsid w:val="003636EA"/>
    <w:rsid w:val="00364705"/>
    <w:rsid w:val="0036589F"/>
    <w:rsid w:val="003659F9"/>
    <w:rsid w:val="003704F1"/>
    <w:rsid w:val="0037133A"/>
    <w:rsid w:val="003715D2"/>
    <w:rsid w:val="003719C6"/>
    <w:rsid w:val="00372982"/>
    <w:rsid w:val="0037324E"/>
    <w:rsid w:val="0037378A"/>
    <w:rsid w:val="00374711"/>
    <w:rsid w:val="0037501E"/>
    <w:rsid w:val="0037513F"/>
    <w:rsid w:val="00375D8B"/>
    <w:rsid w:val="00376308"/>
    <w:rsid w:val="00376AFB"/>
    <w:rsid w:val="003805C3"/>
    <w:rsid w:val="00380A27"/>
    <w:rsid w:val="003817B6"/>
    <w:rsid w:val="003818C9"/>
    <w:rsid w:val="00382099"/>
    <w:rsid w:val="003823F8"/>
    <w:rsid w:val="00382418"/>
    <w:rsid w:val="00382766"/>
    <w:rsid w:val="00382B22"/>
    <w:rsid w:val="00383323"/>
    <w:rsid w:val="00383A96"/>
    <w:rsid w:val="00384379"/>
    <w:rsid w:val="00384507"/>
    <w:rsid w:val="00384549"/>
    <w:rsid w:val="0038459D"/>
    <w:rsid w:val="00384609"/>
    <w:rsid w:val="003846A1"/>
    <w:rsid w:val="0038514D"/>
    <w:rsid w:val="0038537E"/>
    <w:rsid w:val="00385C98"/>
    <w:rsid w:val="00387638"/>
    <w:rsid w:val="00387B52"/>
    <w:rsid w:val="003922AB"/>
    <w:rsid w:val="00392C26"/>
    <w:rsid w:val="00393A21"/>
    <w:rsid w:val="003943FF"/>
    <w:rsid w:val="00394504"/>
    <w:rsid w:val="00394ABF"/>
    <w:rsid w:val="00394B34"/>
    <w:rsid w:val="00394D21"/>
    <w:rsid w:val="00394F13"/>
    <w:rsid w:val="00395128"/>
    <w:rsid w:val="00396268"/>
    <w:rsid w:val="00396A47"/>
    <w:rsid w:val="00396FEC"/>
    <w:rsid w:val="003A0F49"/>
    <w:rsid w:val="003A158E"/>
    <w:rsid w:val="003A36AA"/>
    <w:rsid w:val="003A387E"/>
    <w:rsid w:val="003A3D75"/>
    <w:rsid w:val="003A4A68"/>
    <w:rsid w:val="003A4E71"/>
    <w:rsid w:val="003A51B9"/>
    <w:rsid w:val="003A59D8"/>
    <w:rsid w:val="003A5AE3"/>
    <w:rsid w:val="003A5BD8"/>
    <w:rsid w:val="003A6ABE"/>
    <w:rsid w:val="003A6B45"/>
    <w:rsid w:val="003A77FC"/>
    <w:rsid w:val="003A7F20"/>
    <w:rsid w:val="003B04C4"/>
    <w:rsid w:val="003B05A2"/>
    <w:rsid w:val="003B08ED"/>
    <w:rsid w:val="003B10CA"/>
    <w:rsid w:val="003B176F"/>
    <w:rsid w:val="003B1802"/>
    <w:rsid w:val="003B19AF"/>
    <w:rsid w:val="003B1ABE"/>
    <w:rsid w:val="003B1F04"/>
    <w:rsid w:val="003B27DF"/>
    <w:rsid w:val="003B4566"/>
    <w:rsid w:val="003B48C6"/>
    <w:rsid w:val="003B4FC4"/>
    <w:rsid w:val="003B5491"/>
    <w:rsid w:val="003B5C48"/>
    <w:rsid w:val="003B61BF"/>
    <w:rsid w:val="003B7069"/>
    <w:rsid w:val="003B7D5B"/>
    <w:rsid w:val="003B7E58"/>
    <w:rsid w:val="003C0FA9"/>
    <w:rsid w:val="003C2586"/>
    <w:rsid w:val="003C2CFF"/>
    <w:rsid w:val="003C33E3"/>
    <w:rsid w:val="003C570C"/>
    <w:rsid w:val="003C5DB8"/>
    <w:rsid w:val="003C7038"/>
    <w:rsid w:val="003D0A3A"/>
    <w:rsid w:val="003D0CC8"/>
    <w:rsid w:val="003D26D2"/>
    <w:rsid w:val="003D27AD"/>
    <w:rsid w:val="003D2E07"/>
    <w:rsid w:val="003D4015"/>
    <w:rsid w:val="003D4D1B"/>
    <w:rsid w:val="003D4E79"/>
    <w:rsid w:val="003D5521"/>
    <w:rsid w:val="003D5586"/>
    <w:rsid w:val="003D5E42"/>
    <w:rsid w:val="003D62F5"/>
    <w:rsid w:val="003D6390"/>
    <w:rsid w:val="003D675D"/>
    <w:rsid w:val="003D77FA"/>
    <w:rsid w:val="003E093C"/>
    <w:rsid w:val="003E0B3D"/>
    <w:rsid w:val="003E0DEC"/>
    <w:rsid w:val="003E1DA8"/>
    <w:rsid w:val="003E2439"/>
    <w:rsid w:val="003E5567"/>
    <w:rsid w:val="003E5C4E"/>
    <w:rsid w:val="003E68D5"/>
    <w:rsid w:val="003E6C2E"/>
    <w:rsid w:val="003E7536"/>
    <w:rsid w:val="003E7F5C"/>
    <w:rsid w:val="003F0A29"/>
    <w:rsid w:val="003F2C41"/>
    <w:rsid w:val="003F3103"/>
    <w:rsid w:val="003F3A08"/>
    <w:rsid w:val="003F3D60"/>
    <w:rsid w:val="003F46AB"/>
    <w:rsid w:val="003F540F"/>
    <w:rsid w:val="003F5A6B"/>
    <w:rsid w:val="003F69C4"/>
    <w:rsid w:val="003F700C"/>
    <w:rsid w:val="003F73A6"/>
    <w:rsid w:val="003F7AAA"/>
    <w:rsid w:val="003F7D45"/>
    <w:rsid w:val="00400071"/>
    <w:rsid w:val="0040042B"/>
    <w:rsid w:val="004026B6"/>
    <w:rsid w:val="004028FE"/>
    <w:rsid w:val="004030DB"/>
    <w:rsid w:val="0040349F"/>
    <w:rsid w:val="00404793"/>
    <w:rsid w:val="004112F8"/>
    <w:rsid w:val="0041207F"/>
    <w:rsid w:val="004129D6"/>
    <w:rsid w:val="00412B2A"/>
    <w:rsid w:val="00412BF1"/>
    <w:rsid w:val="00413585"/>
    <w:rsid w:val="00413EB5"/>
    <w:rsid w:val="00421376"/>
    <w:rsid w:val="00421722"/>
    <w:rsid w:val="0042181D"/>
    <w:rsid w:val="00421B7D"/>
    <w:rsid w:val="00423364"/>
    <w:rsid w:val="004233E3"/>
    <w:rsid w:val="00424766"/>
    <w:rsid w:val="00425A19"/>
    <w:rsid w:val="00425B16"/>
    <w:rsid w:val="00426617"/>
    <w:rsid w:val="00426E19"/>
    <w:rsid w:val="0042735A"/>
    <w:rsid w:val="00427DC0"/>
    <w:rsid w:val="0043018A"/>
    <w:rsid w:val="004304A5"/>
    <w:rsid w:val="00431295"/>
    <w:rsid w:val="0043132E"/>
    <w:rsid w:val="00431EE5"/>
    <w:rsid w:val="004324EF"/>
    <w:rsid w:val="00432547"/>
    <w:rsid w:val="004326C4"/>
    <w:rsid w:val="00432D77"/>
    <w:rsid w:val="00432F8C"/>
    <w:rsid w:val="00433D11"/>
    <w:rsid w:val="004351E3"/>
    <w:rsid w:val="004352B1"/>
    <w:rsid w:val="0043588C"/>
    <w:rsid w:val="00435E38"/>
    <w:rsid w:val="00436A77"/>
    <w:rsid w:val="0044080A"/>
    <w:rsid w:val="004414F5"/>
    <w:rsid w:val="00442143"/>
    <w:rsid w:val="00442684"/>
    <w:rsid w:val="00442BE8"/>
    <w:rsid w:val="00443002"/>
    <w:rsid w:val="00444581"/>
    <w:rsid w:val="00445C6B"/>
    <w:rsid w:val="00445F1F"/>
    <w:rsid w:val="004463C3"/>
    <w:rsid w:val="00446DC5"/>
    <w:rsid w:val="00447229"/>
    <w:rsid w:val="00450A14"/>
    <w:rsid w:val="00451EC3"/>
    <w:rsid w:val="00453812"/>
    <w:rsid w:val="004538A2"/>
    <w:rsid w:val="00453ABA"/>
    <w:rsid w:val="004543EA"/>
    <w:rsid w:val="00455B6E"/>
    <w:rsid w:val="00456595"/>
    <w:rsid w:val="004565C2"/>
    <w:rsid w:val="00456C14"/>
    <w:rsid w:val="004575F4"/>
    <w:rsid w:val="0045789A"/>
    <w:rsid w:val="00457FF4"/>
    <w:rsid w:val="00460CFC"/>
    <w:rsid w:val="00460D9A"/>
    <w:rsid w:val="00461C9A"/>
    <w:rsid w:val="0046352A"/>
    <w:rsid w:val="00464B97"/>
    <w:rsid w:val="00464C31"/>
    <w:rsid w:val="00465471"/>
    <w:rsid w:val="00467027"/>
    <w:rsid w:val="004675E3"/>
    <w:rsid w:val="00470210"/>
    <w:rsid w:val="00470A02"/>
    <w:rsid w:val="00470E53"/>
    <w:rsid w:val="00472F4D"/>
    <w:rsid w:val="004736BF"/>
    <w:rsid w:val="00474673"/>
    <w:rsid w:val="004746B0"/>
    <w:rsid w:val="004757D5"/>
    <w:rsid w:val="00476CFF"/>
    <w:rsid w:val="00477953"/>
    <w:rsid w:val="00477ED0"/>
    <w:rsid w:val="0048158B"/>
    <w:rsid w:val="004819E1"/>
    <w:rsid w:val="00482EDC"/>
    <w:rsid w:val="0048321E"/>
    <w:rsid w:val="00484144"/>
    <w:rsid w:val="00484CB2"/>
    <w:rsid w:val="00484DCD"/>
    <w:rsid w:val="00485999"/>
    <w:rsid w:val="00485B43"/>
    <w:rsid w:val="00485D6D"/>
    <w:rsid w:val="00486261"/>
    <w:rsid w:val="00486397"/>
    <w:rsid w:val="004864B0"/>
    <w:rsid w:val="0048717F"/>
    <w:rsid w:val="0049015A"/>
    <w:rsid w:val="0049027A"/>
    <w:rsid w:val="004905FD"/>
    <w:rsid w:val="004910A3"/>
    <w:rsid w:val="00491C74"/>
    <w:rsid w:val="00492DE2"/>
    <w:rsid w:val="0049351D"/>
    <w:rsid w:val="00493633"/>
    <w:rsid w:val="00493D0C"/>
    <w:rsid w:val="00494448"/>
    <w:rsid w:val="00494D78"/>
    <w:rsid w:val="00495435"/>
    <w:rsid w:val="00496EC7"/>
    <w:rsid w:val="00496ECC"/>
    <w:rsid w:val="0049794F"/>
    <w:rsid w:val="00497CA0"/>
    <w:rsid w:val="00497E36"/>
    <w:rsid w:val="004A054A"/>
    <w:rsid w:val="004A0A3A"/>
    <w:rsid w:val="004A0E2C"/>
    <w:rsid w:val="004A1678"/>
    <w:rsid w:val="004A1C4B"/>
    <w:rsid w:val="004A1DD8"/>
    <w:rsid w:val="004A1E03"/>
    <w:rsid w:val="004A24D7"/>
    <w:rsid w:val="004A2D47"/>
    <w:rsid w:val="004A354F"/>
    <w:rsid w:val="004A360D"/>
    <w:rsid w:val="004A4EC4"/>
    <w:rsid w:val="004A59C5"/>
    <w:rsid w:val="004A5A72"/>
    <w:rsid w:val="004A75F8"/>
    <w:rsid w:val="004B0B16"/>
    <w:rsid w:val="004B13C7"/>
    <w:rsid w:val="004B143C"/>
    <w:rsid w:val="004B2205"/>
    <w:rsid w:val="004B3AED"/>
    <w:rsid w:val="004B4A5F"/>
    <w:rsid w:val="004B5077"/>
    <w:rsid w:val="004B6E47"/>
    <w:rsid w:val="004B727D"/>
    <w:rsid w:val="004B7856"/>
    <w:rsid w:val="004C0200"/>
    <w:rsid w:val="004C1E23"/>
    <w:rsid w:val="004C1EC7"/>
    <w:rsid w:val="004C2E61"/>
    <w:rsid w:val="004C3261"/>
    <w:rsid w:val="004C4795"/>
    <w:rsid w:val="004C50CE"/>
    <w:rsid w:val="004C54E0"/>
    <w:rsid w:val="004C5DB9"/>
    <w:rsid w:val="004C6065"/>
    <w:rsid w:val="004D0C7F"/>
    <w:rsid w:val="004D1B28"/>
    <w:rsid w:val="004D1B5F"/>
    <w:rsid w:val="004D1E26"/>
    <w:rsid w:val="004D3F41"/>
    <w:rsid w:val="004D4776"/>
    <w:rsid w:val="004D5CBA"/>
    <w:rsid w:val="004D658C"/>
    <w:rsid w:val="004D6C07"/>
    <w:rsid w:val="004D7D32"/>
    <w:rsid w:val="004D7E6B"/>
    <w:rsid w:val="004E094E"/>
    <w:rsid w:val="004E0E39"/>
    <w:rsid w:val="004E12F1"/>
    <w:rsid w:val="004E17A3"/>
    <w:rsid w:val="004E293A"/>
    <w:rsid w:val="004E2B59"/>
    <w:rsid w:val="004E3037"/>
    <w:rsid w:val="004E382B"/>
    <w:rsid w:val="004E3DAD"/>
    <w:rsid w:val="004E4958"/>
    <w:rsid w:val="004E50B9"/>
    <w:rsid w:val="004E554D"/>
    <w:rsid w:val="004E6104"/>
    <w:rsid w:val="004E6A99"/>
    <w:rsid w:val="004E71FF"/>
    <w:rsid w:val="004E7361"/>
    <w:rsid w:val="004F0A34"/>
    <w:rsid w:val="004F26EE"/>
    <w:rsid w:val="004F3C95"/>
    <w:rsid w:val="004F5574"/>
    <w:rsid w:val="004F5AE6"/>
    <w:rsid w:val="004F605B"/>
    <w:rsid w:val="004F6AD1"/>
    <w:rsid w:val="004F6CCF"/>
    <w:rsid w:val="004F6FC8"/>
    <w:rsid w:val="004F717B"/>
    <w:rsid w:val="004F7394"/>
    <w:rsid w:val="004F7446"/>
    <w:rsid w:val="00500BA6"/>
    <w:rsid w:val="005012D2"/>
    <w:rsid w:val="005037F3"/>
    <w:rsid w:val="00503AB9"/>
    <w:rsid w:val="00505D04"/>
    <w:rsid w:val="0050717F"/>
    <w:rsid w:val="005100CF"/>
    <w:rsid w:val="00510597"/>
    <w:rsid w:val="00512F64"/>
    <w:rsid w:val="00513D10"/>
    <w:rsid w:val="0051478B"/>
    <w:rsid w:val="00515E98"/>
    <w:rsid w:val="00516D5E"/>
    <w:rsid w:val="00516E42"/>
    <w:rsid w:val="005170F1"/>
    <w:rsid w:val="0052000B"/>
    <w:rsid w:val="00520C0B"/>
    <w:rsid w:val="00520DCF"/>
    <w:rsid w:val="005220E4"/>
    <w:rsid w:val="00522C5A"/>
    <w:rsid w:val="00525498"/>
    <w:rsid w:val="005268E0"/>
    <w:rsid w:val="00527CDC"/>
    <w:rsid w:val="005303B0"/>
    <w:rsid w:val="00530471"/>
    <w:rsid w:val="00530D8F"/>
    <w:rsid w:val="00530EF6"/>
    <w:rsid w:val="005334D2"/>
    <w:rsid w:val="005345D7"/>
    <w:rsid w:val="005355FB"/>
    <w:rsid w:val="0054025A"/>
    <w:rsid w:val="0054216C"/>
    <w:rsid w:val="00542380"/>
    <w:rsid w:val="005423F4"/>
    <w:rsid w:val="00542BB0"/>
    <w:rsid w:val="00542D77"/>
    <w:rsid w:val="0054328D"/>
    <w:rsid w:val="00543916"/>
    <w:rsid w:val="005440C5"/>
    <w:rsid w:val="00545318"/>
    <w:rsid w:val="0054602C"/>
    <w:rsid w:val="005467EC"/>
    <w:rsid w:val="00546CD0"/>
    <w:rsid w:val="00547182"/>
    <w:rsid w:val="00547666"/>
    <w:rsid w:val="005477E9"/>
    <w:rsid w:val="00550CFF"/>
    <w:rsid w:val="00550F89"/>
    <w:rsid w:val="00551249"/>
    <w:rsid w:val="005519A6"/>
    <w:rsid w:val="005522BD"/>
    <w:rsid w:val="00552CD3"/>
    <w:rsid w:val="00554B01"/>
    <w:rsid w:val="0055502D"/>
    <w:rsid w:val="005555EE"/>
    <w:rsid w:val="00555AF9"/>
    <w:rsid w:val="00555B66"/>
    <w:rsid w:val="00560105"/>
    <w:rsid w:val="0056047A"/>
    <w:rsid w:val="00560AB4"/>
    <w:rsid w:val="0056171B"/>
    <w:rsid w:val="00562880"/>
    <w:rsid w:val="00562BC8"/>
    <w:rsid w:val="005635FB"/>
    <w:rsid w:val="00564438"/>
    <w:rsid w:val="00565CEA"/>
    <w:rsid w:val="005674E9"/>
    <w:rsid w:val="00570A78"/>
    <w:rsid w:val="0057154C"/>
    <w:rsid w:val="005718C2"/>
    <w:rsid w:val="00571941"/>
    <w:rsid w:val="00571EEF"/>
    <w:rsid w:val="0057418E"/>
    <w:rsid w:val="0057481D"/>
    <w:rsid w:val="00574833"/>
    <w:rsid w:val="00574D9D"/>
    <w:rsid w:val="00574FC5"/>
    <w:rsid w:val="00575503"/>
    <w:rsid w:val="00575857"/>
    <w:rsid w:val="005764C6"/>
    <w:rsid w:val="005765CF"/>
    <w:rsid w:val="005768FA"/>
    <w:rsid w:val="00577D9C"/>
    <w:rsid w:val="005812C2"/>
    <w:rsid w:val="005822EA"/>
    <w:rsid w:val="005828AE"/>
    <w:rsid w:val="00582DD1"/>
    <w:rsid w:val="00583283"/>
    <w:rsid w:val="00583760"/>
    <w:rsid w:val="00584E38"/>
    <w:rsid w:val="00585409"/>
    <w:rsid w:val="005866C5"/>
    <w:rsid w:val="00587232"/>
    <w:rsid w:val="00590C20"/>
    <w:rsid w:val="00590FC1"/>
    <w:rsid w:val="005929A2"/>
    <w:rsid w:val="005942FD"/>
    <w:rsid w:val="00594590"/>
    <w:rsid w:val="005948AF"/>
    <w:rsid w:val="00595C48"/>
    <w:rsid w:val="00596192"/>
    <w:rsid w:val="005965E4"/>
    <w:rsid w:val="00596BCB"/>
    <w:rsid w:val="00597221"/>
    <w:rsid w:val="00597248"/>
    <w:rsid w:val="00597779"/>
    <w:rsid w:val="005977D9"/>
    <w:rsid w:val="0059788E"/>
    <w:rsid w:val="00597E24"/>
    <w:rsid w:val="005A01CF"/>
    <w:rsid w:val="005A3D33"/>
    <w:rsid w:val="005A3ECF"/>
    <w:rsid w:val="005A4228"/>
    <w:rsid w:val="005A46B8"/>
    <w:rsid w:val="005A55E0"/>
    <w:rsid w:val="005A5A11"/>
    <w:rsid w:val="005A5A3C"/>
    <w:rsid w:val="005A6137"/>
    <w:rsid w:val="005A67DB"/>
    <w:rsid w:val="005A694A"/>
    <w:rsid w:val="005A6A0F"/>
    <w:rsid w:val="005A7BA5"/>
    <w:rsid w:val="005B06EC"/>
    <w:rsid w:val="005B14C0"/>
    <w:rsid w:val="005B197C"/>
    <w:rsid w:val="005B1B76"/>
    <w:rsid w:val="005B358F"/>
    <w:rsid w:val="005B3FF3"/>
    <w:rsid w:val="005B4310"/>
    <w:rsid w:val="005B6B90"/>
    <w:rsid w:val="005B6E27"/>
    <w:rsid w:val="005B7A9F"/>
    <w:rsid w:val="005C053C"/>
    <w:rsid w:val="005C05C1"/>
    <w:rsid w:val="005C25D3"/>
    <w:rsid w:val="005C2DF1"/>
    <w:rsid w:val="005C30D6"/>
    <w:rsid w:val="005C38D0"/>
    <w:rsid w:val="005C4000"/>
    <w:rsid w:val="005C40C3"/>
    <w:rsid w:val="005C48B4"/>
    <w:rsid w:val="005C5905"/>
    <w:rsid w:val="005C6116"/>
    <w:rsid w:val="005C663B"/>
    <w:rsid w:val="005D16D3"/>
    <w:rsid w:val="005D1B9C"/>
    <w:rsid w:val="005D1C81"/>
    <w:rsid w:val="005D212E"/>
    <w:rsid w:val="005D2444"/>
    <w:rsid w:val="005D2C53"/>
    <w:rsid w:val="005D4385"/>
    <w:rsid w:val="005D469B"/>
    <w:rsid w:val="005D5486"/>
    <w:rsid w:val="005E0305"/>
    <w:rsid w:val="005E06D7"/>
    <w:rsid w:val="005E3022"/>
    <w:rsid w:val="005E3480"/>
    <w:rsid w:val="005E4766"/>
    <w:rsid w:val="005E500E"/>
    <w:rsid w:val="005E5657"/>
    <w:rsid w:val="005E5B77"/>
    <w:rsid w:val="005E642A"/>
    <w:rsid w:val="005F016A"/>
    <w:rsid w:val="005F0959"/>
    <w:rsid w:val="005F16A6"/>
    <w:rsid w:val="005F3D3D"/>
    <w:rsid w:val="005F40D7"/>
    <w:rsid w:val="005F4194"/>
    <w:rsid w:val="005F58B6"/>
    <w:rsid w:val="005F623D"/>
    <w:rsid w:val="005F6F9B"/>
    <w:rsid w:val="005F70CB"/>
    <w:rsid w:val="0060038C"/>
    <w:rsid w:val="006009D2"/>
    <w:rsid w:val="00600B85"/>
    <w:rsid w:val="006015BC"/>
    <w:rsid w:val="0060187F"/>
    <w:rsid w:val="00601FD1"/>
    <w:rsid w:val="00602E8D"/>
    <w:rsid w:val="00602F96"/>
    <w:rsid w:val="006032E7"/>
    <w:rsid w:val="00603E9F"/>
    <w:rsid w:val="00604008"/>
    <w:rsid w:val="00604547"/>
    <w:rsid w:val="0060510D"/>
    <w:rsid w:val="006067CF"/>
    <w:rsid w:val="0060765E"/>
    <w:rsid w:val="00607690"/>
    <w:rsid w:val="00611140"/>
    <w:rsid w:val="00611E87"/>
    <w:rsid w:val="00611F82"/>
    <w:rsid w:val="006120FB"/>
    <w:rsid w:val="00612214"/>
    <w:rsid w:val="00612946"/>
    <w:rsid w:val="00614452"/>
    <w:rsid w:val="00615C86"/>
    <w:rsid w:val="00616DC3"/>
    <w:rsid w:val="0061783C"/>
    <w:rsid w:val="0062055A"/>
    <w:rsid w:val="006207E0"/>
    <w:rsid w:val="006209C9"/>
    <w:rsid w:val="0062129D"/>
    <w:rsid w:val="0062172E"/>
    <w:rsid w:val="006225A5"/>
    <w:rsid w:val="0062269C"/>
    <w:rsid w:val="00622E08"/>
    <w:rsid w:val="006237D7"/>
    <w:rsid w:val="0062392C"/>
    <w:rsid w:val="00624431"/>
    <w:rsid w:val="00625D69"/>
    <w:rsid w:val="00626045"/>
    <w:rsid w:val="00626BC2"/>
    <w:rsid w:val="00627D9F"/>
    <w:rsid w:val="00630416"/>
    <w:rsid w:val="00631262"/>
    <w:rsid w:val="00631708"/>
    <w:rsid w:val="006319BB"/>
    <w:rsid w:val="00631B80"/>
    <w:rsid w:val="00631CFD"/>
    <w:rsid w:val="00632155"/>
    <w:rsid w:val="00632458"/>
    <w:rsid w:val="006324AB"/>
    <w:rsid w:val="00632C9A"/>
    <w:rsid w:val="00632FBE"/>
    <w:rsid w:val="006340B3"/>
    <w:rsid w:val="00636C55"/>
    <w:rsid w:val="006404D7"/>
    <w:rsid w:val="00640505"/>
    <w:rsid w:val="00640BF8"/>
    <w:rsid w:val="00640F2C"/>
    <w:rsid w:val="006410E3"/>
    <w:rsid w:val="006419B7"/>
    <w:rsid w:val="00641A31"/>
    <w:rsid w:val="006423F6"/>
    <w:rsid w:val="006425BA"/>
    <w:rsid w:val="006438AF"/>
    <w:rsid w:val="00644873"/>
    <w:rsid w:val="0064536A"/>
    <w:rsid w:val="00645AC9"/>
    <w:rsid w:val="006462D5"/>
    <w:rsid w:val="006500D2"/>
    <w:rsid w:val="006522A7"/>
    <w:rsid w:val="0065243B"/>
    <w:rsid w:val="00653BCE"/>
    <w:rsid w:val="00653E16"/>
    <w:rsid w:val="00654AF0"/>
    <w:rsid w:val="00654B8D"/>
    <w:rsid w:val="00655278"/>
    <w:rsid w:val="00655D83"/>
    <w:rsid w:val="00655E31"/>
    <w:rsid w:val="00656202"/>
    <w:rsid w:val="00657095"/>
    <w:rsid w:val="00657826"/>
    <w:rsid w:val="00660112"/>
    <w:rsid w:val="00660F1C"/>
    <w:rsid w:val="00661980"/>
    <w:rsid w:val="00662B41"/>
    <w:rsid w:val="00662DC5"/>
    <w:rsid w:val="006634D7"/>
    <w:rsid w:val="006639FE"/>
    <w:rsid w:val="00663C49"/>
    <w:rsid w:val="00665134"/>
    <w:rsid w:val="006656A9"/>
    <w:rsid w:val="00665A9F"/>
    <w:rsid w:val="00666872"/>
    <w:rsid w:val="00666B29"/>
    <w:rsid w:val="006701D5"/>
    <w:rsid w:val="00670988"/>
    <w:rsid w:val="00671074"/>
    <w:rsid w:val="00671AD8"/>
    <w:rsid w:val="0067242C"/>
    <w:rsid w:val="00673744"/>
    <w:rsid w:val="00673E2C"/>
    <w:rsid w:val="00674842"/>
    <w:rsid w:val="00674E68"/>
    <w:rsid w:val="0067552F"/>
    <w:rsid w:val="00675B0E"/>
    <w:rsid w:val="0067637B"/>
    <w:rsid w:val="0067679C"/>
    <w:rsid w:val="00680C58"/>
    <w:rsid w:val="00682B0E"/>
    <w:rsid w:val="00682C31"/>
    <w:rsid w:val="00682F0E"/>
    <w:rsid w:val="00682F7C"/>
    <w:rsid w:val="00683C55"/>
    <w:rsid w:val="00686D1D"/>
    <w:rsid w:val="006874B2"/>
    <w:rsid w:val="006877A2"/>
    <w:rsid w:val="00687F60"/>
    <w:rsid w:val="00690422"/>
    <w:rsid w:val="006910DA"/>
    <w:rsid w:val="006913AA"/>
    <w:rsid w:val="00691BEB"/>
    <w:rsid w:val="00694655"/>
    <w:rsid w:val="006946E4"/>
    <w:rsid w:val="00695542"/>
    <w:rsid w:val="006A3C91"/>
    <w:rsid w:val="006A4779"/>
    <w:rsid w:val="006A5E15"/>
    <w:rsid w:val="006B136A"/>
    <w:rsid w:val="006B19E1"/>
    <w:rsid w:val="006B35C8"/>
    <w:rsid w:val="006B3B15"/>
    <w:rsid w:val="006B4285"/>
    <w:rsid w:val="006B47F2"/>
    <w:rsid w:val="006B4FD3"/>
    <w:rsid w:val="006B5035"/>
    <w:rsid w:val="006B515E"/>
    <w:rsid w:val="006B77A5"/>
    <w:rsid w:val="006B7BD2"/>
    <w:rsid w:val="006C068B"/>
    <w:rsid w:val="006C1504"/>
    <w:rsid w:val="006C1B1F"/>
    <w:rsid w:val="006C1FCB"/>
    <w:rsid w:val="006C2392"/>
    <w:rsid w:val="006C38D1"/>
    <w:rsid w:val="006C4376"/>
    <w:rsid w:val="006C4D03"/>
    <w:rsid w:val="006C4F4F"/>
    <w:rsid w:val="006C5357"/>
    <w:rsid w:val="006D0BF5"/>
    <w:rsid w:val="006D21B9"/>
    <w:rsid w:val="006D2B91"/>
    <w:rsid w:val="006D45A9"/>
    <w:rsid w:val="006D5B25"/>
    <w:rsid w:val="006D7149"/>
    <w:rsid w:val="006D73AC"/>
    <w:rsid w:val="006D7B6D"/>
    <w:rsid w:val="006D7EEE"/>
    <w:rsid w:val="006E065C"/>
    <w:rsid w:val="006E20BF"/>
    <w:rsid w:val="006E26F1"/>
    <w:rsid w:val="006E2B8E"/>
    <w:rsid w:val="006E2BAB"/>
    <w:rsid w:val="006E49D4"/>
    <w:rsid w:val="006E5107"/>
    <w:rsid w:val="006E5700"/>
    <w:rsid w:val="006E61C7"/>
    <w:rsid w:val="006E6B0A"/>
    <w:rsid w:val="006E7618"/>
    <w:rsid w:val="006F110F"/>
    <w:rsid w:val="006F2EBF"/>
    <w:rsid w:val="006F3026"/>
    <w:rsid w:val="006F4030"/>
    <w:rsid w:val="006F4071"/>
    <w:rsid w:val="006F40AA"/>
    <w:rsid w:val="006F43A5"/>
    <w:rsid w:val="006F487C"/>
    <w:rsid w:val="006F4A2A"/>
    <w:rsid w:val="006F5229"/>
    <w:rsid w:val="006F54C4"/>
    <w:rsid w:val="006F5FBD"/>
    <w:rsid w:val="006F6CE1"/>
    <w:rsid w:val="006F7518"/>
    <w:rsid w:val="006F7705"/>
    <w:rsid w:val="00700B7C"/>
    <w:rsid w:val="00702576"/>
    <w:rsid w:val="00703964"/>
    <w:rsid w:val="00703D8F"/>
    <w:rsid w:val="007045A3"/>
    <w:rsid w:val="00705FAE"/>
    <w:rsid w:val="00706C97"/>
    <w:rsid w:val="00706D2B"/>
    <w:rsid w:val="00706EE0"/>
    <w:rsid w:val="007101E0"/>
    <w:rsid w:val="00710495"/>
    <w:rsid w:val="007112E3"/>
    <w:rsid w:val="007118B2"/>
    <w:rsid w:val="00711D02"/>
    <w:rsid w:val="007134A0"/>
    <w:rsid w:val="00713A9B"/>
    <w:rsid w:val="00713DEC"/>
    <w:rsid w:val="00714DF0"/>
    <w:rsid w:val="00715B84"/>
    <w:rsid w:val="00716691"/>
    <w:rsid w:val="00717295"/>
    <w:rsid w:val="00720CB4"/>
    <w:rsid w:val="00721366"/>
    <w:rsid w:val="0072149C"/>
    <w:rsid w:val="0072161F"/>
    <w:rsid w:val="00722127"/>
    <w:rsid w:val="0072274D"/>
    <w:rsid w:val="00722778"/>
    <w:rsid w:val="007240AD"/>
    <w:rsid w:val="00724304"/>
    <w:rsid w:val="00724B9A"/>
    <w:rsid w:val="00724EF3"/>
    <w:rsid w:val="00724F37"/>
    <w:rsid w:val="00725287"/>
    <w:rsid w:val="007263CA"/>
    <w:rsid w:val="007271E1"/>
    <w:rsid w:val="007277F8"/>
    <w:rsid w:val="007301BD"/>
    <w:rsid w:val="00730622"/>
    <w:rsid w:val="00730652"/>
    <w:rsid w:val="007309DC"/>
    <w:rsid w:val="007316CA"/>
    <w:rsid w:val="007319C9"/>
    <w:rsid w:val="00731C54"/>
    <w:rsid w:val="0073304F"/>
    <w:rsid w:val="00733D3A"/>
    <w:rsid w:val="00735864"/>
    <w:rsid w:val="00736549"/>
    <w:rsid w:val="00736C0B"/>
    <w:rsid w:val="0073728A"/>
    <w:rsid w:val="00737773"/>
    <w:rsid w:val="00737A98"/>
    <w:rsid w:val="007401E8"/>
    <w:rsid w:val="00740673"/>
    <w:rsid w:val="007415CB"/>
    <w:rsid w:val="007418FD"/>
    <w:rsid w:val="00742422"/>
    <w:rsid w:val="007429AF"/>
    <w:rsid w:val="00743444"/>
    <w:rsid w:val="0074451E"/>
    <w:rsid w:val="007448D1"/>
    <w:rsid w:val="00744B05"/>
    <w:rsid w:val="00744E0F"/>
    <w:rsid w:val="00745895"/>
    <w:rsid w:val="00746110"/>
    <w:rsid w:val="00747168"/>
    <w:rsid w:val="00747CF1"/>
    <w:rsid w:val="00750796"/>
    <w:rsid w:val="0075099B"/>
    <w:rsid w:val="00751367"/>
    <w:rsid w:val="00751C8A"/>
    <w:rsid w:val="00752B1A"/>
    <w:rsid w:val="00753058"/>
    <w:rsid w:val="00753495"/>
    <w:rsid w:val="007536CE"/>
    <w:rsid w:val="00753A76"/>
    <w:rsid w:val="00754761"/>
    <w:rsid w:val="007557E4"/>
    <w:rsid w:val="0075674B"/>
    <w:rsid w:val="007572DE"/>
    <w:rsid w:val="00757998"/>
    <w:rsid w:val="00757AC9"/>
    <w:rsid w:val="00757DD1"/>
    <w:rsid w:val="00760078"/>
    <w:rsid w:val="0076070C"/>
    <w:rsid w:val="00760D83"/>
    <w:rsid w:val="00760E29"/>
    <w:rsid w:val="007616E8"/>
    <w:rsid w:val="0076170A"/>
    <w:rsid w:val="00762352"/>
    <w:rsid w:val="007623E3"/>
    <w:rsid w:val="00762B87"/>
    <w:rsid w:val="00764120"/>
    <w:rsid w:val="00764262"/>
    <w:rsid w:val="00764A2A"/>
    <w:rsid w:val="0076547B"/>
    <w:rsid w:val="00765B6D"/>
    <w:rsid w:val="00766C12"/>
    <w:rsid w:val="00767775"/>
    <w:rsid w:val="0076778B"/>
    <w:rsid w:val="00767F6D"/>
    <w:rsid w:val="00770A49"/>
    <w:rsid w:val="007718BA"/>
    <w:rsid w:val="00773663"/>
    <w:rsid w:val="0077395F"/>
    <w:rsid w:val="007753F7"/>
    <w:rsid w:val="007765BF"/>
    <w:rsid w:val="007777E0"/>
    <w:rsid w:val="00777ACA"/>
    <w:rsid w:val="00777DBD"/>
    <w:rsid w:val="00777EE0"/>
    <w:rsid w:val="00777FE8"/>
    <w:rsid w:val="00780995"/>
    <w:rsid w:val="00780E3F"/>
    <w:rsid w:val="007819FE"/>
    <w:rsid w:val="007826F0"/>
    <w:rsid w:val="0078273E"/>
    <w:rsid w:val="00782D28"/>
    <w:rsid w:val="007832FB"/>
    <w:rsid w:val="007844BB"/>
    <w:rsid w:val="00787FAF"/>
    <w:rsid w:val="007907A5"/>
    <w:rsid w:val="007913F5"/>
    <w:rsid w:val="00791C39"/>
    <w:rsid w:val="00792467"/>
    <w:rsid w:val="007925B0"/>
    <w:rsid w:val="00792CC5"/>
    <w:rsid w:val="00793E7C"/>
    <w:rsid w:val="00794182"/>
    <w:rsid w:val="00794944"/>
    <w:rsid w:val="007949A0"/>
    <w:rsid w:val="00794C50"/>
    <w:rsid w:val="00794C9D"/>
    <w:rsid w:val="00795A51"/>
    <w:rsid w:val="00796238"/>
    <w:rsid w:val="00796386"/>
    <w:rsid w:val="007968AC"/>
    <w:rsid w:val="00796CD0"/>
    <w:rsid w:val="007A103B"/>
    <w:rsid w:val="007A2244"/>
    <w:rsid w:val="007A22DE"/>
    <w:rsid w:val="007A3B05"/>
    <w:rsid w:val="007A3C11"/>
    <w:rsid w:val="007A4329"/>
    <w:rsid w:val="007A5301"/>
    <w:rsid w:val="007A5D06"/>
    <w:rsid w:val="007A6A73"/>
    <w:rsid w:val="007A76C8"/>
    <w:rsid w:val="007B01B4"/>
    <w:rsid w:val="007B07F5"/>
    <w:rsid w:val="007B1199"/>
    <w:rsid w:val="007B166F"/>
    <w:rsid w:val="007B1802"/>
    <w:rsid w:val="007B240D"/>
    <w:rsid w:val="007B27D0"/>
    <w:rsid w:val="007B2995"/>
    <w:rsid w:val="007B2DBD"/>
    <w:rsid w:val="007B38B8"/>
    <w:rsid w:val="007B4923"/>
    <w:rsid w:val="007B5B6A"/>
    <w:rsid w:val="007B5D00"/>
    <w:rsid w:val="007B5DDA"/>
    <w:rsid w:val="007B5DED"/>
    <w:rsid w:val="007B5E22"/>
    <w:rsid w:val="007B6EA9"/>
    <w:rsid w:val="007B7440"/>
    <w:rsid w:val="007B7AE4"/>
    <w:rsid w:val="007B7B34"/>
    <w:rsid w:val="007B7C4D"/>
    <w:rsid w:val="007C2553"/>
    <w:rsid w:val="007C3B97"/>
    <w:rsid w:val="007C7D46"/>
    <w:rsid w:val="007D0BF5"/>
    <w:rsid w:val="007D12D5"/>
    <w:rsid w:val="007D2D89"/>
    <w:rsid w:val="007D3044"/>
    <w:rsid w:val="007D3120"/>
    <w:rsid w:val="007D356C"/>
    <w:rsid w:val="007D415E"/>
    <w:rsid w:val="007D4AC9"/>
    <w:rsid w:val="007D604D"/>
    <w:rsid w:val="007D730F"/>
    <w:rsid w:val="007D7723"/>
    <w:rsid w:val="007D77F5"/>
    <w:rsid w:val="007E03AF"/>
    <w:rsid w:val="007E0B33"/>
    <w:rsid w:val="007E0F63"/>
    <w:rsid w:val="007E163E"/>
    <w:rsid w:val="007E1D13"/>
    <w:rsid w:val="007E2A2D"/>
    <w:rsid w:val="007E31E5"/>
    <w:rsid w:val="007E4C61"/>
    <w:rsid w:val="007E51B3"/>
    <w:rsid w:val="007E6ADF"/>
    <w:rsid w:val="007E7BB9"/>
    <w:rsid w:val="007F17F5"/>
    <w:rsid w:val="007F1803"/>
    <w:rsid w:val="007F285B"/>
    <w:rsid w:val="007F2A05"/>
    <w:rsid w:val="007F2F8D"/>
    <w:rsid w:val="007F3928"/>
    <w:rsid w:val="007F427A"/>
    <w:rsid w:val="007F73C3"/>
    <w:rsid w:val="007F7431"/>
    <w:rsid w:val="007F7907"/>
    <w:rsid w:val="007F7B31"/>
    <w:rsid w:val="007F7C95"/>
    <w:rsid w:val="0080057E"/>
    <w:rsid w:val="00800AA6"/>
    <w:rsid w:val="00800ACD"/>
    <w:rsid w:val="00802406"/>
    <w:rsid w:val="00802AE3"/>
    <w:rsid w:val="00802AF2"/>
    <w:rsid w:val="00803378"/>
    <w:rsid w:val="00803889"/>
    <w:rsid w:val="00804102"/>
    <w:rsid w:val="00804C9D"/>
    <w:rsid w:val="00804F03"/>
    <w:rsid w:val="00805B7A"/>
    <w:rsid w:val="00806880"/>
    <w:rsid w:val="00810772"/>
    <w:rsid w:val="00810F31"/>
    <w:rsid w:val="00811B0D"/>
    <w:rsid w:val="00811DC9"/>
    <w:rsid w:val="00811EC4"/>
    <w:rsid w:val="008120B0"/>
    <w:rsid w:val="00812AAC"/>
    <w:rsid w:val="008132AA"/>
    <w:rsid w:val="00815D28"/>
    <w:rsid w:val="00815E43"/>
    <w:rsid w:val="0081729C"/>
    <w:rsid w:val="0082142A"/>
    <w:rsid w:val="00822501"/>
    <w:rsid w:val="00822AF4"/>
    <w:rsid w:val="00822C27"/>
    <w:rsid w:val="0082350E"/>
    <w:rsid w:val="00823763"/>
    <w:rsid w:val="00824700"/>
    <w:rsid w:val="008247C3"/>
    <w:rsid w:val="00824A37"/>
    <w:rsid w:val="00824CFE"/>
    <w:rsid w:val="00825866"/>
    <w:rsid w:val="00825BFB"/>
    <w:rsid w:val="00826974"/>
    <w:rsid w:val="00827347"/>
    <w:rsid w:val="00827383"/>
    <w:rsid w:val="00830B60"/>
    <w:rsid w:val="00831080"/>
    <w:rsid w:val="00831E93"/>
    <w:rsid w:val="00835A06"/>
    <w:rsid w:val="0083610E"/>
    <w:rsid w:val="00836433"/>
    <w:rsid w:val="00837DE6"/>
    <w:rsid w:val="00837FA1"/>
    <w:rsid w:val="008404C3"/>
    <w:rsid w:val="00840D76"/>
    <w:rsid w:val="00841434"/>
    <w:rsid w:val="0084148F"/>
    <w:rsid w:val="008418EA"/>
    <w:rsid w:val="00841AA4"/>
    <w:rsid w:val="008442BB"/>
    <w:rsid w:val="00846760"/>
    <w:rsid w:val="0084691E"/>
    <w:rsid w:val="0084782A"/>
    <w:rsid w:val="00847D63"/>
    <w:rsid w:val="0085073D"/>
    <w:rsid w:val="00851896"/>
    <w:rsid w:val="0085207B"/>
    <w:rsid w:val="00852C96"/>
    <w:rsid w:val="00852DE3"/>
    <w:rsid w:val="00855452"/>
    <w:rsid w:val="00855E44"/>
    <w:rsid w:val="008562BB"/>
    <w:rsid w:val="00856478"/>
    <w:rsid w:val="00857B18"/>
    <w:rsid w:val="00860763"/>
    <w:rsid w:val="00860A41"/>
    <w:rsid w:val="008610DA"/>
    <w:rsid w:val="00862D27"/>
    <w:rsid w:val="00863694"/>
    <w:rsid w:val="00864700"/>
    <w:rsid w:val="0086489C"/>
    <w:rsid w:val="00864985"/>
    <w:rsid w:val="00870662"/>
    <w:rsid w:val="00870C49"/>
    <w:rsid w:val="00870E5A"/>
    <w:rsid w:val="00872867"/>
    <w:rsid w:val="00872D04"/>
    <w:rsid w:val="008730A4"/>
    <w:rsid w:val="0087346A"/>
    <w:rsid w:val="008735D1"/>
    <w:rsid w:val="00874B78"/>
    <w:rsid w:val="00875007"/>
    <w:rsid w:val="008761D5"/>
    <w:rsid w:val="0087621E"/>
    <w:rsid w:val="008767C8"/>
    <w:rsid w:val="008771B1"/>
    <w:rsid w:val="0088011F"/>
    <w:rsid w:val="00880FE2"/>
    <w:rsid w:val="00881478"/>
    <w:rsid w:val="00881FAE"/>
    <w:rsid w:val="00882771"/>
    <w:rsid w:val="008844D3"/>
    <w:rsid w:val="00884FBE"/>
    <w:rsid w:val="0088527C"/>
    <w:rsid w:val="00885BC8"/>
    <w:rsid w:val="00886D48"/>
    <w:rsid w:val="00886E2C"/>
    <w:rsid w:val="00887655"/>
    <w:rsid w:val="00887942"/>
    <w:rsid w:val="00887D8A"/>
    <w:rsid w:val="00887FBD"/>
    <w:rsid w:val="00891CD3"/>
    <w:rsid w:val="00892A6D"/>
    <w:rsid w:val="008934E2"/>
    <w:rsid w:val="00894BFD"/>
    <w:rsid w:val="0089500B"/>
    <w:rsid w:val="008951C5"/>
    <w:rsid w:val="0089538E"/>
    <w:rsid w:val="00896823"/>
    <w:rsid w:val="00896955"/>
    <w:rsid w:val="00897504"/>
    <w:rsid w:val="0089778D"/>
    <w:rsid w:val="00897D5E"/>
    <w:rsid w:val="008A035E"/>
    <w:rsid w:val="008A050C"/>
    <w:rsid w:val="008A0C67"/>
    <w:rsid w:val="008A0D75"/>
    <w:rsid w:val="008A17AF"/>
    <w:rsid w:val="008A2ACA"/>
    <w:rsid w:val="008A3184"/>
    <w:rsid w:val="008A341F"/>
    <w:rsid w:val="008A3DC1"/>
    <w:rsid w:val="008A5050"/>
    <w:rsid w:val="008A505E"/>
    <w:rsid w:val="008A542A"/>
    <w:rsid w:val="008A55CB"/>
    <w:rsid w:val="008A574F"/>
    <w:rsid w:val="008A63FB"/>
    <w:rsid w:val="008A6A74"/>
    <w:rsid w:val="008A6C99"/>
    <w:rsid w:val="008A778C"/>
    <w:rsid w:val="008B0B44"/>
    <w:rsid w:val="008B17E0"/>
    <w:rsid w:val="008B1A01"/>
    <w:rsid w:val="008B1A2A"/>
    <w:rsid w:val="008B27A0"/>
    <w:rsid w:val="008B33A2"/>
    <w:rsid w:val="008B4596"/>
    <w:rsid w:val="008B58CC"/>
    <w:rsid w:val="008B5ED7"/>
    <w:rsid w:val="008B697C"/>
    <w:rsid w:val="008B6FB1"/>
    <w:rsid w:val="008B7203"/>
    <w:rsid w:val="008B7C26"/>
    <w:rsid w:val="008C0A29"/>
    <w:rsid w:val="008C2CD6"/>
    <w:rsid w:val="008C327E"/>
    <w:rsid w:val="008C4682"/>
    <w:rsid w:val="008C4A98"/>
    <w:rsid w:val="008C53D7"/>
    <w:rsid w:val="008C6917"/>
    <w:rsid w:val="008C7AFD"/>
    <w:rsid w:val="008D0A37"/>
    <w:rsid w:val="008D12F0"/>
    <w:rsid w:val="008D27E0"/>
    <w:rsid w:val="008D2A84"/>
    <w:rsid w:val="008D2CC2"/>
    <w:rsid w:val="008D3D59"/>
    <w:rsid w:val="008D55F4"/>
    <w:rsid w:val="008D568B"/>
    <w:rsid w:val="008D56DE"/>
    <w:rsid w:val="008D5EA1"/>
    <w:rsid w:val="008D733D"/>
    <w:rsid w:val="008D7C52"/>
    <w:rsid w:val="008E04C9"/>
    <w:rsid w:val="008E07F6"/>
    <w:rsid w:val="008E0A91"/>
    <w:rsid w:val="008E11E9"/>
    <w:rsid w:val="008E19A1"/>
    <w:rsid w:val="008E1DD2"/>
    <w:rsid w:val="008E3114"/>
    <w:rsid w:val="008E32AE"/>
    <w:rsid w:val="008E32CD"/>
    <w:rsid w:val="008E4207"/>
    <w:rsid w:val="008E4386"/>
    <w:rsid w:val="008E4574"/>
    <w:rsid w:val="008E5A9E"/>
    <w:rsid w:val="008E5BF3"/>
    <w:rsid w:val="008E6E33"/>
    <w:rsid w:val="008E73AB"/>
    <w:rsid w:val="008E75D4"/>
    <w:rsid w:val="008E7F45"/>
    <w:rsid w:val="008F06DE"/>
    <w:rsid w:val="008F1812"/>
    <w:rsid w:val="008F214F"/>
    <w:rsid w:val="008F3468"/>
    <w:rsid w:val="008F357E"/>
    <w:rsid w:val="008F3682"/>
    <w:rsid w:val="008F4586"/>
    <w:rsid w:val="008F49E4"/>
    <w:rsid w:val="008F560F"/>
    <w:rsid w:val="008F5A79"/>
    <w:rsid w:val="008F5CFD"/>
    <w:rsid w:val="008F6081"/>
    <w:rsid w:val="008F60B8"/>
    <w:rsid w:val="008F7C7B"/>
    <w:rsid w:val="008F7E22"/>
    <w:rsid w:val="00900801"/>
    <w:rsid w:val="00900DDD"/>
    <w:rsid w:val="00900EDF"/>
    <w:rsid w:val="00900F7E"/>
    <w:rsid w:val="00901BC0"/>
    <w:rsid w:val="009022FF"/>
    <w:rsid w:val="009029A5"/>
    <w:rsid w:val="00903080"/>
    <w:rsid w:val="00903FC6"/>
    <w:rsid w:val="00904068"/>
    <w:rsid w:val="0090437E"/>
    <w:rsid w:val="0090786D"/>
    <w:rsid w:val="00907FF2"/>
    <w:rsid w:val="00910981"/>
    <w:rsid w:val="009114C4"/>
    <w:rsid w:val="009128D5"/>
    <w:rsid w:val="00912C91"/>
    <w:rsid w:val="00912EFD"/>
    <w:rsid w:val="009133A2"/>
    <w:rsid w:val="009134F3"/>
    <w:rsid w:val="009138B7"/>
    <w:rsid w:val="009146CF"/>
    <w:rsid w:val="0091547E"/>
    <w:rsid w:val="00915F93"/>
    <w:rsid w:val="009169F2"/>
    <w:rsid w:val="00916EEC"/>
    <w:rsid w:val="00922E7D"/>
    <w:rsid w:val="0092390E"/>
    <w:rsid w:val="00923D4D"/>
    <w:rsid w:val="00924561"/>
    <w:rsid w:val="009245E9"/>
    <w:rsid w:val="009249C2"/>
    <w:rsid w:val="00924B15"/>
    <w:rsid w:val="0092504A"/>
    <w:rsid w:val="009253F9"/>
    <w:rsid w:val="0092570C"/>
    <w:rsid w:val="009266A2"/>
    <w:rsid w:val="00927057"/>
    <w:rsid w:val="00927B1D"/>
    <w:rsid w:val="00930E5F"/>
    <w:rsid w:val="00930FF2"/>
    <w:rsid w:val="00931497"/>
    <w:rsid w:val="00931B34"/>
    <w:rsid w:val="009323CE"/>
    <w:rsid w:val="0093269A"/>
    <w:rsid w:val="009333E0"/>
    <w:rsid w:val="009335EB"/>
    <w:rsid w:val="0093498F"/>
    <w:rsid w:val="00936461"/>
    <w:rsid w:val="009365F0"/>
    <w:rsid w:val="009373B0"/>
    <w:rsid w:val="0093783D"/>
    <w:rsid w:val="009424EF"/>
    <w:rsid w:val="009433C1"/>
    <w:rsid w:val="0094352C"/>
    <w:rsid w:val="009455F6"/>
    <w:rsid w:val="00945642"/>
    <w:rsid w:val="009457E4"/>
    <w:rsid w:val="009466E2"/>
    <w:rsid w:val="00946DF1"/>
    <w:rsid w:val="00947266"/>
    <w:rsid w:val="00947A92"/>
    <w:rsid w:val="00947E7E"/>
    <w:rsid w:val="009505D5"/>
    <w:rsid w:val="009514BA"/>
    <w:rsid w:val="0095170F"/>
    <w:rsid w:val="00951BE1"/>
    <w:rsid w:val="00952A93"/>
    <w:rsid w:val="00952CB8"/>
    <w:rsid w:val="0095483C"/>
    <w:rsid w:val="00955FF2"/>
    <w:rsid w:val="00956DFB"/>
    <w:rsid w:val="00957232"/>
    <w:rsid w:val="00957E08"/>
    <w:rsid w:val="00960343"/>
    <w:rsid w:val="00960B53"/>
    <w:rsid w:val="00961C32"/>
    <w:rsid w:val="00962773"/>
    <w:rsid w:val="009632A9"/>
    <w:rsid w:val="009638DE"/>
    <w:rsid w:val="009638FC"/>
    <w:rsid w:val="00963AC8"/>
    <w:rsid w:val="00963FD3"/>
    <w:rsid w:val="0096437D"/>
    <w:rsid w:val="00964779"/>
    <w:rsid w:val="00964ABD"/>
    <w:rsid w:val="00965112"/>
    <w:rsid w:val="00966924"/>
    <w:rsid w:val="00967681"/>
    <w:rsid w:val="00967B80"/>
    <w:rsid w:val="00970CC3"/>
    <w:rsid w:val="009710C7"/>
    <w:rsid w:val="00971599"/>
    <w:rsid w:val="00972A95"/>
    <w:rsid w:val="00973FE2"/>
    <w:rsid w:val="00975283"/>
    <w:rsid w:val="00977B8A"/>
    <w:rsid w:val="0098100F"/>
    <w:rsid w:val="00981363"/>
    <w:rsid w:val="00981748"/>
    <w:rsid w:val="009817DE"/>
    <w:rsid w:val="009830E8"/>
    <w:rsid w:val="009830FF"/>
    <w:rsid w:val="00984886"/>
    <w:rsid w:val="0098512F"/>
    <w:rsid w:val="009852A2"/>
    <w:rsid w:val="009853F5"/>
    <w:rsid w:val="00985614"/>
    <w:rsid w:val="00985B2B"/>
    <w:rsid w:val="00987128"/>
    <w:rsid w:val="00987275"/>
    <w:rsid w:val="0098765C"/>
    <w:rsid w:val="00990164"/>
    <w:rsid w:val="0099045D"/>
    <w:rsid w:val="00992085"/>
    <w:rsid w:val="00992D5C"/>
    <w:rsid w:val="0099492F"/>
    <w:rsid w:val="009A191D"/>
    <w:rsid w:val="009A20D3"/>
    <w:rsid w:val="009A2B42"/>
    <w:rsid w:val="009A363C"/>
    <w:rsid w:val="009A3C4F"/>
    <w:rsid w:val="009A43FB"/>
    <w:rsid w:val="009A4749"/>
    <w:rsid w:val="009A499D"/>
    <w:rsid w:val="009A4C99"/>
    <w:rsid w:val="009A7BD9"/>
    <w:rsid w:val="009B01A1"/>
    <w:rsid w:val="009B157A"/>
    <w:rsid w:val="009B1610"/>
    <w:rsid w:val="009B228C"/>
    <w:rsid w:val="009B3563"/>
    <w:rsid w:val="009B3A51"/>
    <w:rsid w:val="009B5B60"/>
    <w:rsid w:val="009B5D55"/>
    <w:rsid w:val="009B6013"/>
    <w:rsid w:val="009B669E"/>
    <w:rsid w:val="009B68F8"/>
    <w:rsid w:val="009B7C93"/>
    <w:rsid w:val="009B7D11"/>
    <w:rsid w:val="009C167B"/>
    <w:rsid w:val="009C1708"/>
    <w:rsid w:val="009C256D"/>
    <w:rsid w:val="009C37B1"/>
    <w:rsid w:val="009C4F4A"/>
    <w:rsid w:val="009C4FF9"/>
    <w:rsid w:val="009C53E8"/>
    <w:rsid w:val="009C5558"/>
    <w:rsid w:val="009C6633"/>
    <w:rsid w:val="009C66C1"/>
    <w:rsid w:val="009C7128"/>
    <w:rsid w:val="009C74C8"/>
    <w:rsid w:val="009C7B4C"/>
    <w:rsid w:val="009D0299"/>
    <w:rsid w:val="009D0828"/>
    <w:rsid w:val="009D1F43"/>
    <w:rsid w:val="009D2220"/>
    <w:rsid w:val="009D50DB"/>
    <w:rsid w:val="009D636A"/>
    <w:rsid w:val="009D67AB"/>
    <w:rsid w:val="009D6A71"/>
    <w:rsid w:val="009E0AEE"/>
    <w:rsid w:val="009E0DF7"/>
    <w:rsid w:val="009E1F36"/>
    <w:rsid w:val="009E2320"/>
    <w:rsid w:val="009E2686"/>
    <w:rsid w:val="009E2AC4"/>
    <w:rsid w:val="009E35E1"/>
    <w:rsid w:val="009E41B3"/>
    <w:rsid w:val="009E4D0A"/>
    <w:rsid w:val="009E51B1"/>
    <w:rsid w:val="009E54BF"/>
    <w:rsid w:val="009E5E65"/>
    <w:rsid w:val="009E62D4"/>
    <w:rsid w:val="009E6B7C"/>
    <w:rsid w:val="009F055E"/>
    <w:rsid w:val="009F0C1A"/>
    <w:rsid w:val="009F18C0"/>
    <w:rsid w:val="009F27D0"/>
    <w:rsid w:val="009F3844"/>
    <w:rsid w:val="009F51E5"/>
    <w:rsid w:val="009F71FF"/>
    <w:rsid w:val="009F7962"/>
    <w:rsid w:val="00A009C5"/>
    <w:rsid w:val="00A010CD"/>
    <w:rsid w:val="00A01552"/>
    <w:rsid w:val="00A01663"/>
    <w:rsid w:val="00A01776"/>
    <w:rsid w:val="00A0254B"/>
    <w:rsid w:val="00A027A0"/>
    <w:rsid w:val="00A0337F"/>
    <w:rsid w:val="00A03422"/>
    <w:rsid w:val="00A03CD4"/>
    <w:rsid w:val="00A03E78"/>
    <w:rsid w:val="00A05800"/>
    <w:rsid w:val="00A058A4"/>
    <w:rsid w:val="00A05D7D"/>
    <w:rsid w:val="00A05DA8"/>
    <w:rsid w:val="00A062E9"/>
    <w:rsid w:val="00A071F9"/>
    <w:rsid w:val="00A075E6"/>
    <w:rsid w:val="00A1025C"/>
    <w:rsid w:val="00A109F3"/>
    <w:rsid w:val="00A11125"/>
    <w:rsid w:val="00A11871"/>
    <w:rsid w:val="00A12103"/>
    <w:rsid w:val="00A13974"/>
    <w:rsid w:val="00A14E39"/>
    <w:rsid w:val="00A1697D"/>
    <w:rsid w:val="00A16BBA"/>
    <w:rsid w:val="00A17501"/>
    <w:rsid w:val="00A17F46"/>
    <w:rsid w:val="00A208EF"/>
    <w:rsid w:val="00A22322"/>
    <w:rsid w:val="00A230D1"/>
    <w:rsid w:val="00A23B13"/>
    <w:rsid w:val="00A2452D"/>
    <w:rsid w:val="00A24F48"/>
    <w:rsid w:val="00A2563D"/>
    <w:rsid w:val="00A25A10"/>
    <w:rsid w:val="00A25C1A"/>
    <w:rsid w:val="00A25D22"/>
    <w:rsid w:val="00A26CFD"/>
    <w:rsid w:val="00A27840"/>
    <w:rsid w:val="00A27DCA"/>
    <w:rsid w:val="00A307F0"/>
    <w:rsid w:val="00A309B2"/>
    <w:rsid w:val="00A3173D"/>
    <w:rsid w:val="00A31958"/>
    <w:rsid w:val="00A3249F"/>
    <w:rsid w:val="00A32E6D"/>
    <w:rsid w:val="00A33280"/>
    <w:rsid w:val="00A342F8"/>
    <w:rsid w:val="00A34BAD"/>
    <w:rsid w:val="00A3571A"/>
    <w:rsid w:val="00A360EC"/>
    <w:rsid w:val="00A36F04"/>
    <w:rsid w:val="00A37933"/>
    <w:rsid w:val="00A4023C"/>
    <w:rsid w:val="00A40FC5"/>
    <w:rsid w:val="00A41225"/>
    <w:rsid w:val="00A41FD7"/>
    <w:rsid w:val="00A425A9"/>
    <w:rsid w:val="00A42772"/>
    <w:rsid w:val="00A44C58"/>
    <w:rsid w:val="00A45EFE"/>
    <w:rsid w:val="00A46479"/>
    <w:rsid w:val="00A50398"/>
    <w:rsid w:val="00A51AE5"/>
    <w:rsid w:val="00A52226"/>
    <w:rsid w:val="00A52A6D"/>
    <w:rsid w:val="00A5357B"/>
    <w:rsid w:val="00A5421B"/>
    <w:rsid w:val="00A55643"/>
    <w:rsid w:val="00A55F7A"/>
    <w:rsid w:val="00A564CB"/>
    <w:rsid w:val="00A56B4A"/>
    <w:rsid w:val="00A57C60"/>
    <w:rsid w:val="00A57D1E"/>
    <w:rsid w:val="00A602F8"/>
    <w:rsid w:val="00A610C1"/>
    <w:rsid w:val="00A61664"/>
    <w:rsid w:val="00A6263D"/>
    <w:rsid w:val="00A62FF2"/>
    <w:rsid w:val="00A6455F"/>
    <w:rsid w:val="00A6471B"/>
    <w:rsid w:val="00A64CEB"/>
    <w:rsid w:val="00A64E15"/>
    <w:rsid w:val="00A655DD"/>
    <w:rsid w:val="00A70511"/>
    <w:rsid w:val="00A710F4"/>
    <w:rsid w:val="00A717F1"/>
    <w:rsid w:val="00A734E3"/>
    <w:rsid w:val="00A7394C"/>
    <w:rsid w:val="00A74E8A"/>
    <w:rsid w:val="00A756A9"/>
    <w:rsid w:val="00A75F43"/>
    <w:rsid w:val="00A775CF"/>
    <w:rsid w:val="00A7772C"/>
    <w:rsid w:val="00A77B64"/>
    <w:rsid w:val="00A80DBE"/>
    <w:rsid w:val="00A8186C"/>
    <w:rsid w:val="00A824FF"/>
    <w:rsid w:val="00A83929"/>
    <w:rsid w:val="00A8660C"/>
    <w:rsid w:val="00A86742"/>
    <w:rsid w:val="00A868BB"/>
    <w:rsid w:val="00A8750C"/>
    <w:rsid w:val="00A87C10"/>
    <w:rsid w:val="00A87FBF"/>
    <w:rsid w:val="00A90465"/>
    <w:rsid w:val="00A93AB3"/>
    <w:rsid w:val="00A94038"/>
    <w:rsid w:val="00A941FB"/>
    <w:rsid w:val="00A9430D"/>
    <w:rsid w:val="00A94D5C"/>
    <w:rsid w:val="00A950B5"/>
    <w:rsid w:val="00A952F6"/>
    <w:rsid w:val="00A95A61"/>
    <w:rsid w:val="00A96BA8"/>
    <w:rsid w:val="00A97DB7"/>
    <w:rsid w:val="00AA2F96"/>
    <w:rsid w:val="00AA34B8"/>
    <w:rsid w:val="00AA4105"/>
    <w:rsid w:val="00AA430E"/>
    <w:rsid w:val="00AA5064"/>
    <w:rsid w:val="00AA5521"/>
    <w:rsid w:val="00AA55E6"/>
    <w:rsid w:val="00AA6AB8"/>
    <w:rsid w:val="00AA6CED"/>
    <w:rsid w:val="00AA711D"/>
    <w:rsid w:val="00AA71ED"/>
    <w:rsid w:val="00AA7857"/>
    <w:rsid w:val="00AB386C"/>
    <w:rsid w:val="00AB50C0"/>
    <w:rsid w:val="00AB5719"/>
    <w:rsid w:val="00AB5A51"/>
    <w:rsid w:val="00AB5CD8"/>
    <w:rsid w:val="00AC0143"/>
    <w:rsid w:val="00AC09F3"/>
    <w:rsid w:val="00AC0FAF"/>
    <w:rsid w:val="00AC10DF"/>
    <w:rsid w:val="00AC1671"/>
    <w:rsid w:val="00AC23C3"/>
    <w:rsid w:val="00AC32E5"/>
    <w:rsid w:val="00AC33E0"/>
    <w:rsid w:val="00AC4E1E"/>
    <w:rsid w:val="00AC582D"/>
    <w:rsid w:val="00AC6DDA"/>
    <w:rsid w:val="00AD0407"/>
    <w:rsid w:val="00AD0F27"/>
    <w:rsid w:val="00AD1E0E"/>
    <w:rsid w:val="00AD2492"/>
    <w:rsid w:val="00AD2A43"/>
    <w:rsid w:val="00AD4239"/>
    <w:rsid w:val="00AD43B9"/>
    <w:rsid w:val="00AD5F2C"/>
    <w:rsid w:val="00AD69D4"/>
    <w:rsid w:val="00AE0689"/>
    <w:rsid w:val="00AE0997"/>
    <w:rsid w:val="00AE1141"/>
    <w:rsid w:val="00AE1E04"/>
    <w:rsid w:val="00AE2505"/>
    <w:rsid w:val="00AE3412"/>
    <w:rsid w:val="00AE39A2"/>
    <w:rsid w:val="00AE4A89"/>
    <w:rsid w:val="00AE4A90"/>
    <w:rsid w:val="00AE562D"/>
    <w:rsid w:val="00AE58E3"/>
    <w:rsid w:val="00AE6724"/>
    <w:rsid w:val="00AE6F2B"/>
    <w:rsid w:val="00AE75FF"/>
    <w:rsid w:val="00AE7C4D"/>
    <w:rsid w:val="00AE7F42"/>
    <w:rsid w:val="00AF0881"/>
    <w:rsid w:val="00AF0988"/>
    <w:rsid w:val="00AF0C60"/>
    <w:rsid w:val="00AF0C73"/>
    <w:rsid w:val="00AF0D3F"/>
    <w:rsid w:val="00AF1009"/>
    <w:rsid w:val="00AF19EC"/>
    <w:rsid w:val="00AF33AC"/>
    <w:rsid w:val="00AF56B2"/>
    <w:rsid w:val="00AF5C79"/>
    <w:rsid w:val="00AF6DCA"/>
    <w:rsid w:val="00AF7D11"/>
    <w:rsid w:val="00B000B1"/>
    <w:rsid w:val="00B01198"/>
    <w:rsid w:val="00B01C8C"/>
    <w:rsid w:val="00B01FF7"/>
    <w:rsid w:val="00B04261"/>
    <w:rsid w:val="00B043D2"/>
    <w:rsid w:val="00B04943"/>
    <w:rsid w:val="00B052D7"/>
    <w:rsid w:val="00B05377"/>
    <w:rsid w:val="00B056B1"/>
    <w:rsid w:val="00B064E4"/>
    <w:rsid w:val="00B068AC"/>
    <w:rsid w:val="00B06B87"/>
    <w:rsid w:val="00B0782F"/>
    <w:rsid w:val="00B10D0B"/>
    <w:rsid w:val="00B10FD8"/>
    <w:rsid w:val="00B11257"/>
    <w:rsid w:val="00B11F7B"/>
    <w:rsid w:val="00B12241"/>
    <w:rsid w:val="00B12818"/>
    <w:rsid w:val="00B14082"/>
    <w:rsid w:val="00B14446"/>
    <w:rsid w:val="00B154E8"/>
    <w:rsid w:val="00B15C36"/>
    <w:rsid w:val="00B15FBA"/>
    <w:rsid w:val="00B16441"/>
    <w:rsid w:val="00B164B4"/>
    <w:rsid w:val="00B1708C"/>
    <w:rsid w:val="00B17A0A"/>
    <w:rsid w:val="00B21935"/>
    <w:rsid w:val="00B21D97"/>
    <w:rsid w:val="00B22B26"/>
    <w:rsid w:val="00B22DEA"/>
    <w:rsid w:val="00B23A52"/>
    <w:rsid w:val="00B23E01"/>
    <w:rsid w:val="00B245DF"/>
    <w:rsid w:val="00B24F05"/>
    <w:rsid w:val="00B25910"/>
    <w:rsid w:val="00B25CDB"/>
    <w:rsid w:val="00B272E1"/>
    <w:rsid w:val="00B272F9"/>
    <w:rsid w:val="00B31227"/>
    <w:rsid w:val="00B31866"/>
    <w:rsid w:val="00B3188B"/>
    <w:rsid w:val="00B33558"/>
    <w:rsid w:val="00B353BF"/>
    <w:rsid w:val="00B356CC"/>
    <w:rsid w:val="00B359E8"/>
    <w:rsid w:val="00B36363"/>
    <w:rsid w:val="00B36612"/>
    <w:rsid w:val="00B36DCF"/>
    <w:rsid w:val="00B37394"/>
    <w:rsid w:val="00B37895"/>
    <w:rsid w:val="00B37AF5"/>
    <w:rsid w:val="00B40481"/>
    <w:rsid w:val="00B41674"/>
    <w:rsid w:val="00B4218D"/>
    <w:rsid w:val="00B42527"/>
    <w:rsid w:val="00B426AD"/>
    <w:rsid w:val="00B427B4"/>
    <w:rsid w:val="00B42CA5"/>
    <w:rsid w:val="00B43BFA"/>
    <w:rsid w:val="00B44214"/>
    <w:rsid w:val="00B44E1E"/>
    <w:rsid w:val="00B46769"/>
    <w:rsid w:val="00B47CE8"/>
    <w:rsid w:val="00B500EC"/>
    <w:rsid w:val="00B509E8"/>
    <w:rsid w:val="00B5172A"/>
    <w:rsid w:val="00B52233"/>
    <w:rsid w:val="00B5270D"/>
    <w:rsid w:val="00B531CB"/>
    <w:rsid w:val="00B5532D"/>
    <w:rsid w:val="00B5555D"/>
    <w:rsid w:val="00B55C74"/>
    <w:rsid w:val="00B56DD0"/>
    <w:rsid w:val="00B57834"/>
    <w:rsid w:val="00B6046C"/>
    <w:rsid w:val="00B6092D"/>
    <w:rsid w:val="00B6200D"/>
    <w:rsid w:val="00B62DBD"/>
    <w:rsid w:val="00B63892"/>
    <w:rsid w:val="00B6546B"/>
    <w:rsid w:val="00B65FF0"/>
    <w:rsid w:val="00B662FD"/>
    <w:rsid w:val="00B6643E"/>
    <w:rsid w:val="00B66A28"/>
    <w:rsid w:val="00B66F2A"/>
    <w:rsid w:val="00B70B6F"/>
    <w:rsid w:val="00B70BFC"/>
    <w:rsid w:val="00B71C11"/>
    <w:rsid w:val="00B720CE"/>
    <w:rsid w:val="00B73212"/>
    <w:rsid w:val="00B73C55"/>
    <w:rsid w:val="00B746D2"/>
    <w:rsid w:val="00B74A60"/>
    <w:rsid w:val="00B75430"/>
    <w:rsid w:val="00B7600B"/>
    <w:rsid w:val="00B761B1"/>
    <w:rsid w:val="00B76B0D"/>
    <w:rsid w:val="00B824BA"/>
    <w:rsid w:val="00B84E6C"/>
    <w:rsid w:val="00B85A86"/>
    <w:rsid w:val="00B90518"/>
    <w:rsid w:val="00B90C2D"/>
    <w:rsid w:val="00B910CD"/>
    <w:rsid w:val="00B912FB"/>
    <w:rsid w:val="00B93FF0"/>
    <w:rsid w:val="00B94EC4"/>
    <w:rsid w:val="00B94F79"/>
    <w:rsid w:val="00B95409"/>
    <w:rsid w:val="00B9542A"/>
    <w:rsid w:val="00B96F4C"/>
    <w:rsid w:val="00B971E5"/>
    <w:rsid w:val="00B976A6"/>
    <w:rsid w:val="00BA016F"/>
    <w:rsid w:val="00BA13CC"/>
    <w:rsid w:val="00BA1B3B"/>
    <w:rsid w:val="00BA2182"/>
    <w:rsid w:val="00BA28DB"/>
    <w:rsid w:val="00BA2C0F"/>
    <w:rsid w:val="00BA2FCA"/>
    <w:rsid w:val="00BA3421"/>
    <w:rsid w:val="00BA3D5D"/>
    <w:rsid w:val="00BA4D13"/>
    <w:rsid w:val="00BA4EE0"/>
    <w:rsid w:val="00BA5D48"/>
    <w:rsid w:val="00BA70E4"/>
    <w:rsid w:val="00BA7D18"/>
    <w:rsid w:val="00BB0580"/>
    <w:rsid w:val="00BB0973"/>
    <w:rsid w:val="00BB0A48"/>
    <w:rsid w:val="00BB1DD0"/>
    <w:rsid w:val="00BB28B0"/>
    <w:rsid w:val="00BB2CC2"/>
    <w:rsid w:val="00BB3144"/>
    <w:rsid w:val="00BB3536"/>
    <w:rsid w:val="00BB5289"/>
    <w:rsid w:val="00BB5319"/>
    <w:rsid w:val="00BB70FA"/>
    <w:rsid w:val="00BB79D7"/>
    <w:rsid w:val="00BB7B68"/>
    <w:rsid w:val="00BC020A"/>
    <w:rsid w:val="00BC0332"/>
    <w:rsid w:val="00BC139F"/>
    <w:rsid w:val="00BC20FE"/>
    <w:rsid w:val="00BC21EC"/>
    <w:rsid w:val="00BC2251"/>
    <w:rsid w:val="00BC2397"/>
    <w:rsid w:val="00BC278F"/>
    <w:rsid w:val="00BC3C7F"/>
    <w:rsid w:val="00BC3E30"/>
    <w:rsid w:val="00BC423F"/>
    <w:rsid w:val="00BC435C"/>
    <w:rsid w:val="00BC4F1A"/>
    <w:rsid w:val="00BC54F2"/>
    <w:rsid w:val="00BC5B48"/>
    <w:rsid w:val="00BC69EC"/>
    <w:rsid w:val="00BC6AB6"/>
    <w:rsid w:val="00BC6E15"/>
    <w:rsid w:val="00BD0447"/>
    <w:rsid w:val="00BD0AAD"/>
    <w:rsid w:val="00BD21F5"/>
    <w:rsid w:val="00BD596F"/>
    <w:rsid w:val="00BD5FF4"/>
    <w:rsid w:val="00BD758D"/>
    <w:rsid w:val="00BE0852"/>
    <w:rsid w:val="00BE103E"/>
    <w:rsid w:val="00BE215F"/>
    <w:rsid w:val="00BE28D3"/>
    <w:rsid w:val="00BE2A77"/>
    <w:rsid w:val="00BE46CB"/>
    <w:rsid w:val="00BE50AA"/>
    <w:rsid w:val="00BE591A"/>
    <w:rsid w:val="00BE5A5E"/>
    <w:rsid w:val="00BE613B"/>
    <w:rsid w:val="00BE627D"/>
    <w:rsid w:val="00BE6A64"/>
    <w:rsid w:val="00BE7BD9"/>
    <w:rsid w:val="00BF0EE7"/>
    <w:rsid w:val="00BF14E6"/>
    <w:rsid w:val="00BF1541"/>
    <w:rsid w:val="00BF16FB"/>
    <w:rsid w:val="00BF2167"/>
    <w:rsid w:val="00BF333B"/>
    <w:rsid w:val="00BF35C9"/>
    <w:rsid w:val="00BF434E"/>
    <w:rsid w:val="00BF49A0"/>
    <w:rsid w:val="00BF4E69"/>
    <w:rsid w:val="00BF6082"/>
    <w:rsid w:val="00BF68AF"/>
    <w:rsid w:val="00BF7538"/>
    <w:rsid w:val="00C00443"/>
    <w:rsid w:val="00C00C53"/>
    <w:rsid w:val="00C010B5"/>
    <w:rsid w:val="00C022B7"/>
    <w:rsid w:val="00C027A2"/>
    <w:rsid w:val="00C03719"/>
    <w:rsid w:val="00C03A7C"/>
    <w:rsid w:val="00C05004"/>
    <w:rsid w:val="00C05285"/>
    <w:rsid w:val="00C05796"/>
    <w:rsid w:val="00C06335"/>
    <w:rsid w:val="00C07807"/>
    <w:rsid w:val="00C07DBF"/>
    <w:rsid w:val="00C1029D"/>
    <w:rsid w:val="00C10E5E"/>
    <w:rsid w:val="00C11351"/>
    <w:rsid w:val="00C1145F"/>
    <w:rsid w:val="00C11552"/>
    <w:rsid w:val="00C11732"/>
    <w:rsid w:val="00C12038"/>
    <w:rsid w:val="00C12452"/>
    <w:rsid w:val="00C13413"/>
    <w:rsid w:val="00C14A5B"/>
    <w:rsid w:val="00C14FDC"/>
    <w:rsid w:val="00C15646"/>
    <w:rsid w:val="00C15E3E"/>
    <w:rsid w:val="00C16D4D"/>
    <w:rsid w:val="00C17042"/>
    <w:rsid w:val="00C17389"/>
    <w:rsid w:val="00C17C76"/>
    <w:rsid w:val="00C201EF"/>
    <w:rsid w:val="00C204C5"/>
    <w:rsid w:val="00C20CF8"/>
    <w:rsid w:val="00C22B77"/>
    <w:rsid w:val="00C23EB0"/>
    <w:rsid w:val="00C23F91"/>
    <w:rsid w:val="00C253F0"/>
    <w:rsid w:val="00C2549E"/>
    <w:rsid w:val="00C254D4"/>
    <w:rsid w:val="00C263C0"/>
    <w:rsid w:val="00C265B1"/>
    <w:rsid w:val="00C27923"/>
    <w:rsid w:val="00C30396"/>
    <w:rsid w:val="00C30569"/>
    <w:rsid w:val="00C307DA"/>
    <w:rsid w:val="00C30FDB"/>
    <w:rsid w:val="00C311D1"/>
    <w:rsid w:val="00C31777"/>
    <w:rsid w:val="00C3222D"/>
    <w:rsid w:val="00C325A0"/>
    <w:rsid w:val="00C32B50"/>
    <w:rsid w:val="00C32F01"/>
    <w:rsid w:val="00C338D7"/>
    <w:rsid w:val="00C33B2F"/>
    <w:rsid w:val="00C33BB8"/>
    <w:rsid w:val="00C33F64"/>
    <w:rsid w:val="00C34828"/>
    <w:rsid w:val="00C354E1"/>
    <w:rsid w:val="00C35903"/>
    <w:rsid w:val="00C35926"/>
    <w:rsid w:val="00C36885"/>
    <w:rsid w:val="00C3746A"/>
    <w:rsid w:val="00C37C1D"/>
    <w:rsid w:val="00C40057"/>
    <w:rsid w:val="00C404C1"/>
    <w:rsid w:val="00C40C77"/>
    <w:rsid w:val="00C413DB"/>
    <w:rsid w:val="00C41507"/>
    <w:rsid w:val="00C421A5"/>
    <w:rsid w:val="00C42A80"/>
    <w:rsid w:val="00C45469"/>
    <w:rsid w:val="00C46FBA"/>
    <w:rsid w:val="00C47DD8"/>
    <w:rsid w:val="00C50864"/>
    <w:rsid w:val="00C52D41"/>
    <w:rsid w:val="00C52DFB"/>
    <w:rsid w:val="00C53338"/>
    <w:rsid w:val="00C5333E"/>
    <w:rsid w:val="00C5450C"/>
    <w:rsid w:val="00C54BD2"/>
    <w:rsid w:val="00C54CE5"/>
    <w:rsid w:val="00C54D22"/>
    <w:rsid w:val="00C5560B"/>
    <w:rsid w:val="00C56E4E"/>
    <w:rsid w:val="00C57806"/>
    <w:rsid w:val="00C6162C"/>
    <w:rsid w:val="00C625CE"/>
    <w:rsid w:val="00C636EC"/>
    <w:rsid w:val="00C637D7"/>
    <w:rsid w:val="00C63DE6"/>
    <w:rsid w:val="00C65FD3"/>
    <w:rsid w:val="00C66802"/>
    <w:rsid w:val="00C66C00"/>
    <w:rsid w:val="00C678A0"/>
    <w:rsid w:val="00C709F7"/>
    <w:rsid w:val="00C70D41"/>
    <w:rsid w:val="00C716BF"/>
    <w:rsid w:val="00C71F8A"/>
    <w:rsid w:val="00C72865"/>
    <w:rsid w:val="00C72EC1"/>
    <w:rsid w:val="00C74247"/>
    <w:rsid w:val="00C758EB"/>
    <w:rsid w:val="00C76B29"/>
    <w:rsid w:val="00C77B4C"/>
    <w:rsid w:val="00C80B73"/>
    <w:rsid w:val="00C811D8"/>
    <w:rsid w:val="00C81D67"/>
    <w:rsid w:val="00C831B7"/>
    <w:rsid w:val="00C8381D"/>
    <w:rsid w:val="00C8429F"/>
    <w:rsid w:val="00C84445"/>
    <w:rsid w:val="00C90175"/>
    <w:rsid w:val="00C901B2"/>
    <w:rsid w:val="00C90A7A"/>
    <w:rsid w:val="00C91327"/>
    <w:rsid w:val="00C916E4"/>
    <w:rsid w:val="00C92BD2"/>
    <w:rsid w:val="00C931B5"/>
    <w:rsid w:val="00C93861"/>
    <w:rsid w:val="00C9393C"/>
    <w:rsid w:val="00C94203"/>
    <w:rsid w:val="00C94619"/>
    <w:rsid w:val="00C94B86"/>
    <w:rsid w:val="00C9607B"/>
    <w:rsid w:val="00C962FA"/>
    <w:rsid w:val="00C9745D"/>
    <w:rsid w:val="00C9778D"/>
    <w:rsid w:val="00CA1C56"/>
    <w:rsid w:val="00CA32F3"/>
    <w:rsid w:val="00CA3872"/>
    <w:rsid w:val="00CA4372"/>
    <w:rsid w:val="00CA47C5"/>
    <w:rsid w:val="00CA7102"/>
    <w:rsid w:val="00CA793F"/>
    <w:rsid w:val="00CB0543"/>
    <w:rsid w:val="00CB07E7"/>
    <w:rsid w:val="00CB1D10"/>
    <w:rsid w:val="00CB2F1E"/>
    <w:rsid w:val="00CB3A44"/>
    <w:rsid w:val="00CB4222"/>
    <w:rsid w:val="00CB4307"/>
    <w:rsid w:val="00CB5CAB"/>
    <w:rsid w:val="00CC0524"/>
    <w:rsid w:val="00CC14C1"/>
    <w:rsid w:val="00CC201F"/>
    <w:rsid w:val="00CC2718"/>
    <w:rsid w:val="00CC2740"/>
    <w:rsid w:val="00CC3E9B"/>
    <w:rsid w:val="00CC3FED"/>
    <w:rsid w:val="00CC4384"/>
    <w:rsid w:val="00CC53E7"/>
    <w:rsid w:val="00CC5679"/>
    <w:rsid w:val="00CC777D"/>
    <w:rsid w:val="00CD037C"/>
    <w:rsid w:val="00CD0405"/>
    <w:rsid w:val="00CD0820"/>
    <w:rsid w:val="00CD0BC2"/>
    <w:rsid w:val="00CD1B6C"/>
    <w:rsid w:val="00CD27E6"/>
    <w:rsid w:val="00CD35C9"/>
    <w:rsid w:val="00CD3CB0"/>
    <w:rsid w:val="00CD3D97"/>
    <w:rsid w:val="00CD7CB5"/>
    <w:rsid w:val="00CD7F04"/>
    <w:rsid w:val="00CE07CE"/>
    <w:rsid w:val="00CE0C1C"/>
    <w:rsid w:val="00CE2F44"/>
    <w:rsid w:val="00CE4646"/>
    <w:rsid w:val="00CE4A91"/>
    <w:rsid w:val="00CE4F7E"/>
    <w:rsid w:val="00CE521F"/>
    <w:rsid w:val="00CE7D4F"/>
    <w:rsid w:val="00CF16D2"/>
    <w:rsid w:val="00CF182B"/>
    <w:rsid w:val="00CF2509"/>
    <w:rsid w:val="00CF2C78"/>
    <w:rsid w:val="00CF385F"/>
    <w:rsid w:val="00CF4AFE"/>
    <w:rsid w:val="00CF653D"/>
    <w:rsid w:val="00CF6C19"/>
    <w:rsid w:val="00CF769F"/>
    <w:rsid w:val="00D0056A"/>
    <w:rsid w:val="00D00FC5"/>
    <w:rsid w:val="00D01047"/>
    <w:rsid w:val="00D02163"/>
    <w:rsid w:val="00D023CE"/>
    <w:rsid w:val="00D02951"/>
    <w:rsid w:val="00D040E5"/>
    <w:rsid w:val="00D04930"/>
    <w:rsid w:val="00D04BD5"/>
    <w:rsid w:val="00D04BF3"/>
    <w:rsid w:val="00D0603E"/>
    <w:rsid w:val="00D067EF"/>
    <w:rsid w:val="00D0741F"/>
    <w:rsid w:val="00D07D0B"/>
    <w:rsid w:val="00D07F16"/>
    <w:rsid w:val="00D10264"/>
    <w:rsid w:val="00D1153B"/>
    <w:rsid w:val="00D11878"/>
    <w:rsid w:val="00D1333F"/>
    <w:rsid w:val="00D142F9"/>
    <w:rsid w:val="00D14920"/>
    <w:rsid w:val="00D14C2E"/>
    <w:rsid w:val="00D150B2"/>
    <w:rsid w:val="00D15C21"/>
    <w:rsid w:val="00D15CD9"/>
    <w:rsid w:val="00D15EAD"/>
    <w:rsid w:val="00D16599"/>
    <w:rsid w:val="00D2026D"/>
    <w:rsid w:val="00D20E6D"/>
    <w:rsid w:val="00D211D2"/>
    <w:rsid w:val="00D22A72"/>
    <w:rsid w:val="00D22B1B"/>
    <w:rsid w:val="00D23A3E"/>
    <w:rsid w:val="00D24564"/>
    <w:rsid w:val="00D24612"/>
    <w:rsid w:val="00D25629"/>
    <w:rsid w:val="00D277C8"/>
    <w:rsid w:val="00D27E6F"/>
    <w:rsid w:val="00D31FFB"/>
    <w:rsid w:val="00D32523"/>
    <w:rsid w:val="00D329D3"/>
    <w:rsid w:val="00D32DCC"/>
    <w:rsid w:val="00D33648"/>
    <w:rsid w:val="00D33AA9"/>
    <w:rsid w:val="00D34388"/>
    <w:rsid w:val="00D34AF4"/>
    <w:rsid w:val="00D34DFB"/>
    <w:rsid w:val="00D351FB"/>
    <w:rsid w:val="00D365A0"/>
    <w:rsid w:val="00D36964"/>
    <w:rsid w:val="00D369A3"/>
    <w:rsid w:val="00D3716D"/>
    <w:rsid w:val="00D378FB"/>
    <w:rsid w:val="00D4037D"/>
    <w:rsid w:val="00D40990"/>
    <w:rsid w:val="00D40BCF"/>
    <w:rsid w:val="00D4251B"/>
    <w:rsid w:val="00D4258A"/>
    <w:rsid w:val="00D432E7"/>
    <w:rsid w:val="00D43C3F"/>
    <w:rsid w:val="00D4443C"/>
    <w:rsid w:val="00D44C8C"/>
    <w:rsid w:val="00D453C8"/>
    <w:rsid w:val="00D454BA"/>
    <w:rsid w:val="00D46364"/>
    <w:rsid w:val="00D4679B"/>
    <w:rsid w:val="00D47212"/>
    <w:rsid w:val="00D500A2"/>
    <w:rsid w:val="00D513F5"/>
    <w:rsid w:val="00D51A16"/>
    <w:rsid w:val="00D52749"/>
    <w:rsid w:val="00D533E8"/>
    <w:rsid w:val="00D53446"/>
    <w:rsid w:val="00D5380D"/>
    <w:rsid w:val="00D53950"/>
    <w:rsid w:val="00D53F3B"/>
    <w:rsid w:val="00D54444"/>
    <w:rsid w:val="00D54B3B"/>
    <w:rsid w:val="00D54C3D"/>
    <w:rsid w:val="00D54CE1"/>
    <w:rsid w:val="00D55303"/>
    <w:rsid w:val="00D55CC7"/>
    <w:rsid w:val="00D56189"/>
    <w:rsid w:val="00D56FDD"/>
    <w:rsid w:val="00D57740"/>
    <w:rsid w:val="00D577E4"/>
    <w:rsid w:val="00D57BEB"/>
    <w:rsid w:val="00D57F90"/>
    <w:rsid w:val="00D6015A"/>
    <w:rsid w:val="00D6079F"/>
    <w:rsid w:val="00D609E2"/>
    <w:rsid w:val="00D60F05"/>
    <w:rsid w:val="00D61556"/>
    <w:rsid w:val="00D622CD"/>
    <w:rsid w:val="00D62B21"/>
    <w:rsid w:val="00D639C6"/>
    <w:rsid w:val="00D63BBE"/>
    <w:rsid w:val="00D64256"/>
    <w:rsid w:val="00D65391"/>
    <w:rsid w:val="00D6560D"/>
    <w:rsid w:val="00D65FF8"/>
    <w:rsid w:val="00D66183"/>
    <w:rsid w:val="00D66353"/>
    <w:rsid w:val="00D66423"/>
    <w:rsid w:val="00D66507"/>
    <w:rsid w:val="00D66AF4"/>
    <w:rsid w:val="00D6728F"/>
    <w:rsid w:val="00D6747C"/>
    <w:rsid w:val="00D6753B"/>
    <w:rsid w:val="00D7010A"/>
    <w:rsid w:val="00D70490"/>
    <w:rsid w:val="00D70E66"/>
    <w:rsid w:val="00D718A4"/>
    <w:rsid w:val="00D7201B"/>
    <w:rsid w:val="00D72CF5"/>
    <w:rsid w:val="00D750D0"/>
    <w:rsid w:val="00D756C1"/>
    <w:rsid w:val="00D75918"/>
    <w:rsid w:val="00D75D0C"/>
    <w:rsid w:val="00D75DCA"/>
    <w:rsid w:val="00D75E25"/>
    <w:rsid w:val="00D77049"/>
    <w:rsid w:val="00D77467"/>
    <w:rsid w:val="00D7752C"/>
    <w:rsid w:val="00D77BD4"/>
    <w:rsid w:val="00D81261"/>
    <w:rsid w:val="00D81ADA"/>
    <w:rsid w:val="00D8325E"/>
    <w:rsid w:val="00D84628"/>
    <w:rsid w:val="00D84B9B"/>
    <w:rsid w:val="00D84C7D"/>
    <w:rsid w:val="00D84E60"/>
    <w:rsid w:val="00D85768"/>
    <w:rsid w:val="00D8580F"/>
    <w:rsid w:val="00D869EE"/>
    <w:rsid w:val="00D86DF8"/>
    <w:rsid w:val="00D87308"/>
    <w:rsid w:val="00D90956"/>
    <w:rsid w:val="00D912C7"/>
    <w:rsid w:val="00D9158E"/>
    <w:rsid w:val="00D91B4E"/>
    <w:rsid w:val="00D93568"/>
    <w:rsid w:val="00D94945"/>
    <w:rsid w:val="00D95A93"/>
    <w:rsid w:val="00D966C0"/>
    <w:rsid w:val="00D96745"/>
    <w:rsid w:val="00D96D44"/>
    <w:rsid w:val="00D97157"/>
    <w:rsid w:val="00D974BF"/>
    <w:rsid w:val="00D97719"/>
    <w:rsid w:val="00DA0795"/>
    <w:rsid w:val="00DA0919"/>
    <w:rsid w:val="00DA11BD"/>
    <w:rsid w:val="00DA2687"/>
    <w:rsid w:val="00DA2F66"/>
    <w:rsid w:val="00DA40FD"/>
    <w:rsid w:val="00DA417F"/>
    <w:rsid w:val="00DA488D"/>
    <w:rsid w:val="00DA5267"/>
    <w:rsid w:val="00DA552F"/>
    <w:rsid w:val="00DA6DFD"/>
    <w:rsid w:val="00DA78E6"/>
    <w:rsid w:val="00DA7B64"/>
    <w:rsid w:val="00DA7F97"/>
    <w:rsid w:val="00DB04FB"/>
    <w:rsid w:val="00DB07FE"/>
    <w:rsid w:val="00DB0A2A"/>
    <w:rsid w:val="00DB1468"/>
    <w:rsid w:val="00DB1F69"/>
    <w:rsid w:val="00DB212C"/>
    <w:rsid w:val="00DB2174"/>
    <w:rsid w:val="00DB23B4"/>
    <w:rsid w:val="00DB25AA"/>
    <w:rsid w:val="00DB2611"/>
    <w:rsid w:val="00DB2834"/>
    <w:rsid w:val="00DB31F8"/>
    <w:rsid w:val="00DB3DE6"/>
    <w:rsid w:val="00DB400D"/>
    <w:rsid w:val="00DB4C3F"/>
    <w:rsid w:val="00DB4F25"/>
    <w:rsid w:val="00DB5013"/>
    <w:rsid w:val="00DB5337"/>
    <w:rsid w:val="00DB53BB"/>
    <w:rsid w:val="00DB6F84"/>
    <w:rsid w:val="00DB79AE"/>
    <w:rsid w:val="00DC0B40"/>
    <w:rsid w:val="00DC4295"/>
    <w:rsid w:val="00DC55A0"/>
    <w:rsid w:val="00DC639D"/>
    <w:rsid w:val="00DC6776"/>
    <w:rsid w:val="00DC6D5D"/>
    <w:rsid w:val="00DD04EE"/>
    <w:rsid w:val="00DD1AC6"/>
    <w:rsid w:val="00DD1B81"/>
    <w:rsid w:val="00DD27C4"/>
    <w:rsid w:val="00DD2D95"/>
    <w:rsid w:val="00DD42B0"/>
    <w:rsid w:val="00DD44BB"/>
    <w:rsid w:val="00DD577B"/>
    <w:rsid w:val="00DD5A48"/>
    <w:rsid w:val="00DD7B69"/>
    <w:rsid w:val="00DD7F48"/>
    <w:rsid w:val="00DE0630"/>
    <w:rsid w:val="00DE0BCD"/>
    <w:rsid w:val="00DE0EED"/>
    <w:rsid w:val="00DE1191"/>
    <w:rsid w:val="00DE28DB"/>
    <w:rsid w:val="00DE374A"/>
    <w:rsid w:val="00DE490A"/>
    <w:rsid w:val="00DE49A1"/>
    <w:rsid w:val="00DE5013"/>
    <w:rsid w:val="00DE51E1"/>
    <w:rsid w:val="00DE6663"/>
    <w:rsid w:val="00DE6B07"/>
    <w:rsid w:val="00DE76FF"/>
    <w:rsid w:val="00DE7BE0"/>
    <w:rsid w:val="00DF1B5F"/>
    <w:rsid w:val="00DF1BDA"/>
    <w:rsid w:val="00DF2373"/>
    <w:rsid w:val="00DF26B0"/>
    <w:rsid w:val="00DF2B64"/>
    <w:rsid w:val="00DF3720"/>
    <w:rsid w:val="00DF5085"/>
    <w:rsid w:val="00DF5B14"/>
    <w:rsid w:val="00DF5B8F"/>
    <w:rsid w:val="00DF5C89"/>
    <w:rsid w:val="00DF69DC"/>
    <w:rsid w:val="00DF6D8A"/>
    <w:rsid w:val="00DF7FBB"/>
    <w:rsid w:val="00E0013B"/>
    <w:rsid w:val="00E00D53"/>
    <w:rsid w:val="00E020EC"/>
    <w:rsid w:val="00E03603"/>
    <w:rsid w:val="00E051F7"/>
    <w:rsid w:val="00E05618"/>
    <w:rsid w:val="00E05C41"/>
    <w:rsid w:val="00E05D88"/>
    <w:rsid w:val="00E0693D"/>
    <w:rsid w:val="00E06DD7"/>
    <w:rsid w:val="00E07FE2"/>
    <w:rsid w:val="00E100EF"/>
    <w:rsid w:val="00E1191D"/>
    <w:rsid w:val="00E122B1"/>
    <w:rsid w:val="00E12816"/>
    <w:rsid w:val="00E130B4"/>
    <w:rsid w:val="00E13A2A"/>
    <w:rsid w:val="00E143CF"/>
    <w:rsid w:val="00E15329"/>
    <w:rsid w:val="00E166AC"/>
    <w:rsid w:val="00E16762"/>
    <w:rsid w:val="00E1684E"/>
    <w:rsid w:val="00E16E0E"/>
    <w:rsid w:val="00E16E30"/>
    <w:rsid w:val="00E216D9"/>
    <w:rsid w:val="00E21734"/>
    <w:rsid w:val="00E2256D"/>
    <w:rsid w:val="00E229A3"/>
    <w:rsid w:val="00E22A39"/>
    <w:rsid w:val="00E23A37"/>
    <w:rsid w:val="00E23C1F"/>
    <w:rsid w:val="00E26A1C"/>
    <w:rsid w:val="00E26B13"/>
    <w:rsid w:val="00E274F0"/>
    <w:rsid w:val="00E2778F"/>
    <w:rsid w:val="00E27902"/>
    <w:rsid w:val="00E27BAC"/>
    <w:rsid w:val="00E27D5E"/>
    <w:rsid w:val="00E306F4"/>
    <w:rsid w:val="00E308B2"/>
    <w:rsid w:val="00E31E26"/>
    <w:rsid w:val="00E32ADE"/>
    <w:rsid w:val="00E32B2F"/>
    <w:rsid w:val="00E33F9F"/>
    <w:rsid w:val="00E35481"/>
    <w:rsid w:val="00E35AC6"/>
    <w:rsid w:val="00E35FA2"/>
    <w:rsid w:val="00E36739"/>
    <w:rsid w:val="00E370B2"/>
    <w:rsid w:val="00E37375"/>
    <w:rsid w:val="00E40680"/>
    <w:rsid w:val="00E4134F"/>
    <w:rsid w:val="00E41C1B"/>
    <w:rsid w:val="00E43A3E"/>
    <w:rsid w:val="00E459D7"/>
    <w:rsid w:val="00E46BE8"/>
    <w:rsid w:val="00E47076"/>
    <w:rsid w:val="00E47871"/>
    <w:rsid w:val="00E47BBA"/>
    <w:rsid w:val="00E504BE"/>
    <w:rsid w:val="00E513D5"/>
    <w:rsid w:val="00E515C8"/>
    <w:rsid w:val="00E51ADF"/>
    <w:rsid w:val="00E51CD2"/>
    <w:rsid w:val="00E53078"/>
    <w:rsid w:val="00E53220"/>
    <w:rsid w:val="00E5419E"/>
    <w:rsid w:val="00E54B7D"/>
    <w:rsid w:val="00E54EDB"/>
    <w:rsid w:val="00E57DAB"/>
    <w:rsid w:val="00E60C5C"/>
    <w:rsid w:val="00E60DB1"/>
    <w:rsid w:val="00E60EC6"/>
    <w:rsid w:val="00E61A2B"/>
    <w:rsid w:val="00E61E1A"/>
    <w:rsid w:val="00E61F16"/>
    <w:rsid w:val="00E61FFB"/>
    <w:rsid w:val="00E631E9"/>
    <w:rsid w:val="00E64CA7"/>
    <w:rsid w:val="00E65599"/>
    <w:rsid w:val="00E677E5"/>
    <w:rsid w:val="00E70466"/>
    <w:rsid w:val="00E72F0C"/>
    <w:rsid w:val="00E72FE2"/>
    <w:rsid w:val="00E73182"/>
    <w:rsid w:val="00E73807"/>
    <w:rsid w:val="00E77470"/>
    <w:rsid w:val="00E77C14"/>
    <w:rsid w:val="00E808F1"/>
    <w:rsid w:val="00E82663"/>
    <w:rsid w:val="00E851B0"/>
    <w:rsid w:val="00E865F5"/>
    <w:rsid w:val="00E86612"/>
    <w:rsid w:val="00E92723"/>
    <w:rsid w:val="00E92DD9"/>
    <w:rsid w:val="00E9316B"/>
    <w:rsid w:val="00E937FE"/>
    <w:rsid w:val="00E93F83"/>
    <w:rsid w:val="00E94D3E"/>
    <w:rsid w:val="00E954B0"/>
    <w:rsid w:val="00EA0DE2"/>
    <w:rsid w:val="00EA1903"/>
    <w:rsid w:val="00EA30A9"/>
    <w:rsid w:val="00EA3F2A"/>
    <w:rsid w:val="00EA6151"/>
    <w:rsid w:val="00EB0179"/>
    <w:rsid w:val="00EB0610"/>
    <w:rsid w:val="00EB1643"/>
    <w:rsid w:val="00EB21C3"/>
    <w:rsid w:val="00EB2848"/>
    <w:rsid w:val="00EB287E"/>
    <w:rsid w:val="00EB3020"/>
    <w:rsid w:val="00EB3C48"/>
    <w:rsid w:val="00EB48A6"/>
    <w:rsid w:val="00EB5207"/>
    <w:rsid w:val="00EB537D"/>
    <w:rsid w:val="00EB5CC9"/>
    <w:rsid w:val="00EB5D23"/>
    <w:rsid w:val="00EB68BF"/>
    <w:rsid w:val="00EB6B37"/>
    <w:rsid w:val="00EB7160"/>
    <w:rsid w:val="00EB735A"/>
    <w:rsid w:val="00EB736C"/>
    <w:rsid w:val="00EC050A"/>
    <w:rsid w:val="00EC18C2"/>
    <w:rsid w:val="00EC2978"/>
    <w:rsid w:val="00EC2E07"/>
    <w:rsid w:val="00EC3E46"/>
    <w:rsid w:val="00EC400E"/>
    <w:rsid w:val="00EC48D5"/>
    <w:rsid w:val="00EC4FDA"/>
    <w:rsid w:val="00EC507F"/>
    <w:rsid w:val="00EC5E7E"/>
    <w:rsid w:val="00EC6355"/>
    <w:rsid w:val="00EC6707"/>
    <w:rsid w:val="00EC69EA"/>
    <w:rsid w:val="00EC701B"/>
    <w:rsid w:val="00EC7C15"/>
    <w:rsid w:val="00ED08E0"/>
    <w:rsid w:val="00ED0E44"/>
    <w:rsid w:val="00ED0FC7"/>
    <w:rsid w:val="00ED11B6"/>
    <w:rsid w:val="00ED1288"/>
    <w:rsid w:val="00ED1A04"/>
    <w:rsid w:val="00ED1BA1"/>
    <w:rsid w:val="00ED1FE1"/>
    <w:rsid w:val="00ED42CB"/>
    <w:rsid w:val="00ED5965"/>
    <w:rsid w:val="00ED5B00"/>
    <w:rsid w:val="00ED5CED"/>
    <w:rsid w:val="00ED736F"/>
    <w:rsid w:val="00EE0FE9"/>
    <w:rsid w:val="00EE1D67"/>
    <w:rsid w:val="00EE3FA5"/>
    <w:rsid w:val="00EE5C34"/>
    <w:rsid w:val="00EE5C58"/>
    <w:rsid w:val="00EE6F51"/>
    <w:rsid w:val="00EF059C"/>
    <w:rsid w:val="00EF0765"/>
    <w:rsid w:val="00EF0FCD"/>
    <w:rsid w:val="00EF1E8A"/>
    <w:rsid w:val="00EF20EE"/>
    <w:rsid w:val="00EF2485"/>
    <w:rsid w:val="00EF2B4F"/>
    <w:rsid w:val="00EF2DD3"/>
    <w:rsid w:val="00EF4043"/>
    <w:rsid w:val="00EF4448"/>
    <w:rsid w:val="00EF4EBF"/>
    <w:rsid w:val="00EF56BC"/>
    <w:rsid w:val="00EF5A95"/>
    <w:rsid w:val="00EF6D50"/>
    <w:rsid w:val="00EF6EF0"/>
    <w:rsid w:val="00EF71DD"/>
    <w:rsid w:val="00EF753D"/>
    <w:rsid w:val="00EF79A1"/>
    <w:rsid w:val="00F01364"/>
    <w:rsid w:val="00F013DD"/>
    <w:rsid w:val="00F01B35"/>
    <w:rsid w:val="00F03768"/>
    <w:rsid w:val="00F037C2"/>
    <w:rsid w:val="00F0417B"/>
    <w:rsid w:val="00F0435A"/>
    <w:rsid w:val="00F043F9"/>
    <w:rsid w:val="00F04917"/>
    <w:rsid w:val="00F04DC1"/>
    <w:rsid w:val="00F05EC6"/>
    <w:rsid w:val="00F06883"/>
    <w:rsid w:val="00F07219"/>
    <w:rsid w:val="00F07B55"/>
    <w:rsid w:val="00F07E9B"/>
    <w:rsid w:val="00F10675"/>
    <w:rsid w:val="00F1074B"/>
    <w:rsid w:val="00F119B4"/>
    <w:rsid w:val="00F1258A"/>
    <w:rsid w:val="00F1269C"/>
    <w:rsid w:val="00F13478"/>
    <w:rsid w:val="00F13785"/>
    <w:rsid w:val="00F13C34"/>
    <w:rsid w:val="00F142C5"/>
    <w:rsid w:val="00F1460D"/>
    <w:rsid w:val="00F14F67"/>
    <w:rsid w:val="00F163A3"/>
    <w:rsid w:val="00F16484"/>
    <w:rsid w:val="00F16686"/>
    <w:rsid w:val="00F1691B"/>
    <w:rsid w:val="00F1776D"/>
    <w:rsid w:val="00F24174"/>
    <w:rsid w:val="00F24964"/>
    <w:rsid w:val="00F24976"/>
    <w:rsid w:val="00F25183"/>
    <w:rsid w:val="00F25E36"/>
    <w:rsid w:val="00F2603D"/>
    <w:rsid w:val="00F27408"/>
    <w:rsid w:val="00F27A82"/>
    <w:rsid w:val="00F301F2"/>
    <w:rsid w:val="00F305AD"/>
    <w:rsid w:val="00F309A0"/>
    <w:rsid w:val="00F30D39"/>
    <w:rsid w:val="00F32DAD"/>
    <w:rsid w:val="00F33E88"/>
    <w:rsid w:val="00F34830"/>
    <w:rsid w:val="00F35316"/>
    <w:rsid w:val="00F354D7"/>
    <w:rsid w:val="00F3554C"/>
    <w:rsid w:val="00F35C10"/>
    <w:rsid w:val="00F3603B"/>
    <w:rsid w:val="00F36562"/>
    <w:rsid w:val="00F371C2"/>
    <w:rsid w:val="00F37CDE"/>
    <w:rsid w:val="00F41056"/>
    <w:rsid w:val="00F41BD5"/>
    <w:rsid w:val="00F42121"/>
    <w:rsid w:val="00F429A3"/>
    <w:rsid w:val="00F42C84"/>
    <w:rsid w:val="00F42FA8"/>
    <w:rsid w:val="00F438E7"/>
    <w:rsid w:val="00F43AEF"/>
    <w:rsid w:val="00F457D8"/>
    <w:rsid w:val="00F45854"/>
    <w:rsid w:val="00F459CC"/>
    <w:rsid w:val="00F45FD1"/>
    <w:rsid w:val="00F46A81"/>
    <w:rsid w:val="00F476D5"/>
    <w:rsid w:val="00F47ADE"/>
    <w:rsid w:val="00F503FF"/>
    <w:rsid w:val="00F506DF"/>
    <w:rsid w:val="00F51196"/>
    <w:rsid w:val="00F511CD"/>
    <w:rsid w:val="00F51A00"/>
    <w:rsid w:val="00F51CD4"/>
    <w:rsid w:val="00F521A9"/>
    <w:rsid w:val="00F54415"/>
    <w:rsid w:val="00F549A1"/>
    <w:rsid w:val="00F550FF"/>
    <w:rsid w:val="00F552E2"/>
    <w:rsid w:val="00F558CD"/>
    <w:rsid w:val="00F566E4"/>
    <w:rsid w:val="00F567FD"/>
    <w:rsid w:val="00F5719F"/>
    <w:rsid w:val="00F577BF"/>
    <w:rsid w:val="00F60EFC"/>
    <w:rsid w:val="00F623CE"/>
    <w:rsid w:val="00F63535"/>
    <w:rsid w:val="00F637E3"/>
    <w:rsid w:val="00F64212"/>
    <w:rsid w:val="00F6467A"/>
    <w:rsid w:val="00F64F5E"/>
    <w:rsid w:val="00F669C8"/>
    <w:rsid w:val="00F67B2B"/>
    <w:rsid w:val="00F67DBC"/>
    <w:rsid w:val="00F700AD"/>
    <w:rsid w:val="00F702BD"/>
    <w:rsid w:val="00F725FA"/>
    <w:rsid w:val="00F7325B"/>
    <w:rsid w:val="00F73C3B"/>
    <w:rsid w:val="00F7411A"/>
    <w:rsid w:val="00F75126"/>
    <w:rsid w:val="00F75989"/>
    <w:rsid w:val="00F7607E"/>
    <w:rsid w:val="00F76E7B"/>
    <w:rsid w:val="00F77D31"/>
    <w:rsid w:val="00F80073"/>
    <w:rsid w:val="00F802F4"/>
    <w:rsid w:val="00F82E3A"/>
    <w:rsid w:val="00F85A3E"/>
    <w:rsid w:val="00F85D3B"/>
    <w:rsid w:val="00F865AC"/>
    <w:rsid w:val="00F90AB7"/>
    <w:rsid w:val="00F90D2C"/>
    <w:rsid w:val="00F91534"/>
    <w:rsid w:val="00F918BF"/>
    <w:rsid w:val="00F91E6D"/>
    <w:rsid w:val="00F926E8"/>
    <w:rsid w:val="00F92C14"/>
    <w:rsid w:val="00F93793"/>
    <w:rsid w:val="00F93A89"/>
    <w:rsid w:val="00F93D6C"/>
    <w:rsid w:val="00F9546A"/>
    <w:rsid w:val="00F954A9"/>
    <w:rsid w:val="00F95628"/>
    <w:rsid w:val="00F95AB5"/>
    <w:rsid w:val="00F96033"/>
    <w:rsid w:val="00F96398"/>
    <w:rsid w:val="00F963E5"/>
    <w:rsid w:val="00F9702E"/>
    <w:rsid w:val="00F97176"/>
    <w:rsid w:val="00F97185"/>
    <w:rsid w:val="00F97C30"/>
    <w:rsid w:val="00FA0A07"/>
    <w:rsid w:val="00FA1510"/>
    <w:rsid w:val="00FA16E7"/>
    <w:rsid w:val="00FA1E54"/>
    <w:rsid w:val="00FA20C4"/>
    <w:rsid w:val="00FA25D9"/>
    <w:rsid w:val="00FA3202"/>
    <w:rsid w:val="00FA371A"/>
    <w:rsid w:val="00FA445B"/>
    <w:rsid w:val="00FA4613"/>
    <w:rsid w:val="00FA47E2"/>
    <w:rsid w:val="00FA4938"/>
    <w:rsid w:val="00FA59F2"/>
    <w:rsid w:val="00FA5B64"/>
    <w:rsid w:val="00FA5FF4"/>
    <w:rsid w:val="00FA6157"/>
    <w:rsid w:val="00FA6445"/>
    <w:rsid w:val="00FA7218"/>
    <w:rsid w:val="00FA73DF"/>
    <w:rsid w:val="00FA7747"/>
    <w:rsid w:val="00FB0389"/>
    <w:rsid w:val="00FB1153"/>
    <w:rsid w:val="00FB1890"/>
    <w:rsid w:val="00FB2134"/>
    <w:rsid w:val="00FB25FC"/>
    <w:rsid w:val="00FB3525"/>
    <w:rsid w:val="00FB436C"/>
    <w:rsid w:val="00FB47DA"/>
    <w:rsid w:val="00FB4A2F"/>
    <w:rsid w:val="00FB4EE1"/>
    <w:rsid w:val="00FB53DC"/>
    <w:rsid w:val="00FB563A"/>
    <w:rsid w:val="00FB5E12"/>
    <w:rsid w:val="00FB5E8E"/>
    <w:rsid w:val="00FB6665"/>
    <w:rsid w:val="00FB75C9"/>
    <w:rsid w:val="00FB7B83"/>
    <w:rsid w:val="00FC0369"/>
    <w:rsid w:val="00FC0668"/>
    <w:rsid w:val="00FC0BE0"/>
    <w:rsid w:val="00FC0DC5"/>
    <w:rsid w:val="00FC1D1A"/>
    <w:rsid w:val="00FC1DE2"/>
    <w:rsid w:val="00FC2CD8"/>
    <w:rsid w:val="00FC31B4"/>
    <w:rsid w:val="00FC336C"/>
    <w:rsid w:val="00FC4027"/>
    <w:rsid w:val="00FC4CC7"/>
    <w:rsid w:val="00FC5605"/>
    <w:rsid w:val="00FC6CF2"/>
    <w:rsid w:val="00FC742F"/>
    <w:rsid w:val="00FC7893"/>
    <w:rsid w:val="00FD0E4D"/>
    <w:rsid w:val="00FD123D"/>
    <w:rsid w:val="00FD191D"/>
    <w:rsid w:val="00FD19BF"/>
    <w:rsid w:val="00FD27C2"/>
    <w:rsid w:val="00FD27D3"/>
    <w:rsid w:val="00FD3874"/>
    <w:rsid w:val="00FD3AAC"/>
    <w:rsid w:val="00FD4024"/>
    <w:rsid w:val="00FD408C"/>
    <w:rsid w:val="00FD5D93"/>
    <w:rsid w:val="00FD61E8"/>
    <w:rsid w:val="00FD6BC6"/>
    <w:rsid w:val="00FD7B89"/>
    <w:rsid w:val="00FE1122"/>
    <w:rsid w:val="00FE1140"/>
    <w:rsid w:val="00FE123F"/>
    <w:rsid w:val="00FE1390"/>
    <w:rsid w:val="00FE1557"/>
    <w:rsid w:val="00FE21F6"/>
    <w:rsid w:val="00FE2238"/>
    <w:rsid w:val="00FE39F5"/>
    <w:rsid w:val="00FE4599"/>
    <w:rsid w:val="00FE4746"/>
    <w:rsid w:val="00FE64D5"/>
    <w:rsid w:val="00FE6B2A"/>
    <w:rsid w:val="00FE76F5"/>
    <w:rsid w:val="00FE7F1E"/>
    <w:rsid w:val="00FF0970"/>
    <w:rsid w:val="00FF0E2F"/>
    <w:rsid w:val="00FF1E65"/>
    <w:rsid w:val="00FF1F3B"/>
    <w:rsid w:val="00FF200C"/>
    <w:rsid w:val="00FF2103"/>
    <w:rsid w:val="00FF2A65"/>
    <w:rsid w:val="00FF32BE"/>
    <w:rsid w:val="00FF39C8"/>
    <w:rsid w:val="00FF3C41"/>
    <w:rsid w:val="00FF46BB"/>
    <w:rsid w:val="00FF48CE"/>
    <w:rsid w:val="00FF5560"/>
    <w:rsid w:val="00FF58F6"/>
    <w:rsid w:val="00FF5C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DB1775"/>
  <w15:docId w15:val="{D9E2AE33-32E8-1C4A-93A8-E876F10E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01E0"/>
    <w:rPr>
      <w:rFonts w:ascii="Times New Roman" w:eastAsia="Times New Roman" w:hAnsi="Times New Roman" w:cs="Times New Roman"/>
      <w:sz w:val="24"/>
    </w:rPr>
  </w:style>
  <w:style w:type="paragraph" w:styleId="Heading1">
    <w:name w:val="heading 1"/>
    <w:basedOn w:val="Normal"/>
    <w:next w:val="Normal"/>
    <w:link w:val="Heading1Char"/>
    <w:qFormat/>
    <w:rsid w:val="006874B2"/>
    <w:pPr>
      <w:keepNext/>
      <w:keepLines/>
      <w:numPr>
        <w:numId w:val="2"/>
      </w:numPr>
      <w:spacing w:before="480" w:after="0"/>
      <w:jc w:val="center"/>
      <w:outlineLvl w:val="0"/>
    </w:pPr>
    <w:rPr>
      <w:b/>
      <w:bCs/>
      <w:sz w:val="28"/>
      <w:szCs w:val="28"/>
    </w:rPr>
  </w:style>
  <w:style w:type="paragraph" w:styleId="Heading2">
    <w:name w:val="heading 2"/>
    <w:basedOn w:val="Normal"/>
    <w:next w:val="Normal"/>
    <w:link w:val="Heading2Char"/>
    <w:uiPriority w:val="99"/>
    <w:qFormat/>
    <w:rsid w:val="000F503C"/>
    <w:pPr>
      <w:keepNext/>
      <w:keepLines/>
      <w:numPr>
        <w:ilvl w:val="1"/>
        <w:numId w:val="2"/>
      </w:numPr>
      <w:spacing w:before="480" w:after="100" w:afterAutospacing="1" w:line="240" w:lineRule="auto"/>
      <w:ind w:left="578" w:hanging="578"/>
      <w:outlineLvl w:val="1"/>
    </w:pPr>
    <w:rPr>
      <w:b/>
      <w:bCs/>
      <w:szCs w:val="26"/>
    </w:rPr>
  </w:style>
  <w:style w:type="paragraph" w:styleId="Heading3">
    <w:name w:val="heading 3"/>
    <w:basedOn w:val="Normal"/>
    <w:next w:val="Normal"/>
    <w:link w:val="Heading3Char"/>
    <w:uiPriority w:val="99"/>
    <w:qFormat/>
    <w:rsid w:val="00B12818"/>
    <w:pPr>
      <w:keepNext/>
      <w:keepLines/>
      <w:numPr>
        <w:ilvl w:val="2"/>
        <w:numId w:val="2"/>
      </w:numPr>
      <w:spacing w:before="480" w:after="100" w:afterAutospacing="1" w:line="240" w:lineRule="auto"/>
      <w:outlineLvl w:val="2"/>
    </w:pPr>
    <w:rPr>
      <w:b/>
      <w:bCs/>
      <w:color w:val="000000"/>
    </w:rPr>
  </w:style>
  <w:style w:type="paragraph" w:styleId="Heading4">
    <w:name w:val="heading 4"/>
    <w:basedOn w:val="Normal"/>
    <w:next w:val="Normal"/>
    <w:link w:val="Heading4Char"/>
    <w:uiPriority w:val="99"/>
    <w:qFormat/>
    <w:rsid w:val="00B12818"/>
    <w:pPr>
      <w:keepNext/>
      <w:keepLines/>
      <w:numPr>
        <w:ilvl w:val="3"/>
        <w:numId w:val="2"/>
      </w:numPr>
      <w:spacing w:before="200" w:after="100" w:afterAutospacing="1"/>
      <w:outlineLvl w:val="3"/>
    </w:pPr>
    <w:rPr>
      <w:b/>
      <w:bCs/>
      <w:iCs/>
    </w:rPr>
  </w:style>
  <w:style w:type="paragraph" w:styleId="Heading5">
    <w:name w:val="heading 5"/>
    <w:basedOn w:val="Normal"/>
    <w:next w:val="Normal"/>
    <w:link w:val="Heading5Char"/>
    <w:uiPriority w:val="99"/>
    <w:qFormat/>
    <w:rsid w:val="008418EA"/>
    <w:pPr>
      <w:keepNext/>
      <w:keepLines/>
      <w:numPr>
        <w:ilvl w:val="4"/>
        <w:numId w:val="2"/>
      </w:numPr>
      <w:spacing w:before="200" w:after="0"/>
      <w:outlineLvl w:val="4"/>
    </w:pPr>
    <w:rPr>
      <w:i/>
    </w:rPr>
  </w:style>
  <w:style w:type="paragraph" w:styleId="Heading6">
    <w:name w:val="heading 6"/>
    <w:basedOn w:val="Normal"/>
    <w:next w:val="Normal"/>
    <w:link w:val="Heading6Char"/>
    <w:uiPriority w:val="99"/>
    <w:qFormat/>
    <w:rsid w:val="00A230D1"/>
    <w:pPr>
      <w:keepNext/>
      <w:keepLines/>
      <w:numPr>
        <w:ilvl w:val="5"/>
        <w:numId w:val="2"/>
      </w:numPr>
      <w:spacing w:before="200" w:after="100" w:afterAutospacing="1"/>
      <w:outlineLvl w:val="5"/>
    </w:pPr>
    <w:rPr>
      <w:i/>
      <w:iCs/>
    </w:rPr>
  </w:style>
  <w:style w:type="paragraph" w:styleId="Heading7">
    <w:name w:val="heading 7"/>
    <w:basedOn w:val="Normal"/>
    <w:next w:val="Normal"/>
    <w:link w:val="Heading7Char"/>
    <w:uiPriority w:val="99"/>
    <w:qFormat/>
    <w:rsid w:val="004D7D32"/>
    <w:pPr>
      <w:keepNext/>
      <w:keepLines/>
      <w:numPr>
        <w:ilvl w:val="6"/>
        <w:numId w:val="2"/>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4D7D32"/>
    <w:pPr>
      <w:keepNext/>
      <w:keepLines/>
      <w:numPr>
        <w:ilvl w:val="7"/>
        <w:numId w:val="2"/>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4D7D32"/>
    <w:pPr>
      <w:keepNext/>
      <w:keepLines/>
      <w:numPr>
        <w:ilvl w:val="8"/>
        <w:numId w:val="2"/>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4B2"/>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9"/>
    <w:rsid w:val="000F503C"/>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9"/>
    <w:rsid w:val="00B12818"/>
    <w:rPr>
      <w:rFonts w:ascii="Times New Roman" w:eastAsia="Times New Roman" w:hAnsi="Times New Roman" w:cs="Times New Roman"/>
      <w:b/>
      <w:bCs/>
      <w:color w:val="000000"/>
      <w:sz w:val="24"/>
    </w:rPr>
  </w:style>
  <w:style w:type="character" w:customStyle="1" w:styleId="Heading4Char">
    <w:name w:val="Heading 4 Char"/>
    <w:basedOn w:val="DefaultParagraphFont"/>
    <w:link w:val="Heading4"/>
    <w:uiPriority w:val="99"/>
    <w:rsid w:val="00B12818"/>
    <w:rPr>
      <w:rFonts w:ascii="Times New Roman" w:eastAsia="Times New Roman" w:hAnsi="Times New Roman" w:cs="Times New Roman"/>
      <w:b/>
      <w:bCs/>
      <w:iCs/>
      <w:sz w:val="24"/>
    </w:rPr>
  </w:style>
  <w:style w:type="character" w:customStyle="1" w:styleId="Heading5Char">
    <w:name w:val="Heading 5 Char"/>
    <w:basedOn w:val="DefaultParagraphFont"/>
    <w:link w:val="Heading5"/>
    <w:uiPriority w:val="99"/>
    <w:rsid w:val="008418EA"/>
    <w:rPr>
      <w:rFonts w:ascii="Times New Roman" w:eastAsia="Times New Roman" w:hAnsi="Times New Roman" w:cs="Times New Roman"/>
      <w:i/>
      <w:sz w:val="24"/>
    </w:rPr>
  </w:style>
  <w:style w:type="character" w:customStyle="1" w:styleId="Heading6Char">
    <w:name w:val="Heading 6 Char"/>
    <w:basedOn w:val="DefaultParagraphFont"/>
    <w:link w:val="Heading6"/>
    <w:uiPriority w:val="99"/>
    <w:rsid w:val="00A230D1"/>
    <w:rPr>
      <w:rFonts w:ascii="Times New Roman" w:eastAsia="Times New Roman" w:hAnsi="Times New Roman" w:cs="Times New Roman"/>
      <w:i/>
      <w:iCs/>
      <w:sz w:val="24"/>
    </w:rPr>
  </w:style>
  <w:style w:type="character" w:customStyle="1" w:styleId="Heading7Char">
    <w:name w:val="Heading 7 Char"/>
    <w:basedOn w:val="DefaultParagraphFont"/>
    <w:link w:val="Heading7"/>
    <w:uiPriority w:val="99"/>
    <w:rsid w:val="004D7D32"/>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9"/>
    <w:rsid w:val="004D7D32"/>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9"/>
    <w:rsid w:val="004D7D32"/>
    <w:rPr>
      <w:rFonts w:ascii="Cambria" w:eastAsia="Times New Roman" w:hAnsi="Cambria" w:cs="Times New Roman"/>
      <w:i/>
      <w:iCs/>
      <w:color w:val="404040"/>
      <w:sz w:val="20"/>
      <w:szCs w:val="20"/>
    </w:rPr>
  </w:style>
  <w:style w:type="paragraph" w:styleId="ListParagraph">
    <w:name w:val="List Paragraph"/>
    <w:basedOn w:val="Normal"/>
    <w:uiPriority w:val="34"/>
    <w:qFormat/>
    <w:rsid w:val="00BA28DB"/>
    <w:pPr>
      <w:ind w:left="720"/>
      <w:contextualSpacing/>
    </w:pPr>
  </w:style>
  <w:style w:type="character" w:styleId="Hyperlink">
    <w:name w:val="Hyperlink"/>
    <w:basedOn w:val="DefaultParagraphFont"/>
    <w:uiPriority w:val="99"/>
    <w:rsid w:val="004D7D32"/>
    <w:rPr>
      <w:rFonts w:cs="Times New Roman"/>
      <w:color w:val="0000FF"/>
      <w:u w:val="single"/>
    </w:rPr>
  </w:style>
  <w:style w:type="table" w:styleId="TableGrid">
    <w:name w:val="Table Grid"/>
    <w:basedOn w:val="TableNormal"/>
    <w:uiPriority w:val="59"/>
    <w:rsid w:val="004D7D32"/>
    <w:pPr>
      <w:spacing w:after="0" w:line="240" w:lineRule="auto"/>
    </w:pPr>
    <w:rPr>
      <w:rFonts w:ascii="Calibri" w:eastAsia="Times New Roman"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normal22">
    <w:name w:val="inlinenormal22"/>
    <w:basedOn w:val="Normal"/>
    <w:rsid w:val="005822EA"/>
    <w:pPr>
      <w:spacing w:after="0" w:line="240" w:lineRule="auto"/>
    </w:pPr>
    <w:rPr>
      <w:rFonts w:ascii="Verdana" w:hAnsi="Verdana"/>
      <w:b/>
      <w:bCs/>
      <w:color w:val="993300"/>
      <w:sz w:val="18"/>
      <w:szCs w:val="18"/>
      <w:lang w:eastAsia="en-GB"/>
    </w:rPr>
  </w:style>
  <w:style w:type="character" w:styleId="CommentReference">
    <w:name w:val="annotation reference"/>
    <w:basedOn w:val="DefaultParagraphFont"/>
    <w:uiPriority w:val="99"/>
    <w:semiHidden/>
    <w:rsid w:val="005822EA"/>
    <w:rPr>
      <w:rFonts w:cs="Times New Roman"/>
      <w:sz w:val="16"/>
    </w:rPr>
  </w:style>
  <w:style w:type="paragraph" w:styleId="CommentText">
    <w:name w:val="annotation text"/>
    <w:basedOn w:val="Normal"/>
    <w:link w:val="CommentTextChar"/>
    <w:uiPriority w:val="99"/>
    <w:semiHidden/>
    <w:rsid w:val="005822EA"/>
    <w:pPr>
      <w:spacing w:line="240" w:lineRule="auto"/>
    </w:pPr>
    <w:rPr>
      <w:sz w:val="20"/>
      <w:szCs w:val="20"/>
    </w:rPr>
  </w:style>
  <w:style w:type="character" w:customStyle="1" w:styleId="CommentTextChar">
    <w:name w:val="Comment Text Char"/>
    <w:basedOn w:val="DefaultParagraphFont"/>
    <w:link w:val="CommentText"/>
    <w:uiPriority w:val="99"/>
    <w:semiHidden/>
    <w:rsid w:val="005822EA"/>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582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2EA"/>
    <w:rPr>
      <w:rFonts w:ascii="Tahoma" w:eastAsia="Times New Roman" w:hAnsi="Tahoma" w:cs="Tahoma"/>
      <w:sz w:val="16"/>
      <w:szCs w:val="16"/>
    </w:rPr>
  </w:style>
  <w:style w:type="paragraph" w:styleId="Header">
    <w:name w:val="header"/>
    <w:basedOn w:val="Normal"/>
    <w:link w:val="HeaderChar"/>
    <w:uiPriority w:val="99"/>
    <w:unhideWhenUsed/>
    <w:rsid w:val="00DB4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C3F"/>
    <w:rPr>
      <w:rFonts w:ascii="Calibri" w:eastAsia="Times New Roman" w:hAnsi="Calibri" w:cs="Times New Roman"/>
    </w:rPr>
  </w:style>
  <w:style w:type="paragraph" w:styleId="FootnoteText">
    <w:name w:val="footnote text"/>
    <w:basedOn w:val="Normal"/>
    <w:link w:val="FootnoteTextChar"/>
    <w:uiPriority w:val="99"/>
    <w:unhideWhenUsed/>
    <w:rsid w:val="00C32B50"/>
    <w:pPr>
      <w:spacing w:after="0" w:line="240" w:lineRule="auto"/>
    </w:pPr>
    <w:rPr>
      <w:sz w:val="20"/>
      <w:szCs w:val="20"/>
    </w:rPr>
  </w:style>
  <w:style w:type="character" w:customStyle="1" w:styleId="FootnoteTextChar">
    <w:name w:val="Footnote Text Char"/>
    <w:basedOn w:val="DefaultParagraphFont"/>
    <w:link w:val="FootnoteText"/>
    <w:uiPriority w:val="99"/>
    <w:rsid w:val="00C32B50"/>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C32B50"/>
    <w:rPr>
      <w:vertAlign w:val="superscript"/>
    </w:rPr>
  </w:style>
  <w:style w:type="paragraph" w:styleId="DocumentMap">
    <w:name w:val="Document Map"/>
    <w:basedOn w:val="Normal"/>
    <w:link w:val="DocumentMapChar"/>
    <w:uiPriority w:val="99"/>
    <w:semiHidden/>
    <w:unhideWhenUsed/>
    <w:rsid w:val="00C636E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636EC"/>
    <w:rPr>
      <w:rFonts w:ascii="Tahoma" w:eastAsia="Times New Roman" w:hAnsi="Tahoma" w:cs="Tahoma"/>
      <w:sz w:val="16"/>
      <w:szCs w:val="16"/>
    </w:rPr>
  </w:style>
  <w:style w:type="paragraph" w:styleId="TOCHeading">
    <w:name w:val="TOC Heading"/>
    <w:basedOn w:val="Heading1"/>
    <w:next w:val="Normal"/>
    <w:uiPriority w:val="39"/>
    <w:unhideWhenUsed/>
    <w:qFormat/>
    <w:rsid w:val="00425A19"/>
    <w:pPr>
      <w:numPr>
        <w:numId w:val="0"/>
      </w:numPr>
      <w:outlineLvl w:val="9"/>
    </w:pPr>
    <w:rPr>
      <w:rFonts w:asciiTheme="majorHAnsi" w:eastAsiaTheme="majorEastAsia" w:hAnsiTheme="majorHAnsi" w:cstheme="majorBidi"/>
      <w:color w:val="365F91" w:themeColor="accent1" w:themeShade="BF"/>
      <w:lang w:val="en-US" w:eastAsia="en-US"/>
    </w:rPr>
  </w:style>
  <w:style w:type="paragraph" w:styleId="TOC1">
    <w:name w:val="toc 1"/>
    <w:basedOn w:val="Normal"/>
    <w:next w:val="Normal"/>
    <w:autoRedefine/>
    <w:uiPriority w:val="39"/>
    <w:unhideWhenUsed/>
    <w:qFormat/>
    <w:rsid w:val="00304974"/>
    <w:pPr>
      <w:tabs>
        <w:tab w:val="left" w:pos="440"/>
        <w:tab w:val="right" w:leader="dot" w:pos="9016"/>
      </w:tabs>
      <w:spacing w:after="100"/>
    </w:pPr>
    <w:rPr>
      <w:rFonts w:cstheme="majorBidi"/>
      <w:b/>
      <w:bCs/>
      <w:szCs w:val="24"/>
    </w:rPr>
  </w:style>
  <w:style w:type="paragraph" w:styleId="TOC2">
    <w:name w:val="toc 2"/>
    <w:basedOn w:val="Normal"/>
    <w:next w:val="Normal"/>
    <w:autoRedefine/>
    <w:uiPriority w:val="39"/>
    <w:unhideWhenUsed/>
    <w:qFormat/>
    <w:rsid w:val="007557E4"/>
    <w:pPr>
      <w:spacing w:after="100"/>
      <w:ind w:left="220"/>
    </w:pPr>
  </w:style>
  <w:style w:type="paragraph" w:styleId="TOC3">
    <w:name w:val="toc 3"/>
    <w:basedOn w:val="Normal"/>
    <w:next w:val="Normal"/>
    <w:autoRedefine/>
    <w:uiPriority w:val="39"/>
    <w:unhideWhenUsed/>
    <w:qFormat/>
    <w:rsid w:val="006425BA"/>
    <w:pPr>
      <w:tabs>
        <w:tab w:val="left" w:pos="1320"/>
        <w:tab w:val="right" w:leader="dot" w:pos="9016"/>
      </w:tabs>
      <w:spacing w:after="100"/>
      <w:ind w:left="440"/>
    </w:pPr>
  </w:style>
  <w:style w:type="paragraph" w:styleId="TOC4">
    <w:name w:val="toc 4"/>
    <w:basedOn w:val="Normal"/>
    <w:next w:val="Normal"/>
    <w:autoRedefine/>
    <w:uiPriority w:val="39"/>
    <w:unhideWhenUsed/>
    <w:rsid w:val="00E0693D"/>
    <w:pPr>
      <w:spacing w:after="100"/>
      <w:ind w:left="660"/>
    </w:pPr>
    <w:rPr>
      <w:rFonts w:eastAsiaTheme="minorEastAsia" w:cstheme="minorBidi"/>
    </w:rPr>
  </w:style>
  <w:style w:type="paragraph" w:styleId="TOC5">
    <w:name w:val="toc 5"/>
    <w:basedOn w:val="Normal"/>
    <w:next w:val="Normal"/>
    <w:autoRedefine/>
    <w:uiPriority w:val="39"/>
    <w:unhideWhenUsed/>
    <w:rsid w:val="00E0693D"/>
    <w:pPr>
      <w:spacing w:after="100"/>
      <w:ind w:left="880"/>
    </w:pPr>
    <w:rPr>
      <w:rFonts w:eastAsiaTheme="minorEastAsia" w:cstheme="minorBidi"/>
    </w:rPr>
  </w:style>
  <w:style w:type="paragraph" w:styleId="TOC6">
    <w:name w:val="toc 6"/>
    <w:basedOn w:val="Normal"/>
    <w:next w:val="Normal"/>
    <w:autoRedefine/>
    <w:uiPriority w:val="39"/>
    <w:unhideWhenUsed/>
    <w:rsid w:val="00E0693D"/>
    <w:pPr>
      <w:spacing w:after="100"/>
      <w:ind w:left="1100"/>
    </w:pPr>
    <w:rPr>
      <w:rFonts w:eastAsiaTheme="minorEastAsia" w:cstheme="minorBidi"/>
    </w:rPr>
  </w:style>
  <w:style w:type="paragraph" w:styleId="TOC7">
    <w:name w:val="toc 7"/>
    <w:basedOn w:val="Normal"/>
    <w:next w:val="Normal"/>
    <w:autoRedefine/>
    <w:uiPriority w:val="39"/>
    <w:unhideWhenUsed/>
    <w:rsid w:val="00E0693D"/>
    <w:pPr>
      <w:spacing w:after="100"/>
      <w:ind w:left="1320"/>
    </w:pPr>
    <w:rPr>
      <w:rFonts w:eastAsiaTheme="minorEastAsia" w:cstheme="minorBidi"/>
    </w:rPr>
  </w:style>
  <w:style w:type="paragraph" w:styleId="TOC8">
    <w:name w:val="toc 8"/>
    <w:basedOn w:val="Normal"/>
    <w:next w:val="Normal"/>
    <w:autoRedefine/>
    <w:uiPriority w:val="39"/>
    <w:unhideWhenUsed/>
    <w:rsid w:val="00E0693D"/>
    <w:pPr>
      <w:spacing w:after="100"/>
      <w:ind w:left="1540"/>
    </w:pPr>
    <w:rPr>
      <w:rFonts w:eastAsiaTheme="minorEastAsia" w:cstheme="minorBidi"/>
    </w:rPr>
  </w:style>
  <w:style w:type="paragraph" w:styleId="TOC9">
    <w:name w:val="toc 9"/>
    <w:basedOn w:val="Normal"/>
    <w:next w:val="Normal"/>
    <w:autoRedefine/>
    <w:uiPriority w:val="39"/>
    <w:unhideWhenUsed/>
    <w:rsid w:val="00E0693D"/>
    <w:pPr>
      <w:spacing w:after="100"/>
      <w:ind w:left="1760"/>
    </w:pPr>
    <w:rPr>
      <w:rFonts w:eastAsiaTheme="minorEastAsia" w:cstheme="minorBidi"/>
    </w:rPr>
  </w:style>
  <w:style w:type="paragraph" w:styleId="Date">
    <w:name w:val="Date"/>
    <w:basedOn w:val="Normal"/>
    <w:next w:val="Normal"/>
    <w:link w:val="DateChar"/>
    <w:uiPriority w:val="99"/>
    <w:semiHidden/>
    <w:unhideWhenUsed/>
    <w:rsid w:val="003E0DEC"/>
    <w:pPr>
      <w:tabs>
        <w:tab w:val="left" w:pos="1605"/>
      </w:tabs>
      <w:spacing w:after="100" w:afterAutospacing="1" w:line="480" w:lineRule="auto"/>
    </w:pPr>
    <w:rPr>
      <w:rFonts w:eastAsiaTheme="minorHAnsi"/>
      <w:lang w:eastAsia="en-US"/>
    </w:rPr>
  </w:style>
  <w:style w:type="character" w:customStyle="1" w:styleId="DateChar">
    <w:name w:val="Date Char"/>
    <w:basedOn w:val="DefaultParagraphFont"/>
    <w:link w:val="Date"/>
    <w:uiPriority w:val="99"/>
    <w:semiHidden/>
    <w:rsid w:val="003E0DEC"/>
    <w:rPr>
      <w:rFonts w:ascii="Times New Roman" w:eastAsiaTheme="minorHAnsi" w:hAnsi="Times New Roman" w:cs="Times New Roman"/>
      <w:sz w:val="24"/>
      <w:lang w:eastAsia="en-US"/>
    </w:rPr>
  </w:style>
  <w:style w:type="paragraph" w:styleId="NormalWeb">
    <w:name w:val="Normal (Web)"/>
    <w:basedOn w:val="Normal"/>
    <w:uiPriority w:val="99"/>
    <w:unhideWhenUsed/>
    <w:rsid w:val="003E0DEC"/>
    <w:pPr>
      <w:tabs>
        <w:tab w:val="left" w:pos="1605"/>
      </w:tabs>
      <w:spacing w:before="100" w:beforeAutospacing="1" w:after="100" w:afterAutospacing="1" w:line="480" w:lineRule="auto"/>
    </w:pPr>
    <w:rPr>
      <w:szCs w:val="24"/>
    </w:rPr>
  </w:style>
  <w:style w:type="paragraph" w:styleId="Footer">
    <w:name w:val="footer"/>
    <w:basedOn w:val="Normal"/>
    <w:link w:val="FooterChar"/>
    <w:uiPriority w:val="99"/>
    <w:unhideWhenUsed/>
    <w:rsid w:val="003E0DEC"/>
    <w:pPr>
      <w:tabs>
        <w:tab w:val="center" w:pos="4513"/>
        <w:tab w:val="right" w:pos="9026"/>
      </w:tabs>
      <w:spacing w:after="0" w:afterAutospacing="1" w:line="240" w:lineRule="auto"/>
    </w:pPr>
    <w:rPr>
      <w:rFonts w:eastAsiaTheme="minorHAnsi"/>
      <w:lang w:eastAsia="en-US"/>
    </w:rPr>
  </w:style>
  <w:style w:type="character" w:customStyle="1" w:styleId="FooterChar">
    <w:name w:val="Footer Char"/>
    <w:basedOn w:val="DefaultParagraphFont"/>
    <w:link w:val="Footer"/>
    <w:uiPriority w:val="99"/>
    <w:rsid w:val="003E0DEC"/>
    <w:rPr>
      <w:rFonts w:ascii="Times New Roman" w:eastAsiaTheme="minorHAnsi" w:hAnsi="Times New Roman" w:cs="Times New Roman"/>
      <w:sz w:val="24"/>
      <w:lang w:eastAsia="en-US"/>
    </w:rPr>
  </w:style>
  <w:style w:type="character" w:styleId="FollowedHyperlink">
    <w:name w:val="FollowedHyperlink"/>
    <w:basedOn w:val="DefaultParagraphFont"/>
    <w:uiPriority w:val="99"/>
    <w:semiHidden/>
    <w:unhideWhenUsed/>
    <w:rsid w:val="00FD3AAC"/>
    <w:rPr>
      <w:color w:val="800080" w:themeColor="followedHyperlink"/>
      <w:u w:val="single"/>
    </w:rPr>
  </w:style>
  <w:style w:type="paragraph" w:styleId="BodyText">
    <w:name w:val="Body Text"/>
    <w:basedOn w:val="Normal"/>
    <w:link w:val="BodyTextChar"/>
    <w:rsid w:val="00A710F4"/>
    <w:pPr>
      <w:spacing w:after="0" w:line="240" w:lineRule="auto"/>
      <w:jc w:val="both"/>
    </w:pPr>
    <w:rPr>
      <w:szCs w:val="24"/>
      <w:lang w:eastAsia="en-US"/>
    </w:rPr>
  </w:style>
  <w:style w:type="character" w:customStyle="1" w:styleId="BodyTextChar">
    <w:name w:val="Body Text Char"/>
    <w:basedOn w:val="DefaultParagraphFont"/>
    <w:link w:val="BodyText"/>
    <w:rsid w:val="00A710F4"/>
    <w:rPr>
      <w:rFonts w:ascii="Times New Roman" w:eastAsia="Times New Roman" w:hAnsi="Times New Roman" w:cs="Times New Roman"/>
      <w:szCs w:val="24"/>
      <w:lang w:eastAsia="en-US"/>
    </w:rPr>
  </w:style>
  <w:style w:type="paragraph" w:styleId="BodyTextIndent">
    <w:name w:val="Body Text Indent"/>
    <w:basedOn w:val="Normal"/>
    <w:link w:val="BodyTextIndentChar"/>
    <w:rsid w:val="00A710F4"/>
    <w:pPr>
      <w:spacing w:after="0" w:line="240" w:lineRule="auto"/>
      <w:ind w:left="720"/>
    </w:pPr>
    <w:rPr>
      <w:b/>
      <w:bCs/>
      <w:i/>
      <w:iCs/>
      <w:szCs w:val="24"/>
      <w:lang w:eastAsia="en-US"/>
    </w:rPr>
  </w:style>
  <w:style w:type="character" w:customStyle="1" w:styleId="BodyTextIndentChar">
    <w:name w:val="Body Text Indent Char"/>
    <w:basedOn w:val="DefaultParagraphFont"/>
    <w:link w:val="BodyTextIndent"/>
    <w:rsid w:val="00A710F4"/>
    <w:rPr>
      <w:rFonts w:ascii="Times New Roman" w:eastAsia="Times New Roman" w:hAnsi="Times New Roman" w:cs="Times New Roman"/>
      <w:b/>
      <w:bCs/>
      <w:i/>
      <w:iCs/>
      <w:sz w:val="24"/>
      <w:szCs w:val="24"/>
      <w:lang w:eastAsia="en-US"/>
    </w:rPr>
  </w:style>
  <w:style w:type="paragraph" w:customStyle="1" w:styleId="Sign-up">
    <w:name w:val="Sign-up"/>
    <w:basedOn w:val="Normal"/>
    <w:rsid w:val="000F31EA"/>
    <w:pPr>
      <w:spacing w:after="0" w:line="220" w:lineRule="atLeast"/>
    </w:pPr>
    <w:rPr>
      <w:rFonts w:ascii="Trebuchet MS" w:hAnsi="Trebuchet MS"/>
      <w:b/>
      <w:i/>
      <w:color w:val="000000"/>
      <w:sz w:val="16"/>
      <w:szCs w:val="20"/>
      <w:lang w:val="en-US" w:eastAsia="en-US"/>
    </w:rPr>
  </w:style>
  <w:style w:type="paragraph" w:customStyle="1" w:styleId="Masthead">
    <w:name w:val="Masthead"/>
    <w:basedOn w:val="Heading1"/>
    <w:rsid w:val="000F31EA"/>
    <w:pPr>
      <w:keepLines w:val="0"/>
      <w:numPr>
        <w:numId w:val="0"/>
      </w:numPr>
      <w:spacing w:before="0" w:line="240" w:lineRule="auto"/>
    </w:pPr>
    <w:rPr>
      <w:rFonts w:ascii="Comic Sans MS" w:hAnsi="Comic Sans MS"/>
      <w:b w:val="0"/>
      <w:bCs w:val="0"/>
      <w:color w:val="000000"/>
      <w:kern w:val="28"/>
      <w:sz w:val="48"/>
      <w:szCs w:val="20"/>
      <w:lang w:val="en-US" w:eastAsia="en-US"/>
    </w:rPr>
  </w:style>
  <w:style w:type="paragraph" w:customStyle="1" w:styleId="OrgName1">
    <w:name w:val="Org Name 1"/>
    <w:basedOn w:val="Normal"/>
    <w:rsid w:val="000F31EA"/>
    <w:pPr>
      <w:spacing w:after="0" w:line="240" w:lineRule="auto"/>
    </w:pPr>
    <w:rPr>
      <w:rFonts w:ascii="Trebuchet MS" w:hAnsi="Trebuchet MS"/>
      <w:color w:val="000000"/>
      <w:kern w:val="28"/>
      <w:szCs w:val="20"/>
      <w:lang w:val="en-US" w:eastAsia="en-US"/>
    </w:rPr>
  </w:style>
  <w:style w:type="paragraph" w:customStyle="1" w:styleId="Tagline">
    <w:name w:val="Tagline"/>
    <w:basedOn w:val="Normal"/>
    <w:rsid w:val="000F31EA"/>
    <w:pPr>
      <w:spacing w:after="0" w:line="240" w:lineRule="auto"/>
    </w:pPr>
    <w:rPr>
      <w:rFonts w:ascii="Trebuchet MS" w:hAnsi="Trebuchet MS"/>
      <w:i/>
      <w:color w:val="000000"/>
      <w:kern w:val="28"/>
      <w:sz w:val="26"/>
      <w:szCs w:val="20"/>
      <w:lang w:val="en-US" w:eastAsia="en-US"/>
    </w:rPr>
  </w:style>
  <w:style w:type="paragraph" w:styleId="Caption">
    <w:name w:val="caption"/>
    <w:basedOn w:val="Normal"/>
    <w:next w:val="Normal"/>
    <w:uiPriority w:val="35"/>
    <w:unhideWhenUsed/>
    <w:qFormat/>
    <w:rsid w:val="009169F2"/>
    <w:pPr>
      <w:spacing w:line="240" w:lineRule="auto"/>
    </w:pPr>
    <w:rPr>
      <w:b/>
      <w:bCs/>
      <w:color w:val="4F81BD" w:themeColor="accent1"/>
      <w:sz w:val="18"/>
      <w:szCs w:val="18"/>
    </w:rPr>
  </w:style>
  <w:style w:type="paragraph" w:styleId="TableofFigures">
    <w:name w:val="table of figures"/>
    <w:basedOn w:val="Normal"/>
    <w:next w:val="Normal"/>
    <w:link w:val="TableofFiguresChar"/>
    <w:uiPriority w:val="99"/>
    <w:unhideWhenUsed/>
    <w:rsid w:val="003636EA"/>
    <w:pPr>
      <w:spacing w:after="0"/>
    </w:pPr>
  </w:style>
  <w:style w:type="paragraph" w:styleId="CommentSubject">
    <w:name w:val="annotation subject"/>
    <w:basedOn w:val="CommentText"/>
    <w:next w:val="CommentText"/>
    <w:link w:val="CommentSubjectChar"/>
    <w:uiPriority w:val="99"/>
    <w:semiHidden/>
    <w:unhideWhenUsed/>
    <w:rsid w:val="00264C98"/>
    <w:rPr>
      <w:b/>
      <w:bCs/>
    </w:rPr>
  </w:style>
  <w:style w:type="character" w:customStyle="1" w:styleId="CommentSubjectChar">
    <w:name w:val="Comment Subject Char"/>
    <w:basedOn w:val="CommentTextChar"/>
    <w:link w:val="CommentSubject"/>
    <w:uiPriority w:val="99"/>
    <w:semiHidden/>
    <w:rsid w:val="00264C98"/>
    <w:rPr>
      <w:rFonts w:ascii="Calibri" w:eastAsia="Times New Roman" w:hAnsi="Calibri" w:cs="Times New Roman"/>
      <w:b/>
      <w:bCs/>
      <w:sz w:val="20"/>
      <w:szCs w:val="20"/>
    </w:rPr>
  </w:style>
  <w:style w:type="character" w:customStyle="1" w:styleId="UnresolvedMention1">
    <w:name w:val="Unresolved Mention1"/>
    <w:basedOn w:val="DefaultParagraphFont"/>
    <w:uiPriority w:val="99"/>
    <w:semiHidden/>
    <w:unhideWhenUsed/>
    <w:rsid w:val="00862D27"/>
    <w:rPr>
      <w:color w:val="808080"/>
      <w:shd w:val="clear" w:color="auto" w:fill="E6E6E6"/>
    </w:rPr>
  </w:style>
  <w:style w:type="paragraph" w:styleId="Subtitle">
    <w:name w:val="Subtitle"/>
    <w:basedOn w:val="Normal"/>
    <w:next w:val="Normal"/>
    <w:link w:val="SubtitleChar"/>
    <w:uiPriority w:val="11"/>
    <w:qFormat/>
    <w:rsid w:val="00862D2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62D27"/>
    <w:rPr>
      <w:color w:val="5A5A5A" w:themeColor="text1" w:themeTint="A5"/>
      <w:spacing w:val="15"/>
    </w:rPr>
  </w:style>
  <w:style w:type="paragraph" w:customStyle="1" w:styleId="Thesismaintext">
    <w:name w:val="Thesis main text"/>
    <w:basedOn w:val="Normal"/>
    <w:link w:val="ThesismaintextChar"/>
    <w:qFormat/>
    <w:rsid w:val="00E82663"/>
    <w:pPr>
      <w:spacing w:before="200" w:line="240" w:lineRule="auto"/>
    </w:pPr>
  </w:style>
  <w:style w:type="character" w:customStyle="1" w:styleId="ThesismaintextChar">
    <w:name w:val="Thesis main text Char"/>
    <w:basedOn w:val="DefaultParagraphFont"/>
    <w:link w:val="Thesismaintext"/>
    <w:rsid w:val="00E82663"/>
    <w:rPr>
      <w:rFonts w:ascii="Times New Roman" w:eastAsia="Times New Roman" w:hAnsi="Times New Roman" w:cs="Times New Roman"/>
      <w:sz w:val="24"/>
    </w:rPr>
  </w:style>
  <w:style w:type="paragraph" w:customStyle="1" w:styleId="Notesstructure">
    <w:name w:val="Notes structure"/>
    <w:basedOn w:val="Thesismaintext"/>
    <w:link w:val="NotesstructureChar"/>
    <w:qFormat/>
    <w:rsid w:val="008418EA"/>
    <w:rPr>
      <w:color w:val="365F91" w:themeColor="accent1" w:themeShade="BF"/>
    </w:rPr>
  </w:style>
  <w:style w:type="character" w:customStyle="1" w:styleId="NotesstructureChar">
    <w:name w:val="Notes structure Char"/>
    <w:basedOn w:val="ThesismaintextChar"/>
    <w:link w:val="Notesstructure"/>
    <w:rsid w:val="008418EA"/>
    <w:rPr>
      <w:rFonts w:ascii="Times New Roman" w:eastAsia="Times New Roman" w:hAnsi="Times New Roman" w:cs="Times New Roman"/>
      <w:color w:val="365F91" w:themeColor="accent1" w:themeShade="BF"/>
      <w:sz w:val="24"/>
    </w:rPr>
  </w:style>
  <w:style w:type="paragraph" w:styleId="NoSpacing">
    <w:name w:val="No Spacing"/>
    <w:uiPriority w:val="1"/>
    <w:qFormat/>
    <w:rsid w:val="00852C96"/>
    <w:pPr>
      <w:spacing w:after="0" w:line="240" w:lineRule="auto"/>
    </w:pPr>
    <w:rPr>
      <w:rFonts w:ascii="Arial" w:eastAsia="Times New Roman" w:hAnsi="Arial" w:cs="Times New Roman"/>
    </w:rPr>
  </w:style>
  <w:style w:type="character" w:styleId="SubtleEmphasis">
    <w:name w:val="Subtle Emphasis"/>
    <w:basedOn w:val="DefaultParagraphFont"/>
    <w:uiPriority w:val="19"/>
    <w:qFormat/>
    <w:rsid w:val="00AC6DDA"/>
    <w:rPr>
      <w:rFonts w:ascii="Tahoma" w:hAnsi="Tahoma"/>
      <w:i/>
      <w:iCs/>
      <w:color w:val="404040" w:themeColor="text1" w:themeTint="BF"/>
      <w:sz w:val="24"/>
    </w:rPr>
  </w:style>
  <w:style w:type="paragraph" w:styleId="Title">
    <w:name w:val="Title"/>
    <w:basedOn w:val="Normal"/>
    <w:next w:val="Normal"/>
    <w:link w:val="TitleChar"/>
    <w:uiPriority w:val="10"/>
    <w:qFormat/>
    <w:rsid w:val="0084148F"/>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84148F"/>
    <w:rPr>
      <w:rFonts w:ascii="Times New Roman" w:eastAsiaTheme="majorEastAsia" w:hAnsi="Times New Roman" w:cstheme="majorBidi"/>
      <w:spacing w:val="-10"/>
      <w:kern w:val="28"/>
      <w:sz w:val="48"/>
      <w:szCs w:val="56"/>
    </w:rPr>
  </w:style>
  <w:style w:type="paragraph" w:customStyle="1" w:styleId="Nonumberheading">
    <w:name w:val="No number heading"/>
    <w:basedOn w:val="Heading1"/>
    <w:link w:val="NonumberheadingChar"/>
    <w:qFormat/>
    <w:rsid w:val="000A217F"/>
    <w:pPr>
      <w:numPr>
        <w:numId w:val="0"/>
      </w:numPr>
      <w:spacing w:before="0" w:after="100" w:afterAutospacing="1" w:line="240" w:lineRule="auto"/>
    </w:pPr>
    <w:rPr>
      <w:szCs w:val="32"/>
    </w:rPr>
  </w:style>
  <w:style w:type="character" w:customStyle="1" w:styleId="NonumberheadingChar">
    <w:name w:val="No number heading Char"/>
    <w:basedOn w:val="Heading1Char"/>
    <w:link w:val="Nonumberheading"/>
    <w:rsid w:val="000A217F"/>
    <w:rPr>
      <w:rFonts w:ascii="Times New Roman" w:eastAsia="Times New Roman" w:hAnsi="Times New Roman" w:cs="Times New Roman"/>
      <w:b/>
      <w:bCs/>
      <w:sz w:val="28"/>
      <w:szCs w:val="32"/>
    </w:rPr>
  </w:style>
  <w:style w:type="paragraph" w:customStyle="1" w:styleId="story-bodylist-item">
    <w:name w:val="story-body__list-item"/>
    <w:basedOn w:val="Normal"/>
    <w:rsid w:val="00B01FF7"/>
    <w:pPr>
      <w:spacing w:before="100" w:beforeAutospacing="1" w:after="100" w:afterAutospacing="1" w:line="240" w:lineRule="auto"/>
    </w:pPr>
    <w:rPr>
      <w:szCs w:val="24"/>
      <w:lang w:eastAsia="en-GB"/>
    </w:rPr>
  </w:style>
  <w:style w:type="paragraph" w:customStyle="1" w:styleId="ParaHeadingnoNumber">
    <w:name w:val="ParaHeadingnoNumber"/>
    <w:basedOn w:val="Heading2"/>
    <w:link w:val="ParaHeadingnoNumberChar"/>
    <w:qFormat/>
    <w:rsid w:val="002E17FB"/>
    <w:pPr>
      <w:numPr>
        <w:ilvl w:val="0"/>
        <w:numId w:val="0"/>
      </w:numPr>
    </w:pPr>
  </w:style>
  <w:style w:type="character" w:customStyle="1" w:styleId="ParaHeadingnoNumberChar">
    <w:name w:val="ParaHeadingnoNumber Char"/>
    <w:basedOn w:val="Heading2Char"/>
    <w:link w:val="ParaHeadingnoNumber"/>
    <w:rsid w:val="002E17FB"/>
    <w:rPr>
      <w:rFonts w:ascii="Times New Roman" w:eastAsia="Times New Roman" w:hAnsi="Times New Roman" w:cs="Times New Roman"/>
      <w:b/>
      <w:bCs/>
      <w:sz w:val="24"/>
      <w:szCs w:val="26"/>
    </w:rPr>
  </w:style>
  <w:style w:type="paragraph" w:styleId="EndnoteText">
    <w:name w:val="endnote text"/>
    <w:basedOn w:val="Normal"/>
    <w:link w:val="EndnoteTextChar"/>
    <w:uiPriority w:val="99"/>
    <w:semiHidden/>
    <w:unhideWhenUsed/>
    <w:rsid w:val="00A64E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4E1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64E15"/>
    <w:rPr>
      <w:vertAlign w:val="superscript"/>
    </w:rPr>
  </w:style>
  <w:style w:type="character" w:customStyle="1" w:styleId="UnresolvedMention2">
    <w:name w:val="Unresolved Mention2"/>
    <w:basedOn w:val="DefaultParagraphFont"/>
    <w:uiPriority w:val="99"/>
    <w:semiHidden/>
    <w:unhideWhenUsed/>
    <w:rsid w:val="00A64E15"/>
    <w:rPr>
      <w:color w:val="605E5C"/>
      <w:shd w:val="clear" w:color="auto" w:fill="E1DFDD"/>
    </w:rPr>
  </w:style>
  <w:style w:type="paragraph" w:customStyle="1" w:styleId="last-child">
    <w:name w:val="last-child"/>
    <w:basedOn w:val="Normal"/>
    <w:rsid w:val="00A64E15"/>
    <w:pP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Default">
    <w:name w:val="Default"/>
    <w:rsid w:val="00A64E15"/>
    <w:pPr>
      <w:widowControl w:val="0"/>
      <w:autoSpaceDE w:val="0"/>
      <w:autoSpaceDN w:val="0"/>
      <w:adjustRightInd w:val="0"/>
      <w:spacing w:after="0" w:line="240" w:lineRule="auto"/>
    </w:pPr>
    <w:rPr>
      <w:rFonts w:ascii="Arial" w:hAnsi="Arial" w:cs="Arial"/>
      <w:color w:val="000000"/>
      <w:sz w:val="24"/>
      <w:szCs w:val="24"/>
      <w:lang w:val="en-US" w:eastAsia="en-US"/>
    </w:rPr>
  </w:style>
  <w:style w:type="paragraph" w:customStyle="1" w:styleId="Thesisnotes">
    <w:name w:val="Thesis notes"/>
    <w:basedOn w:val="Thesismaintext"/>
    <w:link w:val="ThesisnotesChar"/>
    <w:qFormat/>
    <w:rsid w:val="00A64E15"/>
    <w:pPr>
      <w:spacing w:before="0" w:line="360" w:lineRule="auto"/>
    </w:pPr>
    <w:rPr>
      <w:color w:val="4F6228" w:themeColor="accent3" w:themeShade="80"/>
    </w:rPr>
  </w:style>
  <w:style w:type="character" w:customStyle="1" w:styleId="ThesisnotesChar">
    <w:name w:val="Thesis notes Char"/>
    <w:basedOn w:val="ThesismaintextChar"/>
    <w:link w:val="Thesisnotes"/>
    <w:rsid w:val="00A64E15"/>
    <w:rPr>
      <w:rFonts w:ascii="Times New Roman" w:eastAsia="Times New Roman" w:hAnsi="Times New Roman" w:cs="Times New Roman"/>
      <w:color w:val="4F6228" w:themeColor="accent3" w:themeShade="80"/>
      <w:sz w:val="24"/>
    </w:rPr>
  </w:style>
  <w:style w:type="paragraph" w:styleId="Revision">
    <w:name w:val="Revision"/>
    <w:hidden/>
    <w:uiPriority w:val="99"/>
    <w:semiHidden/>
    <w:rsid w:val="00587232"/>
    <w:pPr>
      <w:spacing w:after="0" w:line="240" w:lineRule="auto"/>
    </w:pPr>
    <w:rPr>
      <w:rFonts w:ascii="Times New Roman" w:eastAsia="Times New Roman" w:hAnsi="Times New Roman" w:cs="Times New Roman"/>
      <w:sz w:val="24"/>
    </w:rPr>
  </w:style>
  <w:style w:type="paragraph" w:customStyle="1" w:styleId="FigureHeading">
    <w:name w:val="Figure Heading"/>
    <w:basedOn w:val="Normal"/>
    <w:link w:val="FigureHeadingChar"/>
    <w:qFormat/>
    <w:rsid w:val="00587232"/>
    <w:pPr>
      <w:spacing w:line="240" w:lineRule="auto"/>
    </w:pPr>
    <w:rPr>
      <w:b/>
      <w:noProof/>
      <w:lang w:val="en-US" w:eastAsia="en-US"/>
    </w:rPr>
  </w:style>
  <w:style w:type="character" w:customStyle="1" w:styleId="FigureHeadingChar">
    <w:name w:val="Figure Heading Char"/>
    <w:basedOn w:val="DefaultParagraphFont"/>
    <w:link w:val="FigureHeading"/>
    <w:rsid w:val="00587232"/>
    <w:rPr>
      <w:rFonts w:ascii="Times New Roman" w:eastAsia="Times New Roman" w:hAnsi="Times New Roman" w:cs="Times New Roman"/>
      <w:b/>
      <w:noProof/>
      <w:sz w:val="24"/>
      <w:lang w:val="en-US" w:eastAsia="en-US"/>
    </w:rPr>
  </w:style>
  <w:style w:type="character" w:styleId="UnresolvedMention">
    <w:name w:val="Unresolved Mention"/>
    <w:basedOn w:val="DefaultParagraphFont"/>
    <w:uiPriority w:val="99"/>
    <w:semiHidden/>
    <w:unhideWhenUsed/>
    <w:rsid w:val="005C40C3"/>
    <w:rPr>
      <w:color w:val="605E5C"/>
      <w:shd w:val="clear" w:color="auto" w:fill="E1DFDD"/>
    </w:rPr>
  </w:style>
  <w:style w:type="paragraph" w:customStyle="1" w:styleId="DecimalAligned">
    <w:name w:val="Decimal Aligned"/>
    <w:basedOn w:val="Normal"/>
    <w:uiPriority w:val="40"/>
    <w:qFormat/>
    <w:rsid w:val="00D66AF4"/>
    <w:pPr>
      <w:tabs>
        <w:tab w:val="decimal" w:pos="360"/>
      </w:tabs>
    </w:pPr>
    <w:rPr>
      <w:rFonts w:asciiTheme="minorHAnsi" w:eastAsiaTheme="minorEastAsia" w:hAnsiTheme="minorHAnsi"/>
      <w:sz w:val="22"/>
      <w:lang w:val="en-US" w:eastAsia="en-US"/>
    </w:rPr>
  </w:style>
  <w:style w:type="table" w:styleId="LightShading-Accent1">
    <w:name w:val="Light Shading Accent 1"/>
    <w:basedOn w:val="TableNormal"/>
    <w:uiPriority w:val="60"/>
    <w:rsid w:val="00D66AF4"/>
    <w:pPr>
      <w:spacing w:after="0" w:line="240" w:lineRule="auto"/>
    </w:pPr>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OfTables">
    <w:name w:val="TableOfTables"/>
    <w:basedOn w:val="TableofFigures"/>
    <w:link w:val="TableOfTablesChar"/>
    <w:qFormat/>
    <w:rsid w:val="001900C0"/>
    <w:pPr>
      <w:tabs>
        <w:tab w:val="right" w:leader="dot" w:pos="9016"/>
      </w:tabs>
    </w:pPr>
    <w:rPr>
      <w:noProof/>
    </w:rPr>
  </w:style>
  <w:style w:type="paragraph" w:customStyle="1" w:styleId="TableHeader">
    <w:name w:val="TableHeader"/>
    <w:basedOn w:val="Normal"/>
    <w:link w:val="TableHeaderChar"/>
    <w:qFormat/>
    <w:rsid w:val="000334B1"/>
    <w:pPr>
      <w:spacing w:line="480" w:lineRule="auto"/>
    </w:pPr>
  </w:style>
  <w:style w:type="character" w:customStyle="1" w:styleId="TableofFiguresChar">
    <w:name w:val="Table of Figures Char"/>
    <w:basedOn w:val="DefaultParagraphFont"/>
    <w:link w:val="TableofFigures"/>
    <w:uiPriority w:val="99"/>
    <w:rsid w:val="001900C0"/>
    <w:rPr>
      <w:rFonts w:ascii="Times New Roman" w:eastAsia="Times New Roman" w:hAnsi="Times New Roman" w:cs="Times New Roman"/>
      <w:sz w:val="24"/>
    </w:rPr>
  </w:style>
  <w:style w:type="character" w:customStyle="1" w:styleId="TableOfTablesChar">
    <w:name w:val="TableOfTables Char"/>
    <w:basedOn w:val="TableofFiguresChar"/>
    <w:link w:val="TableOfTables"/>
    <w:rsid w:val="001900C0"/>
    <w:rPr>
      <w:rFonts w:ascii="Times New Roman" w:eastAsia="Times New Roman" w:hAnsi="Times New Roman" w:cs="Times New Roman"/>
      <w:noProof/>
      <w:sz w:val="24"/>
    </w:rPr>
  </w:style>
  <w:style w:type="character" w:styleId="Emphasis">
    <w:name w:val="Emphasis"/>
    <w:basedOn w:val="DefaultParagraphFont"/>
    <w:uiPriority w:val="20"/>
    <w:qFormat/>
    <w:rsid w:val="007B6EA9"/>
    <w:rPr>
      <w:i/>
      <w:iCs/>
    </w:rPr>
  </w:style>
  <w:style w:type="character" w:customStyle="1" w:styleId="TableHeaderChar">
    <w:name w:val="TableHeader Char"/>
    <w:basedOn w:val="DefaultParagraphFont"/>
    <w:link w:val="TableHeader"/>
    <w:rsid w:val="000334B1"/>
    <w:rPr>
      <w:rFonts w:ascii="Times New Roman" w:eastAsia="Times New Roman" w:hAnsi="Times New Roman" w:cs="Times New Roman"/>
      <w:sz w:val="24"/>
    </w:rPr>
  </w:style>
  <w:style w:type="character" w:styleId="Strong">
    <w:name w:val="Strong"/>
    <w:basedOn w:val="DefaultParagraphFont"/>
    <w:uiPriority w:val="22"/>
    <w:qFormat/>
    <w:rsid w:val="00443002"/>
    <w:rPr>
      <w:b/>
      <w:bCs/>
    </w:rPr>
  </w:style>
  <w:style w:type="character" w:customStyle="1" w:styleId="citationref">
    <w:name w:val="citationref"/>
    <w:basedOn w:val="DefaultParagraphFont"/>
    <w:rsid w:val="00E808F1"/>
  </w:style>
  <w:style w:type="paragraph" w:customStyle="1" w:styleId="halfrhythm">
    <w:name w:val="half_rhythm"/>
    <w:basedOn w:val="Normal"/>
    <w:rsid w:val="009A2B42"/>
    <w:pPr>
      <w:spacing w:before="100" w:beforeAutospacing="1" w:after="100" w:afterAutospacing="1" w:line="240" w:lineRule="auto"/>
    </w:pPr>
    <w:rPr>
      <w:szCs w:val="24"/>
      <w:lang w:eastAsia="en-GB"/>
    </w:rPr>
  </w:style>
  <w:style w:type="numbering" w:customStyle="1" w:styleId="NoList1">
    <w:name w:val="No List1"/>
    <w:next w:val="NoList"/>
    <w:uiPriority w:val="99"/>
    <w:semiHidden/>
    <w:unhideWhenUsed/>
    <w:rsid w:val="00EB21C3"/>
  </w:style>
  <w:style w:type="table" w:customStyle="1" w:styleId="TableGrid1">
    <w:name w:val="Table Grid1"/>
    <w:basedOn w:val="TableNormal"/>
    <w:next w:val="TableGrid"/>
    <w:uiPriority w:val="59"/>
    <w:rsid w:val="00EB21C3"/>
    <w:pPr>
      <w:spacing w:after="0" w:line="240" w:lineRule="auto"/>
    </w:pPr>
    <w:rPr>
      <w:rFonts w:ascii="Calibri" w:eastAsia="Times New Roman"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EB21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21C3"/>
    <w:rPr>
      <w:rFonts w:ascii="Times New Roman" w:eastAsia="Times New Roman" w:hAnsi="Times New Roman" w:cs="Times New Roman"/>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953">
      <w:bodyDiv w:val="1"/>
      <w:marLeft w:val="0"/>
      <w:marRight w:val="0"/>
      <w:marTop w:val="0"/>
      <w:marBottom w:val="0"/>
      <w:divBdr>
        <w:top w:val="none" w:sz="0" w:space="0" w:color="auto"/>
        <w:left w:val="none" w:sz="0" w:space="0" w:color="auto"/>
        <w:bottom w:val="none" w:sz="0" w:space="0" w:color="auto"/>
        <w:right w:val="none" w:sz="0" w:space="0" w:color="auto"/>
      </w:divBdr>
    </w:div>
    <w:div w:id="89740582">
      <w:bodyDiv w:val="1"/>
      <w:marLeft w:val="0"/>
      <w:marRight w:val="0"/>
      <w:marTop w:val="0"/>
      <w:marBottom w:val="0"/>
      <w:divBdr>
        <w:top w:val="none" w:sz="0" w:space="0" w:color="auto"/>
        <w:left w:val="none" w:sz="0" w:space="0" w:color="auto"/>
        <w:bottom w:val="none" w:sz="0" w:space="0" w:color="auto"/>
        <w:right w:val="none" w:sz="0" w:space="0" w:color="auto"/>
      </w:divBdr>
    </w:div>
    <w:div w:id="131412480">
      <w:bodyDiv w:val="1"/>
      <w:marLeft w:val="0"/>
      <w:marRight w:val="0"/>
      <w:marTop w:val="0"/>
      <w:marBottom w:val="0"/>
      <w:divBdr>
        <w:top w:val="none" w:sz="0" w:space="0" w:color="auto"/>
        <w:left w:val="none" w:sz="0" w:space="0" w:color="auto"/>
        <w:bottom w:val="none" w:sz="0" w:space="0" w:color="auto"/>
        <w:right w:val="none" w:sz="0" w:space="0" w:color="auto"/>
      </w:divBdr>
      <w:divsChild>
        <w:div w:id="1989901468">
          <w:marLeft w:val="274"/>
          <w:marRight w:val="0"/>
          <w:marTop w:val="0"/>
          <w:marBottom w:val="0"/>
          <w:divBdr>
            <w:top w:val="none" w:sz="0" w:space="0" w:color="auto"/>
            <w:left w:val="none" w:sz="0" w:space="0" w:color="auto"/>
            <w:bottom w:val="none" w:sz="0" w:space="0" w:color="auto"/>
            <w:right w:val="none" w:sz="0" w:space="0" w:color="auto"/>
          </w:divBdr>
        </w:div>
        <w:div w:id="1267807913">
          <w:marLeft w:val="274"/>
          <w:marRight w:val="0"/>
          <w:marTop w:val="0"/>
          <w:marBottom w:val="0"/>
          <w:divBdr>
            <w:top w:val="none" w:sz="0" w:space="0" w:color="auto"/>
            <w:left w:val="none" w:sz="0" w:space="0" w:color="auto"/>
            <w:bottom w:val="none" w:sz="0" w:space="0" w:color="auto"/>
            <w:right w:val="none" w:sz="0" w:space="0" w:color="auto"/>
          </w:divBdr>
        </w:div>
      </w:divsChild>
    </w:div>
    <w:div w:id="168643687">
      <w:bodyDiv w:val="1"/>
      <w:marLeft w:val="0"/>
      <w:marRight w:val="0"/>
      <w:marTop w:val="0"/>
      <w:marBottom w:val="0"/>
      <w:divBdr>
        <w:top w:val="none" w:sz="0" w:space="0" w:color="auto"/>
        <w:left w:val="none" w:sz="0" w:space="0" w:color="auto"/>
        <w:bottom w:val="none" w:sz="0" w:space="0" w:color="auto"/>
        <w:right w:val="none" w:sz="0" w:space="0" w:color="auto"/>
      </w:divBdr>
    </w:div>
    <w:div w:id="198860678">
      <w:bodyDiv w:val="1"/>
      <w:marLeft w:val="0"/>
      <w:marRight w:val="0"/>
      <w:marTop w:val="0"/>
      <w:marBottom w:val="0"/>
      <w:divBdr>
        <w:top w:val="none" w:sz="0" w:space="0" w:color="auto"/>
        <w:left w:val="none" w:sz="0" w:space="0" w:color="auto"/>
        <w:bottom w:val="none" w:sz="0" w:space="0" w:color="auto"/>
        <w:right w:val="none" w:sz="0" w:space="0" w:color="auto"/>
      </w:divBdr>
      <w:divsChild>
        <w:div w:id="1388650861">
          <w:marLeft w:val="0"/>
          <w:marRight w:val="0"/>
          <w:marTop w:val="0"/>
          <w:marBottom w:val="0"/>
          <w:divBdr>
            <w:top w:val="none" w:sz="0" w:space="0" w:color="auto"/>
            <w:left w:val="none" w:sz="0" w:space="0" w:color="auto"/>
            <w:bottom w:val="none" w:sz="0" w:space="0" w:color="auto"/>
            <w:right w:val="none" w:sz="0" w:space="0" w:color="auto"/>
          </w:divBdr>
        </w:div>
        <w:div w:id="1864786487">
          <w:marLeft w:val="0"/>
          <w:marRight w:val="0"/>
          <w:marTop w:val="0"/>
          <w:marBottom w:val="0"/>
          <w:divBdr>
            <w:top w:val="none" w:sz="0" w:space="0" w:color="auto"/>
            <w:left w:val="none" w:sz="0" w:space="0" w:color="auto"/>
            <w:bottom w:val="none" w:sz="0" w:space="0" w:color="auto"/>
            <w:right w:val="none" w:sz="0" w:space="0" w:color="auto"/>
          </w:divBdr>
        </w:div>
        <w:div w:id="165367418">
          <w:marLeft w:val="0"/>
          <w:marRight w:val="0"/>
          <w:marTop w:val="0"/>
          <w:marBottom w:val="0"/>
          <w:divBdr>
            <w:top w:val="none" w:sz="0" w:space="0" w:color="auto"/>
            <w:left w:val="none" w:sz="0" w:space="0" w:color="auto"/>
            <w:bottom w:val="none" w:sz="0" w:space="0" w:color="auto"/>
            <w:right w:val="none" w:sz="0" w:space="0" w:color="auto"/>
          </w:divBdr>
        </w:div>
        <w:div w:id="848909973">
          <w:marLeft w:val="0"/>
          <w:marRight w:val="0"/>
          <w:marTop w:val="0"/>
          <w:marBottom w:val="0"/>
          <w:divBdr>
            <w:top w:val="none" w:sz="0" w:space="0" w:color="auto"/>
            <w:left w:val="none" w:sz="0" w:space="0" w:color="auto"/>
            <w:bottom w:val="none" w:sz="0" w:space="0" w:color="auto"/>
            <w:right w:val="none" w:sz="0" w:space="0" w:color="auto"/>
          </w:divBdr>
        </w:div>
        <w:div w:id="836073376">
          <w:marLeft w:val="0"/>
          <w:marRight w:val="0"/>
          <w:marTop w:val="0"/>
          <w:marBottom w:val="0"/>
          <w:divBdr>
            <w:top w:val="none" w:sz="0" w:space="0" w:color="auto"/>
            <w:left w:val="none" w:sz="0" w:space="0" w:color="auto"/>
            <w:bottom w:val="none" w:sz="0" w:space="0" w:color="auto"/>
            <w:right w:val="none" w:sz="0" w:space="0" w:color="auto"/>
          </w:divBdr>
        </w:div>
        <w:div w:id="1553543744">
          <w:marLeft w:val="0"/>
          <w:marRight w:val="0"/>
          <w:marTop w:val="0"/>
          <w:marBottom w:val="0"/>
          <w:divBdr>
            <w:top w:val="none" w:sz="0" w:space="0" w:color="auto"/>
            <w:left w:val="none" w:sz="0" w:space="0" w:color="auto"/>
            <w:bottom w:val="none" w:sz="0" w:space="0" w:color="auto"/>
            <w:right w:val="none" w:sz="0" w:space="0" w:color="auto"/>
          </w:divBdr>
        </w:div>
        <w:div w:id="1500806643">
          <w:marLeft w:val="0"/>
          <w:marRight w:val="0"/>
          <w:marTop w:val="0"/>
          <w:marBottom w:val="0"/>
          <w:divBdr>
            <w:top w:val="none" w:sz="0" w:space="0" w:color="auto"/>
            <w:left w:val="none" w:sz="0" w:space="0" w:color="auto"/>
            <w:bottom w:val="none" w:sz="0" w:space="0" w:color="auto"/>
            <w:right w:val="none" w:sz="0" w:space="0" w:color="auto"/>
          </w:divBdr>
        </w:div>
      </w:divsChild>
    </w:div>
    <w:div w:id="243418704">
      <w:bodyDiv w:val="1"/>
      <w:marLeft w:val="0"/>
      <w:marRight w:val="0"/>
      <w:marTop w:val="0"/>
      <w:marBottom w:val="0"/>
      <w:divBdr>
        <w:top w:val="none" w:sz="0" w:space="0" w:color="auto"/>
        <w:left w:val="none" w:sz="0" w:space="0" w:color="auto"/>
        <w:bottom w:val="none" w:sz="0" w:space="0" w:color="auto"/>
        <w:right w:val="none" w:sz="0" w:space="0" w:color="auto"/>
      </w:divBdr>
    </w:div>
    <w:div w:id="297691102">
      <w:bodyDiv w:val="1"/>
      <w:marLeft w:val="0"/>
      <w:marRight w:val="0"/>
      <w:marTop w:val="0"/>
      <w:marBottom w:val="0"/>
      <w:divBdr>
        <w:top w:val="none" w:sz="0" w:space="0" w:color="auto"/>
        <w:left w:val="none" w:sz="0" w:space="0" w:color="auto"/>
        <w:bottom w:val="none" w:sz="0" w:space="0" w:color="auto"/>
        <w:right w:val="none" w:sz="0" w:space="0" w:color="auto"/>
      </w:divBdr>
    </w:div>
    <w:div w:id="398134125">
      <w:bodyDiv w:val="1"/>
      <w:marLeft w:val="0"/>
      <w:marRight w:val="0"/>
      <w:marTop w:val="0"/>
      <w:marBottom w:val="0"/>
      <w:divBdr>
        <w:top w:val="none" w:sz="0" w:space="0" w:color="auto"/>
        <w:left w:val="none" w:sz="0" w:space="0" w:color="auto"/>
        <w:bottom w:val="none" w:sz="0" w:space="0" w:color="auto"/>
        <w:right w:val="none" w:sz="0" w:space="0" w:color="auto"/>
      </w:divBdr>
      <w:divsChild>
        <w:div w:id="787509697">
          <w:marLeft w:val="274"/>
          <w:marRight w:val="0"/>
          <w:marTop w:val="0"/>
          <w:marBottom w:val="0"/>
          <w:divBdr>
            <w:top w:val="none" w:sz="0" w:space="0" w:color="auto"/>
            <w:left w:val="none" w:sz="0" w:space="0" w:color="auto"/>
            <w:bottom w:val="none" w:sz="0" w:space="0" w:color="auto"/>
            <w:right w:val="none" w:sz="0" w:space="0" w:color="auto"/>
          </w:divBdr>
        </w:div>
        <w:div w:id="1573393050">
          <w:marLeft w:val="274"/>
          <w:marRight w:val="0"/>
          <w:marTop w:val="0"/>
          <w:marBottom w:val="0"/>
          <w:divBdr>
            <w:top w:val="none" w:sz="0" w:space="0" w:color="auto"/>
            <w:left w:val="none" w:sz="0" w:space="0" w:color="auto"/>
            <w:bottom w:val="none" w:sz="0" w:space="0" w:color="auto"/>
            <w:right w:val="none" w:sz="0" w:space="0" w:color="auto"/>
          </w:divBdr>
        </w:div>
        <w:div w:id="301277780">
          <w:marLeft w:val="274"/>
          <w:marRight w:val="0"/>
          <w:marTop w:val="0"/>
          <w:marBottom w:val="0"/>
          <w:divBdr>
            <w:top w:val="none" w:sz="0" w:space="0" w:color="auto"/>
            <w:left w:val="none" w:sz="0" w:space="0" w:color="auto"/>
            <w:bottom w:val="none" w:sz="0" w:space="0" w:color="auto"/>
            <w:right w:val="none" w:sz="0" w:space="0" w:color="auto"/>
          </w:divBdr>
        </w:div>
        <w:div w:id="690843346">
          <w:marLeft w:val="274"/>
          <w:marRight w:val="0"/>
          <w:marTop w:val="0"/>
          <w:marBottom w:val="0"/>
          <w:divBdr>
            <w:top w:val="none" w:sz="0" w:space="0" w:color="auto"/>
            <w:left w:val="none" w:sz="0" w:space="0" w:color="auto"/>
            <w:bottom w:val="none" w:sz="0" w:space="0" w:color="auto"/>
            <w:right w:val="none" w:sz="0" w:space="0" w:color="auto"/>
          </w:divBdr>
        </w:div>
      </w:divsChild>
    </w:div>
    <w:div w:id="410935438">
      <w:bodyDiv w:val="1"/>
      <w:marLeft w:val="0"/>
      <w:marRight w:val="0"/>
      <w:marTop w:val="0"/>
      <w:marBottom w:val="0"/>
      <w:divBdr>
        <w:top w:val="none" w:sz="0" w:space="0" w:color="auto"/>
        <w:left w:val="none" w:sz="0" w:space="0" w:color="auto"/>
        <w:bottom w:val="none" w:sz="0" w:space="0" w:color="auto"/>
        <w:right w:val="none" w:sz="0" w:space="0" w:color="auto"/>
      </w:divBdr>
    </w:div>
    <w:div w:id="440344149">
      <w:bodyDiv w:val="1"/>
      <w:marLeft w:val="0"/>
      <w:marRight w:val="0"/>
      <w:marTop w:val="0"/>
      <w:marBottom w:val="0"/>
      <w:divBdr>
        <w:top w:val="none" w:sz="0" w:space="0" w:color="auto"/>
        <w:left w:val="none" w:sz="0" w:space="0" w:color="auto"/>
        <w:bottom w:val="none" w:sz="0" w:space="0" w:color="auto"/>
        <w:right w:val="none" w:sz="0" w:space="0" w:color="auto"/>
      </w:divBdr>
    </w:div>
    <w:div w:id="514731903">
      <w:bodyDiv w:val="1"/>
      <w:marLeft w:val="0"/>
      <w:marRight w:val="0"/>
      <w:marTop w:val="0"/>
      <w:marBottom w:val="0"/>
      <w:divBdr>
        <w:top w:val="none" w:sz="0" w:space="0" w:color="auto"/>
        <w:left w:val="none" w:sz="0" w:space="0" w:color="auto"/>
        <w:bottom w:val="none" w:sz="0" w:space="0" w:color="auto"/>
        <w:right w:val="none" w:sz="0" w:space="0" w:color="auto"/>
      </w:divBdr>
    </w:div>
    <w:div w:id="641889190">
      <w:bodyDiv w:val="1"/>
      <w:marLeft w:val="0"/>
      <w:marRight w:val="0"/>
      <w:marTop w:val="0"/>
      <w:marBottom w:val="0"/>
      <w:divBdr>
        <w:top w:val="none" w:sz="0" w:space="0" w:color="auto"/>
        <w:left w:val="none" w:sz="0" w:space="0" w:color="auto"/>
        <w:bottom w:val="none" w:sz="0" w:space="0" w:color="auto"/>
        <w:right w:val="none" w:sz="0" w:space="0" w:color="auto"/>
      </w:divBdr>
    </w:div>
    <w:div w:id="680400716">
      <w:bodyDiv w:val="1"/>
      <w:marLeft w:val="0"/>
      <w:marRight w:val="0"/>
      <w:marTop w:val="0"/>
      <w:marBottom w:val="0"/>
      <w:divBdr>
        <w:top w:val="none" w:sz="0" w:space="0" w:color="auto"/>
        <w:left w:val="none" w:sz="0" w:space="0" w:color="auto"/>
        <w:bottom w:val="none" w:sz="0" w:space="0" w:color="auto"/>
        <w:right w:val="none" w:sz="0" w:space="0" w:color="auto"/>
      </w:divBdr>
    </w:div>
    <w:div w:id="922759774">
      <w:bodyDiv w:val="1"/>
      <w:marLeft w:val="0"/>
      <w:marRight w:val="0"/>
      <w:marTop w:val="0"/>
      <w:marBottom w:val="0"/>
      <w:divBdr>
        <w:top w:val="none" w:sz="0" w:space="0" w:color="auto"/>
        <w:left w:val="none" w:sz="0" w:space="0" w:color="auto"/>
        <w:bottom w:val="none" w:sz="0" w:space="0" w:color="auto"/>
        <w:right w:val="none" w:sz="0" w:space="0" w:color="auto"/>
      </w:divBdr>
      <w:divsChild>
        <w:div w:id="1909218558">
          <w:marLeft w:val="0"/>
          <w:marRight w:val="0"/>
          <w:marTop w:val="0"/>
          <w:marBottom w:val="0"/>
          <w:divBdr>
            <w:top w:val="none" w:sz="0" w:space="0" w:color="auto"/>
            <w:left w:val="none" w:sz="0" w:space="0" w:color="auto"/>
            <w:bottom w:val="none" w:sz="0" w:space="0" w:color="auto"/>
            <w:right w:val="none" w:sz="0" w:space="0" w:color="auto"/>
          </w:divBdr>
        </w:div>
        <w:div w:id="513421379">
          <w:marLeft w:val="0"/>
          <w:marRight w:val="0"/>
          <w:marTop w:val="0"/>
          <w:marBottom w:val="0"/>
          <w:divBdr>
            <w:top w:val="none" w:sz="0" w:space="0" w:color="auto"/>
            <w:left w:val="none" w:sz="0" w:space="0" w:color="auto"/>
            <w:bottom w:val="none" w:sz="0" w:space="0" w:color="auto"/>
            <w:right w:val="none" w:sz="0" w:space="0" w:color="auto"/>
          </w:divBdr>
        </w:div>
        <w:div w:id="266743144">
          <w:marLeft w:val="0"/>
          <w:marRight w:val="0"/>
          <w:marTop w:val="0"/>
          <w:marBottom w:val="0"/>
          <w:divBdr>
            <w:top w:val="none" w:sz="0" w:space="0" w:color="auto"/>
            <w:left w:val="none" w:sz="0" w:space="0" w:color="auto"/>
            <w:bottom w:val="none" w:sz="0" w:space="0" w:color="auto"/>
            <w:right w:val="none" w:sz="0" w:space="0" w:color="auto"/>
          </w:divBdr>
        </w:div>
        <w:div w:id="371922150">
          <w:marLeft w:val="0"/>
          <w:marRight w:val="0"/>
          <w:marTop w:val="0"/>
          <w:marBottom w:val="0"/>
          <w:divBdr>
            <w:top w:val="none" w:sz="0" w:space="0" w:color="auto"/>
            <w:left w:val="none" w:sz="0" w:space="0" w:color="auto"/>
            <w:bottom w:val="none" w:sz="0" w:space="0" w:color="auto"/>
            <w:right w:val="none" w:sz="0" w:space="0" w:color="auto"/>
          </w:divBdr>
        </w:div>
        <w:div w:id="1426922231">
          <w:marLeft w:val="0"/>
          <w:marRight w:val="0"/>
          <w:marTop w:val="0"/>
          <w:marBottom w:val="0"/>
          <w:divBdr>
            <w:top w:val="none" w:sz="0" w:space="0" w:color="auto"/>
            <w:left w:val="none" w:sz="0" w:space="0" w:color="auto"/>
            <w:bottom w:val="none" w:sz="0" w:space="0" w:color="auto"/>
            <w:right w:val="none" w:sz="0" w:space="0" w:color="auto"/>
          </w:divBdr>
        </w:div>
        <w:div w:id="166214608">
          <w:marLeft w:val="0"/>
          <w:marRight w:val="0"/>
          <w:marTop w:val="0"/>
          <w:marBottom w:val="0"/>
          <w:divBdr>
            <w:top w:val="none" w:sz="0" w:space="0" w:color="auto"/>
            <w:left w:val="none" w:sz="0" w:space="0" w:color="auto"/>
            <w:bottom w:val="none" w:sz="0" w:space="0" w:color="auto"/>
            <w:right w:val="none" w:sz="0" w:space="0" w:color="auto"/>
          </w:divBdr>
        </w:div>
        <w:div w:id="1097824019">
          <w:marLeft w:val="0"/>
          <w:marRight w:val="0"/>
          <w:marTop w:val="0"/>
          <w:marBottom w:val="0"/>
          <w:divBdr>
            <w:top w:val="none" w:sz="0" w:space="0" w:color="auto"/>
            <w:left w:val="none" w:sz="0" w:space="0" w:color="auto"/>
            <w:bottom w:val="none" w:sz="0" w:space="0" w:color="auto"/>
            <w:right w:val="none" w:sz="0" w:space="0" w:color="auto"/>
          </w:divBdr>
        </w:div>
      </w:divsChild>
    </w:div>
    <w:div w:id="1128162463">
      <w:bodyDiv w:val="1"/>
      <w:marLeft w:val="0"/>
      <w:marRight w:val="0"/>
      <w:marTop w:val="0"/>
      <w:marBottom w:val="0"/>
      <w:divBdr>
        <w:top w:val="none" w:sz="0" w:space="0" w:color="auto"/>
        <w:left w:val="none" w:sz="0" w:space="0" w:color="auto"/>
        <w:bottom w:val="none" w:sz="0" w:space="0" w:color="auto"/>
        <w:right w:val="none" w:sz="0" w:space="0" w:color="auto"/>
      </w:divBdr>
    </w:div>
    <w:div w:id="1202789601">
      <w:bodyDiv w:val="1"/>
      <w:marLeft w:val="0"/>
      <w:marRight w:val="0"/>
      <w:marTop w:val="0"/>
      <w:marBottom w:val="0"/>
      <w:divBdr>
        <w:top w:val="none" w:sz="0" w:space="0" w:color="auto"/>
        <w:left w:val="none" w:sz="0" w:space="0" w:color="auto"/>
        <w:bottom w:val="none" w:sz="0" w:space="0" w:color="auto"/>
        <w:right w:val="none" w:sz="0" w:space="0" w:color="auto"/>
      </w:divBdr>
    </w:div>
    <w:div w:id="1299727236">
      <w:bodyDiv w:val="1"/>
      <w:marLeft w:val="0"/>
      <w:marRight w:val="0"/>
      <w:marTop w:val="0"/>
      <w:marBottom w:val="0"/>
      <w:divBdr>
        <w:top w:val="none" w:sz="0" w:space="0" w:color="auto"/>
        <w:left w:val="none" w:sz="0" w:space="0" w:color="auto"/>
        <w:bottom w:val="none" w:sz="0" w:space="0" w:color="auto"/>
        <w:right w:val="none" w:sz="0" w:space="0" w:color="auto"/>
      </w:divBdr>
      <w:divsChild>
        <w:div w:id="1578325657">
          <w:marLeft w:val="274"/>
          <w:marRight w:val="0"/>
          <w:marTop w:val="0"/>
          <w:marBottom w:val="0"/>
          <w:divBdr>
            <w:top w:val="none" w:sz="0" w:space="0" w:color="auto"/>
            <w:left w:val="none" w:sz="0" w:space="0" w:color="auto"/>
            <w:bottom w:val="none" w:sz="0" w:space="0" w:color="auto"/>
            <w:right w:val="none" w:sz="0" w:space="0" w:color="auto"/>
          </w:divBdr>
        </w:div>
        <w:div w:id="441850383">
          <w:marLeft w:val="274"/>
          <w:marRight w:val="0"/>
          <w:marTop w:val="0"/>
          <w:marBottom w:val="0"/>
          <w:divBdr>
            <w:top w:val="none" w:sz="0" w:space="0" w:color="auto"/>
            <w:left w:val="none" w:sz="0" w:space="0" w:color="auto"/>
            <w:bottom w:val="none" w:sz="0" w:space="0" w:color="auto"/>
            <w:right w:val="none" w:sz="0" w:space="0" w:color="auto"/>
          </w:divBdr>
        </w:div>
      </w:divsChild>
    </w:div>
    <w:div w:id="1403716586">
      <w:bodyDiv w:val="1"/>
      <w:marLeft w:val="0"/>
      <w:marRight w:val="0"/>
      <w:marTop w:val="0"/>
      <w:marBottom w:val="0"/>
      <w:divBdr>
        <w:top w:val="none" w:sz="0" w:space="0" w:color="auto"/>
        <w:left w:val="none" w:sz="0" w:space="0" w:color="auto"/>
        <w:bottom w:val="none" w:sz="0" w:space="0" w:color="auto"/>
        <w:right w:val="none" w:sz="0" w:space="0" w:color="auto"/>
      </w:divBdr>
    </w:div>
    <w:div w:id="1516264899">
      <w:bodyDiv w:val="1"/>
      <w:marLeft w:val="0"/>
      <w:marRight w:val="0"/>
      <w:marTop w:val="0"/>
      <w:marBottom w:val="0"/>
      <w:divBdr>
        <w:top w:val="none" w:sz="0" w:space="0" w:color="auto"/>
        <w:left w:val="none" w:sz="0" w:space="0" w:color="auto"/>
        <w:bottom w:val="none" w:sz="0" w:space="0" w:color="auto"/>
        <w:right w:val="none" w:sz="0" w:space="0" w:color="auto"/>
      </w:divBdr>
    </w:div>
    <w:div w:id="1528444281">
      <w:bodyDiv w:val="1"/>
      <w:marLeft w:val="0"/>
      <w:marRight w:val="0"/>
      <w:marTop w:val="0"/>
      <w:marBottom w:val="0"/>
      <w:divBdr>
        <w:top w:val="none" w:sz="0" w:space="0" w:color="auto"/>
        <w:left w:val="none" w:sz="0" w:space="0" w:color="auto"/>
        <w:bottom w:val="none" w:sz="0" w:space="0" w:color="auto"/>
        <w:right w:val="none" w:sz="0" w:space="0" w:color="auto"/>
      </w:divBdr>
    </w:div>
    <w:div w:id="1532912570">
      <w:bodyDiv w:val="1"/>
      <w:marLeft w:val="0"/>
      <w:marRight w:val="0"/>
      <w:marTop w:val="0"/>
      <w:marBottom w:val="0"/>
      <w:divBdr>
        <w:top w:val="none" w:sz="0" w:space="0" w:color="auto"/>
        <w:left w:val="none" w:sz="0" w:space="0" w:color="auto"/>
        <w:bottom w:val="none" w:sz="0" w:space="0" w:color="auto"/>
        <w:right w:val="none" w:sz="0" w:space="0" w:color="auto"/>
      </w:divBdr>
    </w:div>
    <w:div w:id="1555384635">
      <w:bodyDiv w:val="1"/>
      <w:marLeft w:val="0"/>
      <w:marRight w:val="0"/>
      <w:marTop w:val="0"/>
      <w:marBottom w:val="0"/>
      <w:divBdr>
        <w:top w:val="none" w:sz="0" w:space="0" w:color="auto"/>
        <w:left w:val="none" w:sz="0" w:space="0" w:color="auto"/>
        <w:bottom w:val="none" w:sz="0" w:space="0" w:color="auto"/>
        <w:right w:val="none" w:sz="0" w:space="0" w:color="auto"/>
      </w:divBdr>
    </w:div>
    <w:div w:id="1574387785">
      <w:bodyDiv w:val="1"/>
      <w:marLeft w:val="0"/>
      <w:marRight w:val="0"/>
      <w:marTop w:val="0"/>
      <w:marBottom w:val="0"/>
      <w:divBdr>
        <w:top w:val="none" w:sz="0" w:space="0" w:color="auto"/>
        <w:left w:val="none" w:sz="0" w:space="0" w:color="auto"/>
        <w:bottom w:val="none" w:sz="0" w:space="0" w:color="auto"/>
        <w:right w:val="none" w:sz="0" w:space="0" w:color="auto"/>
      </w:divBdr>
    </w:div>
    <w:div w:id="1665543575">
      <w:bodyDiv w:val="1"/>
      <w:marLeft w:val="0"/>
      <w:marRight w:val="0"/>
      <w:marTop w:val="0"/>
      <w:marBottom w:val="0"/>
      <w:divBdr>
        <w:top w:val="none" w:sz="0" w:space="0" w:color="auto"/>
        <w:left w:val="none" w:sz="0" w:space="0" w:color="auto"/>
        <w:bottom w:val="none" w:sz="0" w:space="0" w:color="auto"/>
        <w:right w:val="none" w:sz="0" w:space="0" w:color="auto"/>
      </w:divBdr>
      <w:divsChild>
        <w:div w:id="1557009521">
          <w:marLeft w:val="274"/>
          <w:marRight w:val="0"/>
          <w:marTop w:val="0"/>
          <w:marBottom w:val="0"/>
          <w:divBdr>
            <w:top w:val="none" w:sz="0" w:space="0" w:color="auto"/>
            <w:left w:val="none" w:sz="0" w:space="0" w:color="auto"/>
            <w:bottom w:val="none" w:sz="0" w:space="0" w:color="auto"/>
            <w:right w:val="none" w:sz="0" w:space="0" w:color="auto"/>
          </w:divBdr>
        </w:div>
        <w:div w:id="260916758">
          <w:marLeft w:val="274"/>
          <w:marRight w:val="0"/>
          <w:marTop w:val="0"/>
          <w:marBottom w:val="0"/>
          <w:divBdr>
            <w:top w:val="none" w:sz="0" w:space="0" w:color="auto"/>
            <w:left w:val="none" w:sz="0" w:space="0" w:color="auto"/>
            <w:bottom w:val="none" w:sz="0" w:space="0" w:color="auto"/>
            <w:right w:val="none" w:sz="0" w:space="0" w:color="auto"/>
          </w:divBdr>
        </w:div>
      </w:divsChild>
    </w:div>
    <w:div w:id="1723825187">
      <w:bodyDiv w:val="1"/>
      <w:marLeft w:val="0"/>
      <w:marRight w:val="0"/>
      <w:marTop w:val="0"/>
      <w:marBottom w:val="0"/>
      <w:divBdr>
        <w:top w:val="none" w:sz="0" w:space="0" w:color="auto"/>
        <w:left w:val="none" w:sz="0" w:space="0" w:color="auto"/>
        <w:bottom w:val="none" w:sz="0" w:space="0" w:color="auto"/>
        <w:right w:val="none" w:sz="0" w:space="0" w:color="auto"/>
      </w:divBdr>
    </w:div>
    <w:div w:id="1747217104">
      <w:bodyDiv w:val="1"/>
      <w:marLeft w:val="0"/>
      <w:marRight w:val="0"/>
      <w:marTop w:val="0"/>
      <w:marBottom w:val="0"/>
      <w:divBdr>
        <w:top w:val="none" w:sz="0" w:space="0" w:color="auto"/>
        <w:left w:val="none" w:sz="0" w:space="0" w:color="auto"/>
        <w:bottom w:val="none" w:sz="0" w:space="0" w:color="auto"/>
        <w:right w:val="none" w:sz="0" w:space="0" w:color="auto"/>
      </w:divBdr>
    </w:div>
    <w:div w:id="1749382317">
      <w:bodyDiv w:val="1"/>
      <w:marLeft w:val="0"/>
      <w:marRight w:val="0"/>
      <w:marTop w:val="0"/>
      <w:marBottom w:val="0"/>
      <w:divBdr>
        <w:top w:val="none" w:sz="0" w:space="0" w:color="auto"/>
        <w:left w:val="none" w:sz="0" w:space="0" w:color="auto"/>
        <w:bottom w:val="none" w:sz="0" w:space="0" w:color="auto"/>
        <w:right w:val="none" w:sz="0" w:space="0" w:color="auto"/>
      </w:divBdr>
    </w:div>
    <w:div w:id="1799489088">
      <w:bodyDiv w:val="1"/>
      <w:marLeft w:val="0"/>
      <w:marRight w:val="0"/>
      <w:marTop w:val="0"/>
      <w:marBottom w:val="0"/>
      <w:divBdr>
        <w:top w:val="none" w:sz="0" w:space="0" w:color="auto"/>
        <w:left w:val="none" w:sz="0" w:space="0" w:color="auto"/>
        <w:bottom w:val="none" w:sz="0" w:space="0" w:color="auto"/>
        <w:right w:val="none" w:sz="0" w:space="0" w:color="auto"/>
      </w:divBdr>
      <w:divsChild>
        <w:div w:id="1998142924">
          <w:marLeft w:val="274"/>
          <w:marRight w:val="0"/>
          <w:marTop w:val="0"/>
          <w:marBottom w:val="0"/>
          <w:divBdr>
            <w:top w:val="none" w:sz="0" w:space="0" w:color="auto"/>
            <w:left w:val="none" w:sz="0" w:space="0" w:color="auto"/>
            <w:bottom w:val="none" w:sz="0" w:space="0" w:color="auto"/>
            <w:right w:val="none" w:sz="0" w:space="0" w:color="auto"/>
          </w:divBdr>
        </w:div>
        <w:div w:id="215506000">
          <w:marLeft w:val="274"/>
          <w:marRight w:val="0"/>
          <w:marTop w:val="0"/>
          <w:marBottom w:val="0"/>
          <w:divBdr>
            <w:top w:val="none" w:sz="0" w:space="0" w:color="auto"/>
            <w:left w:val="none" w:sz="0" w:space="0" w:color="auto"/>
            <w:bottom w:val="none" w:sz="0" w:space="0" w:color="auto"/>
            <w:right w:val="none" w:sz="0" w:space="0" w:color="auto"/>
          </w:divBdr>
        </w:div>
        <w:div w:id="1218278598">
          <w:marLeft w:val="274"/>
          <w:marRight w:val="0"/>
          <w:marTop w:val="0"/>
          <w:marBottom w:val="0"/>
          <w:divBdr>
            <w:top w:val="none" w:sz="0" w:space="0" w:color="auto"/>
            <w:left w:val="none" w:sz="0" w:space="0" w:color="auto"/>
            <w:bottom w:val="none" w:sz="0" w:space="0" w:color="auto"/>
            <w:right w:val="none" w:sz="0" w:space="0" w:color="auto"/>
          </w:divBdr>
        </w:div>
      </w:divsChild>
    </w:div>
    <w:div w:id="1825194342">
      <w:bodyDiv w:val="1"/>
      <w:marLeft w:val="0"/>
      <w:marRight w:val="0"/>
      <w:marTop w:val="0"/>
      <w:marBottom w:val="0"/>
      <w:divBdr>
        <w:top w:val="none" w:sz="0" w:space="0" w:color="auto"/>
        <w:left w:val="none" w:sz="0" w:space="0" w:color="auto"/>
        <w:bottom w:val="none" w:sz="0" w:space="0" w:color="auto"/>
        <w:right w:val="none" w:sz="0" w:space="0" w:color="auto"/>
      </w:divBdr>
    </w:div>
    <w:div w:id="18522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26" Type="http://schemas.openxmlformats.org/officeDocument/2006/relationships/image" Target="media/image6.jpg"/><Relationship Id="rId39" Type="http://schemas.openxmlformats.org/officeDocument/2006/relationships/chart" Target="charts/chart12.xml"/><Relationship Id="rId21" Type="http://schemas.microsoft.com/office/2014/relationships/chartEx" Target="charts/chartEx2.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diagramLayout" Target="diagrams/layout1.xml"/><Relationship Id="rId63" Type="http://schemas.openxmlformats.org/officeDocument/2006/relationships/header" Target="header11.xml"/><Relationship Id="rId68" Type="http://schemas.openxmlformats.org/officeDocument/2006/relationships/chart" Target="charts/chart24.xml"/><Relationship Id="rId7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numbering" Target="numbering.xml"/><Relationship Id="rId16" Type="http://schemas.microsoft.com/office/2014/relationships/chartEx" Target="charts/chartEx1.xml"/><Relationship Id="rId29" Type="http://schemas.openxmlformats.org/officeDocument/2006/relationships/chart" Target="charts/chart3.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footer" Target="footer2.xml"/><Relationship Id="rId58" Type="http://schemas.microsoft.com/office/2007/relationships/diagramDrawing" Target="diagrams/drawing1.xml"/><Relationship Id="rId66" Type="http://schemas.openxmlformats.org/officeDocument/2006/relationships/header" Target="header13.xml"/><Relationship Id="rId7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diagramColors" Target="diagrams/colors1.xml"/><Relationship Id="rId61" Type="http://schemas.openxmlformats.org/officeDocument/2006/relationships/header" Target="header9.xml"/><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header" Target="header6.xml"/><Relationship Id="rId60" Type="http://schemas.openxmlformats.org/officeDocument/2006/relationships/header" Target="header8.xml"/><Relationship Id="rId65" Type="http://schemas.openxmlformats.org/officeDocument/2006/relationships/header" Target="header12.xml"/><Relationship Id="rId73" Type="http://schemas.openxmlformats.org/officeDocument/2006/relationships/header" Target="header1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7.jpg"/><Relationship Id="rId30" Type="http://schemas.openxmlformats.org/officeDocument/2006/relationships/image" Target="media/image8.JPG"/><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diagramQuickStyle" Target="diagrams/quickStyle1.xml"/><Relationship Id="rId64" Type="http://schemas.openxmlformats.org/officeDocument/2006/relationships/footer" Target="footer3.xml"/><Relationship Id="rId69" Type="http://schemas.openxmlformats.org/officeDocument/2006/relationships/chart" Target="charts/chart25.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5.jp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header" Target="header7.xml"/><Relationship Id="rId67" Type="http://schemas.openxmlformats.org/officeDocument/2006/relationships/header" Target="header14.xml"/><Relationship Id="rId20" Type="http://schemas.openxmlformats.org/officeDocument/2006/relationships/image" Target="media/image3.png"/><Relationship Id="rId41" Type="http://schemas.openxmlformats.org/officeDocument/2006/relationships/chart" Target="charts/chart14.xml"/><Relationship Id="rId54" Type="http://schemas.openxmlformats.org/officeDocument/2006/relationships/diagramData" Target="diagrams/data1.xml"/><Relationship Id="rId62" Type="http://schemas.openxmlformats.org/officeDocument/2006/relationships/header" Target="header10.xml"/><Relationship Id="rId70" Type="http://schemas.openxmlformats.org/officeDocument/2006/relationships/header" Target="header15.xm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Documents\Custom%20Office%20Templates\Chapter%20section%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0.xml"/><Relationship Id="rId1" Type="http://schemas.microsoft.com/office/2011/relationships/chartStyle" Target="style2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1.xml"/><Relationship Id="rId1" Type="http://schemas.microsoft.com/office/2011/relationships/chartStyle" Target="style2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4.xml"/><Relationship Id="rId1" Type="http://schemas.microsoft.com/office/2011/relationships/chartStyle" Target="style4.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2.xml"/><Relationship Id="rId1" Type="http://schemas.microsoft.com/office/2011/relationships/chartStyle" Target="style2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3.xml"/><Relationship Id="rId1" Type="http://schemas.microsoft.com/office/2011/relationships/chartStyle" Target="style2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4.xml"/><Relationship Id="rId1" Type="http://schemas.microsoft.com/office/2011/relationships/chartStyle" Target="style24.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Emily\Desktop\PhD%20Chapters\2%20Background\Reference%20materials\ONS%20drug%20deaths%202017.xlsx" TargetMode="External"/><Relationship Id="rId2" Type="http://schemas.microsoft.com/office/2011/relationships/chartColorStyle" Target="colors25.xml"/><Relationship Id="rId1" Type="http://schemas.microsoft.com/office/2011/relationships/chartStyle" Target="style25.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Emily\Desktop\PhD%20Chapters\7%20Study%202\Spreadsheets\Comparative%20data.xlsx" TargetMode="External"/><Relationship Id="rId2" Type="http://schemas.microsoft.com/office/2011/relationships/chartColorStyle" Target="colors26.xml"/><Relationship Id="rId1" Type="http://schemas.microsoft.com/office/2011/relationships/chartStyle" Target="style26.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Emily\Desktop\PhD%20Chapters\7%20Study%202\Spreadsheets\Comparative%20data.xlsx" TargetMode="External"/><Relationship Id="rId2" Type="http://schemas.microsoft.com/office/2011/relationships/chartColorStyle" Target="colors27.xml"/><Relationship Id="rId1" Type="http://schemas.microsoft.com/office/2011/relationships/chartStyle" Target="style27.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Emily\Desktop\PhD%20Chapters\7%20Study%202\Spreadsheets\Comparative%20data.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mily\Desktop\PhD%20Chapters\3%20Literature%20Review\Prevelance%20data.xlsx" TargetMode="External"/><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Emily\Desktop\PhD%20Chapters\3%20Literature%20Review\Prevelance%20dat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Emily\Desktop\PhD%20Chapters\3%20Literature%20Review\Prevelanc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184789859906594E-2"/>
          <c:y val="3.9900768785604702E-2"/>
          <c:w val="0.63974582521884904"/>
          <c:h val="0.797726571653254"/>
        </c:manualLayout>
      </c:layout>
      <c:barChart>
        <c:barDir val="col"/>
        <c:grouping val="stacked"/>
        <c:varyColors val="0"/>
        <c:ser>
          <c:idx val="0"/>
          <c:order val="0"/>
          <c:tx>
            <c:strRef>
              <c:f>EMCDDA!$A$2</c:f>
              <c:strCache>
                <c:ptCount val="1"/>
                <c:pt idx="0">
                  <c:v>Psychedelics</c:v>
                </c:pt>
              </c:strCache>
            </c:strRef>
          </c:tx>
          <c:spPr>
            <a:solidFill>
              <a:srgbClr val="FFC000"/>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EMCDDA!$B$2:$N$2</c:f>
              <c:numCache>
                <c:formatCode>General</c:formatCode>
                <c:ptCount val="13"/>
                <c:pt idx="0">
                  <c:v>3</c:v>
                </c:pt>
                <c:pt idx="1">
                  <c:v>2</c:v>
                </c:pt>
                <c:pt idx="2">
                  <c:v>3</c:v>
                </c:pt>
                <c:pt idx="3">
                  <c:v>1</c:v>
                </c:pt>
                <c:pt idx="4">
                  <c:v>5</c:v>
                </c:pt>
                <c:pt idx="5">
                  <c:v>3</c:v>
                </c:pt>
                <c:pt idx="6">
                  <c:v>4</c:v>
                </c:pt>
                <c:pt idx="7">
                  <c:v>14</c:v>
                </c:pt>
                <c:pt idx="8">
                  <c:v>14</c:v>
                </c:pt>
                <c:pt idx="9">
                  <c:v>9</c:v>
                </c:pt>
                <c:pt idx="10">
                  <c:v>9</c:v>
                </c:pt>
                <c:pt idx="11">
                  <c:v>5</c:v>
                </c:pt>
                <c:pt idx="12">
                  <c:v>4</c:v>
                </c:pt>
              </c:numCache>
            </c:numRef>
          </c:val>
          <c:extLst>
            <c:ext xmlns:c16="http://schemas.microsoft.com/office/drawing/2014/chart" uri="{C3380CC4-5D6E-409C-BE32-E72D297353CC}">
              <c16:uniqueId val="{00000000-DD4E-4F1D-B8B5-50A5C520CCD1}"/>
            </c:ext>
          </c:extLst>
        </c:ser>
        <c:ser>
          <c:idx val="1"/>
          <c:order val="1"/>
          <c:tx>
            <c:strRef>
              <c:f>EMCDDA!$A$3</c:f>
              <c:strCache>
                <c:ptCount val="1"/>
                <c:pt idx="0">
                  <c:v>Stimulants/ empathogens</c:v>
                </c:pt>
              </c:strCache>
            </c:strRef>
          </c:tx>
          <c:spPr>
            <a:solidFill>
              <a:srgbClr val="CC3399"/>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EMCDDA!$B$3:$N$3</c:f>
              <c:numCache>
                <c:formatCode>General</c:formatCode>
                <c:ptCount val="13"/>
                <c:pt idx="0">
                  <c:v>1</c:v>
                </c:pt>
                <c:pt idx="3">
                  <c:v>6</c:v>
                </c:pt>
                <c:pt idx="4">
                  <c:v>4</c:v>
                </c:pt>
                <c:pt idx="5">
                  <c:v>14</c:v>
                </c:pt>
                <c:pt idx="6">
                  <c:v>7</c:v>
                </c:pt>
                <c:pt idx="7">
                  <c:v>4</c:v>
                </c:pt>
                <c:pt idx="8">
                  <c:v>8</c:v>
                </c:pt>
                <c:pt idx="9">
                  <c:v>31</c:v>
                </c:pt>
                <c:pt idx="10">
                  <c:v>26</c:v>
                </c:pt>
                <c:pt idx="11">
                  <c:v>15</c:v>
                </c:pt>
                <c:pt idx="12">
                  <c:v>12</c:v>
                </c:pt>
              </c:numCache>
            </c:numRef>
          </c:val>
          <c:extLst>
            <c:ext xmlns:c16="http://schemas.microsoft.com/office/drawing/2014/chart" uri="{C3380CC4-5D6E-409C-BE32-E72D297353CC}">
              <c16:uniqueId val="{00000001-DD4E-4F1D-B8B5-50A5C520CCD1}"/>
            </c:ext>
          </c:extLst>
        </c:ser>
        <c:ser>
          <c:idx val="2"/>
          <c:order val="2"/>
          <c:tx>
            <c:strRef>
              <c:f>EMCDDA!$A$4</c:f>
              <c:strCache>
                <c:ptCount val="1"/>
                <c:pt idx="0">
                  <c:v>Cannabinoids</c:v>
                </c:pt>
              </c:strCache>
            </c:strRef>
          </c:tx>
          <c:spPr>
            <a:solidFill>
              <a:schemeClr val="accent3"/>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EMCDDA!$B$4:$N$4</c:f>
              <c:numCache>
                <c:formatCode>General</c:formatCode>
                <c:ptCount val="13"/>
                <c:pt idx="3">
                  <c:v>1</c:v>
                </c:pt>
                <c:pt idx="4">
                  <c:v>9</c:v>
                </c:pt>
                <c:pt idx="5">
                  <c:v>11</c:v>
                </c:pt>
                <c:pt idx="6">
                  <c:v>23</c:v>
                </c:pt>
                <c:pt idx="7">
                  <c:v>31</c:v>
                </c:pt>
                <c:pt idx="8">
                  <c:v>29</c:v>
                </c:pt>
                <c:pt idx="9">
                  <c:v>30</c:v>
                </c:pt>
                <c:pt idx="10">
                  <c:v>24</c:v>
                </c:pt>
                <c:pt idx="11">
                  <c:v>11</c:v>
                </c:pt>
                <c:pt idx="12">
                  <c:v>10</c:v>
                </c:pt>
              </c:numCache>
            </c:numRef>
          </c:val>
          <c:extLst>
            <c:ext xmlns:c16="http://schemas.microsoft.com/office/drawing/2014/chart" uri="{C3380CC4-5D6E-409C-BE32-E72D297353CC}">
              <c16:uniqueId val="{00000002-DD4E-4F1D-B8B5-50A5C520CCD1}"/>
            </c:ext>
          </c:extLst>
        </c:ser>
        <c:ser>
          <c:idx val="3"/>
          <c:order val="3"/>
          <c:tx>
            <c:strRef>
              <c:f>EMCDDA!$A$5</c:f>
              <c:strCache>
                <c:ptCount val="1"/>
                <c:pt idx="0">
                  <c:v>Dissociatives</c:v>
                </c:pt>
              </c:strCache>
            </c:strRef>
          </c:tx>
          <c:spPr>
            <a:solidFill>
              <a:schemeClr val="accent3">
                <a:lumMod val="60000"/>
                <a:lumOff val="40000"/>
              </a:schemeClr>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EMCDDA!$B$5:$N$5</c:f>
              <c:numCache>
                <c:formatCode>General</c:formatCode>
                <c:ptCount val="13"/>
                <c:pt idx="4">
                  <c:v>1</c:v>
                </c:pt>
                <c:pt idx="5">
                  <c:v>2</c:v>
                </c:pt>
                <c:pt idx="6">
                  <c:v>1</c:v>
                </c:pt>
                <c:pt idx="7">
                  <c:v>3</c:v>
                </c:pt>
                <c:pt idx="8">
                  <c:v>1</c:v>
                </c:pt>
                <c:pt idx="10">
                  <c:v>2</c:v>
                </c:pt>
                <c:pt idx="11">
                  <c:v>6</c:v>
                </c:pt>
                <c:pt idx="12">
                  <c:v>1</c:v>
                </c:pt>
              </c:numCache>
            </c:numRef>
          </c:val>
          <c:extLst>
            <c:ext xmlns:c16="http://schemas.microsoft.com/office/drawing/2014/chart" uri="{C3380CC4-5D6E-409C-BE32-E72D297353CC}">
              <c16:uniqueId val="{00000003-DD4E-4F1D-B8B5-50A5C520CCD1}"/>
            </c:ext>
          </c:extLst>
        </c:ser>
        <c:ser>
          <c:idx val="4"/>
          <c:order val="4"/>
          <c:tx>
            <c:strRef>
              <c:f>EMCDDA!$A$6</c:f>
              <c:strCache>
                <c:ptCount val="1"/>
                <c:pt idx="0">
                  <c:v>Depressants </c:v>
                </c:pt>
              </c:strCache>
            </c:strRef>
          </c:tx>
          <c:spPr>
            <a:solidFill>
              <a:schemeClr val="accent5">
                <a:lumMod val="60000"/>
                <a:lumOff val="40000"/>
              </a:schemeClr>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EMCDDA!$B$6:$N$6</c:f>
              <c:numCache>
                <c:formatCode>General</c:formatCode>
                <c:ptCount val="13"/>
                <c:pt idx="2">
                  <c:v>1</c:v>
                </c:pt>
                <c:pt idx="6">
                  <c:v>1</c:v>
                </c:pt>
                <c:pt idx="7">
                  <c:v>1</c:v>
                </c:pt>
                <c:pt idx="8">
                  <c:v>2</c:v>
                </c:pt>
                <c:pt idx="9">
                  <c:v>4</c:v>
                </c:pt>
                <c:pt idx="10">
                  <c:v>5</c:v>
                </c:pt>
                <c:pt idx="11">
                  <c:v>6</c:v>
                </c:pt>
                <c:pt idx="12">
                  <c:v>3</c:v>
                </c:pt>
              </c:numCache>
            </c:numRef>
          </c:val>
          <c:extLst>
            <c:ext xmlns:c16="http://schemas.microsoft.com/office/drawing/2014/chart" uri="{C3380CC4-5D6E-409C-BE32-E72D297353CC}">
              <c16:uniqueId val="{00000004-DD4E-4F1D-B8B5-50A5C520CCD1}"/>
            </c:ext>
          </c:extLst>
        </c:ser>
        <c:ser>
          <c:idx val="5"/>
          <c:order val="5"/>
          <c:tx>
            <c:strRef>
              <c:f>EMCDDA!$A$7</c:f>
              <c:strCache>
                <c:ptCount val="1"/>
                <c:pt idx="0">
                  <c:v>Opioids</c:v>
                </c:pt>
              </c:strCache>
            </c:strRef>
          </c:tx>
          <c:spPr>
            <a:solidFill>
              <a:schemeClr val="accent1"/>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EMCDDA!$B$7:$N$7</c:f>
              <c:numCache>
                <c:formatCode>General</c:formatCode>
                <c:ptCount val="13"/>
                <c:pt idx="7">
                  <c:v>3</c:v>
                </c:pt>
                <c:pt idx="8">
                  <c:v>4</c:v>
                </c:pt>
                <c:pt idx="9">
                  <c:v>4</c:v>
                </c:pt>
                <c:pt idx="10">
                  <c:v>4</c:v>
                </c:pt>
                <c:pt idx="11">
                  <c:v>9</c:v>
                </c:pt>
                <c:pt idx="12">
                  <c:v>13</c:v>
                </c:pt>
              </c:numCache>
            </c:numRef>
          </c:val>
          <c:extLst>
            <c:ext xmlns:c16="http://schemas.microsoft.com/office/drawing/2014/chart" uri="{C3380CC4-5D6E-409C-BE32-E72D297353CC}">
              <c16:uniqueId val="{00000005-DD4E-4F1D-B8B5-50A5C520CCD1}"/>
            </c:ext>
          </c:extLst>
        </c:ser>
        <c:ser>
          <c:idx val="6"/>
          <c:order val="6"/>
          <c:tx>
            <c:strRef>
              <c:f>EMCDDA!$A$8</c:f>
              <c:strCache>
                <c:ptCount val="1"/>
                <c:pt idx="0">
                  <c:v>Other NPS</c:v>
                </c:pt>
              </c:strCache>
            </c:strRef>
          </c:tx>
          <c:spPr>
            <a:solidFill>
              <a:schemeClr val="bg1">
                <a:lumMod val="65000"/>
              </a:schemeClr>
            </a:solidFill>
            <a:ln>
              <a:noFill/>
            </a:ln>
            <a:effectLst/>
          </c:spPr>
          <c:invertIfNegative val="0"/>
          <c:cat>
            <c:numRef>
              <c:f>EMCDDA!$B$1:$N$1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EMCDDA!$B$8:$N$8</c:f>
              <c:numCache>
                <c:formatCode>General</c:formatCode>
                <c:ptCount val="13"/>
                <c:pt idx="0">
                  <c:v>9</c:v>
                </c:pt>
                <c:pt idx="1">
                  <c:v>5</c:v>
                </c:pt>
                <c:pt idx="2">
                  <c:v>11</c:v>
                </c:pt>
                <c:pt idx="3">
                  <c:v>5</c:v>
                </c:pt>
                <c:pt idx="4">
                  <c:v>5</c:v>
                </c:pt>
                <c:pt idx="5">
                  <c:v>11</c:v>
                </c:pt>
                <c:pt idx="6">
                  <c:v>12</c:v>
                </c:pt>
                <c:pt idx="7">
                  <c:v>18</c:v>
                </c:pt>
                <c:pt idx="8">
                  <c:v>23</c:v>
                </c:pt>
                <c:pt idx="9">
                  <c:v>23</c:v>
                </c:pt>
                <c:pt idx="10">
                  <c:v>28</c:v>
                </c:pt>
                <c:pt idx="11">
                  <c:v>14</c:v>
                </c:pt>
                <c:pt idx="12">
                  <c:v>8</c:v>
                </c:pt>
              </c:numCache>
            </c:numRef>
          </c:val>
          <c:extLst>
            <c:ext xmlns:c16="http://schemas.microsoft.com/office/drawing/2014/chart" uri="{C3380CC4-5D6E-409C-BE32-E72D297353CC}">
              <c16:uniqueId val="{00000006-DD4E-4F1D-B8B5-50A5C520CCD1}"/>
            </c:ext>
          </c:extLst>
        </c:ser>
        <c:dLbls>
          <c:showLegendKey val="0"/>
          <c:showVal val="0"/>
          <c:showCatName val="0"/>
          <c:showSerName val="0"/>
          <c:showPercent val="0"/>
          <c:showBubbleSize val="0"/>
        </c:dLbls>
        <c:gapWidth val="30"/>
        <c:overlap val="100"/>
        <c:axId val="2090338088"/>
        <c:axId val="2090338440"/>
      </c:barChart>
      <c:catAx>
        <c:axId val="209033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338440"/>
        <c:crosses val="autoZero"/>
        <c:auto val="1"/>
        <c:lblAlgn val="ctr"/>
        <c:lblOffset val="100"/>
        <c:noMultiLvlLbl val="0"/>
      </c:catAx>
      <c:valAx>
        <c:axId val="2090338440"/>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338088"/>
        <c:crosses val="autoZero"/>
        <c:crossBetween val="between"/>
      </c:valAx>
      <c:spPr>
        <a:noFill/>
        <a:ln>
          <a:noFill/>
        </a:ln>
        <a:effectLst/>
      </c:spPr>
    </c:plotArea>
    <c:legend>
      <c:legendPos val="r"/>
      <c:layout>
        <c:manualLayout>
          <c:xMode val="edge"/>
          <c:yMode val="edge"/>
          <c:x val="0.71932816891976903"/>
          <c:y val="0.10175858328542101"/>
          <c:w val="0.217383167592958"/>
          <c:h val="0.6643488933856459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92645127214"/>
          <c:y val="1.41931909558165E-2"/>
          <c:w val="0.66558022992385601"/>
          <c:h val="0.89232182115849401"/>
        </c:manualLayout>
      </c:layout>
      <c:barChart>
        <c:barDir val="col"/>
        <c:grouping val="clustered"/>
        <c:varyColors val="0"/>
        <c:ser>
          <c:idx val="1"/>
          <c:order val="1"/>
          <c:tx>
            <c:strRef>
              <c:f>Attributes!$A$58:$B$58</c:f>
              <c:strCache>
                <c:ptCount val="2"/>
                <c:pt idx="0">
                  <c:v>Young males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Attributes!$C$56:$F$56</c:f>
              <c:strCache>
                <c:ptCount val="4"/>
                <c:pt idx="0">
                  <c:v>2014/15</c:v>
                </c:pt>
                <c:pt idx="1">
                  <c:v>2015/16</c:v>
                </c:pt>
                <c:pt idx="2">
                  <c:v>2016/17</c:v>
                </c:pt>
                <c:pt idx="3">
                  <c:v>2017/18</c:v>
                </c:pt>
              </c:strCache>
            </c:strRef>
          </c:cat>
          <c:val>
            <c:numRef>
              <c:f>Attributes!$C$58:$F$58</c:f>
              <c:numCache>
                <c:formatCode>General</c:formatCode>
                <c:ptCount val="4"/>
                <c:pt idx="0">
                  <c:v>4</c:v>
                </c:pt>
                <c:pt idx="1">
                  <c:v>3.6</c:v>
                </c:pt>
                <c:pt idx="2">
                  <c:v>1.6</c:v>
                </c:pt>
                <c:pt idx="3">
                  <c:v>1.5</c:v>
                </c:pt>
              </c:numCache>
            </c:numRef>
          </c:val>
          <c:extLst>
            <c:ext xmlns:c16="http://schemas.microsoft.com/office/drawing/2014/chart" uri="{C3380CC4-5D6E-409C-BE32-E72D297353CC}">
              <c16:uniqueId val="{00000000-C024-4418-B825-5EC35BAE5A42}"/>
            </c:ext>
          </c:extLst>
        </c:ser>
        <c:ser>
          <c:idx val="2"/>
          <c:order val="2"/>
          <c:tx>
            <c:strRef>
              <c:f>Attributes!$A$59:$B$59</c:f>
              <c:strCache>
                <c:ptCount val="2"/>
                <c:pt idx="0">
                  <c:v>Young females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Attributes!$C$56:$F$56</c:f>
              <c:strCache>
                <c:ptCount val="4"/>
                <c:pt idx="0">
                  <c:v>2014/15</c:v>
                </c:pt>
                <c:pt idx="1">
                  <c:v>2015/16</c:v>
                </c:pt>
                <c:pt idx="2">
                  <c:v>2016/17</c:v>
                </c:pt>
                <c:pt idx="3">
                  <c:v>2017/18</c:v>
                </c:pt>
              </c:strCache>
            </c:strRef>
          </c:cat>
          <c:val>
            <c:numRef>
              <c:f>Attributes!$C$59:$F$59</c:f>
              <c:numCache>
                <c:formatCode>General</c:formatCode>
                <c:ptCount val="4"/>
                <c:pt idx="0">
                  <c:v>1.5</c:v>
                </c:pt>
                <c:pt idx="1">
                  <c:v>1.6</c:v>
                </c:pt>
                <c:pt idx="2">
                  <c:v>0.9</c:v>
                </c:pt>
                <c:pt idx="3">
                  <c:v>0.8</c:v>
                </c:pt>
              </c:numCache>
            </c:numRef>
          </c:val>
          <c:extLst>
            <c:ext xmlns:c16="http://schemas.microsoft.com/office/drawing/2014/chart" uri="{C3380CC4-5D6E-409C-BE32-E72D297353CC}">
              <c16:uniqueId val="{00000001-C024-4418-B825-5EC35BAE5A42}"/>
            </c:ext>
          </c:extLst>
        </c:ser>
        <c:dLbls>
          <c:showLegendKey val="0"/>
          <c:showVal val="0"/>
          <c:showCatName val="0"/>
          <c:showSerName val="0"/>
          <c:showPercent val="0"/>
          <c:showBubbleSize val="0"/>
        </c:dLbls>
        <c:gapWidth val="219"/>
        <c:axId val="2090022376"/>
        <c:axId val="2090018888"/>
      </c:barChart>
      <c:lineChart>
        <c:grouping val="standard"/>
        <c:varyColors val="0"/>
        <c:ser>
          <c:idx val="0"/>
          <c:order val="0"/>
          <c:tx>
            <c:strRef>
              <c:f>Attributes!$A$57:$B$57</c:f>
              <c:strCache>
                <c:ptCount val="2"/>
                <c:pt idx="0">
                  <c:v>Young people </c:v>
                </c:pt>
              </c:strCache>
            </c:strRef>
          </c:tx>
          <c:spPr>
            <a:ln w="28575" cap="rnd">
              <a:solidFill>
                <a:srgbClr val="C00000"/>
              </a:solidFill>
              <a:round/>
            </a:ln>
            <a:effectLst/>
          </c:spPr>
          <c:marker>
            <c:symbol val="circle"/>
            <c:size val="5"/>
            <c:spPr>
              <a:solidFill>
                <a:srgbClr val="C00000"/>
              </a:solidFill>
              <a:ln w="9525">
                <a:noFill/>
              </a:ln>
              <a:effectLst/>
            </c:spPr>
          </c:marker>
          <c:cat>
            <c:strRef>
              <c:f>Attributes!$C$56:$F$56</c:f>
              <c:strCache>
                <c:ptCount val="4"/>
                <c:pt idx="0">
                  <c:v>2014/15</c:v>
                </c:pt>
                <c:pt idx="1">
                  <c:v>2015/16</c:v>
                </c:pt>
                <c:pt idx="2">
                  <c:v>2016/17</c:v>
                </c:pt>
                <c:pt idx="3">
                  <c:v>2017/18</c:v>
                </c:pt>
              </c:strCache>
            </c:strRef>
          </c:cat>
          <c:val>
            <c:numRef>
              <c:f>Attributes!$C$57:$F$57</c:f>
              <c:numCache>
                <c:formatCode>General</c:formatCode>
                <c:ptCount val="4"/>
                <c:pt idx="0">
                  <c:v>2.8</c:v>
                </c:pt>
                <c:pt idx="1">
                  <c:v>2.6</c:v>
                </c:pt>
                <c:pt idx="2">
                  <c:v>1.2</c:v>
                </c:pt>
                <c:pt idx="3">
                  <c:v>1.2</c:v>
                </c:pt>
              </c:numCache>
            </c:numRef>
          </c:val>
          <c:smooth val="0"/>
          <c:extLst>
            <c:ext xmlns:c16="http://schemas.microsoft.com/office/drawing/2014/chart" uri="{C3380CC4-5D6E-409C-BE32-E72D297353CC}">
              <c16:uniqueId val="{00000002-C024-4418-B825-5EC35BAE5A42}"/>
            </c:ext>
          </c:extLst>
        </c:ser>
        <c:dLbls>
          <c:showLegendKey val="0"/>
          <c:showVal val="0"/>
          <c:showCatName val="0"/>
          <c:showSerName val="0"/>
          <c:showPercent val="0"/>
          <c:showBubbleSize val="0"/>
        </c:dLbls>
        <c:marker val="1"/>
        <c:smooth val="0"/>
        <c:axId val="2090022376"/>
        <c:axId val="2090018888"/>
      </c:lineChart>
      <c:catAx>
        <c:axId val="209002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018888"/>
        <c:crosses val="autoZero"/>
        <c:auto val="1"/>
        <c:lblAlgn val="ctr"/>
        <c:lblOffset val="100"/>
        <c:noMultiLvlLbl val="0"/>
      </c:catAx>
      <c:valAx>
        <c:axId val="2090018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of young people surveyed</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022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'Prevanlence '!$A$2</c:f>
              <c:strCache>
                <c:ptCount val="1"/>
                <c:pt idx="0">
                  <c:v>Cannabis</c:v>
                </c:pt>
              </c:strCache>
            </c:strRef>
          </c:tx>
          <c:spPr>
            <a:ln w="28575" cap="rnd">
              <a:solidFill>
                <a:schemeClr val="accent3"/>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'!$B$2:$L$2</c:f>
              <c:numCache>
                <c:formatCode>0.0</c:formatCode>
                <c:ptCount val="11"/>
                <c:pt idx="0">
                  <c:v>17.94381662</c:v>
                </c:pt>
                <c:pt idx="1">
                  <c:v>18.58597834</c:v>
                </c:pt>
                <c:pt idx="2">
                  <c:v>16.039685290000001</c:v>
                </c:pt>
                <c:pt idx="3">
                  <c:v>17.098043749999999</c:v>
                </c:pt>
                <c:pt idx="4">
                  <c:v>15.66707749</c:v>
                </c:pt>
                <c:pt idx="5">
                  <c:v>13.529503399999999</c:v>
                </c:pt>
                <c:pt idx="6">
                  <c:v>15.074690240000001</c:v>
                </c:pt>
                <c:pt idx="7">
                  <c:v>16.35273651</c:v>
                </c:pt>
                <c:pt idx="8">
                  <c:v>15.786078679999999</c:v>
                </c:pt>
                <c:pt idx="9">
                  <c:v>16.441521030000001</c:v>
                </c:pt>
                <c:pt idx="10">
                  <c:v>16.722504619999999</c:v>
                </c:pt>
              </c:numCache>
            </c:numRef>
          </c:val>
          <c:smooth val="0"/>
          <c:extLst>
            <c:ext xmlns:c16="http://schemas.microsoft.com/office/drawing/2014/chart" uri="{C3380CC4-5D6E-409C-BE32-E72D297353CC}">
              <c16:uniqueId val="{00000000-8E0B-446E-80FA-EC1049C27C5F}"/>
            </c:ext>
          </c:extLst>
        </c:ser>
        <c:ser>
          <c:idx val="1"/>
          <c:order val="1"/>
          <c:tx>
            <c:strRef>
              <c:f>'Prevanlence '!$A$3</c:f>
              <c:strCache>
                <c:ptCount val="1"/>
                <c:pt idx="0">
                  <c:v>Psychedelics</c:v>
                </c:pt>
              </c:strCache>
            </c:strRef>
          </c:tx>
          <c:spPr>
            <a:ln w="28575" cap="rnd">
              <a:solidFill>
                <a:srgbClr val="FFC000"/>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'!$B$3:$L$3</c:f>
              <c:numCache>
                <c:formatCode>0.0</c:formatCode>
                <c:ptCount val="11"/>
                <c:pt idx="0">
                  <c:v>6.4203524200000004</c:v>
                </c:pt>
                <c:pt idx="1">
                  <c:v>7.1827283399999988</c:v>
                </c:pt>
                <c:pt idx="2">
                  <c:v>6.2445249299999981</c:v>
                </c:pt>
                <c:pt idx="3">
                  <c:v>5.9861812900000002</c:v>
                </c:pt>
                <c:pt idx="4">
                  <c:v>5.7874776099999989</c:v>
                </c:pt>
                <c:pt idx="5">
                  <c:v>4.3969809799999986</c:v>
                </c:pt>
                <c:pt idx="6">
                  <c:v>5.1036783300000002</c:v>
                </c:pt>
                <c:pt idx="7">
                  <c:v>4.8449091399999986</c:v>
                </c:pt>
                <c:pt idx="8">
                  <c:v>5.4393940299999999</c:v>
                </c:pt>
                <c:pt idx="9">
                  <c:v>4.9881455900000002</c:v>
                </c:pt>
                <c:pt idx="10">
                  <c:v>6.6345675799999979</c:v>
                </c:pt>
              </c:numCache>
            </c:numRef>
          </c:val>
          <c:smooth val="0"/>
          <c:extLst>
            <c:ext xmlns:c16="http://schemas.microsoft.com/office/drawing/2014/chart" uri="{C3380CC4-5D6E-409C-BE32-E72D297353CC}">
              <c16:uniqueId val="{00000001-8E0B-446E-80FA-EC1049C27C5F}"/>
            </c:ext>
          </c:extLst>
        </c:ser>
        <c:ser>
          <c:idx val="2"/>
          <c:order val="2"/>
          <c:tx>
            <c:strRef>
              <c:f>'Prevanlence '!$A$4</c:f>
              <c:strCache>
                <c:ptCount val="1"/>
                <c:pt idx="0">
                  <c:v>Cocaine</c:v>
                </c:pt>
              </c:strCache>
            </c:strRef>
          </c:tx>
          <c:spPr>
            <a:ln w="28575" cap="rnd">
              <a:solidFill>
                <a:schemeClr val="accent4"/>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'!$B$4:$L$4</c:f>
              <c:numCache>
                <c:formatCode>0.0</c:formatCode>
                <c:ptCount val="11"/>
                <c:pt idx="0">
                  <c:v>5.0921381099999987</c:v>
                </c:pt>
                <c:pt idx="1">
                  <c:v>6.5584441900000003</c:v>
                </c:pt>
                <c:pt idx="2">
                  <c:v>5.5533158199999981</c:v>
                </c:pt>
                <c:pt idx="3">
                  <c:v>4.447144879999998</c:v>
                </c:pt>
                <c:pt idx="4">
                  <c:v>4.18154147</c:v>
                </c:pt>
                <c:pt idx="5">
                  <c:v>3.1092905100000001</c:v>
                </c:pt>
                <c:pt idx="6">
                  <c:v>4.20934484</c:v>
                </c:pt>
                <c:pt idx="7">
                  <c:v>4.8230878399999986</c:v>
                </c:pt>
                <c:pt idx="8">
                  <c:v>4.4418116200000002</c:v>
                </c:pt>
                <c:pt idx="9">
                  <c:v>4.8362705100000003</c:v>
                </c:pt>
                <c:pt idx="10">
                  <c:v>5.95570092</c:v>
                </c:pt>
              </c:numCache>
            </c:numRef>
          </c:val>
          <c:smooth val="0"/>
          <c:extLst>
            <c:ext xmlns:c16="http://schemas.microsoft.com/office/drawing/2014/chart" uri="{C3380CC4-5D6E-409C-BE32-E72D297353CC}">
              <c16:uniqueId val="{00000002-8E0B-446E-80FA-EC1049C27C5F}"/>
            </c:ext>
          </c:extLst>
        </c:ser>
        <c:ser>
          <c:idx val="3"/>
          <c:order val="3"/>
          <c:tx>
            <c:strRef>
              <c:f>'Prevanlence '!$A$5</c:f>
              <c:strCache>
                <c:ptCount val="1"/>
                <c:pt idx="0">
                  <c:v>Ketamine</c:v>
                </c:pt>
              </c:strCache>
            </c:strRef>
          </c:tx>
          <c:spPr>
            <a:ln w="28575" cap="rnd">
              <a:solidFill>
                <a:schemeClr val="accent5"/>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'!$B$5:$L$5</c:f>
              <c:numCache>
                <c:formatCode>0.0</c:formatCode>
                <c:ptCount val="11"/>
                <c:pt idx="0">
                  <c:v>2.1601041400000001</c:v>
                </c:pt>
                <c:pt idx="1">
                  <c:v>3.538545829999999</c:v>
                </c:pt>
                <c:pt idx="2">
                  <c:v>3.96539946</c:v>
                </c:pt>
                <c:pt idx="3">
                  <c:v>4.308486369999998</c:v>
                </c:pt>
                <c:pt idx="4">
                  <c:v>3.98879451</c:v>
                </c:pt>
                <c:pt idx="5">
                  <c:v>3.2989454099999991</c:v>
                </c:pt>
                <c:pt idx="6">
                  <c:v>4.7202196000000001</c:v>
                </c:pt>
                <c:pt idx="7">
                  <c:v>3.99763344</c:v>
                </c:pt>
                <c:pt idx="8">
                  <c:v>3.7520363400000001</c:v>
                </c:pt>
                <c:pt idx="9">
                  <c:v>3.3653810599999998</c:v>
                </c:pt>
                <c:pt idx="10">
                  <c:v>4.6816073999999999</c:v>
                </c:pt>
              </c:numCache>
            </c:numRef>
          </c:val>
          <c:smooth val="0"/>
          <c:extLst>
            <c:ext xmlns:c16="http://schemas.microsoft.com/office/drawing/2014/chart" uri="{C3380CC4-5D6E-409C-BE32-E72D297353CC}">
              <c16:uniqueId val="{00000003-8E0B-446E-80FA-EC1049C27C5F}"/>
            </c:ext>
          </c:extLst>
        </c:ser>
        <c:ser>
          <c:idx val="4"/>
          <c:order val="4"/>
          <c:tx>
            <c:strRef>
              <c:f>'Prevanlence '!$A$6</c:f>
              <c:strCache>
                <c:ptCount val="1"/>
                <c:pt idx="0">
                  <c:v>Ecstasy</c:v>
                </c:pt>
              </c:strCache>
            </c:strRef>
          </c:tx>
          <c:spPr>
            <a:ln w="28575" cap="rnd">
              <a:solidFill>
                <a:schemeClr val="accent6"/>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'!$B$6:$L$6</c:f>
              <c:numCache>
                <c:formatCode>0.0</c:formatCode>
                <c:ptCount val="11"/>
                <c:pt idx="0">
                  <c:v>3.9244501500000002</c:v>
                </c:pt>
                <c:pt idx="1">
                  <c:v>4.3318062900000003</c:v>
                </c:pt>
                <c:pt idx="2">
                  <c:v>4.2098062799999987</c:v>
                </c:pt>
                <c:pt idx="3">
                  <c:v>3.72076641</c:v>
                </c:pt>
                <c:pt idx="4">
                  <c:v>3.2971326300000001</c:v>
                </c:pt>
                <c:pt idx="5">
                  <c:v>2.8800317500000001</c:v>
                </c:pt>
                <c:pt idx="6">
                  <c:v>3.8604848199999999</c:v>
                </c:pt>
                <c:pt idx="7">
                  <c:v>5.3846857799999981</c:v>
                </c:pt>
                <c:pt idx="8">
                  <c:v>4.524080879999997</c:v>
                </c:pt>
                <c:pt idx="9">
                  <c:v>4.27406387</c:v>
                </c:pt>
                <c:pt idx="10">
                  <c:v>5.062173559999998</c:v>
                </c:pt>
              </c:numCache>
            </c:numRef>
          </c:val>
          <c:smooth val="0"/>
          <c:extLst>
            <c:ext xmlns:c16="http://schemas.microsoft.com/office/drawing/2014/chart" uri="{C3380CC4-5D6E-409C-BE32-E72D297353CC}">
              <c16:uniqueId val="{00000004-8E0B-446E-80FA-EC1049C27C5F}"/>
            </c:ext>
          </c:extLst>
        </c:ser>
        <c:ser>
          <c:idx val="5"/>
          <c:order val="5"/>
          <c:tx>
            <c:strRef>
              <c:f>'Prevanlence '!$A$7</c:f>
              <c:strCache>
                <c:ptCount val="1"/>
                <c:pt idx="0">
                  <c:v>Amphetamines</c:v>
                </c:pt>
              </c:strCache>
            </c:strRef>
          </c:tx>
          <c:spPr>
            <a:ln w="28575" cap="rnd">
              <a:solidFill>
                <a:srgbClr val="CC66A5"/>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'!$B$7:$L$7</c:f>
              <c:numCache>
                <c:formatCode>0.0</c:formatCode>
                <c:ptCount val="11"/>
                <c:pt idx="0">
                  <c:v>2.37483763</c:v>
                </c:pt>
                <c:pt idx="1">
                  <c:v>2.58271739</c:v>
                </c:pt>
                <c:pt idx="2">
                  <c:v>2.3879398599999999</c:v>
                </c:pt>
                <c:pt idx="3">
                  <c:v>2.4482025599999999</c:v>
                </c:pt>
                <c:pt idx="4">
                  <c:v>1.9563748000000001</c:v>
                </c:pt>
                <c:pt idx="5">
                  <c:v>1.31636519</c:v>
                </c:pt>
                <c:pt idx="6">
                  <c:v>1.6425559199999999</c:v>
                </c:pt>
                <c:pt idx="7">
                  <c:v>1.24635187</c:v>
                </c:pt>
                <c:pt idx="8">
                  <c:v>1.12592778</c:v>
                </c:pt>
                <c:pt idx="9">
                  <c:v>1.0550650699999999</c:v>
                </c:pt>
                <c:pt idx="10">
                  <c:v>1.4806869499999999</c:v>
                </c:pt>
              </c:numCache>
            </c:numRef>
          </c:val>
          <c:smooth val="0"/>
          <c:extLst>
            <c:ext xmlns:c16="http://schemas.microsoft.com/office/drawing/2014/chart" uri="{C3380CC4-5D6E-409C-BE32-E72D297353CC}">
              <c16:uniqueId val="{00000005-8E0B-446E-80FA-EC1049C27C5F}"/>
            </c:ext>
          </c:extLst>
        </c:ser>
        <c:ser>
          <c:idx val="6"/>
          <c:order val="6"/>
          <c:tx>
            <c:strRef>
              <c:f>'Prevanlence '!$A$8</c:f>
              <c:strCache>
                <c:ptCount val="1"/>
                <c:pt idx="0">
                  <c:v>NPS</c:v>
                </c:pt>
              </c:strCache>
            </c:strRef>
          </c:tx>
          <c:spPr>
            <a:ln w="28575" cap="rnd">
              <a:solidFill>
                <a:srgbClr val="C00000"/>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'!$B$8:$L$8</c:f>
              <c:numCache>
                <c:formatCode>General</c:formatCode>
                <c:ptCount val="11"/>
                <c:pt idx="7" formatCode="0.0">
                  <c:v>2.8</c:v>
                </c:pt>
                <c:pt idx="8" formatCode="0.0">
                  <c:v>2.6</c:v>
                </c:pt>
                <c:pt idx="9" formatCode="0.0">
                  <c:v>1.2</c:v>
                </c:pt>
                <c:pt idx="10" formatCode="0.0">
                  <c:v>1.2</c:v>
                </c:pt>
              </c:numCache>
            </c:numRef>
          </c:val>
          <c:smooth val="0"/>
          <c:extLst>
            <c:ext xmlns:c16="http://schemas.microsoft.com/office/drawing/2014/chart" uri="{C3380CC4-5D6E-409C-BE32-E72D297353CC}">
              <c16:uniqueId val="{00000006-8E0B-446E-80FA-EC1049C27C5F}"/>
            </c:ext>
          </c:extLst>
        </c:ser>
        <c:ser>
          <c:idx val="7"/>
          <c:order val="7"/>
          <c:tx>
            <c:strRef>
              <c:f>'Prevanlence '!$A$9</c:f>
              <c:strCache>
                <c:ptCount val="1"/>
                <c:pt idx="0">
                  <c:v>Opiates</c:v>
                </c:pt>
              </c:strCache>
            </c:strRef>
          </c:tx>
          <c:spPr>
            <a:ln w="28575" cap="rnd">
              <a:solidFill>
                <a:schemeClr val="accent1"/>
              </a:solidFill>
              <a:round/>
            </a:ln>
            <a:effectLst/>
          </c:spPr>
          <c:marker>
            <c:symbol val="none"/>
          </c:marker>
          <c:cat>
            <c:strRef>
              <c:f>'Prevanlence '!$B$1:$L$1</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c:v>
                </c:pt>
              </c:strCache>
            </c:strRef>
          </c:cat>
          <c:val>
            <c:numRef>
              <c:f>'Prevanlence '!$B$9:$L$9</c:f>
              <c:numCache>
                <c:formatCode>0.0</c:formatCode>
                <c:ptCount val="11"/>
                <c:pt idx="0">
                  <c:v>0.18485554000000001</c:v>
                </c:pt>
                <c:pt idx="1">
                  <c:v>2.77015E-2</c:v>
                </c:pt>
                <c:pt idx="2">
                  <c:v>0.26917083000000003</c:v>
                </c:pt>
                <c:pt idx="3">
                  <c:v>0.36209359000000002</c:v>
                </c:pt>
                <c:pt idx="4">
                  <c:v>0.46419548999999999</c:v>
                </c:pt>
                <c:pt idx="5">
                  <c:v>7.9128500000000008E-3</c:v>
                </c:pt>
                <c:pt idx="6">
                  <c:v>0.15866263</c:v>
                </c:pt>
                <c:pt idx="7">
                  <c:v>1.8855009999999998E-2</c:v>
                </c:pt>
                <c:pt idx="8">
                  <c:v>5.1087790000000001E-2</c:v>
                </c:pt>
                <c:pt idx="9">
                  <c:v>5.3219130000000003E-2</c:v>
                </c:pt>
                <c:pt idx="10">
                  <c:v>0.10538907</c:v>
                </c:pt>
              </c:numCache>
            </c:numRef>
          </c:val>
          <c:smooth val="0"/>
          <c:extLst>
            <c:ext xmlns:c16="http://schemas.microsoft.com/office/drawing/2014/chart" uri="{C3380CC4-5D6E-409C-BE32-E72D297353CC}">
              <c16:uniqueId val="{00000007-8E0B-446E-80FA-EC1049C27C5F}"/>
            </c:ext>
          </c:extLst>
        </c:ser>
        <c:dLbls>
          <c:showLegendKey val="0"/>
          <c:showVal val="0"/>
          <c:showCatName val="0"/>
          <c:showSerName val="0"/>
          <c:showPercent val="0"/>
          <c:showBubbleSize val="0"/>
        </c:dLbls>
        <c:smooth val="0"/>
        <c:axId val="2089951144"/>
        <c:axId val="2089947592"/>
      </c:lineChart>
      <c:catAx>
        <c:axId val="208995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947592"/>
        <c:crosses val="autoZero"/>
        <c:auto val="1"/>
        <c:lblAlgn val="ctr"/>
        <c:lblOffset val="100"/>
        <c:noMultiLvlLbl val="0"/>
      </c:catAx>
      <c:valAx>
        <c:axId val="2089947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a:t>
                </a:r>
                <a:r>
                  <a:rPr lang="en-GB" baseline="0"/>
                  <a:t> reporting use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951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 data (2)'!$H$77</c:f>
              <c:strCache>
                <c:ptCount val="1"/>
                <c:pt idx="0">
                  <c:v>No alcohol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(2)'!$I$76:$L$76</c:f>
              <c:strCache>
                <c:ptCount val="4"/>
                <c:pt idx="0">
                  <c:v>2014/15</c:v>
                </c:pt>
                <c:pt idx="1">
                  <c:v>2015/16</c:v>
                </c:pt>
                <c:pt idx="2">
                  <c:v>2016/17</c:v>
                </c:pt>
                <c:pt idx="3">
                  <c:v>2017/18</c:v>
                </c:pt>
              </c:strCache>
            </c:strRef>
          </c:cat>
          <c:val>
            <c:numRef>
              <c:f>'Raw data (2)'!$I$77:$L$77</c:f>
              <c:numCache>
                <c:formatCode>General</c:formatCode>
                <c:ptCount val="4"/>
                <c:pt idx="0">
                  <c:v>0.8</c:v>
                </c:pt>
                <c:pt idx="1">
                  <c:v>1</c:v>
                </c:pt>
                <c:pt idx="2" formatCode="0.0">
                  <c:v>0.568127478534311</c:v>
                </c:pt>
                <c:pt idx="3" formatCode="0.0">
                  <c:v>8.3188781093968003E-2</c:v>
                </c:pt>
              </c:numCache>
            </c:numRef>
          </c:val>
          <c:extLst>
            <c:ext xmlns:c16="http://schemas.microsoft.com/office/drawing/2014/chart" uri="{C3380CC4-5D6E-409C-BE32-E72D297353CC}">
              <c16:uniqueId val="{00000000-7A3C-4E65-AB17-10E5947483C2}"/>
            </c:ext>
          </c:extLst>
        </c:ser>
        <c:ser>
          <c:idx val="1"/>
          <c:order val="1"/>
          <c:tx>
            <c:strRef>
              <c:f>'Raw data (2)'!$H$78</c:f>
              <c:strCache>
                <c:ptCount val="1"/>
                <c:pt idx="0">
                  <c:v>&lt; one day a week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(2)'!$I$76:$L$76</c:f>
              <c:strCache>
                <c:ptCount val="4"/>
                <c:pt idx="0">
                  <c:v>2014/15</c:v>
                </c:pt>
                <c:pt idx="1">
                  <c:v>2015/16</c:v>
                </c:pt>
                <c:pt idx="2">
                  <c:v>2016/17</c:v>
                </c:pt>
                <c:pt idx="3">
                  <c:v>2017/18</c:v>
                </c:pt>
              </c:strCache>
            </c:strRef>
          </c:cat>
          <c:val>
            <c:numRef>
              <c:f>'Raw data (2)'!$I$78:$L$78</c:f>
              <c:numCache>
                <c:formatCode>General</c:formatCode>
                <c:ptCount val="4"/>
                <c:pt idx="0">
                  <c:v>1.9</c:v>
                </c:pt>
                <c:pt idx="1">
                  <c:v>2.2000000000000002</c:v>
                </c:pt>
                <c:pt idx="2" formatCode="0.0">
                  <c:v>1.5751608345498931</c:v>
                </c:pt>
                <c:pt idx="3" formatCode="0.0">
                  <c:v>1.412751336636896</c:v>
                </c:pt>
              </c:numCache>
            </c:numRef>
          </c:val>
          <c:extLst>
            <c:ext xmlns:c16="http://schemas.microsoft.com/office/drawing/2014/chart" uri="{C3380CC4-5D6E-409C-BE32-E72D297353CC}">
              <c16:uniqueId val="{00000001-7A3C-4E65-AB17-10E5947483C2}"/>
            </c:ext>
          </c:extLst>
        </c:ser>
        <c:ser>
          <c:idx val="2"/>
          <c:order val="2"/>
          <c:tx>
            <c:strRef>
              <c:f>'Raw data (2)'!$H$79</c:f>
              <c:strCache>
                <c:ptCount val="1"/>
                <c:pt idx="0">
                  <c:v>3+ days a week</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(2)'!$I$76:$L$76</c:f>
              <c:strCache>
                <c:ptCount val="4"/>
                <c:pt idx="0">
                  <c:v>2014/15</c:v>
                </c:pt>
                <c:pt idx="1">
                  <c:v>2015/16</c:v>
                </c:pt>
                <c:pt idx="2">
                  <c:v>2016/17</c:v>
                </c:pt>
                <c:pt idx="3">
                  <c:v>2017/18</c:v>
                </c:pt>
              </c:strCache>
            </c:strRef>
          </c:cat>
          <c:val>
            <c:numRef>
              <c:f>'Raw data (2)'!$I$79:$L$79</c:f>
              <c:numCache>
                <c:formatCode>General</c:formatCode>
                <c:ptCount val="4"/>
                <c:pt idx="0">
                  <c:v>7.8</c:v>
                </c:pt>
                <c:pt idx="1">
                  <c:v>6.9</c:v>
                </c:pt>
                <c:pt idx="2" formatCode="0.0">
                  <c:v>2.2185821137710611</c:v>
                </c:pt>
                <c:pt idx="3" formatCode="0.0">
                  <c:v>1.3418942749722931</c:v>
                </c:pt>
              </c:numCache>
            </c:numRef>
          </c:val>
          <c:extLst>
            <c:ext xmlns:c16="http://schemas.microsoft.com/office/drawing/2014/chart" uri="{C3380CC4-5D6E-409C-BE32-E72D297353CC}">
              <c16:uniqueId val="{00000002-7A3C-4E65-AB17-10E5947483C2}"/>
            </c:ext>
          </c:extLst>
        </c:ser>
        <c:dLbls>
          <c:showLegendKey val="0"/>
          <c:showVal val="0"/>
          <c:showCatName val="0"/>
          <c:showSerName val="0"/>
          <c:showPercent val="0"/>
          <c:showBubbleSize val="0"/>
        </c:dLbls>
        <c:gapWidth val="219"/>
        <c:overlap val="-27"/>
        <c:axId val="2089887064"/>
        <c:axId val="2089883480"/>
      </c:barChart>
      <c:catAx>
        <c:axId val="208988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83480"/>
        <c:crosses val="autoZero"/>
        <c:auto val="1"/>
        <c:lblAlgn val="ctr"/>
        <c:lblOffset val="100"/>
        <c:noMultiLvlLbl val="0"/>
      </c:catAx>
      <c:valAx>
        <c:axId val="208988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reporting 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87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'Raw data (2)'!$H$83</c:f>
              <c:strCache>
                <c:ptCount val="1"/>
                <c:pt idx="0">
                  <c:v>No visits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(2)'!$I$82:$L$82</c:f>
              <c:strCache>
                <c:ptCount val="4"/>
                <c:pt idx="0">
                  <c:v>2014/15</c:v>
                </c:pt>
                <c:pt idx="1">
                  <c:v>2015/16</c:v>
                </c:pt>
                <c:pt idx="2">
                  <c:v>2016/17</c:v>
                </c:pt>
                <c:pt idx="3">
                  <c:v>2017/18</c:v>
                </c:pt>
              </c:strCache>
            </c:strRef>
          </c:cat>
          <c:val>
            <c:numRef>
              <c:f>'Raw data (2)'!$I$83:$L$83</c:f>
              <c:numCache>
                <c:formatCode>General</c:formatCode>
                <c:ptCount val="4"/>
                <c:pt idx="0">
                  <c:v>1.6</c:v>
                </c:pt>
                <c:pt idx="1">
                  <c:v>1.6</c:v>
                </c:pt>
                <c:pt idx="2" formatCode="0.0">
                  <c:v>0.73700081096753001</c:v>
                </c:pt>
                <c:pt idx="3" formatCode="0.0">
                  <c:v>0.70724656837680899</c:v>
                </c:pt>
              </c:numCache>
            </c:numRef>
          </c:val>
          <c:extLst>
            <c:ext xmlns:c16="http://schemas.microsoft.com/office/drawing/2014/chart" uri="{C3380CC4-5D6E-409C-BE32-E72D297353CC}">
              <c16:uniqueId val="{00000000-251C-44CA-BAA4-78D30567A013}"/>
            </c:ext>
          </c:extLst>
        </c:ser>
        <c:ser>
          <c:idx val="1"/>
          <c:order val="1"/>
          <c:tx>
            <c:strRef>
              <c:f>'Raw data (2)'!$H$84</c:f>
              <c:strCache>
                <c:ptCount val="1"/>
                <c:pt idx="0">
                  <c:v>1-3 visits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(2)'!$I$82:$L$82</c:f>
              <c:strCache>
                <c:ptCount val="4"/>
                <c:pt idx="0">
                  <c:v>2014/15</c:v>
                </c:pt>
                <c:pt idx="1">
                  <c:v>2015/16</c:v>
                </c:pt>
                <c:pt idx="2">
                  <c:v>2016/17</c:v>
                </c:pt>
                <c:pt idx="3">
                  <c:v>2017/18</c:v>
                </c:pt>
              </c:strCache>
            </c:strRef>
          </c:cat>
          <c:val>
            <c:numRef>
              <c:f>'Raw data (2)'!$I$84:$L$84</c:f>
              <c:numCache>
                <c:formatCode>General</c:formatCode>
                <c:ptCount val="4"/>
                <c:pt idx="0">
                  <c:v>4.7</c:v>
                </c:pt>
                <c:pt idx="1">
                  <c:v>4.2</c:v>
                </c:pt>
                <c:pt idx="2" formatCode="0.0">
                  <c:v>1.792508464892504</c:v>
                </c:pt>
                <c:pt idx="3" formatCode="0.0">
                  <c:v>0.93139453298667396</c:v>
                </c:pt>
              </c:numCache>
            </c:numRef>
          </c:val>
          <c:extLst>
            <c:ext xmlns:c16="http://schemas.microsoft.com/office/drawing/2014/chart" uri="{C3380CC4-5D6E-409C-BE32-E72D297353CC}">
              <c16:uniqueId val="{00000001-251C-44CA-BAA4-78D30567A013}"/>
            </c:ext>
          </c:extLst>
        </c:ser>
        <c:ser>
          <c:idx val="2"/>
          <c:order val="2"/>
          <c:tx>
            <c:strRef>
              <c:f>'Raw data (2)'!$H$85</c:f>
              <c:strCache>
                <c:ptCount val="1"/>
                <c:pt idx="0">
                  <c:v>4+ visits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(2)'!$I$82:$L$82</c:f>
              <c:strCache>
                <c:ptCount val="4"/>
                <c:pt idx="0">
                  <c:v>2014/15</c:v>
                </c:pt>
                <c:pt idx="1">
                  <c:v>2015/16</c:v>
                </c:pt>
                <c:pt idx="2">
                  <c:v>2016/17</c:v>
                </c:pt>
                <c:pt idx="3">
                  <c:v>2017/18</c:v>
                </c:pt>
              </c:strCache>
            </c:strRef>
          </c:cat>
          <c:val>
            <c:numRef>
              <c:f>'Raw data (2)'!$I$85:$L$85</c:f>
              <c:numCache>
                <c:formatCode>General</c:formatCode>
                <c:ptCount val="4"/>
                <c:pt idx="0">
                  <c:v>5.5</c:v>
                </c:pt>
                <c:pt idx="1">
                  <c:v>5.6</c:v>
                </c:pt>
                <c:pt idx="2" formatCode="0.0">
                  <c:v>3.9809326098623821</c:v>
                </c:pt>
                <c:pt idx="3" formatCode="0.0">
                  <c:v>5.5202103962464406</c:v>
                </c:pt>
              </c:numCache>
            </c:numRef>
          </c:val>
          <c:extLst>
            <c:ext xmlns:c16="http://schemas.microsoft.com/office/drawing/2014/chart" uri="{C3380CC4-5D6E-409C-BE32-E72D297353CC}">
              <c16:uniqueId val="{00000002-251C-44CA-BAA4-78D30567A013}"/>
            </c:ext>
          </c:extLst>
        </c:ser>
        <c:dLbls>
          <c:showLegendKey val="0"/>
          <c:showVal val="0"/>
          <c:showCatName val="0"/>
          <c:showSerName val="0"/>
          <c:showPercent val="0"/>
          <c:showBubbleSize val="0"/>
        </c:dLbls>
        <c:gapWidth val="219"/>
        <c:overlap val="-27"/>
        <c:axId val="2089873576"/>
        <c:axId val="2089869960"/>
      </c:barChart>
      <c:catAx>
        <c:axId val="208987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69960"/>
        <c:crosses val="autoZero"/>
        <c:auto val="1"/>
        <c:lblAlgn val="ctr"/>
        <c:lblOffset val="100"/>
        <c:noMultiLvlLbl val="0"/>
      </c:catAx>
      <c:valAx>
        <c:axId val="2089869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reporting 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73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'Drug treat'!$A$3</c:f>
              <c:strCache>
                <c:ptCount val="1"/>
                <c:pt idx="0">
                  <c:v>Any NPS</c:v>
                </c:pt>
              </c:strCache>
            </c:strRef>
          </c:tx>
          <c:spPr>
            <a:ln w="28575" cap="rnd">
              <a:solidFill>
                <a:srgbClr val="C00000"/>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treat'!$B$3:$G$3</c:f>
              <c:numCache>
                <c:formatCode>General</c:formatCode>
                <c:ptCount val="6"/>
                <c:pt idx="0">
                  <c:v>4</c:v>
                </c:pt>
                <c:pt idx="1">
                  <c:v>320</c:v>
                </c:pt>
                <c:pt idx="2">
                  <c:v>1154</c:v>
                </c:pt>
                <c:pt idx="3">
                  <c:v>2042</c:v>
                </c:pt>
                <c:pt idx="4">
                  <c:v>1450</c:v>
                </c:pt>
                <c:pt idx="5">
                  <c:v>1223</c:v>
                </c:pt>
              </c:numCache>
            </c:numRef>
          </c:val>
          <c:smooth val="0"/>
          <c:extLst>
            <c:ext xmlns:c16="http://schemas.microsoft.com/office/drawing/2014/chart" uri="{C3380CC4-5D6E-409C-BE32-E72D297353CC}">
              <c16:uniqueId val="{00000000-3F0E-4A54-8EE8-15CCD67AE4D8}"/>
            </c:ext>
          </c:extLst>
        </c:ser>
        <c:ser>
          <c:idx val="1"/>
          <c:order val="1"/>
          <c:tx>
            <c:strRef>
              <c:f>'Drug treat'!$A$4</c:f>
              <c:strCache>
                <c:ptCount val="1"/>
                <c:pt idx="0">
                  <c:v>Synthetic cannabiniods</c:v>
                </c:pt>
              </c:strCache>
            </c:strRef>
          </c:tx>
          <c:spPr>
            <a:ln w="28575" cap="rnd">
              <a:solidFill>
                <a:schemeClr val="accent3"/>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treat'!$B$4:$G$4</c:f>
              <c:numCache>
                <c:formatCode>General</c:formatCode>
                <c:ptCount val="6"/>
                <c:pt idx="1">
                  <c:v>67</c:v>
                </c:pt>
                <c:pt idx="2">
                  <c:v>449</c:v>
                </c:pt>
                <c:pt idx="3">
                  <c:v>1024</c:v>
                </c:pt>
                <c:pt idx="4">
                  <c:v>838</c:v>
                </c:pt>
                <c:pt idx="5">
                  <c:v>703</c:v>
                </c:pt>
              </c:numCache>
            </c:numRef>
          </c:val>
          <c:smooth val="0"/>
          <c:extLst>
            <c:ext xmlns:c16="http://schemas.microsoft.com/office/drawing/2014/chart" uri="{C3380CC4-5D6E-409C-BE32-E72D297353CC}">
              <c16:uniqueId val="{00000001-3F0E-4A54-8EE8-15CCD67AE4D8}"/>
            </c:ext>
          </c:extLst>
        </c:ser>
        <c:ser>
          <c:idx val="2"/>
          <c:order val="2"/>
          <c:tx>
            <c:strRef>
              <c:f>'Drug treat'!$A$5</c:f>
              <c:strCache>
                <c:ptCount val="1"/>
                <c:pt idx="0">
                  <c:v>Other NPS</c:v>
                </c:pt>
              </c:strCache>
            </c:strRef>
          </c:tx>
          <c:spPr>
            <a:ln w="28575" cap="rnd">
              <a:solidFill>
                <a:schemeClr val="bg1">
                  <a:lumMod val="65000"/>
                </a:schemeClr>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treat'!$B$5:$G$5</c:f>
              <c:numCache>
                <c:formatCode>General</c:formatCode>
                <c:ptCount val="6"/>
                <c:pt idx="0">
                  <c:v>3</c:v>
                </c:pt>
                <c:pt idx="1">
                  <c:v>77</c:v>
                </c:pt>
                <c:pt idx="2">
                  <c:v>262</c:v>
                </c:pt>
                <c:pt idx="3">
                  <c:v>451</c:v>
                </c:pt>
                <c:pt idx="4">
                  <c:v>346</c:v>
                </c:pt>
                <c:pt idx="5">
                  <c:v>322</c:v>
                </c:pt>
              </c:numCache>
            </c:numRef>
          </c:val>
          <c:smooth val="0"/>
          <c:extLst>
            <c:ext xmlns:c16="http://schemas.microsoft.com/office/drawing/2014/chart" uri="{C3380CC4-5D6E-409C-BE32-E72D297353CC}">
              <c16:uniqueId val="{00000002-3F0E-4A54-8EE8-15CCD67AE4D8}"/>
            </c:ext>
          </c:extLst>
        </c:ser>
        <c:ser>
          <c:idx val="3"/>
          <c:order val="3"/>
          <c:tx>
            <c:strRef>
              <c:f>'Drug treat'!$A$6</c:f>
              <c:strCache>
                <c:ptCount val="1"/>
                <c:pt idx="0">
                  <c:v>Synthetic stimulants</c:v>
                </c:pt>
              </c:strCache>
            </c:strRef>
          </c:tx>
          <c:spPr>
            <a:ln w="28575" cap="rnd">
              <a:solidFill>
                <a:srgbClr val="CC66A5"/>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treat'!$B$6:$G$6</c:f>
              <c:numCache>
                <c:formatCode>General</c:formatCode>
                <c:ptCount val="6"/>
                <c:pt idx="1">
                  <c:v>141</c:v>
                </c:pt>
                <c:pt idx="2">
                  <c:v>346</c:v>
                </c:pt>
                <c:pt idx="3">
                  <c:v>414</c:v>
                </c:pt>
                <c:pt idx="4">
                  <c:v>147</c:v>
                </c:pt>
                <c:pt idx="5">
                  <c:v>86</c:v>
                </c:pt>
              </c:numCache>
            </c:numRef>
          </c:val>
          <c:smooth val="0"/>
          <c:extLst>
            <c:ext xmlns:c16="http://schemas.microsoft.com/office/drawing/2014/chart" uri="{C3380CC4-5D6E-409C-BE32-E72D297353CC}">
              <c16:uniqueId val="{00000003-3F0E-4A54-8EE8-15CCD67AE4D8}"/>
            </c:ext>
          </c:extLst>
        </c:ser>
        <c:ser>
          <c:idx val="4"/>
          <c:order val="4"/>
          <c:tx>
            <c:strRef>
              <c:f>'Drug treat'!$A$7</c:f>
              <c:strCache>
                <c:ptCount val="1"/>
                <c:pt idx="0">
                  <c:v>Synthetic opioid</c:v>
                </c:pt>
              </c:strCache>
            </c:strRef>
          </c:tx>
          <c:spPr>
            <a:ln w="28575" cap="rnd">
              <a:solidFill>
                <a:schemeClr val="accent5"/>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treat'!$B$7:$G$7</c:f>
              <c:numCache>
                <c:formatCode>General</c:formatCode>
                <c:ptCount val="6"/>
                <c:pt idx="1">
                  <c:v>14</c:v>
                </c:pt>
                <c:pt idx="2">
                  <c:v>65</c:v>
                </c:pt>
                <c:pt idx="3">
                  <c:v>94</c:v>
                </c:pt>
                <c:pt idx="4">
                  <c:v>65</c:v>
                </c:pt>
                <c:pt idx="5">
                  <c:v>50</c:v>
                </c:pt>
              </c:numCache>
            </c:numRef>
          </c:val>
          <c:smooth val="0"/>
          <c:extLst>
            <c:ext xmlns:c16="http://schemas.microsoft.com/office/drawing/2014/chart" uri="{C3380CC4-5D6E-409C-BE32-E72D297353CC}">
              <c16:uniqueId val="{00000004-3F0E-4A54-8EE8-15CCD67AE4D8}"/>
            </c:ext>
          </c:extLst>
        </c:ser>
        <c:ser>
          <c:idx val="5"/>
          <c:order val="5"/>
          <c:tx>
            <c:strRef>
              <c:f>'Drug treat'!$A$8</c:f>
              <c:strCache>
                <c:ptCount val="1"/>
                <c:pt idx="0">
                  <c:v>Synthetic psychedelic</c:v>
                </c:pt>
              </c:strCache>
            </c:strRef>
          </c:tx>
          <c:spPr>
            <a:ln w="28575" cap="rnd">
              <a:solidFill>
                <a:srgbClr val="FFC000"/>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treat'!$B$8:$G$8</c:f>
              <c:numCache>
                <c:formatCode>General</c:formatCode>
                <c:ptCount val="6"/>
                <c:pt idx="0">
                  <c:v>1</c:v>
                </c:pt>
                <c:pt idx="1">
                  <c:v>19</c:v>
                </c:pt>
                <c:pt idx="2">
                  <c:v>56</c:v>
                </c:pt>
                <c:pt idx="3">
                  <c:v>83</c:v>
                </c:pt>
                <c:pt idx="4">
                  <c:v>62</c:v>
                </c:pt>
                <c:pt idx="5">
                  <c:v>53</c:v>
                </c:pt>
              </c:numCache>
            </c:numRef>
          </c:val>
          <c:smooth val="0"/>
          <c:extLst>
            <c:ext xmlns:c16="http://schemas.microsoft.com/office/drawing/2014/chart" uri="{C3380CC4-5D6E-409C-BE32-E72D297353CC}">
              <c16:uniqueId val="{00000005-3F0E-4A54-8EE8-15CCD67AE4D8}"/>
            </c:ext>
          </c:extLst>
        </c:ser>
        <c:ser>
          <c:idx val="6"/>
          <c:order val="6"/>
          <c:tx>
            <c:strRef>
              <c:f>'Drug treat'!$A$9</c:f>
              <c:strCache>
                <c:ptCount val="1"/>
                <c:pt idx="0">
                  <c:v>Synthetic dissociative</c:v>
                </c:pt>
              </c:strCache>
            </c:strRef>
          </c:tx>
          <c:spPr>
            <a:ln w="28575" cap="rnd">
              <a:solidFill>
                <a:schemeClr val="accent1">
                  <a:lumMod val="60000"/>
                </a:schemeClr>
              </a:solidFill>
              <a:round/>
            </a:ln>
            <a:effectLst/>
          </c:spPr>
          <c:marker>
            <c:symbol val="none"/>
          </c:marker>
          <c:cat>
            <c:strRef>
              <c:f>'Drug treat'!$B$2:$G$2</c:f>
              <c:strCache>
                <c:ptCount val="6"/>
                <c:pt idx="0">
                  <c:v>2012/13</c:v>
                </c:pt>
                <c:pt idx="1">
                  <c:v>2013/14</c:v>
                </c:pt>
                <c:pt idx="2">
                  <c:v>2014/15</c:v>
                </c:pt>
                <c:pt idx="3">
                  <c:v>2015/16</c:v>
                </c:pt>
                <c:pt idx="4">
                  <c:v>2016/17</c:v>
                </c:pt>
                <c:pt idx="5">
                  <c:v>2017/18</c:v>
                </c:pt>
              </c:strCache>
            </c:strRef>
          </c:cat>
          <c:val>
            <c:numRef>
              <c:f>'Drug treat'!$B$9:$G$9</c:f>
              <c:numCache>
                <c:formatCode>General</c:formatCode>
                <c:ptCount val="6"/>
                <c:pt idx="1">
                  <c:v>12</c:v>
                </c:pt>
                <c:pt idx="2">
                  <c:v>18</c:v>
                </c:pt>
                <c:pt idx="3">
                  <c:v>27</c:v>
                </c:pt>
                <c:pt idx="4">
                  <c:v>17</c:v>
                </c:pt>
                <c:pt idx="5">
                  <c:v>23</c:v>
                </c:pt>
              </c:numCache>
            </c:numRef>
          </c:val>
          <c:smooth val="0"/>
          <c:extLst>
            <c:ext xmlns:c16="http://schemas.microsoft.com/office/drawing/2014/chart" uri="{C3380CC4-5D6E-409C-BE32-E72D297353CC}">
              <c16:uniqueId val="{00000006-3F0E-4A54-8EE8-15CCD67AE4D8}"/>
            </c:ext>
          </c:extLst>
        </c:ser>
        <c:dLbls>
          <c:showLegendKey val="0"/>
          <c:showVal val="0"/>
          <c:showCatName val="0"/>
          <c:showSerName val="0"/>
          <c:showPercent val="0"/>
          <c:showBubbleSize val="0"/>
        </c:dLbls>
        <c:smooth val="0"/>
        <c:axId val="2091339832"/>
        <c:axId val="2091343256"/>
      </c:lineChart>
      <c:catAx>
        <c:axId val="209133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343256"/>
        <c:crosses val="autoZero"/>
        <c:auto val="1"/>
        <c:lblAlgn val="ctr"/>
        <c:lblOffset val="100"/>
        <c:noMultiLvlLbl val="0"/>
      </c:catAx>
      <c:valAx>
        <c:axId val="209134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339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96886103523"/>
          <c:y val="3.7510656436487599E-2"/>
          <c:w val="0.71204760119270805"/>
          <c:h val="0.81162222971053999"/>
        </c:manualLayout>
      </c:layout>
      <c:areaChart>
        <c:grouping val="stacked"/>
        <c:varyColors val="0"/>
        <c:ser>
          <c:idx val="0"/>
          <c:order val="0"/>
          <c:tx>
            <c:strRef>
              <c:f>Sheet6!$B$2</c:f>
              <c:strCache>
                <c:ptCount val="1"/>
                <c:pt idx="0">
                  <c:v>Under 20</c:v>
                </c:pt>
              </c:strCache>
            </c:strRef>
          </c:tx>
          <c:spPr>
            <a:solidFill>
              <a:srgbClr val="FFC000"/>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Sheet6!$B$3:$B$24</c:f>
              <c:numCache>
                <c:formatCode>General</c:formatCode>
                <c:ptCount val="22"/>
                <c:pt idx="0">
                  <c:v>0</c:v>
                </c:pt>
                <c:pt idx="1">
                  <c:v>0</c:v>
                </c:pt>
                <c:pt idx="2">
                  <c:v>0</c:v>
                </c:pt>
                <c:pt idx="3">
                  <c:v>0</c:v>
                </c:pt>
                <c:pt idx="4">
                  <c:v>0</c:v>
                </c:pt>
                <c:pt idx="5">
                  <c:v>0</c:v>
                </c:pt>
                <c:pt idx="6">
                  <c:v>1</c:v>
                </c:pt>
                <c:pt idx="7">
                  <c:v>0</c:v>
                </c:pt>
                <c:pt idx="8">
                  <c:v>0</c:v>
                </c:pt>
                <c:pt idx="9">
                  <c:v>0</c:v>
                </c:pt>
                <c:pt idx="10">
                  <c:v>1</c:v>
                </c:pt>
                <c:pt idx="11">
                  <c:v>0</c:v>
                </c:pt>
                <c:pt idx="12">
                  <c:v>2</c:v>
                </c:pt>
                <c:pt idx="13">
                  <c:v>0</c:v>
                </c:pt>
                <c:pt idx="14">
                  <c:v>2</c:v>
                </c:pt>
                <c:pt idx="15">
                  <c:v>0</c:v>
                </c:pt>
                <c:pt idx="16">
                  <c:v>3</c:v>
                </c:pt>
                <c:pt idx="17">
                  <c:v>6</c:v>
                </c:pt>
                <c:pt idx="18">
                  <c:v>6</c:v>
                </c:pt>
                <c:pt idx="19">
                  <c:v>8</c:v>
                </c:pt>
                <c:pt idx="20">
                  <c:v>4</c:v>
                </c:pt>
                <c:pt idx="21">
                  <c:v>1</c:v>
                </c:pt>
              </c:numCache>
            </c:numRef>
          </c:val>
          <c:extLst>
            <c:ext xmlns:c16="http://schemas.microsoft.com/office/drawing/2014/chart" uri="{C3380CC4-5D6E-409C-BE32-E72D297353CC}">
              <c16:uniqueId val="{00000000-30DA-47BE-AF37-F3752D0F26D7}"/>
            </c:ext>
          </c:extLst>
        </c:ser>
        <c:ser>
          <c:idx val="1"/>
          <c:order val="1"/>
          <c:tx>
            <c:strRef>
              <c:f>Sheet6!$C$2</c:f>
              <c:strCache>
                <c:ptCount val="1"/>
                <c:pt idx="0">
                  <c:v>20-29</c:v>
                </c:pt>
              </c:strCache>
            </c:strRef>
          </c:tx>
          <c:spPr>
            <a:solidFill>
              <a:schemeClr val="accent6"/>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Sheet6!$C$3:$C$24</c:f>
              <c:numCache>
                <c:formatCode>General</c:formatCode>
                <c:ptCount val="22"/>
                <c:pt idx="0">
                  <c:v>1</c:v>
                </c:pt>
                <c:pt idx="1">
                  <c:v>0</c:v>
                </c:pt>
                <c:pt idx="2">
                  <c:v>0</c:v>
                </c:pt>
                <c:pt idx="3">
                  <c:v>2</c:v>
                </c:pt>
                <c:pt idx="4">
                  <c:v>2</c:v>
                </c:pt>
                <c:pt idx="5">
                  <c:v>1</c:v>
                </c:pt>
                <c:pt idx="6">
                  <c:v>1</c:v>
                </c:pt>
                <c:pt idx="7">
                  <c:v>3</c:v>
                </c:pt>
                <c:pt idx="8">
                  <c:v>1</c:v>
                </c:pt>
                <c:pt idx="9">
                  <c:v>3</c:v>
                </c:pt>
                <c:pt idx="10">
                  <c:v>1</c:v>
                </c:pt>
                <c:pt idx="11">
                  <c:v>4</c:v>
                </c:pt>
                <c:pt idx="12">
                  <c:v>14</c:v>
                </c:pt>
                <c:pt idx="13">
                  <c:v>12</c:v>
                </c:pt>
                <c:pt idx="14">
                  <c:v>8</c:v>
                </c:pt>
                <c:pt idx="15">
                  <c:v>14</c:v>
                </c:pt>
                <c:pt idx="16">
                  <c:v>16</c:v>
                </c:pt>
                <c:pt idx="17">
                  <c:v>24</c:v>
                </c:pt>
                <c:pt idx="18">
                  <c:v>25</c:v>
                </c:pt>
                <c:pt idx="19">
                  <c:v>35</c:v>
                </c:pt>
                <c:pt idx="20">
                  <c:v>37</c:v>
                </c:pt>
                <c:pt idx="21">
                  <c:v>12</c:v>
                </c:pt>
              </c:numCache>
            </c:numRef>
          </c:val>
          <c:extLst>
            <c:ext xmlns:c16="http://schemas.microsoft.com/office/drawing/2014/chart" uri="{C3380CC4-5D6E-409C-BE32-E72D297353CC}">
              <c16:uniqueId val="{00000001-30DA-47BE-AF37-F3752D0F26D7}"/>
            </c:ext>
          </c:extLst>
        </c:ser>
        <c:ser>
          <c:idx val="2"/>
          <c:order val="2"/>
          <c:tx>
            <c:strRef>
              <c:f>Sheet6!$D$2</c:f>
              <c:strCache>
                <c:ptCount val="1"/>
                <c:pt idx="0">
                  <c:v>30-39</c:v>
                </c:pt>
              </c:strCache>
            </c:strRef>
          </c:tx>
          <c:spPr>
            <a:solidFill>
              <a:srgbClr val="92D050"/>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Sheet6!$D$3:$D$24</c:f>
              <c:numCache>
                <c:formatCode>General</c:formatCode>
                <c:ptCount val="22"/>
                <c:pt idx="0">
                  <c:v>0</c:v>
                </c:pt>
                <c:pt idx="1">
                  <c:v>0</c:v>
                </c:pt>
                <c:pt idx="2">
                  <c:v>0</c:v>
                </c:pt>
                <c:pt idx="3">
                  <c:v>1</c:v>
                </c:pt>
                <c:pt idx="4">
                  <c:v>1</c:v>
                </c:pt>
                <c:pt idx="5">
                  <c:v>0</c:v>
                </c:pt>
                <c:pt idx="6">
                  <c:v>1</c:v>
                </c:pt>
                <c:pt idx="7">
                  <c:v>3</c:v>
                </c:pt>
                <c:pt idx="8">
                  <c:v>0</c:v>
                </c:pt>
                <c:pt idx="9">
                  <c:v>2</c:v>
                </c:pt>
                <c:pt idx="10">
                  <c:v>4</c:v>
                </c:pt>
                <c:pt idx="11">
                  <c:v>2</c:v>
                </c:pt>
                <c:pt idx="12">
                  <c:v>5</c:v>
                </c:pt>
                <c:pt idx="13">
                  <c:v>9</c:v>
                </c:pt>
                <c:pt idx="14">
                  <c:v>9</c:v>
                </c:pt>
                <c:pt idx="15">
                  <c:v>8</c:v>
                </c:pt>
                <c:pt idx="16">
                  <c:v>23</c:v>
                </c:pt>
                <c:pt idx="17">
                  <c:v>18</c:v>
                </c:pt>
                <c:pt idx="18">
                  <c:v>26</c:v>
                </c:pt>
                <c:pt idx="19">
                  <c:v>37</c:v>
                </c:pt>
                <c:pt idx="20">
                  <c:v>38</c:v>
                </c:pt>
                <c:pt idx="21">
                  <c:v>28</c:v>
                </c:pt>
              </c:numCache>
            </c:numRef>
          </c:val>
          <c:extLst>
            <c:ext xmlns:c16="http://schemas.microsoft.com/office/drawing/2014/chart" uri="{C3380CC4-5D6E-409C-BE32-E72D297353CC}">
              <c16:uniqueId val="{00000002-30DA-47BE-AF37-F3752D0F26D7}"/>
            </c:ext>
          </c:extLst>
        </c:ser>
        <c:ser>
          <c:idx val="3"/>
          <c:order val="3"/>
          <c:tx>
            <c:strRef>
              <c:f>Sheet6!$E$2</c:f>
              <c:strCache>
                <c:ptCount val="1"/>
                <c:pt idx="0">
                  <c:v>40-49</c:v>
                </c:pt>
              </c:strCache>
            </c:strRef>
          </c:tx>
          <c:spPr>
            <a:solidFill>
              <a:schemeClr val="accent1"/>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Sheet6!$E$3:$E$24</c:f>
              <c:numCache>
                <c:formatCode>General</c:formatCode>
                <c:ptCount val="22"/>
                <c:pt idx="0">
                  <c:v>0</c:v>
                </c:pt>
                <c:pt idx="1">
                  <c:v>0</c:v>
                </c:pt>
                <c:pt idx="2">
                  <c:v>0</c:v>
                </c:pt>
                <c:pt idx="3">
                  <c:v>0</c:v>
                </c:pt>
                <c:pt idx="4">
                  <c:v>0</c:v>
                </c:pt>
                <c:pt idx="5">
                  <c:v>0</c:v>
                </c:pt>
                <c:pt idx="6">
                  <c:v>2</c:v>
                </c:pt>
                <c:pt idx="7">
                  <c:v>0</c:v>
                </c:pt>
                <c:pt idx="8">
                  <c:v>0</c:v>
                </c:pt>
                <c:pt idx="9">
                  <c:v>0</c:v>
                </c:pt>
                <c:pt idx="10">
                  <c:v>2</c:v>
                </c:pt>
                <c:pt idx="11">
                  <c:v>3</c:v>
                </c:pt>
                <c:pt idx="12">
                  <c:v>3</c:v>
                </c:pt>
                <c:pt idx="13">
                  <c:v>2</c:v>
                </c:pt>
                <c:pt idx="14">
                  <c:v>3</c:v>
                </c:pt>
                <c:pt idx="15">
                  <c:v>7</c:v>
                </c:pt>
                <c:pt idx="16">
                  <c:v>10</c:v>
                </c:pt>
                <c:pt idx="17">
                  <c:v>12</c:v>
                </c:pt>
                <c:pt idx="18">
                  <c:v>21</c:v>
                </c:pt>
                <c:pt idx="19">
                  <c:v>24</c:v>
                </c:pt>
                <c:pt idx="20">
                  <c:v>29</c:v>
                </c:pt>
                <c:pt idx="21">
                  <c:v>11</c:v>
                </c:pt>
              </c:numCache>
            </c:numRef>
          </c:val>
          <c:extLst>
            <c:ext xmlns:c16="http://schemas.microsoft.com/office/drawing/2014/chart" uri="{C3380CC4-5D6E-409C-BE32-E72D297353CC}">
              <c16:uniqueId val="{00000003-30DA-47BE-AF37-F3752D0F26D7}"/>
            </c:ext>
          </c:extLst>
        </c:ser>
        <c:ser>
          <c:idx val="4"/>
          <c:order val="4"/>
          <c:tx>
            <c:strRef>
              <c:f>Sheet6!$F$2</c:f>
              <c:strCache>
                <c:ptCount val="1"/>
                <c:pt idx="0">
                  <c:v>50-69</c:v>
                </c:pt>
              </c:strCache>
            </c:strRef>
          </c:tx>
          <c:spPr>
            <a:solidFill>
              <a:srgbClr val="7030A0"/>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Sheet6!$F$3:$F$24</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1</c:v>
                </c:pt>
                <c:pt idx="13">
                  <c:v>3</c:v>
                </c:pt>
                <c:pt idx="14">
                  <c:v>0</c:v>
                </c:pt>
                <c:pt idx="15">
                  <c:v>2</c:v>
                </c:pt>
                <c:pt idx="16">
                  <c:v>3</c:v>
                </c:pt>
                <c:pt idx="17">
                  <c:v>3</c:v>
                </c:pt>
                <c:pt idx="18">
                  <c:v>4</c:v>
                </c:pt>
                <c:pt idx="19">
                  <c:v>10</c:v>
                </c:pt>
                <c:pt idx="20">
                  <c:v>14</c:v>
                </c:pt>
                <c:pt idx="21">
                  <c:v>9</c:v>
                </c:pt>
              </c:numCache>
            </c:numRef>
          </c:val>
          <c:extLst>
            <c:ext xmlns:c16="http://schemas.microsoft.com/office/drawing/2014/chart" uri="{C3380CC4-5D6E-409C-BE32-E72D297353CC}">
              <c16:uniqueId val="{00000004-30DA-47BE-AF37-F3752D0F26D7}"/>
            </c:ext>
          </c:extLst>
        </c:ser>
        <c:ser>
          <c:idx val="5"/>
          <c:order val="5"/>
          <c:tx>
            <c:strRef>
              <c:f>Sheet6!$G$2</c:f>
              <c:strCache>
                <c:ptCount val="1"/>
                <c:pt idx="0">
                  <c:v>70 and over</c:v>
                </c:pt>
              </c:strCache>
            </c:strRef>
          </c:tx>
          <c:spPr>
            <a:solidFill>
              <a:schemeClr val="bg1">
                <a:lumMod val="65000"/>
              </a:schemeClr>
            </a:solidFill>
            <a:ln>
              <a:noFill/>
            </a:ln>
            <a:effectLst/>
          </c:spPr>
          <c:cat>
            <c:numRef>
              <c:f>Sheet6!$A$3:$A$24</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Sheet6!$G$3:$G$24</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0</c:v>
                </c:pt>
              </c:numCache>
            </c:numRef>
          </c:val>
          <c:extLst>
            <c:ext xmlns:c16="http://schemas.microsoft.com/office/drawing/2014/chart" uri="{C3380CC4-5D6E-409C-BE32-E72D297353CC}">
              <c16:uniqueId val="{00000005-30DA-47BE-AF37-F3752D0F26D7}"/>
            </c:ext>
          </c:extLst>
        </c:ser>
        <c:dLbls>
          <c:showLegendKey val="0"/>
          <c:showVal val="0"/>
          <c:showCatName val="0"/>
          <c:showSerName val="0"/>
          <c:showPercent val="0"/>
          <c:showBubbleSize val="0"/>
        </c:dLbls>
        <c:axId val="2091391672"/>
        <c:axId val="2091398280"/>
      </c:areaChart>
      <c:catAx>
        <c:axId val="2091391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Age range</a:t>
                </a:r>
              </a:p>
            </c:rich>
          </c:tx>
          <c:layout>
            <c:manualLayout>
              <c:xMode val="edge"/>
              <c:yMode val="edge"/>
              <c:x val="0.85822522184726902"/>
              <c:y val="0.2496582432895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398280"/>
        <c:crosses val="autoZero"/>
        <c:auto val="1"/>
        <c:lblAlgn val="ctr"/>
        <c:lblOffset val="100"/>
        <c:noMultiLvlLbl val="0"/>
      </c:catAx>
      <c:valAx>
        <c:axId val="2091398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a:t>
                </a:r>
                <a:r>
                  <a:rPr lang="en-GB" baseline="0"/>
                  <a:t> of deaths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3916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7376556577499"/>
          <c:y val="4.3563493792202097E-2"/>
          <c:w val="0.60679796303220901"/>
          <c:h val="0.81323561738032601"/>
        </c:manualLayout>
      </c:layout>
      <c:areaChart>
        <c:grouping val="stacked"/>
        <c:varyColors val="0"/>
        <c:ser>
          <c:idx val="0"/>
          <c:order val="0"/>
          <c:tx>
            <c:strRef>
              <c:f>Sheet7!$B$1</c:f>
              <c:strCache>
                <c:ptCount val="1"/>
                <c:pt idx="0">
                  <c:v>NPS</c:v>
                </c:pt>
              </c:strCache>
            </c:strRef>
          </c:tx>
          <c:spPr>
            <a:solidFill>
              <a:srgbClr val="C00000"/>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Sheet7!$B$2:$B$23</c:f>
              <c:numCache>
                <c:formatCode>General</c:formatCode>
                <c:ptCount val="22"/>
                <c:pt idx="0">
                  <c:v>1</c:v>
                </c:pt>
                <c:pt idx="1">
                  <c:v>0</c:v>
                </c:pt>
                <c:pt idx="2">
                  <c:v>0</c:v>
                </c:pt>
                <c:pt idx="3">
                  <c:v>3</c:v>
                </c:pt>
                <c:pt idx="4">
                  <c:v>3</c:v>
                </c:pt>
                <c:pt idx="5">
                  <c:v>1</c:v>
                </c:pt>
                <c:pt idx="6">
                  <c:v>5</c:v>
                </c:pt>
                <c:pt idx="7">
                  <c:v>6</c:v>
                </c:pt>
                <c:pt idx="8">
                  <c:v>1</c:v>
                </c:pt>
                <c:pt idx="9">
                  <c:v>5</c:v>
                </c:pt>
                <c:pt idx="10">
                  <c:v>8</c:v>
                </c:pt>
                <c:pt idx="11">
                  <c:v>9</c:v>
                </c:pt>
                <c:pt idx="12">
                  <c:v>25</c:v>
                </c:pt>
                <c:pt idx="13">
                  <c:v>26</c:v>
                </c:pt>
                <c:pt idx="14">
                  <c:v>22</c:v>
                </c:pt>
                <c:pt idx="15">
                  <c:v>31</c:v>
                </c:pt>
                <c:pt idx="16">
                  <c:v>55</c:v>
                </c:pt>
                <c:pt idx="17">
                  <c:v>63</c:v>
                </c:pt>
                <c:pt idx="18">
                  <c:v>82</c:v>
                </c:pt>
                <c:pt idx="19">
                  <c:v>114</c:v>
                </c:pt>
                <c:pt idx="20">
                  <c:v>123</c:v>
                </c:pt>
                <c:pt idx="21">
                  <c:v>61</c:v>
                </c:pt>
              </c:numCache>
            </c:numRef>
          </c:val>
          <c:extLst>
            <c:ext xmlns:c16="http://schemas.microsoft.com/office/drawing/2014/chart" uri="{C3380CC4-5D6E-409C-BE32-E72D297353CC}">
              <c16:uniqueId val="{00000000-7BAB-49D7-AAAB-BE5C79025753}"/>
            </c:ext>
          </c:extLst>
        </c:ser>
        <c:ser>
          <c:idx val="1"/>
          <c:order val="1"/>
          <c:tx>
            <c:strRef>
              <c:f>Sheet7!$C$1</c:f>
              <c:strCache>
                <c:ptCount val="1"/>
                <c:pt idx="0">
                  <c:v>Cannabis</c:v>
                </c:pt>
              </c:strCache>
            </c:strRef>
          </c:tx>
          <c:spPr>
            <a:solidFill>
              <a:schemeClr val="accent3"/>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Sheet7!$C$2:$C$23</c:f>
              <c:numCache>
                <c:formatCode>General</c:formatCode>
                <c:ptCount val="22"/>
                <c:pt idx="0">
                  <c:v>9</c:v>
                </c:pt>
                <c:pt idx="1">
                  <c:v>14</c:v>
                </c:pt>
                <c:pt idx="2">
                  <c:v>10</c:v>
                </c:pt>
                <c:pt idx="3">
                  <c:v>8</c:v>
                </c:pt>
                <c:pt idx="4">
                  <c:v>9</c:v>
                </c:pt>
                <c:pt idx="5">
                  <c:v>16</c:v>
                </c:pt>
                <c:pt idx="6">
                  <c:v>13</c:v>
                </c:pt>
                <c:pt idx="7">
                  <c:v>11</c:v>
                </c:pt>
                <c:pt idx="8">
                  <c:v>19</c:v>
                </c:pt>
                <c:pt idx="9">
                  <c:v>19</c:v>
                </c:pt>
                <c:pt idx="10">
                  <c:v>17</c:v>
                </c:pt>
                <c:pt idx="11">
                  <c:v>12</c:v>
                </c:pt>
                <c:pt idx="12">
                  <c:v>19</c:v>
                </c:pt>
                <c:pt idx="13">
                  <c:v>22</c:v>
                </c:pt>
                <c:pt idx="14">
                  <c:v>11</c:v>
                </c:pt>
                <c:pt idx="15">
                  <c:v>7</c:v>
                </c:pt>
                <c:pt idx="16">
                  <c:v>14</c:v>
                </c:pt>
                <c:pt idx="17">
                  <c:v>11</c:v>
                </c:pt>
                <c:pt idx="18">
                  <c:v>28</c:v>
                </c:pt>
                <c:pt idx="19">
                  <c:v>21</c:v>
                </c:pt>
                <c:pt idx="20">
                  <c:v>24</c:v>
                </c:pt>
                <c:pt idx="21">
                  <c:v>29</c:v>
                </c:pt>
              </c:numCache>
            </c:numRef>
          </c:val>
          <c:extLst>
            <c:ext xmlns:c16="http://schemas.microsoft.com/office/drawing/2014/chart" uri="{C3380CC4-5D6E-409C-BE32-E72D297353CC}">
              <c16:uniqueId val="{00000001-7BAB-49D7-AAAB-BE5C79025753}"/>
            </c:ext>
          </c:extLst>
        </c:ser>
        <c:ser>
          <c:idx val="2"/>
          <c:order val="2"/>
          <c:tx>
            <c:strRef>
              <c:f>Sheet7!$D$1</c:f>
              <c:strCache>
                <c:ptCount val="1"/>
                <c:pt idx="0">
                  <c:v>Ecstasy</c:v>
                </c:pt>
              </c:strCache>
            </c:strRef>
          </c:tx>
          <c:spPr>
            <a:solidFill>
              <a:schemeClr val="accent6"/>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Sheet7!$D$2:$D$23</c:f>
              <c:numCache>
                <c:formatCode>General</c:formatCode>
                <c:ptCount val="22"/>
                <c:pt idx="0">
                  <c:v>16</c:v>
                </c:pt>
                <c:pt idx="1">
                  <c:v>15</c:v>
                </c:pt>
                <c:pt idx="2">
                  <c:v>17</c:v>
                </c:pt>
                <c:pt idx="3">
                  <c:v>21</c:v>
                </c:pt>
                <c:pt idx="4">
                  <c:v>28</c:v>
                </c:pt>
                <c:pt idx="5">
                  <c:v>55</c:v>
                </c:pt>
                <c:pt idx="6">
                  <c:v>56</c:v>
                </c:pt>
                <c:pt idx="7">
                  <c:v>50</c:v>
                </c:pt>
                <c:pt idx="8">
                  <c:v>43</c:v>
                </c:pt>
                <c:pt idx="9">
                  <c:v>58</c:v>
                </c:pt>
                <c:pt idx="10">
                  <c:v>48</c:v>
                </c:pt>
                <c:pt idx="11">
                  <c:v>47</c:v>
                </c:pt>
                <c:pt idx="12">
                  <c:v>44</c:v>
                </c:pt>
                <c:pt idx="13">
                  <c:v>27</c:v>
                </c:pt>
                <c:pt idx="14">
                  <c:v>8</c:v>
                </c:pt>
                <c:pt idx="15">
                  <c:v>13</c:v>
                </c:pt>
                <c:pt idx="16">
                  <c:v>31</c:v>
                </c:pt>
                <c:pt idx="17">
                  <c:v>43</c:v>
                </c:pt>
                <c:pt idx="18">
                  <c:v>50</c:v>
                </c:pt>
                <c:pt idx="19">
                  <c:v>57</c:v>
                </c:pt>
                <c:pt idx="20">
                  <c:v>63</c:v>
                </c:pt>
                <c:pt idx="21">
                  <c:v>56</c:v>
                </c:pt>
              </c:numCache>
            </c:numRef>
          </c:val>
          <c:extLst>
            <c:ext xmlns:c16="http://schemas.microsoft.com/office/drawing/2014/chart" uri="{C3380CC4-5D6E-409C-BE32-E72D297353CC}">
              <c16:uniqueId val="{00000002-7BAB-49D7-AAAB-BE5C79025753}"/>
            </c:ext>
          </c:extLst>
        </c:ser>
        <c:ser>
          <c:idx val="3"/>
          <c:order val="3"/>
          <c:tx>
            <c:strRef>
              <c:f>Sheet7!$E$1</c:f>
              <c:strCache>
                <c:ptCount val="1"/>
                <c:pt idx="0">
                  <c:v>Amphetamine</c:v>
                </c:pt>
              </c:strCache>
            </c:strRef>
          </c:tx>
          <c:spPr>
            <a:solidFill>
              <a:srgbClr val="CC66A5"/>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Sheet7!$E$2:$E$23</c:f>
              <c:numCache>
                <c:formatCode>General</c:formatCode>
                <c:ptCount val="22"/>
                <c:pt idx="0">
                  <c:v>46</c:v>
                </c:pt>
                <c:pt idx="1">
                  <c:v>56</c:v>
                </c:pt>
                <c:pt idx="2">
                  <c:v>63</c:v>
                </c:pt>
                <c:pt idx="3">
                  <c:v>82</c:v>
                </c:pt>
                <c:pt idx="4">
                  <c:v>61</c:v>
                </c:pt>
                <c:pt idx="5">
                  <c:v>79</c:v>
                </c:pt>
                <c:pt idx="6">
                  <c:v>94</c:v>
                </c:pt>
                <c:pt idx="7">
                  <c:v>81</c:v>
                </c:pt>
                <c:pt idx="8">
                  <c:v>80</c:v>
                </c:pt>
                <c:pt idx="9">
                  <c:v>103</c:v>
                </c:pt>
                <c:pt idx="10">
                  <c:v>92</c:v>
                </c:pt>
                <c:pt idx="11">
                  <c:v>97</c:v>
                </c:pt>
                <c:pt idx="12">
                  <c:v>99</c:v>
                </c:pt>
                <c:pt idx="13">
                  <c:v>76</c:v>
                </c:pt>
                <c:pt idx="14">
                  <c:v>56</c:v>
                </c:pt>
                <c:pt idx="15">
                  <c:v>62</c:v>
                </c:pt>
                <c:pt idx="16">
                  <c:v>97</c:v>
                </c:pt>
                <c:pt idx="17">
                  <c:v>120</c:v>
                </c:pt>
                <c:pt idx="18">
                  <c:v>151</c:v>
                </c:pt>
                <c:pt idx="19">
                  <c:v>157</c:v>
                </c:pt>
                <c:pt idx="20">
                  <c:v>161</c:v>
                </c:pt>
                <c:pt idx="21">
                  <c:v>150</c:v>
                </c:pt>
              </c:numCache>
            </c:numRef>
          </c:val>
          <c:extLst>
            <c:ext xmlns:c16="http://schemas.microsoft.com/office/drawing/2014/chart" uri="{C3380CC4-5D6E-409C-BE32-E72D297353CC}">
              <c16:uniqueId val="{00000003-7BAB-49D7-AAAB-BE5C79025753}"/>
            </c:ext>
          </c:extLst>
        </c:ser>
        <c:ser>
          <c:idx val="4"/>
          <c:order val="4"/>
          <c:tx>
            <c:strRef>
              <c:f>Sheet7!$F$1</c:f>
              <c:strCache>
                <c:ptCount val="1"/>
                <c:pt idx="0">
                  <c:v>Cocaine</c:v>
                </c:pt>
              </c:strCache>
            </c:strRef>
          </c:tx>
          <c:spPr>
            <a:solidFill>
              <a:schemeClr val="accent4"/>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Sheet7!$F$2:$F$23</c:f>
              <c:numCache>
                <c:formatCode>General</c:formatCode>
                <c:ptCount val="22"/>
                <c:pt idx="0">
                  <c:v>13</c:v>
                </c:pt>
                <c:pt idx="1">
                  <c:v>27</c:v>
                </c:pt>
                <c:pt idx="2">
                  <c:v>65</c:v>
                </c:pt>
                <c:pt idx="3">
                  <c:v>88</c:v>
                </c:pt>
                <c:pt idx="4">
                  <c:v>83</c:v>
                </c:pt>
                <c:pt idx="5">
                  <c:v>97</c:v>
                </c:pt>
                <c:pt idx="6">
                  <c:v>128</c:v>
                </c:pt>
                <c:pt idx="7">
                  <c:v>129</c:v>
                </c:pt>
                <c:pt idx="8">
                  <c:v>154</c:v>
                </c:pt>
                <c:pt idx="9">
                  <c:v>176</c:v>
                </c:pt>
                <c:pt idx="10">
                  <c:v>190</c:v>
                </c:pt>
                <c:pt idx="11">
                  <c:v>196</c:v>
                </c:pt>
                <c:pt idx="12">
                  <c:v>235</c:v>
                </c:pt>
                <c:pt idx="13">
                  <c:v>202</c:v>
                </c:pt>
                <c:pt idx="14">
                  <c:v>144</c:v>
                </c:pt>
                <c:pt idx="15">
                  <c:v>112</c:v>
                </c:pt>
                <c:pt idx="16">
                  <c:v>139</c:v>
                </c:pt>
                <c:pt idx="17">
                  <c:v>169</c:v>
                </c:pt>
                <c:pt idx="18">
                  <c:v>247</c:v>
                </c:pt>
                <c:pt idx="19">
                  <c:v>320</c:v>
                </c:pt>
                <c:pt idx="20">
                  <c:v>371</c:v>
                </c:pt>
                <c:pt idx="21">
                  <c:v>432</c:v>
                </c:pt>
              </c:numCache>
            </c:numRef>
          </c:val>
          <c:extLst>
            <c:ext xmlns:c16="http://schemas.microsoft.com/office/drawing/2014/chart" uri="{C3380CC4-5D6E-409C-BE32-E72D297353CC}">
              <c16:uniqueId val="{00000004-7BAB-49D7-AAAB-BE5C79025753}"/>
            </c:ext>
          </c:extLst>
        </c:ser>
        <c:ser>
          <c:idx val="5"/>
          <c:order val="5"/>
          <c:tx>
            <c:strRef>
              <c:f>Sheet7!$G$1</c:f>
              <c:strCache>
                <c:ptCount val="1"/>
                <c:pt idx="0">
                  <c:v>Heroin &amp; morphine</c:v>
                </c:pt>
              </c:strCache>
            </c:strRef>
          </c:tx>
          <c:spPr>
            <a:solidFill>
              <a:schemeClr val="accent1"/>
            </a:solidFill>
            <a:ln>
              <a:noFill/>
            </a:ln>
            <a:effectLst/>
          </c:spPr>
          <c:cat>
            <c:numRef>
              <c:f>Sheet7!$A$2:$A$23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Sheet7!$G$2:$G$23</c:f>
              <c:numCache>
                <c:formatCode>General</c:formatCode>
                <c:ptCount val="22"/>
                <c:pt idx="0">
                  <c:v>440</c:v>
                </c:pt>
                <c:pt idx="1">
                  <c:v>444</c:v>
                </c:pt>
                <c:pt idx="2">
                  <c:v>609</c:v>
                </c:pt>
                <c:pt idx="3">
                  <c:v>755</c:v>
                </c:pt>
                <c:pt idx="4">
                  <c:v>851</c:v>
                </c:pt>
                <c:pt idx="5">
                  <c:v>981</c:v>
                </c:pt>
                <c:pt idx="6">
                  <c:v>865</c:v>
                </c:pt>
                <c:pt idx="7">
                  <c:v>696</c:v>
                </c:pt>
                <c:pt idx="8">
                  <c:v>751</c:v>
                </c:pt>
                <c:pt idx="9">
                  <c:v>842</c:v>
                </c:pt>
                <c:pt idx="10">
                  <c:v>713</c:v>
                </c:pt>
                <c:pt idx="11">
                  <c:v>829</c:v>
                </c:pt>
                <c:pt idx="12">
                  <c:v>897</c:v>
                </c:pt>
                <c:pt idx="13">
                  <c:v>880</c:v>
                </c:pt>
                <c:pt idx="14">
                  <c:v>791</c:v>
                </c:pt>
                <c:pt idx="15">
                  <c:v>596</c:v>
                </c:pt>
                <c:pt idx="16">
                  <c:v>579</c:v>
                </c:pt>
                <c:pt idx="17">
                  <c:v>765</c:v>
                </c:pt>
                <c:pt idx="18">
                  <c:v>952</c:v>
                </c:pt>
                <c:pt idx="19">
                  <c:v>1201</c:v>
                </c:pt>
                <c:pt idx="20">
                  <c:v>1209</c:v>
                </c:pt>
                <c:pt idx="21">
                  <c:v>1164</c:v>
                </c:pt>
              </c:numCache>
            </c:numRef>
          </c:val>
          <c:extLst>
            <c:ext xmlns:c16="http://schemas.microsoft.com/office/drawing/2014/chart" uri="{C3380CC4-5D6E-409C-BE32-E72D297353CC}">
              <c16:uniqueId val="{00000005-7BAB-49D7-AAAB-BE5C79025753}"/>
            </c:ext>
          </c:extLst>
        </c:ser>
        <c:dLbls>
          <c:showLegendKey val="0"/>
          <c:showVal val="0"/>
          <c:showCatName val="0"/>
          <c:showSerName val="0"/>
          <c:showPercent val="0"/>
          <c:showBubbleSize val="0"/>
        </c:dLbls>
        <c:axId val="2092228008"/>
        <c:axId val="2092231688"/>
      </c:areaChart>
      <c:catAx>
        <c:axId val="2092228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231688"/>
        <c:crosses val="autoZero"/>
        <c:auto val="1"/>
        <c:lblAlgn val="ctr"/>
        <c:lblOffset val="100"/>
        <c:noMultiLvlLbl val="0"/>
      </c:catAx>
      <c:valAx>
        <c:axId val="2092231688"/>
        <c:scaling>
          <c:orientation val="minMax"/>
          <c:max val="2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deaths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22800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32348268250432"/>
          <c:y val="8.9161326274728336E-2"/>
          <c:w val="0.81923859353914641"/>
          <c:h val="0.75792699916411255"/>
        </c:manualLayout>
      </c:layout>
      <c:lineChart>
        <c:grouping val="standard"/>
        <c:varyColors val="0"/>
        <c:ser>
          <c:idx val="0"/>
          <c:order val="0"/>
          <c:tx>
            <c:strRef>
              <c:f>Heroin!$B$31</c:f>
              <c:strCache>
                <c:ptCount val="1"/>
                <c:pt idx="0">
                  <c:v>Purity</c:v>
                </c:pt>
              </c:strCache>
            </c:strRef>
          </c:tx>
          <c:spPr>
            <a:ln w="28575" cap="rnd">
              <a:solidFill>
                <a:schemeClr val="accent4"/>
              </a:solidFill>
              <a:round/>
            </a:ln>
            <a:effectLst/>
          </c:spPr>
          <c:marker>
            <c:symbol val="none"/>
          </c:marker>
          <c:dPt>
            <c:idx val="11"/>
            <c:marker>
              <c:symbol val="none"/>
            </c:marker>
            <c:bubble3D val="0"/>
            <c:spPr>
              <a:ln w="28575" cap="rnd">
                <a:solidFill>
                  <a:schemeClr val="bg1"/>
                </a:solidFill>
                <a:round/>
              </a:ln>
              <a:effectLst/>
            </c:spPr>
            <c:extLst>
              <c:ext xmlns:c16="http://schemas.microsoft.com/office/drawing/2014/chart" uri="{C3380CC4-5D6E-409C-BE32-E72D297353CC}">
                <c16:uniqueId val="{00000001-13BE-4443-AE0A-93889A0D9B24}"/>
              </c:ext>
            </c:extLst>
          </c:dPt>
          <c:cat>
            <c:numRef>
              <c:f>Heroin!$A$32:$A$43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Heroin!$B$32:$B$43</c:f>
              <c:numCache>
                <c:formatCode>General</c:formatCode>
                <c:ptCount val="12"/>
                <c:pt idx="0">
                  <c:v>100</c:v>
                </c:pt>
                <c:pt idx="1">
                  <c:v>97</c:v>
                </c:pt>
                <c:pt idx="2">
                  <c:v>88</c:v>
                </c:pt>
                <c:pt idx="3">
                  <c:v>80</c:v>
                </c:pt>
                <c:pt idx="4">
                  <c:v>82</c:v>
                </c:pt>
                <c:pt idx="5">
                  <c:v>88</c:v>
                </c:pt>
                <c:pt idx="6">
                  <c:v>95</c:v>
                </c:pt>
                <c:pt idx="7">
                  <c:v>101</c:v>
                </c:pt>
                <c:pt idx="8">
                  <c:v>98</c:v>
                </c:pt>
                <c:pt idx="9">
                  <c:v>104</c:v>
                </c:pt>
                <c:pt idx="10">
                  <c:v>116</c:v>
                </c:pt>
                <c:pt idx="11">
                  <c:v>116</c:v>
                </c:pt>
              </c:numCache>
            </c:numRef>
          </c:val>
          <c:smooth val="0"/>
          <c:extLst>
            <c:ext xmlns:c16="http://schemas.microsoft.com/office/drawing/2014/chart" uri="{C3380CC4-5D6E-409C-BE32-E72D297353CC}">
              <c16:uniqueId val="{00000002-13BE-4443-AE0A-93889A0D9B24}"/>
            </c:ext>
          </c:extLst>
        </c:ser>
        <c:dLbls>
          <c:showLegendKey val="0"/>
          <c:showVal val="0"/>
          <c:showCatName val="0"/>
          <c:showSerName val="0"/>
          <c:showPercent val="0"/>
          <c:showBubbleSize val="0"/>
        </c:dLbls>
        <c:smooth val="0"/>
        <c:axId val="2091429624"/>
        <c:axId val="2091433224"/>
      </c:lineChart>
      <c:catAx>
        <c:axId val="209142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433224"/>
        <c:crosses val="autoZero"/>
        <c:auto val="1"/>
        <c:lblAlgn val="ctr"/>
        <c:lblOffset val="100"/>
        <c:noMultiLvlLbl val="0"/>
      </c:catAx>
      <c:valAx>
        <c:axId val="209143322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429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Heroin!$B$45</c:f>
              <c:strCache>
                <c:ptCount val="1"/>
                <c:pt idx="0">
                  <c:v>Mortality</c:v>
                </c:pt>
              </c:strCache>
            </c:strRef>
          </c:tx>
          <c:spPr>
            <a:ln w="28575" cap="rnd">
              <a:solidFill>
                <a:schemeClr val="accent4"/>
              </a:solidFill>
              <a:round/>
            </a:ln>
            <a:effectLst/>
          </c:spPr>
          <c:marker>
            <c:symbol val="none"/>
          </c:marker>
          <c:cat>
            <c:numRef>
              <c:f>Heroin!$A$46:$A$57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Heroin!$B$46:$B$57</c:f>
              <c:numCache>
                <c:formatCode>General</c:formatCode>
                <c:ptCount val="12"/>
                <c:pt idx="0">
                  <c:v>190</c:v>
                </c:pt>
                <c:pt idx="1">
                  <c:v>196</c:v>
                </c:pt>
                <c:pt idx="2">
                  <c:v>235</c:v>
                </c:pt>
                <c:pt idx="3">
                  <c:v>202</c:v>
                </c:pt>
                <c:pt idx="4">
                  <c:v>144</c:v>
                </c:pt>
                <c:pt idx="5">
                  <c:v>112</c:v>
                </c:pt>
                <c:pt idx="6">
                  <c:v>139</c:v>
                </c:pt>
                <c:pt idx="7">
                  <c:v>169</c:v>
                </c:pt>
                <c:pt idx="8">
                  <c:v>247</c:v>
                </c:pt>
                <c:pt idx="9">
                  <c:v>320</c:v>
                </c:pt>
                <c:pt idx="10">
                  <c:v>371</c:v>
                </c:pt>
                <c:pt idx="11">
                  <c:v>432</c:v>
                </c:pt>
              </c:numCache>
            </c:numRef>
          </c:val>
          <c:smooth val="0"/>
          <c:extLst>
            <c:ext xmlns:c16="http://schemas.microsoft.com/office/drawing/2014/chart" uri="{C3380CC4-5D6E-409C-BE32-E72D297353CC}">
              <c16:uniqueId val="{00000000-EF1F-426B-BD8D-6A2E386F89F3}"/>
            </c:ext>
          </c:extLst>
        </c:ser>
        <c:dLbls>
          <c:showLegendKey val="0"/>
          <c:showVal val="0"/>
          <c:showCatName val="0"/>
          <c:showSerName val="0"/>
          <c:showPercent val="0"/>
          <c:showBubbleSize val="0"/>
        </c:dLbls>
        <c:smooth val="0"/>
        <c:axId val="2089830520"/>
        <c:axId val="2089819032"/>
      </c:lineChart>
      <c:catAx>
        <c:axId val="208983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19032"/>
        <c:crosses val="autoZero"/>
        <c:auto val="1"/>
        <c:lblAlgn val="ctr"/>
        <c:lblOffset val="100"/>
        <c:noMultiLvlLbl val="0"/>
      </c:catAx>
      <c:valAx>
        <c:axId val="2089819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983052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Heroin!$B$2</c:f>
              <c:strCache>
                <c:ptCount val="1"/>
                <c:pt idx="0">
                  <c:v>Purity </c:v>
                </c:pt>
              </c:strCache>
            </c:strRef>
          </c:tx>
          <c:spPr>
            <a:ln w="28575" cap="rnd">
              <a:solidFill>
                <a:schemeClr val="accent1"/>
              </a:solidFill>
              <a:round/>
            </a:ln>
            <a:effectLst/>
          </c:spPr>
          <c:marker>
            <c:symbol val="none"/>
          </c:marker>
          <c:dPt>
            <c:idx val="11"/>
            <c:marker>
              <c:symbol val="none"/>
            </c:marker>
            <c:bubble3D val="0"/>
            <c:spPr>
              <a:ln w="28575" cap="rnd">
                <a:solidFill>
                  <a:schemeClr val="bg1"/>
                </a:solidFill>
                <a:round/>
              </a:ln>
              <a:effectLst/>
            </c:spPr>
            <c:extLst>
              <c:ext xmlns:c16="http://schemas.microsoft.com/office/drawing/2014/chart" uri="{C3380CC4-5D6E-409C-BE32-E72D297353CC}">
                <c16:uniqueId val="{00000001-98CE-4A0E-B7E4-83FA6466063F}"/>
              </c:ext>
            </c:extLst>
          </c:dPt>
          <c:cat>
            <c:numRef>
              <c:f>Heroin!$A$3:$A$14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Heroin!$B$3:$B$14</c:f>
              <c:numCache>
                <c:formatCode>General</c:formatCode>
                <c:ptCount val="12"/>
                <c:pt idx="0">
                  <c:v>100</c:v>
                </c:pt>
                <c:pt idx="1">
                  <c:v>108</c:v>
                </c:pt>
                <c:pt idx="2">
                  <c:v>103</c:v>
                </c:pt>
                <c:pt idx="3">
                  <c:v>108</c:v>
                </c:pt>
                <c:pt idx="4">
                  <c:v>101</c:v>
                </c:pt>
                <c:pt idx="5">
                  <c:v>71</c:v>
                </c:pt>
                <c:pt idx="6">
                  <c:v>70</c:v>
                </c:pt>
                <c:pt idx="7">
                  <c:v>87</c:v>
                </c:pt>
                <c:pt idx="8">
                  <c:v>102</c:v>
                </c:pt>
                <c:pt idx="9">
                  <c:v>110</c:v>
                </c:pt>
                <c:pt idx="10">
                  <c:v>97</c:v>
                </c:pt>
                <c:pt idx="11">
                  <c:v>97</c:v>
                </c:pt>
              </c:numCache>
            </c:numRef>
          </c:val>
          <c:smooth val="0"/>
          <c:extLst>
            <c:ext xmlns:c16="http://schemas.microsoft.com/office/drawing/2014/chart" uri="{C3380CC4-5D6E-409C-BE32-E72D297353CC}">
              <c16:uniqueId val="{00000002-98CE-4A0E-B7E4-83FA6466063F}"/>
            </c:ext>
          </c:extLst>
        </c:ser>
        <c:dLbls>
          <c:showLegendKey val="0"/>
          <c:showVal val="0"/>
          <c:showCatName val="0"/>
          <c:showSerName val="0"/>
          <c:showPercent val="0"/>
          <c:showBubbleSize val="0"/>
        </c:dLbls>
        <c:smooth val="0"/>
        <c:axId val="2092290760"/>
        <c:axId val="2092294376"/>
      </c:lineChart>
      <c:catAx>
        <c:axId val="209229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294376"/>
        <c:crosses val="autoZero"/>
        <c:auto val="1"/>
        <c:lblAlgn val="ctr"/>
        <c:lblOffset val="100"/>
        <c:noMultiLvlLbl val="0"/>
      </c:catAx>
      <c:valAx>
        <c:axId val="2092294376"/>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290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'Raw data (2)'!$H$102</c:f>
              <c:strCache>
                <c:ptCount val="1"/>
                <c:pt idx="0">
                  <c:v>Internet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(2)'!$I$101:$L$101</c:f>
              <c:strCache>
                <c:ptCount val="4"/>
                <c:pt idx="0">
                  <c:v>2014/15</c:v>
                </c:pt>
                <c:pt idx="1">
                  <c:v>2015/16</c:v>
                </c:pt>
                <c:pt idx="2">
                  <c:v>2016/17</c:v>
                </c:pt>
                <c:pt idx="3">
                  <c:v>2017/18</c:v>
                </c:pt>
              </c:strCache>
            </c:strRef>
          </c:cat>
          <c:val>
            <c:numRef>
              <c:f>'Raw data (2)'!$I$102:$L$102</c:f>
              <c:numCache>
                <c:formatCode>General</c:formatCode>
                <c:ptCount val="4"/>
                <c:pt idx="0">
                  <c:v>6</c:v>
                </c:pt>
                <c:pt idx="1">
                  <c:v>7</c:v>
                </c:pt>
                <c:pt idx="2">
                  <c:v>5</c:v>
                </c:pt>
                <c:pt idx="3">
                  <c:v>7</c:v>
                </c:pt>
              </c:numCache>
            </c:numRef>
          </c:val>
          <c:extLst>
            <c:ext xmlns:c16="http://schemas.microsoft.com/office/drawing/2014/chart" uri="{C3380CC4-5D6E-409C-BE32-E72D297353CC}">
              <c16:uniqueId val="{00000000-A49A-404B-A943-3F7ACAB2C55E}"/>
            </c:ext>
          </c:extLst>
        </c:ser>
        <c:ser>
          <c:idx val="1"/>
          <c:order val="1"/>
          <c:tx>
            <c:strRef>
              <c:f>'Raw data (2)'!$H$103</c:f>
              <c:strCache>
                <c:ptCount val="1"/>
                <c:pt idx="0">
                  <c:v>Friend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(2)'!$I$101:$L$101</c:f>
              <c:strCache>
                <c:ptCount val="4"/>
                <c:pt idx="0">
                  <c:v>2014/15</c:v>
                </c:pt>
                <c:pt idx="1">
                  <c:v>2015/16</c:v>
                </c:pt>
                <c:pt idx="2">
                  <c:v>2016/17</c:v>
                </c:pt>
                <c:pt idx="3">
                  <c:v>2017/18</c:v>
                </c:pt>
              </c:strCache>
            </c:strRef>
          </c:cat>
          <c:val>
            <c:numRef>
              <c:f>'Raw data (2)'!$I$103:$L$103</c:f>
              <c:numCache>
                <c:formatCode>General</c:formatCode>
                <c:ptCount val="4"/>
                <c:pt idx="0">
                  <c:v>39</c:v>
                </c:pt>
                <c:pt idx="1">
                  <c:v>31</c:v>
                </c:pt>
                <c:pt idx="2">
                  <c:v>20</c:v>
                </c:pt>
                <c:pt idx="3">
                  <c:v>17</c:v>
                </c:pt>
              </c:numCache>
            </c:numRef>
          </c:val>
          <c:extLst>
            <c:ext xmlns:c16="http://schemas.microsoft.com/office/drawing/2014/chart" uri="{C3380CC4-5D6E-409C-BE32-E72D297353CC}">
              <c16:uniqueId val="{00000001-A49A-404B-A943-3F7ACAB2C55E}"/>
            </c:ext>
          </c:extLst>
        </c:ser>
        <c:ser>
          <c:idx val="2"/>
          <c:order val="2"/>
          <c:tx>
            <c:strRef>
              <c:f>'Raw data (2)'!$H$104</c:f>
              <c:strCache>
                <c:ptCount val="1"/>
                <c:pt idx="0">
                  <c:v>Known dealer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(2)'!$I$101:$L$101</c:f>
              <c:strCache>
                <c:ptCount val="4"/>
                <c:pt idx="0">
                  <c:v>2014/15</c:v>
                </c:pt>
                <c:pt idx="1">
                  <c:v>2015/16</c:v>
                </c:pt>
                <c:pt idx="2">
                  <c:v>2016/17</c:v>
                </c:pt>
                <c:pt idx="3">
                  <c:v>2017/18</c:v>
                </c:pt>
              </c:strCache>
            </c:strRef>
          </c:cat>
          <c:val>
            <c:numRef>
              <c:f>'Raw data (2)'!$I$104:$L$104</c:f>
              <c:numCache>
                <c:formatCode>General</c:formatCode>
                <c:ptCount val="4"/>
                <c:pt idx="0">
                  <c:v>12</c:v>
                </c:pt>
                <c:pt idx="1">
                  <c:v>8</c:v>
                </c:pt>
                <c:pt idx="2">
                  <c:v>3</c:v>
                </c:pt>
                <c:pt idx="3">
                  <c:v>3</c:v>
                </c:pt>
              </c:numCache>
            </c:numRef>
          </c:val>
          <c:extLst>
            <c:ext xmlns:c16="http://schemas.microsoft.com/office/drawing/2014/chart" uri="{C3380CC4-5D6E-409C-BE32-E72D297353CC}">
              <c16:uniqueId val="{00000002-A49A-404B-A943-3F7ACAB2C55E}"/>
            </c:ext>
          </c:extLst>
        </c:ser>
        <c:ser>
          <c:idx val="3"/>
          <c:order val="3"/>
          <c:tx>
            <c:strRef>
              <c:f>'Raw data (2)'!$H$105</c:f>
              <c:strCache>
                <c:ptCount val="1"/>
                <c:pt idx="0">
                  <c:v>Unknown dealer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(2)'!$I$101:$L$101</c:f>
              <c:strCache>
                <c:ptCount val="4"/>
                <c:pt idx="0">
                  <c:v>2014/15</c:v>
                </c:pt>
                <c:pt idx="1">
                  <c:v>2015/16</c:v>
                </c:pt>
                <c:pt idx="2">
                  <c:v>2016/17</c:v>
                </c:pt>
                <c:pt idx="3">
                  <c:v>2017/18</c:v>
                </c:pt>
              </c:strCache>
            </c:strRef>
          </c:cat>
          <c:val>
            <c:numRef>
              <c:f>'Raw data (2)'!$I$105:$L$105</c:f>
              <c:numCache>
                <c:formatCode>General</c:formatCode>
                <c:ptCount val="4"/>
                <c:pt idx="0">
                  <c:v>1</c:v>
                </c:pt>
                <c:pt idx="1">
                  <c:v>8</c:v>
                </c:pt>
                <c:pt idx="2">
                  <c:v>9</c:v>
                </c:pt>
                <c:pt idx="3">
                  <c:v>9</c:v>
                </c:pt>
              </c:numCache>
            </c:numRef>
          </c:val>
          <c:extLst>
            <c:ext xmlns:c16="http://schemas.microsoft.com/office/drawing/2014/chart" uri="{C3380CC4-5D6E-409C-BE32-E72D297353CC}">
              <c16:uniqueId val="{00000003-A49A-404B-A943-3F7ACAB2C55E}"/>
            </c:ext>
          </c:extLst>
        </c:ser>
        <c:ser>
          <c:idx val="4"/>
          <c:order val="4"/>
          <c:tx>
            <c:strRef>
              <c:f>'Raw data (2)'!$H$106</c:f>
              <c:strCache>
                <c:ptCount val="1"/>
                <c:pt idx="0">
                  <c:v>Shop</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(2)'!$I$101:$L$101</c:f>
              <c:strCache>
                <c:ptCount val="4"/>
                <c:pt idx="0">
                  <c:v>2014/15</c:v>
                </c:pt>
                <c:pt idx="1">
                  <c:v>2015/16</c:v>
                </c:pt>
                <c:pt idx="2">
                  <c:v>2016/17</c:v>
                </c:pt>
                <c:pt idx="3">
                  <c:v>2017/18</c:v>
                </c:pt>
              </c:strCache>
            </c:strRef>
          </c:cat>
          <c:val>
            <c:numRef>
              <c:f>'Raw data (2)'!$I$106:$L$106</c:f>
              <c:numCache>
                <c:formatCode>General</c:formatCode>
                <c:ptCount val="4"/>
                <c:pt idx="0">
                  <c:v>42</c:v>
                </c:pt>
                <c:pt idx="1">
                  <c:v>22</c:v>
                </c:pt>
                <c:pt idx="2">
                  <c:v>7</c:v>
                </c:pt>
                <c:pt idx="3">
                  <c:v>7</c:v>
                </c:pt>
              </c:numCache>
            </c:numRef>
          </c:val>
          <c:extLst>
            <c:ext xmlns:c16="http://schemas.microsoft.com/office/drawing/2014/chart" uri="{C3380CC4-5D6E-409C-BE32-E72D297353CC}">
              <c16:uniqueId val="{00000004-A49A-404B-A943-3F7ACAB2C55E}"/>
            </c:ext>
          </c:extLst>
        </c:ser>
        <c:dLbls>
          <c:dLblPos val="ctr"/>
          <c:showLegendKey val="0"/>
          <c:showVal val="1"/>
          <c:showCatName val="0"/>
          <c:showSerName val="0"/>
          <c:showPercent val="0"/>
          <c:showBubbleSize val="0"/>
        </c:dLbls>
        <c:gapWidth val="93"/>
        <c:overlap val="100"/>
        <c:axId val="2090519976"/>
        <c:axId val="2090523512"/>
      </c:barChart>
      <c:catAx>
        <c:axId val="209051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523512"/>
        <c:crosses val="autoZero"/>
        <c:auto val="1"/>
        <c:lblAlgn val="ctr"/>
        <c:lblOffset val="100"/>
        <c:noMultiLvlLbl val="0"/>
      </c:catAx>
      <c:valAx>
        <c:axId val="20905235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t>Percentage</a:t>
                </a:r>
                <a:r>
                  <a:rPr lang="en-GB" sz="1200" baseline="0"/>
                  <a:t> of last year NPS users</a:t>
                </a:r>
                <a:endParaRPr lang="en-GB" sz="1200"/>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519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Heroin!$H$2</c:f>
              <c:strCache>
                <c:ptCount val="1"/>
                <c:pt idx="0">
                  <c:v>Mortality </c:v>
                </c:pt>
              </c:strCache>
            </c:strRef>
          </c:tx>
          <c:spPr>
            <a:ln w="28575" cap="rnd">
              <a:solidFill>
                <a:schemeClr val="accent1"/>
              </a:solidFill>
              <a:round/>
            </a:ln>
            <a:effectLst/>
          </c:spPr>
          <c:marker>
            <c:symbol val="none"/>
          </c:marker>
          <c:cat>
            <c:numRef>
              <c:f>Heroin!$G$3:$G$14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Heroin!$H$3:$H$14</c:f>
              <c:numCache>
                <c:formatCode>General</c:formatCode>
                <c:ptCount val="12"/>
                <c:pt idx="0">
                  <c:v>713</c:v>
                </c:pt>
                <c:pt idx="1">
                  <c:v>829</c:v>
                </c:pt>
                <c:pt idx="2">
                  <c:v>897</c:v>
                </c:pt>
                <c:pt idx="3">
                  <c:v>880</c:v>
                </c:pt>
                <c:pt idx="4">
                  <c:v>791</c:v>
                </c:pt>
                <c:pt idx="5">
                  <c:v>596</c:v>
                </c:pt>
                <c:pt idx="6">
                  <c:v>579</c:v>
                </c:pt>
                <c:pt idx="7">
                  <c:v>765</c:v>
                </c:pt>
                <c:pt idx="8">
                  <c:v>952</c:v>
                </c:pt>
                <c:pt idx="9">
                  <c:v>1201</c:v>
                </c:pt>
                <c:pt idx="10">
                  <c:v>1209</c:v>
                </c:pt>
                <c:pt idx="11">
                  <c:v>1164</c:v>
                </c:pt>
              </c:numCache>
            </c:numRef>
          </c:val>
          <c:smooth val="0"/>
          <c:extLst>
            <c:ext xmlns:c16="http://schemas.microsoft.com/office/drawing/2014/chart" uri="{C3380CC4-5D6E-409C-BE32-E72D297353CC}">
              <c16:uniqueId val="{00000000-F5D8-4C5F-92B2-0F59BFB81E75}"/>
            </c:ext>
          </c:extLst>
        </c:ser>
        <c:dLbls>
          <c:showLegendKey val="0"/>
          <c:showVal val="0"/>
          <c:showCatName val="0"/>
          <c:showSerName val="0"/>
          <c:showPercent val="0"/>
          <c:showBubbleSize val="0"/>
        </c:dLbls>
        <c:smooth val="0"/>
        <c:axId val="2092383512"/>
        <c:axId val="2092387160"/>
      </c:lineChart>
      <c:catAx>
        <c:axId val="209238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387160"/>
        <c:crosses val="autoZero"/>
        <c:auto val="1"/>
        <c:lblAlgn val="ctr"/>
        <c:lblOffset val="100"/>
        <c:noMultiLvlLbl val="0"/>
      </c:catAx>
      <c:valAx>
        <c:axId val="209238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383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43926551435"/>
          <c:y val="3.5592946125222499E-2"/>
          <c:w val="0.63528936572820205"/>
          <c:h val="0.77618092953481799"/>
        </c:manualLayout>
      </c:layout>
      <c:lineChart>
        <c:grouping val="standard"/>
        <c:varyColors val="0"/>
        <c:ser>
          <c:idx val="0"/>
          <c:order val="0"/>
          <c:tx>
            <c:strRef>
              <c:f>'All ages'!$W$4</c:f>
              <c:strCache>
                <c:ptCount val="1"/>
                <c:pt idx="0">
                  <c:v>Heroin &amp; morphine</c:v>
                </c:pt>
              </c:strCache>
            </c:strRef>
          </c:tx>
          <c:spPr>
            <a:ln w="15875" cap="rnd">
              <a:solidFill>
                <a:schemeClr val="accent1"/>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ages'!$W$8:$W$29</c:f>
              <c:numCache>
                <c:formatCode>General</c:formatCode>
                <c:ptCount val="22"/>
                <c:pt idx="0">
                  <c:v>440</c:v>
                </c:pt>
                <c:pt idx="1">
                  <c:v>444</c:v>
                </c:pt>
                <c:pt idx="2">
                  <c:v>609</c:v>
                </c:pt>
                <c:pt idx="3">
                  <c:v>755</c:v>
                </c:pt>
                <c:pt idx="4">
                  <c:v>851</c:v>
                </c:pt>
                <c:pt idx="5">
                  <c:v>981</c:v>
                </c:pt>
                <c:pt idx="6">
                  <c:v>865</c:v>
                </c:pt>
                <c:pt idx="7">
                  <c:v>696</c:v>
                </c:pt>
                <c:pt idx="8">
                  <c:v>751</c:v>
                </c:pt>
                <c:pt idx="9">
                  <c:v>842</c:v>
                </c:pt>
                <c:pt idx="10">
                  <c:v>713</c:v>
                </c:pt>
                <c:pt idx="11">
                  <c:v>829</c:v>
                </c:pt>
                <c:pt idx="12">
                  <c:v>897</c:v>
                </c:pt>
                <c:pt idx="13">
                  <c:v>880</c:v>
                </c:pt>
                <c:pt idx="14">
                  <c:v>791</c:v>
                </c:pt>
                <c:pt idx="15">
                  <c:v>596</c:v>
                </c:pt>
                <c:pt idx="16">
                  <c:v>579</c:v>
                </c:pt>
                <c:pt idx="17">
                  <c:v>765</c:v>
                </c:pt>
                <c:pt idx="18">
                  <c:v>952</c:v>
                </c:pt>
                <c:pt idx="19">
                  <c:v>1201</c:v>
                </c:pt>
                <c:pt idx="20">
                  <c:v>1209</c:v>
                </c:pt>
                <c:pt idx="21">
                  <c:v>1164</c:v>
                </c:pt>
              </c:numCache>
            </c:numRef>
          </c:val>
          <c:smooth val="0"/>
          <c:extLst>
            <c:ext xmlns:c16="http://schemas.microsoft.com/office/drawing/2014/chart" uri="{C3380CC4-5D6E-409C-BE32-E72D297353CC}">
              <c16:uniqueId val="{00000000-409A-4C76-BFAE-B0F2D1A6E285}"/>
            </c:ext>
          </c:extLst>
        </c:ser>
        <c:ser>
          <c:idx val="1"/>
          <c:order val="1"/>
          <c:tx>
            <c:strRef>
              <c:f>'All ages'!$X$4</c:f>
              <c:strCache>
                <c:ptCount val="1"/>
              </c:strCache>
            </c:strRef>
          </c:tx>
          <c:spPr>
            <a:ln w="28575" cap="rnd">
              <a:solidFill>
                <a:schemeClr val="accent2"/>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ages'!$X$8:$X$29</c:f>
            </c:numRef>
          </c:val>
          <c:smooth val="0"/>
          <c:extLst>
            <c:ext xmlns:c16="http://schemas.microsoft.com/office/drawing/2014/chart" uri="{C3380CC4-5D6E-409C-BE32-E72D297353CC}">
              <c16:uniqueId val="{00000001-409A-4C76-BFAE-B0F2D1A6E285}"/>
            </c:ext>
          </c:extLst>
        </c:ser>
        <c:ser>
          <c:idx val="2"/>
          <c:order val="2"/>
          <c:tx>
            <c:strRef>
              <c:f>'All ages'!$Y$4</c:f>
              <c:strCache>
                <c:ptCount val="1"/>
              </c:strCache>
            </c:strRef>
          </c:tx>
          <c:spPr>
            <a:ln w="28575" cap="rnd">
              <a:solidFill>
                <a:schemeClr val="accent3"/>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ages'!$Y$8:$Y$29</c:f>
            </c:numRef>
          </c:val>
          <c:smooth val="0"/>
          <c:extLst>
            <c:ext xmlns:c16="http://schemas.microsoft.com/office/drawing/2014/chart" uri="{C3380CC4-5D6E-409C-BE32-E72D297353CC}">
              <c16:uniqueId val="{00000002-409A-4C76-BFAE-B0F2D1A6E285}"/>
            </c:ext>
          </c:extLst>
        </c:ser>
        <c:ser>
          <c:idx val="3"/>
          <c:order val="3"/>
          <c:tx>
            <c:strRef>
              <c:f>'All ages'!$Z$4</c:f>
              <c:strCache>
                <c:ptCount val="1"/>
              </c:strCache>
            </c:strRef>
          </c:tx>
          <c:spPr>
            <a:ln w="28575" cap="rnd">
              <a:solidFill>
                <a:schemeClr val="accent4"/>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ages'!$Z$8:$Z$29</c:f>
            </c:numRef>
          </c:val>
          <c:smooth val="0"/>
          <c:extLst>
            <c:ext xmlns:c16="http://schemas.microsoft.com/office/drawing/2014/chart" uri="{C3380CC4-5D6E-409C-BE32-E72D297353CC}">
              <c16:uniqueId val="{00000003-409A-4C76-BFAE-B0F2D1A6E285}"/>
            </c:ext>
          </c:extLst>
        </c:ser>
        <c:ser>
          <c:idx val="4"/>
          <c:order val="4"/>
          <c:tx>
            <c:strRef>
              <c:f>'All ages'!$AA$4</c:f>
              <c:strCache>
                <c:ptCount val="1"/>
              </c:strCache>
            </c:strRef>
          </c:tx>
          <c:spPr>
            <a:ln w="28575" cap="rnd">
              <a:solidFill>
                <a:schemeClr val="accent5"/>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ages'!$AA$8:$AA$29</c:f>
            </c:numRef>
          </c:val>
          <c:smooth val="0"/>
          <c:extLst>
            <c:ext xmlns:c16="http://schemas.microsoft.com/office/drawing/2014/chart" uri="{C3380CC4-5D6E-409C-BE32-E72D297353CC}">
              <c16:uniqueId val="{00000004-409A-4C76-BFAE-B0F2D1A6E285}"/>
            </c:ext>
          </c:extLst>
        </c:ser>
        <c:ser>
          <c:idx val="5"/>
          <c:order val="5"/>
          <c:tx>
            <c:strRef>
              <c:f>'All ages'!$AB$4</c:f>
              <c:strCache>
                <c:ptCount val="1"/>
              </c:strCache>
            </c:strRef>
          </c:tx>
          <c:spPr>
            <a:ln w="28575" cap="rnd">
              <a:solidFill>
                <a:schemeClr val="accent6"/>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ages'!$AB$8:$AB$29</c:f>
            </c:numRef>
          </c:val>
          <c:smooth val="0"/>
          <c:extLst>
            <c:ext xmlns:c16="http://schemas.microsoft.com/office/drawing/2014/chart" uri="{C3380CC4-5D6E-409C-BE32-E72D297353CC}">
              <c16:uniqueId val="{00000005-409A-4C76-BFAE-B0F2D1A6E285}"/>
            </c:ext>
          </c:extLst>
        </c:ser>
        <c:ser>
          <c:idx val="6"/>
          <c:order val="6"/>
          <c:tx>
            <c:strRef>
              <c:f>'All ages'!$AC$4</c:f>
              <c:strCache>
                <c:ptCount val="1"/>
              </c:strCache>
            </c:strRef>
          </c:tx>
          <c:spPr>
            <a:ln w="28575" cap="rnd">
              <a:solidFill>
                <a:schemeClr val="accent1">
                  <a:lumMod val="6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ages'!$AC$8:$AC$29</c:f>
            </c:numRef>
          </c:val>
          <c:smooth val="0"/>
          <c:extLst>
            <c:ext xmlns:c16="http://schemas.microsoft.com/office/drawing/2014/chart" uri="{C3380CC4-5D6E-409C-BE32-E72D297353CC}">
              <c16:uniqueId val="{00000006-409A-4C76-BFAE-B0F2D1A6E285}"/>
            </c:ext>
          </c:extLst>
        </c:ser>
        <c:ser>
          <c:idx val="7"/>
          <c:order val="7"/>
          <c:tx>
            <c:strRef>
              <c:f>'All ages'!$AD$4</c:f>
              <c:strCache>
                <c:ptCount val="1"/>
                <c:pt idx="0">
                  <c:v>Cocaine</c:v>
                </c:pt>
              </c:strCache>
            </c:strRef>
          </c:tx>
          <c:spPr>
            <a:ln w="15875" cap="rnd">
              <a:solidFill>
                <a:schemeClr val="accent4"/>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ages'!$AD$8:$AD$29</c:f>
              <c:numCache>
                <c:formatCode>General</c:formatCode>
                <c:ptCount val="22"/>
                <c:pt idx="0">
                  <c:v>13</c:v>
                </c:pt>
                <c:pt idx="1">
                  <c:v>27</c:v>
                </c:pt>
                <c:pt idx="2">
                  <c:v>65</c:v>
                </c:pt>
                <c:pt idx="3">
                  <c:v>88</c:v>
                </c:pt>
                <c:pt idx="4">
                  <c:v>83</c:v>
                </c:pt>
                <c:pt idx="5">
                  <c:v>97</c:v>
                </c:pt>
                <c:pt idx="6">
                  <c:v>128</c:v>
                </c:pt>
                <c:pt idx="7">
                  <c:v>129</c:v>
                </c:pt>
                <c:pt idx="8">
                  <c:v>154</c:v>
                </c:pt>
                <c:pt idx="9">
                  <c:v>176</c:v>
                </c:pt>
                <c:pt idx="10">
                  <c:v>190</c:v>
                </c:pt>
                <c:pt idx="11">
                  <c:v>196</c:v>
                </c:pt>
                <c:pt idx="12">
                  <c:v>235</c:v>
                </c:pt>
                <c:pt idx="13">
                  <c:v>202</c:v>
                </c:pt>
                <c:pt idx="14">
                  <c:v>144</c:v>
                </c:pt>
                <c:pt idx="15">
                  <c:v>112</c:v>
                </c:pt>
                <c:pt idx="16">
                  <c:v>139</c:v>
                </c:pt>
                <c:pt idx="17">
                  <c:v>169</c:v>
                </c:pt>
                <c:pt idx="18">
                  <c:v>247</c:v>
                </c:pt>
                <c:pt idx="19">
                  <c:v>320</c:v>
                </c:pt>
                <c:pt idx="20">
                  <c:v>371</c:v>
                </c:pt>
                <c:pt idx="21">
                  <c:v>432</c:v>
                </c:pt>
              </c:numCache>
            </c:numRef>
          </c:val>
          <c:smooth val="0"/>
          <c:extLst>
            <c:ext xmlns:c16="http://schemas.microsoft.com/office/drawing/2014/chart" uri="{C3380CC4-5D6E-409C-BE32-E72D297353CC}">
              <c16:uniqueId val="{00000007-409A-4C76-BFAE-B0F2D1A6E285}"/>
            </c:ext>
          </c:extLst>
        </c:ser>
        <c:ser>
          <c:idx val="8"/>
          <c:order val="8"/>
          <c:tx>
            <c:strRef>
              <c:f>'All ages'!$AE$4</c:f>
              <c:strCache>
                <c:ptCount val="1"/>
              </c:strCache>
            </c:strRef>
          </c:tx>
          <c:spPr>
            <a:ln w="28575" cap="rnd">
              <a:solidFill>
                <a:schemeClr val="accent3">
                  <a:lumMod val="6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ages'!$AE$8:$AE$29</c:f>
            </c:numRef>
          </c:val>
          <c:smooth val="0"/>
          <c:extLst>
            <c:ext xmlns:c16="http://schemas.microsoft.com/office/drawing/2014/chart" uri="{C3380CC4-5D6E-409C-BE32-E72D297353CC}">
              <c16:uniqueId val="{00000008-409A-4C76-BFAE-B0F2D1A6E285}"/>
            </c:ext>
          </c:extLst>
        </c:ser>
        <c:ser>
          <c:idx val="9"/>
          <c:order val="9"/>
          <c:tx>
            <c:strRef>
              <c:f>'All ages'!$AF$4</c:f>
              <c:strCache>
                <c:ptCount val="1"/>
              </c:strCache>
            </c:strRef>
          </c:tx>
          <c:spPr>
            <a:ln w="28575" cap="rnd">
              <a:solidFill>
                <a:schemeClr val="accent4">
                  <a:lumMod val="6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ages'!$AF$8:$AF$29</c:f>
            </c:numRef>
          </c:val>
          <c:smooth val="0"/>
          <c:extLst>
            <c:ext xmlns:c16="http://schemas.microsoft.com/office/drawing/2014/chart" uri="{C3380CC4-5D6E-409C-BE32-E72D297353CC}">
              <c16:uniqueId val="{00000009-409A-4C76-BFAE-B0F2D1A6E285}"/>
            </c:ext>
          </c:extLst>
        </c:ser>
        <c:ser>
          <c:idx val="10"/>
          <c:order val="10"/>
          <c:tx>
            <c:strRef>
              <c:f>'All ages'!$AG$4</c:f>
              <c:strCache>
                <c:ptCount val="1"/>
              </c:strCache>
            </c:strRef>
          </c:tx>
          <c:spPr>
            <a:ln w="28575" cap="rnd">
              <a:solidFill>
                <a:schemeClr val="accent5">
                  <a:lumMod val="6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ages'!$AG$8:$AG$29</c:f>
            </c:numRef>
          </c:val>
          <c:smooth val="0"/>
          <c:extLst>
            <c:ext xmlns:c16="http://schemas.microsoft.com/office/drawing/2014/chart" uri="{C3380CC4-5D6E-409C-BE32-E72D297353CC}">
              <c16:uniqueId val="{0000000A-409A-4C76-BFAE-B0F2D1A6E285}"/>
            </c:ext>
          </c:extLst>
        </c:ser>
        <c:ser>
          <c:idx val="11"/>
          <c:order val="11"/>
          <c:tx>
            <c:strRef>
              <c:f>'All ages'!$AH$4</c:f>
              <c:strCache>
                <c:ptCount val="1"/>
              </c:strCache>
            </c:strRef>
          </c:tx>
          <c:spPr>
            <a:ln w="28575" cap="rnd">
              <a:solidFill>
                <a:schemeClr val="accent6">
                  <a:lumMod val="6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ages'!$AH$8:$AH$29</c:f>
            </c:numRef>
          </c:val>
          <c:smooth val="0"/>
          <c:extLst>
            <c:ext xmlns:c16="http://schemas.microsoft.com/office/drawing/2014/chart" uri="{C3380CC4-5D6E-409C-BE32-E72D297353CC}">
              <c16:uniqueId val="{0000000B-409A-4C76-BFAE-B0F2D1A6E285}"/>
            </c:ext>
          </c:extLst>
        </c:ser>
        <c:ser>
          <c:idx val="12"/>
          <c:order val="12"/>
          <c:tx>
            <c:strRef>
              <c:f>'All ages'!$AI$4</c:f>
              <c:strCache>
                <c:ptCount val="1"/>
              </c:strCache>
            </c:strRef>
          </c:tx>
          <c:spPr>
            <a:ln w="28575" cap="rnd">
              <a:solidFill>
                <a:schemeClr val="accent1">
                  <a:lumMod val="80000"/>
                  <a:lumOff val="2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ages'!$AI$8:$AI$29</c:f>
            </c:numRef>
          </c:val>
          <c:smooth val="0"/>
          <c:extLst>
            <c:ext xmlns:c16="http://schemas.microsoft.com/office/drawing/2014/chart" uri="{C3380CC4-5D6E-409C-BE32-E72D297353CC}">
              <c16:uniqueId val="{0000000C-409A-4C76-BFAE-B0F2D1A6E285}"/>
            </c:ext>
          </c:extLst>
        </c:ser>
        <c:ser>
          <c:idx val="13"/>
          <c:order val="13"/>
          <c:tx>
            <c:strRef>
              <c:f>'All ages'!$AJ$4</c:f>
              <c:strCache>
                <c:ptCount val="1"/>
              </c:strCache>
            </c:strRef>
          </c:tx>
          <c:spPr>
            <a:ln w="28575" cap="rnd">
              <a:solidFill>
                <a:schemeClr val="accent2">
                  <a:lumMod val="80000"/>
                  <a:lumOff val="2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ages'!$AJ$8:$AJ$29</c:f>
            </c:numRef>
          </c:val>
          <c:smooth val="0"/>
          <c:extLst>
            <c:ext xmlns:c16="http://schemas.microsoft.com/office/drawing/2014/chart" uri="{C3380CC4-5D6E-409C-BE32-E72D297353CC}">
              <c16:uniqueId val="{0000000D-409A-4C76-BFAE-B0F2D1A6E285}"/>
            </c:ext>
          </c:extLst>
        </c:ser>
        <c:ser>
          <c:idx val="14"/>
          <c:order val="14"/>
          <c:tx>
            <c:strRef>
              <c:f>'All ages'!$AK$4</c:f>
              <c:strCache>
                <c:ptCount val="1"/>
                <c:pt idx="0">
                  <c:v>Amphetamine</c:v>
                </c:pt>
              </c:strCache>
            </c:strRef>
          </c:tx>
          <c:spPr>
            <a:ln w="15875" cap="rnd">
              <a:solidFill>
                <a:srgbClr val="CC66A5"/>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ages'!$AK$8:$AK$29</c:f>
              <c:numCache>
                <c:formatCode>General</c:formatCode>
                <c:ptCount val="22"/>
                <c:pt idx="0">
                  <c:v>46</c:v>
                </c:pt>
                <c:pt idx="1">
                  <c:v>56</c:v>
                </c:pt>
                <c:pt idx="2">
                  <c:v>63</c:v>
                </c:pt>
                <c:pt idx="3">
                  <c:v>82</c:v>
                </c:pt>
                <c:pt idx="4">
                  <c:v>61</c:v>
                </c:pt>
                <c:pt idx="5">
                  <c:v>79</c:v>
                </c:pt>
                <c:pt idx="6">
                  <c:v>94</c:v>
                </c:pt>
                <c:pt idx="7">
                  <c:v>81</c:v>
                </c:pt>
                <c:pt idx="8">
                  <c:v>80</c:v>
                </c:pt>
                <c:pt idx="9">
                  <c:v>103</c:v>
                </c:pt>
                <c:pt idx="10">
                  <c:v>92</c:v>
                </c:pt>
                <c:pt idx="11">
                  <c:v>97</c:v>
                </c:pt>
                <c:pt idx="12">
                  <c:v>99</c:v>
                </c:pt>
                <c:pt idx="13">
                  <c:v>76</c:v>
                </c:pt>
                <c:pt idx="14">
                  <c:v>56</c:v>
                </c:pt>
                <c:pt idx="15">
                  <c:v>62</c:v>
                </c:pt>
                <c:pt idx="16">
                  <c:v>97</c:v>
                </c:pt>
                <c:pt idx="17">
                  <c:v>120</c:v>
                </c:pt>
                <c:pt idx="18">
                  <c:v>151</c:v>
                </c:pt>
                <c:pt idx="19">
                  <c:v>157</c:v>
                </c:pt>
                <c:pt idx="20">
                  <c:v>161</c:v>
                </c:pt>
                <c:pt idx="21">
                  <c:v>150</c:v>
                </c:pt>
              </c:numCache>
            </c:numRef>
          </c:val>
          <c:smooth val="0"/>
          <c:extLst>
            <c:ext xmlns:c16="http://schemas.microsoft.com/office/drawing/2014/chart" uri="{C3380CC4-5D6E-409C-BE32-E72D297353CC}">
              <c16:uniqueId val="{0000000E-409A-4C76-BFAE-B0F2D1A6E285}"/>
            </c:ext>
          </c:extLst>
        </c:ser>
        <c:ser>
          <c:idx val="15"/>
          <c:order val="15"/>
          <c:tx>
            <c:strRef>
              <c:f>'All ages'!$AL$4</c:f>
              <c:strCache>
                <c:ptCount val="1"/>
              </c:strCache>
            </c:strRef>
          </c:tx>
          <c:spPr>
            <a:ln w="28575" cap="rnd">
              <a:solidFill>
                <a:schemeClr val="accent4">
                  <a:lumMod val="80000"/>
                  <a:lumOff val="2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ages'!$AL$8:$AL$29</c:f>
            </c:numRef>
          </c:val>
          <c:smooth val="0"/>
          <c:extLst>
            <c:ext xmlns:c16="http://schemas.microsoft.com/office/drawing/2014/chart" uri="{C3380CC4-5D6E-409C-BE32-E72D297353CC}">
              <c16:uniqueId val="{0000000F-409A-4C76-BFAE-B0F2D1A6E285}"/>
            </c:ext>
          </c:extLst>
        </c:ser>
        <c:ser>
          <c:idx val="16"/>
          <c:order val="16"/>
          <c:tx>
            <c:strRef>
              <c:f>'All ages'!$AM$4</c:f>
              <c:strCache>
                <c:ptCount val="1"/>
              </c:strCache>
            </c:strRef>
          </c:tx>
          <c:spPr>
            <a:ln w="28575" cap="rnd">
              <a:solidFill>
                <a:schemeClr val="accent5">
                  <a:lumMod val="80000"/>
                  <a:lumOff val="2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ages'!$AM$8:$AM$29</c:f>
            </c:numRef>
          </c:val>
          <c:smooth val="0"/>
          <c:extLst>
            <c:ext xmlns:c16="http://schemas.microsoft.com/office/drawing/2014/chart" uri="{C3380CC4-5D6E-409C-BE32-E72D297353CC}">
              <c16:uniqueId val="{00000010-409A-4C76-BFAE-B0F2D1A6E285}"/>
            </c:ext>
          </c:extLst>
        </c:ser>
        <c:ser>
          <c:idx val="17"/>
          <c:order val="17"/>
          <c:tx>
            <c:strRef>
              <c:f>'All ages'!$AN$4</c:f>
              <c:strCache>
                <c:ptCount val="1"/>
              </c:strCache>
            </c:strRef>
          </c:tx>
          <c:spPr>
            <a:ln w="28575" cap="rnd">
              <a:solidFill>
                <a:schemeClr val="accent6">
                  <a:lumMod val="80000"/>
                  <a:lumOff val="2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ages'!$AN$8:$AN$29</c:f>
            </c:numRef>
          </c:val>
          <c:smooth val="0"/>
          <c:extLst>
            <c:ext xmlns:c16="http://schemas.microsoft.com/office/drawing/2014/chart" uri="{C3380CC4-5D6E-409C-BE32-E72D297353CC}">
              <c16:uniqueId val="{00000011-409A-4C76-BFAE-B0F2D1A6E285}"/>
            </c:ext>
          </c:extLst>
        </c:ser>
        <c:ser>
          <c:idx val="18"/>
          <c:order val="18"/>
          <c:tx>
            <c:strRef>
              <c:f>'All ages'!$AO$4</c:f>
              <c:strCache>
                <c:ptCount val="1"/>
              </c:strCache>
            </c:strRef>
          </c:tx>
          <c:spPr>
            <a:ln w="28575" cap="rnd">
              <a:solidFill>
                <a:schemeClr val="accent1">
                  <a:lumMod val="8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ages'!$AO$8:$AO$29</c:f>
            </c:numRef>
          </c:val>
          <c:smooth val="0"/>
          <c:extLst>
            <c:ext xmlns:c16="http://schemas.microsoft.com/office/drawing/2014/chart" uri="{C3380CC4-5D6E-409C-BE32-E72D297353CC}">
              <c16:uniqueId val="{00000012-409A-4C76-BFAE-B0F2D1A6E285}"/>
            </c:ext>
          </c:extLst>
        </c:ser>
        <c:ser>
          <c:idx val="19"/>
          <c:order val="19"/>
          <c:tx>
            <c:strRef>
              <c:f>'All ages'!$AP$4</c:f>
              <c:strCache>
                <c:ptCount val="1"/>
              </c:strCache>
            </c:strRef>
          </c:tx>
          <c:spPr>
            <a:ln w="28575" cap="rnd">
              <a:solidFill>
                <a:schemeClr val="accent2">
                  <a:lumMod val="8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ages'!$AP$8:$AP$29</c:f>
            </c:numRef>
          </c:val>
          <c:smooth val="0"/>
          <c:extLst>
            <c:ext xmlns:c16="http://schemas.microsoft.com/office/drawing/2014/chart" uri="{C3380CC4-5D6E-409C-BE32-E72D297353CC}">
              <c16:uniqueId val="{00000013-409A-4C76-BFAE-B0F2D1A6E285}"/>
            </c:ext>
          </c:extLst>
        </c:ser>
        <c:ser>
          <c:idx val="20"/>
          <c:order val="20"/>
          <c:tx>
            <c:strRef>
              <c:f>'All ages'!$AQ$4</c:f>
              <c:strCache>
                <c:ptCount val="1"/>
              </c:strCache>
            </c:strRef>
          </c:tx>
          <c:spPr>
            <a:ln w="28575" cap="rnd">
              <a:solidFill>
                <a:schemeClr val="accent3">
                  <a:lumMod val="8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ages'!$AQ$8:$AQ$29</c:f>
            </c:numRef>
          </c:val>
          <c:smooth val="0"/>
          <c:extLst>
            <c:ext xmlns:c16="http://schemas.microsoft.com/office/drawing/2014/chart" uri="{C3380CC4-5D6E-409C-BE32-E72D297353CC}">
              <c16:uniqueId val="{00000014-409A-4C76-BFAE-B0F2D1A6E285}"/>
            </c:ext>
          </c:extLst>
        </c:ser>
        <c:ser>
          <c:idx val="21"/>
          <c:order val="21"/>
          <c:tx>
            <c:strRef>
              <c:f>'All ages'!$AR$4</c:f>
              <c:strCache>
                <c:ptCount val="1"/>
                <c:pt idx="0">
                  <c:v>Ecstasy</c:v>
                </c:pt>
              </c:strCache>
            </c:strRef>
          </c:tx>
          <c:spPr>
            <a:ln w="15875" cap="rnd">
              <a:solidFill>
                <a:schemeClr val="accent6"/>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ages'!$AR$8:$AR$29</c:f>
              <c:numCache>
                <c:formatCode>General</c:formatCode>
                <c:ptCount val="22"/>
                <c:pt idx="0">
                  <c:v>16</c:v>
                </c:pt>
                <c:pt idx="1">
                  <c:v>15</c:v>
                </c:pt>
                <c:pt idx="2">
                  <c:v>17</c:v>
                </c:pt>
                <c:pt idx="3">
                  <c:v>21</c:v>
                </c:pt>
                <c:pt idx="4">
                  <c:v>28</c:v>
                </c:pt>
                <c:pt idx="5">
                  <c:v>55</c:v>
                </c:pt>
                <c:pt idx="6">
                  <c:v>56</c:v>
                </c:pt>
                <c:pt idx="7">
                  <c:v>50</c:v>
                </c:pt>
                <c:pt idx="8">
                  <c:v>43</c:v>
                </c:pt>
                <c:pt idx="9">
                  <c:v>58</c:v>
                </c:pt>
                <c:pt idx="10">
                  <c:v>48</c:v>
                </c:pt>
                <c:pt idx="11">
                  <c:v>47</c:v>
                </c:pt>
                <c:pt idx="12">
                  <c:v>44</c:v>
                </c:pt>
                <c:pt idx="13">
                  <c:v>27</c:v>
                </c:pt>
                <c:pt idx="14">
                  <c:v>8</c:v>
                </c:pt>
                <c:pt idx="15">
                  <c:v>13</c:v>
                </c:pt>
                <c:pt idx="16">
                  <c:v>31</c:v>
                </c:pt>
                <c:pt idx="17">
                  <c:v>43</c:v>
                </c:pt>
                <c:pt idx="18">
                  <c:v>50</c:v>
                </c:pt>
                <c:pt idx="19">
                  <c:v>57</c:v>
                </c:pt>
                <c:pt idx="20">
                  <c:v>63</c:v>
                </c:pt>
                <c:pt idx="21">
                  <c:v>56</c:v>
                </c:pt>
              </c:numCache>
            </c:numRef>
          </c:val>
          <c:smooth val="0"/>
          <c:extLst>
            <c:ext xmlns:c16="http://schemas.microsoft.com/office/drawing/2014/chart" uri="{C3380CC4-5D6E-409C-BE32-E72D297353CC}">
              <c16:uniqueId val="{00000015-409A-4C76-BFAE-B0F2D1A6E285}"/>
            </c:ext>
          </c:extLst>
        </c:ser>
        <c:ser>
          <c:idx val="22"/>
          <c:order val="22"/>
          <c:tx>
            <c:strRef>
              <c:f>'All ages'!$AS$4</c:f>
              <c:strCache>
                <c:ptCount val="1"/>
              </c:strCache>
            </c:strRef>
          </c:tx>
          <c:spPr>
            <a:ln w="28575" cap="rnd">
              <a:solidFill>
                <a:schemeClr val="accent5">
                  <a:lumMod val="8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ages'!$AS$8:$AS$29</c:f>
            </c:numRef>
          </c:val>
          <c:smooth val="0"/>
          <c:extLst>
            <c:ext xmlns:c16="http://schemas.microsoft.com/office/drawing/2014/chart" uri="{C3380CC4-5D6E-409C-BE32-E72D297353CC}">
              <c16:uniqueId val="{00000016-409A-4C76-BFAE-B0F2D1A6E285}"/>
            </c:ext>
          </c:extLst>
        </c:ser>
        <c:ser>
          <c:idx val="23"/>
          <c:order val="23"/>
          <c:tx>
            <c:strRef>
              <c:f>'All ages'!$AT$4</c:f>
              <c:strCache>
                <c:ptCount val="1"/>
              </c:strCache>
            </c:strRef>
          </c:tx>
          <c:spPr>
            <a:ln w="28575" cap="rnd">
              <a:solidFill>
                <a:schemeClr val="accent6">
                  <a:lumMod val="8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ages'!$AT$8:$AT$29</c:f>
            </c:numRef>
          </c:val>
          <c:smooth val="0"/>
          <c:extLst>
            <c:ext xmlns:c16="http://schemas.microsoft.com/office/drawing/2014/chart" uri="{C3380CC4-5D6E-409C-BE32-E72D297353CC}">
              <c16:uniqueId val="{00000017-409A-4C76-BFAE-B0F2D1A6E285}"/>
            </c:ext>
          </c:extLst>
        </c:ser>
        <c:ser>
          <c:idx val="24"/>
          <c:order val="24"/>
          <c:tx>
            <c:strRef>
              <c:f>'All ages'!$AU$4</c:f>
              <c:strCache>
                <c:ptCount val="1"/>
              </c:strCache>
            </c:strRef>
          </c:tx>
          <c:spPr>
            <a:ln w="28575" cap="rnd">
              <a:solidFill>
                <a:schemeClr val="accent1">
                  <a:lumMod val="60000"/>
                  <a:lumOff val="4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ages'!$AU$8:$AU$29</c:f>
            </c:numRef>
          </c:val>
          <c:smooth val="0"/>
          <c:extLst>
            <c:ext xmlns:c16="http://schemas.microsoft.com/office/drawing/2014/chart" uri="{C3380CC4-5D6E-409C-BE32-E72D297353CC}">
              <c16:uniqueId val="{00000018-409A-4C76-BFAE-B0F2D1A6E285}"/>
            </c:ext>
          </c:extLst>
        </c:ser>
        <c:ser>
          <c:idx val="25"/>
          <c:order val="25"/>
          <c:tx>
            <c:strRef>
              <c:f>'All ages'!$AV$4</c:f>
              <c:strCache>
                <c:ptCount val="1"/>
              </c:strCache>
            </c:strRef>
          </c:tx>
          <c:spPr>
            <a:ln w="28575" cap="rnd">
              <a:solidFill>
                <a:schemeClr val="accent2">
                  <a:lumMod val="60000"/>
                  <a:lumOff val="4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ages'!$AV$8:$AV$29</c:f>
            </c:numRef>
          </c:val>
          <c:smooth val="0"/>
          <c:extLst>
            <c:ext xmlns:c16="http://schemas.microsoft.com/office/drawing/2014/chart" uri="{C3380CC4-5D6E-409C-BE32-E72D297353CC}">
              <c16:uniqueId val="{00000019-409A-4C76-BFAE-B0F2D1A6E285}"/>
            </c:ext>
          </c:extLst>
        </c:ser>
        <c:ser>
          <c:idx val="26"/>
          <c:order val="26"/>
          <c:tx>
            <c:strRef>
              <c:f>'All ages'!$AW$4</c:f>
              <c:strCache>
                <c:ptCount val="1"/>
              </c:strCache>
            </c:strRef>
          </c:tx>
          <c:spPr>
            <a:ln w="28575" cap="rnd">
              <a:solidFill>
                <a:schemeClr val="accent3">
                  <a:lumMod val="60000"/>
                  <a:lumOff val="4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ages'!$AW$8:$AW$29</c:f>
            </c:numRef>
          </c:val>
          <c:smooth val="0"/>
          <c:extLst>
            <c:ext xmlns:c16="http://schemas.microsoft.com/office/drawing/2014/chart" uri="{C3380CC4-5D6E-409C-BE32-E72D297353CC}">
              <c16:uniqueId val="{0000001A-409A-4C76-BFAE-B0F2D1A6E285}"/>
            </c:ext>
          </c:extLst>
        </c:ser>
        <c:ser>
          <c:idx val="27"/>
          <c:order val="27"/>
          <c:tx>
            <c:strRef>
              <c:f>'All ages'!$AX$4</c:f>
              <c:strCache>
                <c:ptCount val="1"/>
              </c:strCache>
            </c:strRef>
          </c:tx>
          <c:spPr>
            <a:ln w="28575" cap="rnd">
              <a:solidFill>
                <a:schemeClr val="accent4">
                  <a:lumMod val="60000"/>
                  <a:lumOff val="4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ages'!$AX$8:$AX$29</c:f>
            </c:numRef>
          </c:val>
          <c:smooth val="0"/>
          <c:extLst>
            <c:ext xmlns:c16="http://schemas.microsoft.com/office/drawing/2014/chart" uri="{C3380CC4-5D6E-409C-BE32-E72D297353CC}">
              <c16:uniqueId val="{0000001B-409A-4C76-BFAE-B0F2D1A6E285}"/>
            </c:ext>
          </c:extLst>
        </c:ser>
        <c:ser>
          <c:idx val="28"/>
          <c:order val="28"/>
          <c:tx>
            <c:strRef>
              <c:f>'All ages'!$AY$4</c:f>
              <c:strCache>
                <c:ptCount val="1"/>
                <c:pt idx="0">
                  <c:v>Cannabis</c:v>
                </c:pt>
              </c:strCache>
            </c:strRef>
          </c:tx>
          <c:spPr>
            <a:ln w="15875" cap="rnd">
              <a:solidFill>
                <a:schemeClr val="accent3"/>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ages'!$AY$8:$AY$29</c:f>
              <c:numCache>
                <c:formatCode>General</c:formatCode>
                <c:ptCount val="22"/>
                <c:pt idx="0">
                  <c:v>9</c:v>
                </c:pt>
                <c:pt idx="1">
                  <c:v>14</c:v>
                </c:pt>
                <c:pt idx="2">
                  <c:v>10</c:v>
                </c:pt>
                <c:pt idx="3">
                  <c:v>8</c:v>
                </c:pt>
                <c:pt idx="4">
                  <c:v>9</c:v>
                </c:pt>
                <c:pt idx="5">
                  <c:v>16</c:v>
                </c:pt>
                <c:pt idx="6">
                  <c:v>13</c:v>
                </c:pt>
                <c:pt idx="7">
                  <c:v>11</c:v>
                </c:pt>
                <c:pt idx="8">
                  <c:v>19</c:v>
                </c:pt>
                <c:pt idx="9">
                  <c:v>19</c:v>
                </c:pt>
                <c:pt idx="10">
                  <c:v>17</c:v>
                </c:pt>
                <c:pt idx="11">
                  <c:v>12</c:v>
                </c:pt>
                <c:pt idx="12">
                  <c:v>19</c:v>
                </c:pt>
                <c:pt idx="13">
                  <c:v>22</c:v>
                </c:pt>
                <c:pt idx="14">
                  <c:v>11</c:v>
                </c:pt>
                <c:pt idx="15">
                  <c:v>7</c:v>
                </c:pt>
                <c:pt idx="16">
                  <c:v>14</c:v>
                </c:pt>
                <c:pt idx="17">
                  <c:v>11</c:v>
                </c:pt>
                <c:pt idx="18">
                  <c:v>28</c:v>
                </c:pt>
                <c:pt idx="19">
                  <c:v>21</c:v>
                </c:pt>
                <c:pt idx="20">
                  <c:v>24</c:v>
                </c:pt>
                <c:pt idx="21">
                  <c:v>29</c:v>
                </c:pt>
              </c:numCache>
            </c:numRef>
          </c:val>
          <c:smooth val="0"/>
          <c:extLst>
            <c:ext xmlns:c16="http://schemas.microsoft.com/office/drawing/2014/chart" uri="{C3380CC4-5D6E-409C-BE32-E72D297353CC}">
              <c16:uniqueId val="{0000001C-409A-4C76-BFAE-B0F2D1A6E285}"/>
            </c:ext>
          </c:extLst>
        </c:ser>
        <c:ser>
          <c:idx val="29"/>
          <c:order val="29"/>
          <c:tx>
            <c:strRef>
              <c:f>'All ages'!$AZ$4</c:f>
              <c:strCache>
                <c:ptCount val="1"/>
              </c:strCache>
            </c:strRef>
          </c:tx>
          <c:spPr>
            <a:ln w="28575" cap="rnd">
              <a:solidFill>
                <a:schemeClr val="accent6">
                  <a:lumMod val="60000"/>
                  <a:lumOff val="4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ages'!$AZ$8:$AZ$29</c:f>
            </c:numRef>
          </c:val>
          <c:smooth val="0"/>
          <c:extLst>
            <c:ext xmlns:c16="http://schemas.microsoft.com/office/drawing/2014/chart" uri="{C3380CC4-5D6E-409C-BE32-E72D297353CC}">
              <c16:uniqueId val="{0000001D-409A-4C76-BFAE-B0F2D1A6E285}"/>
            </c:ext>
          </c:extLst>
        </c:ser>
        <c:ser>
          <c:idx val="30"/>
          <c:order val="30"/>
          <c:tx>
            <c:strRef>
              <c:f>'All ages'!$BA$4</c:f>
              <c:strCache>
                <c:ptCount val="1"/>
              </c:strCache>
            </c:strRef>
          </c:tx>
          <c:spPr>
            <a:ln w="28575" cap="rnd">
              <a:solidFill>
                <a:schemeClr val="accent1">
                  <a:lumMod val="5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ages'!$BA$8:$BA$29</c:f>
            </c:numRef>
          </c:val>
          <c:smooth val="0"/>
          <c:extLst>
            <c:ext xmlns:c16="http://schemas.microsoft.com/office/drawing/2014/chart" uri="{C3380CC4-5D6E-409C-BE32-E72D297353CC}">
              <c16:uniqueId val="{0000001E-409A-4C76-BFAE-B0F2D1A6E285}"/>
            </c:ext>
          </c:extLst>
        </c:ser>
        <c:ser>
          <c:idx val="31"/>
          <c:order val="31"/>
          <c:tx>
            <c:strRef>
              <c:f>'All ages'!$BB$4</c:f>
              <c:strCache>
                <c:ptCount val="1"/>
              </c:strCache>
            </c:strRef>
          </c:tx>
          <c:spPr>
            <a:ln w="28575" cap="rnd">
              <a:solidFill>
                <a:schemeClr val="accent2">
                  <a:lumMod val="5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ages'!$BB$8:$BB$29</c:f>
            </c:numRef>
          </c:val>
          <c:smooth val="0"/>
          <c:extLst>
            <c:ext xmlns:c16="http://schemas.microsoft.com/office/drawing/2014/chart" uri="{C3380CC4-5D6E-409C-BE32-E72D297353CC}">
              <c16:uniqueId val="{0000001F-409A-4C76-BFAE-B0F2D1A6E285}"/>
            </c:ext>
          </c:extLst>
        </c:ser>
        <c:ser>
          <c:idx val="32"/>
          <c:order val="32"/>
          <c:tx>
            <c:strRef>
              <c:f>'All ages'!$BC$4</c:f>
              <c:strCache>
                <c:ptCount val="1"/>
              </c:strCache>
            </c:strRef>
          </c:tx>
          <c:spPr>
            <a:ln w="28575" cap="rnd">
              <a:solidFill>
                <a:schemeClr val="accent3">
                  <a:lumMod val="5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ages'!$BC$8:$BC$29</c:f>
            </c:numRef>
          </c:val>
          <c:smooth val="0"/>
          <c:extLst>
            <c:ext xmlns:c16="http://schemas.microsoft.com/office/drawing/2014/chart" uri="{C3380CC4-5D6E-409C-BE32-E72D297353CC}">
              <c16:uniqueId val="{00000020-409A-4C76-BFAE-B0F2D1A6E285}"/>
            </c:ext>
          </c:extLst>
        </c:ser>
        <c:ser>
          <c:idx val="33"/>
          <c:order val="33"/>
          <c:tx>
            <c:strRef>
              <c:f>'All ages'!$BD$4</c:f>
              <c:strCache>
                <c:ptCount val="1"/>
              </c:strCache>
            </c:strRef>
          </c:tx>
          <c:spPr>
            <a:ln w="28575" cap="rnd">
              <a:solidFill>
                <a:schemeClr val="accent4">
                  <a:lumMod val="5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ages'!$BD$8:$BD$29</c:f>
            </c:numRef>
          </c:val>
          <c:smooth val="0"/>
          <c:extLst>
            <c:ext xmlns:c16="http://schemas.microsoft.com/office/drawing/2014/chart" uri="{C3380CC4-5D6E-409C-BE32-E72D297353CC}">
              <c16:uniqueId val="{00000021-409A-4C76-BFAE-B0F2D1A6E285}"/>
            </c:ext>
          </c:extLst>
        </c:ser>
        <c:ser>
          <c:idx val="34"/>
          <c:order val="34"/>
          <c:tx>
            <c:strRef>
              <c:f>'All ages'!$BE$4</c:f>
              <c:strCache>
                <c:ptCount val="1"/>
              </c:strCache>
            </c:strRef>
          </c:tx>
          <c:spPr>
            <a:ln w="28575" cap="rnd">
              <a:solidFill>
                <a:schemeClr val="accent5">
                  <a:lumMod val="50000"/>
                </a:schemeClr>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ages'!$BE$8:$BE$29</c:f>
            </c:numRef>
          </c:val>
          <c:smooth val="0"/>
          <c:extLst>
            <c:ext xmlns:c16="http://schemas.microsoft.com/office/drawing/2014/chart" uri="{C3380CC4-5D6E-409C-BE32-E72D297353CC}">
              <c16:uniqueId val="{00000022-409A-4C76-BFAE-B0F2D1A6E285}"/>
            </c:ext>
          </c:extLst>
        </c:ser>
        <c:ser>
          <c:idx val="35"/>
          <c:order val="35"/>
          <c:tx>
            <c:strRef>
              <c:f>'All ages'!$BF$4</c:f>
              <c:strCache>
                <c:ptCount val="1"/>
                <c:pt idx="0">
                  <c:v>NPS</c:v>
                </c:pt>
              </c:strCache>
            </c:strRef>
          </c:tx>
          <c:spPr>
            <a:ln w="15875" cap="rnd">
              <a:solidFill>
                <a:srgbClr val="C00000"/>
              </a:solidFill>
              <a:round/>
            </a:ln>
            <a:effectLst/>
          </c:spPr>
          <c:marker>
            <c:symbol val="none"/>
          </c:marker>
          <c:cat>
            <c:numRef>
              <c:f>'All ages'!$V$8:$V$29</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'All ages'!$BF$8:$BF$29</c:f>
              <c:numCache>
                <c:formatCode>General</c:formatCode>
                <c:ptCount val="22"/>
                <c:pt idx="0">
                  <c:v>1</c:v>
                </c:pt>
                <c:pt idx="1">
                  <c:v>0</c:v>
                </c:pt>
                <c:pt idx="2">
                  <c:v>0</c:v>
                </c:pt>
                <c:pt idx="3">
                  <c:v>3</c:v>
                </c:pt>
                <c:pt idx="4">
                  <c:v>3</c:v>
                </c:pt>
                <c:pt idx="5">
                  <c:v>1</c:v>
                </c:pt>
                <c:pt idx="6">
                  <c:v>5</c:v>
                </c:pt>
                <c:pt idx="7">
                  <c:v>6</c:v>
                </c:pt>
                <c:pt idx="8">
                  <c:v>1</c:v>
                </c:pt>
                <c:pt idx="9">
                  <c:v>5</c:v>
                </c:pt>
                <c:pt idx="10">
                  <c:v>8</c:v>
                </c:pt>
                <c:pt idx="11">
                  <c:v>9</c:v>
                </c:pt>
                <c:pt idx="12">
                  <c:v>25</c:v>
                </c:pt>
                <c:pt idx="13">
                  <c:v>26</c:v>
                </c:pt>
                <c:pt idx="14">
                  <c:v>22</c:v>
                </c:pt>
                <c:pt idx="15">
                  <c:v>31</c:v>
                </c:pt>
                <c:pt idx="16">
                  <c:v>55</c:v>
                </c:pt>
                <c:pt idx="17">
                  <c:v>63</c:v>
                </c:pt>
                <c:pt idx="18">
                  <c:v>82</c:v>
                </c:pt>
                <c:pt idx="19">
                  <c:v>114</c:v>
                </c:pt>
                <c:pt idx="20">
                  <c:v>123</c:v>
                </c:pt>
                <c:pt idx="21">
                  <c:v>61</c:v>
                </c:pt>
              </c:numCache>
            </c:numRef>
          </c:val>
          <c:smooth val="0"/>
          <c:extLst>
            <c:ext xmlns:c16="http://schemas.microsoft.com/office/drawing/2014/chart" uri="{C3380CC4-5D6E-409C-BE32-E72D297353CC}">
              <c16:uniqueId val="{00000023-409A-4C76-BFAE-B0F2D1A6E285}"/>
            </c:ext>
          </c:extLst>
        </c:ser>
        <c:dLbls>
          <c:showLegendKey val="0"/>
          <c:showVal val="0"/>
          <c:showCatName val="0"/>
          <c:showSerName val="0"/>
          <c:showPercent val="0"/>
          <c:showBubbleSize val="0"/>
        </c:dLbls>
        <c:smooth val="0"/>
        <c:axId val="2091712584"/>
        <c:axId val="2091716136"/>
      </c:lineChart>
      <c:catAx>
        <c:axId val="209171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716136"/>
        <c:crosses val="autoZero"/>
        <c:auto val="1"/>
        <c:lblAlgn val="ctr"/>
        <c:lblOffset val="100"/>
        <c:noMultiLvlLbl val="0"/>
      </c:catAx>
      <c:valAx>
        <c:axId val="2091716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a:t>
                </a:r>
                <a:r>
                  <a:rPr lang="en-GB" baseline="0"/>
                  <a:t> of deaths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712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Sheet4!$B$1</c:f>
              <c:strCache>
                <c:ptCount val="1"/>
                <c:pt idx="0">
                  <c:v>NPS</c:v>
                </c:pt>
              </c:strCache>
            </c:strRef>
          </c:tx>
          <c:spPr>
            <a:solidFill>
              <a:srgbClr val="C00000"/>
            </a:solidFill>
            <a:ln w="25400">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Sheet4!$B$2:$B$23</c:f>
              <c:numCache>
                <c:formatCode>General</c:formatCode>
                <c:ptCount val="22"/>
                <c:pt idx="0">
                  <c:v>0</c:v>
                </c:pt>
                <c:pt idx="1">
                  <c:v>0</c:v>
                </c:pt>
                <c:pt idx="2">
                  <c:v>0</c:v>
                </c:pt>
                <c:pt idx="3">
                  <c:v>1</c:v>
                </c:pt>
                <c:pt idx="4">
                  <c:v>1</c:v>
                </c:pt>
                <c:pt idx="5">
                  <c:v>0</c:v>
                </c:pt>
                <c:pt idx="6">
                  <c:v>3</c:v>
                </c:pt>
                <c:pt idx="7">
                  <c:v>3</c:v>
                </c:pt>
                <c:pt idx="8">
                  <c:v>0</c:v>
                </c:pt>
                <c:pt idx="9">
                  <c:v>2</c:v>
                </c:pt>
                <c:pt idx="10">
                  <c:v>6</c:v>
                </c:pt>
                <c:pt idx="11">
                  <c:v>5</c:v>
                </c:pt>
                <c:pt idx="12">
                  <c:v>9</c:v>
                </c:pt>
                <c:pt idx="13">
                  <c:v>14</c:v>
                </c:pt>
                <c:pt idx="14">
                  <c:v>12</c:v>
                </c:pt>
                <c:pt idx="15">
                  <c:v>17</c:v>
                </c:pt>
                <c:pt idx="16">
                  <c:v>36</c:v>
                </c:pt>
                <c:pt idx="17">
                  <c:v>33</c:v>
                </c:pt>
                <c:pt idx="18">
                  <c:v>51</c:v>
                </c:pt>
                <c:pt idx="19">
                  <c:v>71</c:v>
                </c:pt>
                <c:pt idx="20">
                  <c:v>82</c:v>
                </c:pt>
                <c:pt idx="21">
                  <c:v>48</c:v>
                </c:pt>
              </c:numCache>
            </c:numRef>
          </c:val>
          <c:extLst>
            <c:ext xmlns:c16="http://schemas.microsoft.com/office/drawing/2014/chart" uri="{C3380CC4-5D6E-409C-BE32-E72D297353CC}">
              <c16:uniqueId val="{00000000-41B1-43D0-830B-BD707979A74F}"/>
            </c:ext>
          </c:extLst>
        </c:ser>
        <c:ser>
          <c:idx val="1"/>
          <c:order val="1"/>
          <c:tx>
            <c:strRef>
              <c:f>Sheet4!$C$1</c:f>
              <c:strCache>
                <c:ptCount val="1"/>
                <c:pt idx="0">
                  <c:v>Cannabis</c:v>
                </c:pt>
              </c:strCache>
            </c:strRef>
          </c:tx>
          <c:spPr>
            <a:solidFill>
              <a:schemeClr val="accent3"/>
            </a:solidFill>
            <a:ln>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Sheet4!$C$2:$C$23</c:f>
              <c:numCache>
                <c:formatCode>General</c:formatCode>
                <c:ptCount val="22"/>
                <c:pt idx="0">
                  <c:v>2</c:v>
                </c:pt>
                <c:pt idx="1">
                  <c:v>2</c:v>
                </c:pt>
                <c:pt idx="2">
                  <c:v>2</c:v>
                </c:pt>
                <c:pt idx="3">
                  <c:v>4</c:v>
                </c:pt>
                <c:pt idx="4">
                  <c:v>6</c:v>
                </c:pt>
                <c:pt idx="5">
                  <c:v>7</c:v>
                </c:pt>
                <c:pt idx="6">
                  <c:v>6</c:v>
                </c:pt>
                <c:pt idx="7">
                  <c:v>7</c:v>
                </c:pt>
                <c:pt idx="8">
                  <c:v>13</c:v>
                </c:pt>
                <c:pt idx="9">
                  <c:v>14</c:v>
                </c:pt>
                <c:pt idx="10">
                  <c:v>11</c:v>
                </c:pt>
                <c:pt idx="11">
                  <c:v>7</c:v>
                </c:pt>
                <c:pt idx="12">
                  <c:v>15</c:v>
                </c:pt>
                <c:pt idx="13">
                  <c:v>14</c:v>
                </c:pt>
                <c:pt idx="14">
                  <c:v>8</c:v>
                </c:pt>
                <c:pt idx="15">
                  <c:v>5</c:v>
                </c:pt>
                <c:pt idx="16">
                  <c:v>8</c:v>
                </c:pt>
                <c:pt idx="17">
                  <c:v>8</c:v>
                </c:pt>
                <c:pt idx="18">
                  <c:v>22</c:v>
                </c:pt>
                <c:pt idx="19">
                  <c:v>16</c:v>
                </c:pt>
                <c:pt idx="20">
                  <c:v>18</c:v>
                </c:pt>
                <c:pt idx="21">
                  <c:v>22</c:v>
                </c:pt>
              </c:numCache>
            </c:numRef>
          </c:val>
          <c:extLst>
            <c:ext xmlns:c16="http://schemas.microsoft.com/office/drawing/2014/chart" uri="{C3380CC4-5D6E-409C-BE32-E72D297353CC}">
              <c16:uniqueId val="{00000001-41B1-43D0-830B-BD707979A74F}"/>
            </c:ext>
          </c:extLst>
        </c:ser>
        <c:ser>
          <c:idx val="2"/>
          <c:order val="2"/>
          <c:tx>
            <c:strRef>
              <c:f>Sheet4!$D$1</c:f>
              <c:strCache>
                <c:ptCount val="1"/>
                <c:pt idx="0">
                  <c:v>Ecstasy</c:v>
                </c:pt>
              </c:strCache>
            </c:strRef>
          </c:tx>
          <c:spPr>
            <a:solidFill>
              <a:schemeClr val="accent6"/>
            </a:solidFill>
            <a:ln>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Sheet4!$D$2:$D$23</c:f>
              <c:numCache>
                <c:formatCode>General</c:formatCode>
                <c:ptCount val="22"/>
                <c:pt idx="0">
                  <c:v>1</c:v>
                </c:pt>
                <c:pt idx="1">
                  <c:v>2</c:v>
                </c:pt>
                <c:pt idx="2">
                  <c:v>5</c:v>
                </c:pt>
                <c:pt idx="3">
                  <c:v>9</c:v>
                </c:pt>
                <c:pt idx="4">
                  <c:v>12</c:v>
                </c:pt>
                <c:pt idx="5">
                  <c:v>10</c:v>
                </c:pt>
                <c:pt idx="6">
                  <c:v>16</c:v>
                </c:pt>
                <c:pt idx="7">
                  <c:v>12</c:v>
                </c:pt>
                <c:pt idx="8">
                  <c:v>17</c:v>
                </c:pt>
                <c:pt idx="9">
                  <c:v>18</c:v>
                </c:pt>
                <c:pt idx="10">
                  <c:v>17</c:v>
                </c:pt>
                <c:pt idx="11">
                  <c:v>16</c:v>
                </c:pt>
                <c:pt idx="12">
                  <c:v>16</c:v>
                </c:pt>
                <c:pt idx="13">
                  <c:v>9</c:v>
                </c:pt>
                <c:pt idx="14">
                  <c:v>4</c:v>
                </c:pt>
                <c:pt idx="15">
                  <c:v>5</c:v>
                </c:pt>
                <c:pt idx="16">
                  <c:v>14</c:v>
                </c:pt>
                <c:pt idx="17">
                  <c:v>16</c:v>
                </c:pt>
                <c:pt idx="18">
                  <c:v>23</c:v>
                </c:pt>
                <c:pt idx="19">
                  <c:v>23</c:v>
                </c:pt>
                <c:pt idx="20">
                  <c:v>31</c:v>
                </c:pt>
                <c:pt idx="21">
                  <c:v>29</c:v>
                </c:pt>
              </c:numCache>
            </c:numRef>
          </c:val>
          <c:extLst>
            <c:ext xmlns:c16="http://schemas.microsoft.com/office/drawing/2014/chart" uri="{C3380CC4-5D6E-409C-BE32-E72D297353CC}">
              <c16:uniqueId val="{00000002-41B1-43D0-830B-BD707979A74F}"/>
            </c:ext>
          </c:extLst>
        </c:ser>
        <c:ser>
          <c:idx val="3"/>
          <c:order val="3"/>
          <c:tx>
            <c:strRef>
              <c:f>Sheet4!$E$1</c:f>
              <c:strCache>
                <c:ptCount val="1"/>
                <c:pt idx="0">
                  <c:v>Amphetamine</c:v>
                </c:pt>
              </c:strCache>
            </c:strRef>
          </c:tx>
          <c:spPr>
            <a:solidFill>
              <a:srgbClr val="CC66A5"/>
            </a:solidFill>
            <a:ln>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Sheet4!$E$2:$E$23</c:f>
              <c:numCache>
                <c:formatCode>General</c:formatCode>
                <c:ptCount val="22"/>
                <c:pt idx="0">
                  <c:v>11</c:v>
                </c:pt>
                <c:pt idx="1">
                  <c:v>15</c:v>
                </c:pt>
                <c:pt idx="2">
                  <c:v>25</c:v>
                </c:pt>
                <c:pt idx="3">
                  <c:v>35</c:v>
                </c:pt>
                <c:pt idx="4">
                  <c:v>32</c:v>
                </c:pt>
                <c:pt idx="5">
                  <c:v>22</c:v>
                </c:pt>
                <c:pt idx="6">
                  <c:v>37</c:v>
                </c:pt>
                <c:pt idx="7">
                  <c:v>37</c:v>
                </c:pt>
                <c:pt idx="8">
                  <c:v>42</c:v>
                </c:pt>
                <c:pt idx="9">
                  <c:v>52</c:v>
                </c:pt>
                <c:pt idx="10">
                  <c:v>47</c:v>
                </c:pt>
                <c:pt idx="11">
                  <c:v>52</c:v>
                </c:pt>
                <c:pt idx="12">
                  <c:v>61</c:v>
                </c:pt>
                <c:pt idx="13">
                  <c:v>42</c:v>
                </c:pt>
                <c:pt idx="14">
                  <c:v>48</c:v>
                </c:pt>
                <c:pt idx="15">
                  <c:v>42</c:v>
                </c:pt>
                <c:pt idx="16">
                  <c:v>58</c:v>
                </c:pt>
                <c:pt idx="17">
                  <c:v>69</c:v>
                </c:pt>
                <c:pt idx="18">
                  <c:v>100</c:v>
                </c:pt>
                <c:pt idx="19">
                  <c:v>101</c:v>
                </c:pt>
                <c:pt idx="20">
                  <c:v>118</c:v>
                </c:pt>
                <c:pt idx="21">
                  <c:v>105</c:v>
                </c:pt>
              </c:numCache>
            </c:numRef>
          </c:val>
          <c:extLst>
            <c:ext xmlns:c16="http://schemas.microsoft.com/office/drawing/2014/chart" uri="{C3380CC4-5D6E-409C-BE32-E72D297353CC}">
              <c16:uniqueId val="{00000003-41B1-43D0-830B-BD707979A74F}"/>
            </c:ext>
          </c:extLst>
        </c:ser>
        <c:ser>
          <c:idx val="4"/>
          <c:order val="4"/>
          <c:tx>
            <c:strRef>
              <c:f>Sheet4!$F$1</c:f>
              <c:strCache>
                <c:ptCount val="1"/>
                <c:pt idx="0">
                  <c:v>Cocaine</c:v>
                </c:pt>
              </c:strCache>
            </c:strRef>
          </c:tx>
          <c:spPr>
            <a:solidFill>
              <a:schemeClr val="accent4"/>
            </a:solidFill>
            <a:ln>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Sheet4!$F$2:$F$23</c:f>
              <c:numCache>
                <c:formatCode>General</c:formatCode>
                <c:ptCount val="22"/>
                <c:pt idx="0">
                  <c:v>7</c:v>
                </c:pt>
                <c:pt idx="1">
                  <c:v>14</c:v>
                </c:pt>
                <c:pt idx="2">
                  <c:v>38</c:v>
                </c:pt>
                <c:pt idx="3">
                  <c:v>50</c:v>
                </c:pt>
                <c:pt idx="4">
                  <c:v>47</c:v>
                </c:pt>
                <c:pt idx="5">
                  <c:v>60</c:v>
                </c:pt>
                <c:pt idx="6">
                  <c:v>67</c:v>
                </c:pt>
                <c:pt idx="7">
                  <c:v>73</c:v>
                </c:pt>
                <c:pt idx="8">
                  <c:v>88</c:v>
                </c:pt>
                <c:pt idx="9">
                  <c:v>121</c:v>
                </c:pt>
                <c:pt idx="10">
                  <c:v>117</c:v>
                </c:pt>
                <c:pt idx="11">
                  <c:v>126</c:v>
                </c:pt>
                <c:pt idx="12">
                  <c:v>150</c:v>
                </c:pt>
                <c:pt idx="13">
                  <c:v>134</c:v>
                </c:pt>
                <c:pt idx="14">
                  <c:v>110</c:v>
                </c:pt>
                <c:pt idx="15">
                  <c:v>83</c:v>
                </c:pt>
                <c:pt idx="16">
                  <c:v>106</c:v>
                </c:pt>
                <c:pt idx="17">
                  <c:v>131</c:v>
                </c:pt>
                <c:pt idx="18">
                  <c:v>194</c:v>
                </c:pt>
                <c:pt idx="19">
                  <c:v>260</c:v>
                </c:pt>
                <c:pt idx="20">
                  <c:v>299</c:v>
                </c:pt>
                <c:pt idx="21">
                  <c:v>359</c:v>
                </c:pt>
              </c:numCache>
            </c:numRef>
          </c:val>
          <c:extLst>
            <c:ext xmlns:c16="http://schemas.microsoft.com/office/drawing/2014/chart" uri="{C3380CC4-5D6E-409C-BE32-E72D297353CC}">
              <c16:uniqueId val="{00000004-41B1-43D0-830B-BD707979A74F}"/>
            </c:ext>
          </c:extLst>
        </c:ser>
        <c:ser>
          <c:idx val="5"/>
          <c:order val="5"/>
          <c:tx>
            <c:strRef>
              <c:f>Sheet4!$G$1</c:f>
              <c:strCache>
                <c:ptCount val="1"/>
                <c:pt idx="0">
                  <c:v>Heroin/morphine</c:v>
                </c:pt>
              </c:strCache>
            </c:strRef>
          </c:tx>
          <c:spPr>
            <a:solidFill>
              <a:schemeClr val="accent1"/>
            </a:solidFill>
            <a:ln>
              <a:noFill/>
            </a:ln>
            <a:effectLst/>
          </c:spPr>
          <c:cat>
            <c:numRef>
              <c:f>Sheet4!$A$2:$A$23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Sheet4!$G$2:$G$23</c:f>
              <c:numCache>
                <c:formatCode>General</c:formatCode>
                <c:ptCount val="22"/>
                <c:pt idx="0">
                  <c:v>225</c:v>
                </c:pt>
                <c:pt idx="1">
                  <c:v>217</c:v>
                </c:pt>
                <c:pt idx="2">
                  <c:v>304</c:v>
                </c:pt>
                <c:pt idx="3">
                  <c:v>393</c:v>
                </c:pt>
                <c:pt idx="4">
                  <c:v>484</c:v>
                </c:pt>
                <c:pt idx="5">
                  <c:v>553</c:v>
                </c:pt>
                <c:pt idx="6">
                  <c:v>482</c:v>
                </c:pt>
                <c:pt idx="7">
                  <c:v>417</c:v>
                </c:pt>
                <c:pt idx="8">
                  <c:v>479</c:v>
                </c:pt>
                <c:pt idx="9">
                  <c:v>586</c:v>
                </c:pt>
                <c:pt idx="10">
                  <c:v>492</c:v>
                </c:pt>
                <c:pt idx="11">
                  <c:v>589</c:v>
                </c:pt>
                <c:pt idx="12">
                  <c:v>664</c:v>
                </c:pt>
                <c:pt idx="13">
                  <c:v>657</c:v>
                </c:pt>
                <c:pt idx="14">
                  <c:v>616</c:v>
                </c:pt>
                <c:pt idx="15">
                  <c:v>477</c:v>
                </c:pt>
                <c:pt idx="16">
                  <c:v>484</c:v>
                </c:pt>
                <c:pt idx="17">
                  <c:v>641</c:v>
                </c:pt>
                <c:pt idx="18">
                  <c:v>816</c:v>
                </c:pt>
                <c:pt idx="19">
                  <c:v>1047</c:v>
                </c:pt>
                <c:pt idx="20">
                  <c:v>1048</c:v>
                </c:pt>
                <c:pt idx="21">
                  <c:v>1028</c:v>
                </c:pt>
              </c:numCache>
            </c:numRef>
          </c:val>
          <c:extLst>
            <c:ext xmlns:c16="http://schemas.microsoft.com/office/drawing/2014/chart" uri="{C3380CC4-5D6E-409C-BE32-E72D297353CC}">
              <c16:uniqueId val="{00000005-41B1-43D0-830B-BD707979A74F}"/>
            </c:ext>
          </c:extLst>
        </c:ser>
        <c:dLbls>
          <c:showLegendKey val="0"/>
          <c:showVal val="0"/>
          <c:showCatName val="0"/>
          <c:showSerName val="0"/>
          <c:showPercent val="0"/>
          <c:showBubbleSize val="0"/>
        </c:dLbls>
        <c:axId val="2092464712"/>
        <c:axId val="2092468392"/>
      </c:areaChart>
      <c:catAx>
        <c:axId val="2092464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468392"/>
        <c:crosses val="autoZero"/>
        <c:auto val="1"/>
        <c:lblAlgn val="ctr"/>
        <c:lblOffset val="100"/>
        <c:noMultiLvlLbl val="0"/>
      </c:catAx>
      <c:valAx>
        <c:axId val="2092468392"/>
        <c:scaling>
          <c:orientation val="minMax"/>
          <c:max val="1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2464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Sheet4!$K$1</c:f>
              <c:strCache>
                <c:ptCount val="1"/>
                <c:pt idx="0">
                  <c:v>NPS</c:v>
                </c:pt>
              </c:strCache>
            </c:strRef>
          </c:tx>
          <c:spPr>
            <a:solidFill>
              <a:srgbClr val="C00000"/>
            </a:solidFill>
            <a:ln w="25400">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Sheet4!$K$2:$K$23</c:f>
              <c:numCache>
                <c:formatCode>General</c:formatCode>
                <c:ptCount val="22"/>
                <c:pt idx="0">
                  <c:v>1</c:v>
                </c:pt>
                <c:pt idx="1">
                  <c:v>0</c:v>
                </c:pt>
                <c:pt idx="2">
                  <c:v>0</c:v>
                </c:pt>
                <c:pt idx="3">
                  <c:v>2</c:v>
                </c:pt>
                <c:pt idx="4">
                  <c:v>2</c:v>
                </c:pt>
                <c:pt idx="5">
                  <c:v>1</c:v>
                </c:pt>
                <c:pt idx="6">
                  <c:v>2</c:v>
                </c:pt>
                <c:pt idx="7">
                  <c:v>3</c:v>
                </c:pt>
                <c:pt idx="8">
                  <c:v>1</c:v>
                </c:pt>
                <c:pt idx="9">
                  <c:v>3</c:v>
                </c:pt>
                <c:pt idx="10">
                  <c:v>2</c:v>
                </c:pt>
                <c:pt idx="11">
                  <c:v>4</c:v>
                </c:pt>
                <c:pt idx="12">
                  <c:v>16</c:v>
                </c:pt>
                <c:pt idx="13">
                  <c:v>12</c:v>
                </c:pt>
                <c:pt idx="14">
                  <c:v>10</c:v>
                </c:pt>
                <c:pt idx="15">
                  <c:v>14</c:v>
                </c:pt>
                <c:pt idx="16">
                  <c:v>19</c:v>
                </c:pt>
                <c:pt idx="17">
                  <c:v>30</c:v>
                </c:pt>
                <c:pt idx="18">
                  <c:v>31</c:v>
                </c:pt>
                <c:pt idx="19">
                  <c:v>43</c:v>
                </c:pt>
                <c:pt idx="20">
                  <c:v>41</c:v>
                </c:pt>
                <c:pt idx="21">
                  <c:v>13</c:v>
                </c:pt>
              </c:numCache>
            </c:numRef>
          </c:val>
          <c:extLst>
            <c:ext xmlns:c16="http://schemas.microsoft.com/office/drawing/2014/chart" uri="{C3380CC4-5D6E-409C-BE32-E72D297353CC}">
              <c16:uniqueId val="{00000000-3280-431E-9CAE-7317318852BE}"/>
            </c:ext>
          </c:extLst>
        </c:ser>
        <c:ser>
          <c:idx val="1"/>
          <c:order val="1"/>
          <c:tx>
            <c:strRef>
              <c:f>Sheet4!$L$1</c:f>
              <c:strCache>
                <c:ptCount val="1"/>
                <c:pt idx="0">
                  <c:v>Cannabis</c:v>
                </c:pt>
              </c:strCache>
            </c:strRef>
          </c:tx>
          <c:spPr>
            <a:solidFill>
              <a:schemeClr val="accent3"/>
            </a:solidFill>
            <a:ln>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Sheet4!$L$2:$L$23</c:f>
              <c:numCache>
                <c:formatCode>General</c:formatCode>
                <c:ptCount val="22"/>
                <c:pt idx="0">
                  <c:v>7</c:v>
                </c:pt>
                <c:pt idx="1">
                  <c:v>12</c:v>
                </c:pt>
                <c:pt idx="2">
                  <c:v>8</c:v>
                </c:pt>
                <c:pt idx="3">
                  <c:v>4</c:v>
                </c:pt>
                <c:pt idx="4">
                  <c:v>3</c:v>
                </c:pt>
                <c:pt idx="5">
                  <c:v>9</c:v>
                </c:pt>
                <c:pt idx="6">
                  <c:v>7</c:v>
                </c:pt>
                <c:pt idx="7">
                  <c:v>4</c:v>
                </c:pt>
                <c:pt idx="8">
                  <c:v>6</c:v>
                </c:pt>
                <c:pt idx="9">
                  <c:v>5</c:v>
                </c:pt>
                <c:pt idx="10">
                  <c:v>6</c:v>
                </c:pt>
                <c:pt idx="11">
                  <c:v>5</c:v>
                </c:pt>
                <c:pt idx="12">
                  <c:v>4</c:v>
                </c:pt>
                <c:pt idx="13">
                  <c:v>8</c:v>
                </c:pt>
                <c:pt idx="14">
                  <c:v>3</c:v>
                </c:pt>
                <c:pt idx="15">
                  <c:v>2</c:v>
                </c:pt>
                <c:pt idx="16">
                  <c:v>6</c:v>
                </c:pt>
                <c:pt idx="17">
                  <c:v>3</c:v>
                </c:pt>
                <c:pt idx="18">
                  <c:v>6</c:v>
                </c:pt>
                <c:pt idx="19">
                  <c:v>5</c:v>
                </c:pt>
                <c:pt idx="20">
                  <c:v>6</c:v>
                </c:pt>
                <c:pt idx="21">
                  <c:v>7</c:v>
                </c:pt>
              </c:numCache>
            </c:numRef>
          </c:val>
          <c:extLst>
            <c:ext xmlns:c16="http://schemas.microsoft.com/office/drawing/2014/chart" uri="{C3380CC4-5D6E-409C-BE32-E72D297353CC}">
              <c16:uniqueId val="{00000001-3280-431E-9CAE-7317318852BE}"/>
            </c:ext>
          </c:extLst>
        </c:ser>
        <c:ser>
          <c:idx val="2"/>
          <c:order val="2"/>
          <c:tx>
            <c:strRef>
              <c:f>Sheet4!$M$1</c:f>
              <c:strCache>
                <c:ptCount val="1"/>
                <c:pt idx="0">
                  <c:v>Ecstasy</c:v>
                </c:pt>
              </c:strCache>
            </c:strRef>
          </c:tx>
          <c:spPr>
            <a:solidFill>
              <a:schemeClr val="accent6"/>
            </a:solidFill>
            <a:ln>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Sheet4!$M$2:$M$23</c:f>
              <c:numCache>
                <c:formatCode>General</c:formatCode>
                <c:ptCount val="22"/>
                <c:pt idx="0">
                  <c:v>15</c:v>
                </c:pt>
                <c:pt idx="1">
                  <c:v>13</c:v>
                </c:pt>
                <c:pt idx="2">
                  <c:v>12</c:v>
                </c:pt>
                <c:pt idx="3">
                  <c:v>12</c:v>
                </c:pt>
                <c:pt idx="4">
                  <c:v>16</c:v>
                </c:pt>
                <c:pt idx="5">
                  <c:v>45</c:v>
                </c:pt>
                <c:pt idx="6">
                  <c:v>40</c:v>
                </c:pt>
                <c:pt idx="7">
                  <c:v>38</c:v>
                </c:pt>
                <c:pt idx="8">
                  <c:v>26</c:v>
                </c:pt>
                <c:pt idx="9">
                  <c:v>40</c:v>
                </c:pt>
                <c:pt idx="10">
                  <c:v>31</c:v>
                </c:pt>
                <c:pt idx="11">
                  <c:v>31</c:v>
                </c:pt>
                <c:pt idx="12">
                  <c:v>28</c:v>
                </c:pt>
                <c:pt idx="13">
                  <c:v>18</c:v>
                </c:pt>
                <c:pt idx="14">
                  <c:v>4</c:v>
                </c:pt>
                <c:pt idx="15">
                  <c:v>8</c:v>
                </c:pt>
                <c:pt idx="16">
                  <c:v>17</c:v>
                </c:pt>
                <c:pt idx="17">
                  <c:v>27</c:v>
                </c:pt>
                <c:pt idx="18">
                  <c:v>27</c:v>
                </c:pt>
                <c:pt idx="19">
                  <c:v>34</c:v>
                </c:pt>
                <c:pt idx="20">
                  <c:v>32</c:v>
                </c:pt>
                <c:pt idx="21">
                  <c:v>27</c:v>
                </c:pt>
              </c:numCache>
            </c:numRef>
          </c:val>
          <c:extLst>
            <c:ext xmlns:c16="http://schemas.microsoft.com/office/drawing/2014/chart" uri="{C3380CC4-5D6E-409C-BE32-E72D297353CC}">
              <c16:uniqueId val="{00000002-3280-431E-9CAE-7317318852BE}"/>
            </c:ext>
          </c:extLst>
        </c:ser>
        <c:ser>
          <c:idx val="3"/>
          <c:order val="3"/>
          <c:tx>
            <c:strRef>
              <c:f>Sheet4!$N$1</c:f>
              <c:strCache>
                <c:ptCount val="1"/>
                <c:pt idx="0">
                  <c:v>Amphetamine</c:v>
                </c:pt>
              </c:strCache>
            </c:strRef>
          </c:tx>
          <c:spPr>
            <a:solidFill>
              <a:srgbClr val="CC66A5"/>
            </a:solidFill>
            <a:ln w="25400">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Sheet4!$N$2:$N$23</c:f>
              <c:numCache>
                <c:formatCode>General</c:formatCode>
                <c:ptCount val="22"/>
                <c:pt idx="0">
                  <c:v>35</c:v>
                </c:pt>
                <c:pt idx="1">
                  <c:v>41</c:v>
                </c:pt>
                <c:pt idx="2">
                  <c:v>38</c:v>
                </c:pt>
                <c:pt idx="3">
                  <c:v>47</c:v>
                </c:pt>
                <c:pt idx="4">
                  <c:v>29</c:v>
                </c:pt>
                <c:pt idx="5">
                  <c:v>57</c:v>
                </c:pt>
                <c:pt idx="6">
                  <c:v>57</c:v>
                </c:pt>
                <c:pt idx="7">
                  <c:v>44</c:v>
                </c:pt>
                <c:pt idx="8">
                  <c:v>38</c:v>
                </c:pt>
                <c:pt idx="9">
                  <c:v>51</c:v>
                </c:pt>
                <c:pt idx="10">
                  <c:v>45</c:v>
                </c:pt>
                <c:pt idx="11">
                  <c:v>45</c:v>
                </c:pt>
                <c:pt idx="12">
                  <c:v>38</c:v>
                </c:pt>
                <c:pt idx="13">
                  <c:v>34</c:v>
                </c:pt>
                <c:pt idx="14">
                  <c:v>8</c:v>
                </c:pt>
                <c:pt idx="15">
                  <c:v>20</c:v>
                </c:pt>
                <c:pt idx="16">
                  <c:v>39</c:v>
                </c:pt>
                <c:pt idx="17">
                  <c:v>51</c:v>
                </c:pt>
                <c:pt idx="18">
                  <c:v>51</c:v>
                </c:pt>
                <c:pt idx="19">
                  <c:v>56</c:v>
                </c:pt>
                <c:pt idx="20">
                  <c:v>43</c:v>
                </c:pt>
                <c:pt idx="21">
                  <c:v>45</c:v>
                </c:pt>
              </c:numCache>
            </c:numRef>
          </c:val>
          <c:extLst>
            <c:ext xmlns:c16="http://schemas.microsoft.com/office/drawing/2014/chart" uri="{C3380CC4-5D6E-409C-BE32-E72D297353CC}">
              <c16:uniqueId val="{00000003-3280-431E-9CAE-7317318852BE}"/>
            </c:ext>
          </c:extLst>
        </c:ser>
        <c:ser>
          <c:idx val="4"/>
          <c:order val="4"/>
          <c:tx>
            <c:strRef>
              <c:f>Sheet4!$O$1</c:f>
              <c:strCache>
                <c:ptCount val="1"/>
                <c:pt idx="0">
                  <c:v>Cocaine</c:v>
                </c:pt>
              </c:strCache>
            </c:strRef>
          </c:tx>
          <c:spPr>
            <a:solidFill>
              <a:schemeClr val="accent4"/>
            </a:solidFill>
            <a:ln>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Sheet4!$O$2:$O$23</c:f>
              <c:numCache>
                <c:formatCode>General</c:formatCode>
                <c:ptCount val="22"/>
                <c:pt idx="0">
                  <c:v>6</c:v>
                </c:pt>
                <c:pt idx="1">
                  <c:v>13</c:v>
                </c:pt>
                <c:pt idx="2">
                  <c:v>27</c:v>
                </c:pt>
                <c:pt idx="3">
                  <c:v>38</c:v>
                </c:pt>
                <c:pt idx="4">
                  <c:v>36</c:v>
                </c:pt>
                <c:pt idx="5">
                  <c:v>37</c:v>
                </c:pt>
                <c:pt idx="6">
                  <c:v>61</c:v>
                </c:pt>
                <c:pt idx="7">
                  <c:v>56</c:v>
                </c:pt>
                <c:pt idx="8">
                  <c:v>66</c:v>
                </c:pt>
                <c:pt idx="9">
                  <c:v>55</c:v>
                </c:pt>
                <c:pt idx="10">
                  <c:v>73</c:v>
                </c:pt>
                <c:pt idx="11">
                  <c:v>70</c:v>
                </c:pt>
                <c:pt idx="12">
                  <c:v>85</c:v>
                </c:pt>
                <c:pt idx="13">
                  <c:v>68</c:v>
                </c:pt>
                <c:pt idx="14">
                  <c:v>34</c:v>
                </c:pt>
                <c:pt idx="15">
                  <c:v>29</c:v>
                </c:pt>
                <c:pt idx="16">
                  <c:v>33</c:v>
                </c:pt>
                <c:pt idx="17">
                  <c:v>38</c:v>
                </c:pt>
                <c:pt idx="18">
                  <c:v>53</c:v>
                </c:pt>
                <c:pt idx="19">
                  <c:v>60</c:v>
                </c:pt>
                <c:pt idx="20">
                  <c:v>72</c:v>
                </c:pt>
                <c:pt idx="21">
                  <c:v>73</c:v>
                </c:pt>
              </c:numCache>
            </c:numRef>
          </c:val>
          <c:extLst>
            <c:ext xmlns:c16="http://schemas.microsoft.com/office/drawing/2014/chart" uri="{C3380CC4-5D6E-409C-BE32-E72D297353CC}">
              <c16:uniqueId val="{00000004-3280-431E-9CAE-7317318852BE}"/>
            </c:ext>
          </c:extLst>
        </c:ser>
        <c:ser>
          <c:idx val="5"/>
          <c:order val="5"/>
          <c:tx>
            <c:strRef>
              <c:f>Sheet4!$P$1</c:f>
              <c:strCache>
                <c:ptCount val="1"/>
                <c:pt idx="0">
                  <c:v>Heroin/morphine</c:v>
                </c:pt>
              </c:strCache>
            </c:strRef>
          </c:tx>
          <c:spPr>
            <a:solidFill>
              <a:schemeClr val="accent1"/>
            </a:solidFill>
            <a:ln>
              <a:noFill/>
            </a:ln>
            <a:effectLst/>
          </c:spPr>
          <c:cat>
            <c:numRef>
              <c:f>Sheet4!$J$2:$J$23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Sheet4!$P$2:$P$23</c:f>
              <c:numCache>
                <c:formatCode>General</c:formatCode>
                <c:ptCount val="22"/>
                <c:pt idx="0">
                  <c:v>215</c:v>
                </c:pt>
                <c:pt idx="1">
                  <c:v>227</c:v>
                </c:pt>
                <c:pt idx="2">
                  <c:v>305</c:v>
                </c:pt>
                <c:pt idx="3">
                  <c:v>362</c:v>
                </c:pt>
                <c:pt idx="4">
                  <c:v>367</c:v>
                </c:pt>
                <c:pt idx="5">
                  <c:v>428</c:v>
                </c:pt>
                <c:pt idx="6">
                  <c:v>383</c:v>
                </c:pt>
                <c:pt idx="7">
                  <c:v>279</c:v>
                </c:pt>
                <c:pt idx="8">
                  <c:v>272</c:v>
                </c:pt>
                <c:pt idx="9">
                  <c:v>256</c:v>
                </c:pt>
                <c:pt idx="10">
                  <c:v>221</c:v>
                </c:pt>
                <c:pt idx="11">
                  <c:v>240</c:v>
                </c:pt>
                <c:pt idx="12">
                  <c:v>233</c:v>
                </c:pt>
                <c:pt idx="13">
                  <c:v>223</c:v>
                </c:pt>
                <c:pt idx="14">
                  <c:v>175</c:v>
                </c:pt>
                <c:pt idx="15">
                  <c:v>119</c:v>
                </c:pt>
                <c:pt idx="16">
                  <c:v>95</c:v>
                </c:pt>
                <c:pt idx="17">
                  <c:v>124</c:v>
                </c:pt>
                <c:pt idx="18">
                  <c:v>136</c:v>
                </c:pt>
                <c:pt idx="19">
                  <c:v>154</c:v>
                </c:pt>
                <c:pt idx="20">
                  <c:v>161</c:v>
                </c:pt>
                <c:pt idx="21">
                  <c:v>136</c:v>
                </c:pt>
              </c:numCache>
            </c:numRef>
          </c:val>
          <c:extLst>
            <c:ext xmlns:c16="http://schemas.microsoft.com/office/drawing/2014/chart" uri="{C3380CC4-5D6E-409C-BE32-E72D297353CC}">
              <c16:uniqueId val="{00000005-3280-431E-9CAE-7317318852BE}"/>
            </c:ext>
          </c:extLst>
        </c:ser>
        <c:dLbls>
          <c:showLegendKey val="0"/>
          <c:showVal val="0"/>
          <c:showCatName val="0"/>
          <c:showSerName val="0"/>
          <c:showPercent val="0"/>
          <c:showBubbleSize val="0"/>
        </c:dLbls>
        <c:axId val="2091735576"/>
        <c:axId val="2091739256"/>
      </c:areaChart>
      <c:catAx>
        <c:axId val="2091735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739256"/>
        <c:crosses val="autoZero"/>
        <c:auto val="1"/>
        <c:lblAlgn val="ctr"/>
        <c:lblOffset val="100"/>
        <c:noMultiLvlLbl val="0"/>
      </c:catAx>
      <c:valAx>
        <c:axId val="2091739256"/>
        <c:scaling>
          <c:orientation val="minMax"/>
          <c:max val="17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735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'Themes (3)'!$B$16</c:f>
              <c:strCache>
                <c:ptCount val="1"/>
                <c:pt idx="0">
                  <c:v>Pre-ban</c:v>
                </c:pt>
              </c:strCache>
            </c:strRef>
          </c:tx>
          <c:spPr>
            <a:solidFill>
              <a:schemeClr val="accent1"/>
            </a:solidFill>
            <a:ln>
              <a:noFill/>
            </a:ln>
            <a:effectLst/>
          </c:spPr>
          <c:invertIfNegative val="0"/>
          <c:cat>
            <c:strRef>
              <c:f>'Themes (3)'!$A$17:$A$26</c:f>
              <c:strCache>
                <c:ptCount val="10"/>
                <c:pt idx="0">
                  <c:v>Accessibility  </c:v>
                </c:pt>
                <c:pt idx="1">
                  <c:v>Legal status</c:v>
                </c:pt>
                <c:pt idx="2">
                  <c:v>Risk perception</c:v>
                </c:pt>
                <c:pt idx="3">
                  <c:v>Authority</c:v>
                </c:pt>
                <c:pt idx="4">
                  <c:v>Pleasure</c:v>
                </c:pt>
                <c:pt idx="5">
                  <c:v>Social influences</c:v>
                </c:pt>
                <c:pt idx="6">
                  <c:v>Identity</c:v>
                </c:pt>
                <c:pt idx="7">
                  <c:v>Curiosity</c:v>
                </c:pt>
                <c:pt idx="8">
                  <c:v>Coping </c:v>
                </c:pt>
                <c:pt idx="9">
                  <c:v>Substitution</c:v>
                </c:pt>
              </c:strCache>
            </c:strRef>
          </c:cat>
          <c:val>
            <c:numRef>
              <c:f>'Themes (3)'!$B$17:$B$26</c:f>
              <c:numCache>
                <c:formatCode>General</c:formatCode>
                <c:ptCount val="10"/>
                <c:pt idx="0">
                  <c:v>79</c:v>
                </c:pt>
                <c:pt idx="1">
                  <c:v>65</c:v>
                </c:pt>
                <c:pt idx="2">
                  <c:v>62</c:v>
                </c:pt>
                <c:pt idx="3">
                  <c:v>51</c:v>
                </c:pt>
                <c:pt idx="4">
                  <c:v>46</c:v>
                </c:pt>
                <c:pt idx="5">
                  <c:v>42</c:v>
                </c:pt>
                <c:pt idx="6">
                  <c:v>37</c:v>
                </c:pt>
                <c:pt idx="7">
                  <c:v>35</c:v>
                </c:pt>
                <c:pt idx="8">
                  <c:v>33</c:v>
                </c:pt>
                <c:pt idx="9">
                  <c:v>22</c:v>
                </c:pt>
              </c:numCache>
            </c:numRef>
          </c:val>
          <c:extLst>
            <c:ext xmlns:c16="http://schemas.microsoft.com/office/drawing/2014/chart" uri="{C3380CC4-5D6E-409C-BE32-E72D297353CC}">
              <c16:uniqueId val="{00000000-14A8-4E71-8522-6178DC511613}"/>
            </c:ext>
          </c:extLst>
        </c:ser>
        <c:ser>
          <c:idx val="1"/>
          <c:order val="1"/>
          <c:tx>
            <c:strRef>
              <c:f>'Themes (3)'!$C$16</c:f>
              <c:strCache>
                <c:ptCount val="1"/>
                <c:pt idx="0">
                  <c:v>Post-ban</c:v>
                </c:pt>
              </c:strCache>
            </c:strRef>
          </c:tx>
          <c:spPr>
            <a:solidFill>
              <a:schemeClr val="accent3"/>
            </a:solidFill>
            <a:ln>
              <a:noFill/>
            </a:ln>
            <a:effectLst/>
          </c:spPr>
          <c:invertIfNegative val="0"/>
          <c:cat>
            <c:strRef>
              <c:f>'Themes (3)'!$A$17:$A$26</c:f>
              <c:strCache>
                <c:ptCount val="10"/>
                <c:pt idx="0">
                  <c:v>Accessibility  </c:v>
                </c:pt>
                <c:pt idx="1">
                  <c:v>Legal status</c:v>
                </c:pt>
                <c:pt idx="2">
                  <c:v>Risk perception</c:v>
                </c:pt>
                <c:pt idx="3">
                  <c:v>Authority</c:v>
                </c:pt>
                <c:pt idx="4">
                  <c:v>Pleasure</c:v>
                </c:pt>
                <c:pt idx="5">
                  <c:v>Social influences</c:v>
                </c:pt>
                <c:pt idx="6">
                  <c:v>Identity</c:v>
                </c:pt>
                <c:pt idx="7">
                  <c:v>Curiosity</c:v>
                </c:pt>
                <c:pt idx="8">
                  <c:v>Coping </c:v>
                </c:pt>
                <c:pt idx="9">
                  <c:v>Substitution</c:v>
                </c:pt>
              </c:strCache>
            </c:strRef>
          </c:cat>
          <c:val>
            <c:numRef>
              <c:f>'Themes (3)'!$C$17:$C$26</c:f>
              <c:numCache>
                <c:formatCode>General</c:formatCode>
                <c:ptCount val="10"/>
                <c:pt idx="0">
                  <c:v>36</c:v>
                </c:pt>
                <c:pt idx="1">
                  <c:v>43</c:v>
                </c:pt>
                <c:pt idx="2">
                  <c:v>65</c:v>
                </c:pt>
                <c:pt idx="3">
                  <c:v>24</c:v>
                </c:pt>
                <c:pt idx="4">
                  <c:v>23</c:v>
                </c:pt>
                <c:pt idx="5">
                  <c:v>75</c:v>
                </c:pt>
                <c:pt idx="6">
                  <c:v>19</c:v>
                </c:pt>
                <c:pt idx="7">
                  <c:v>24</c:v>
                </c:pt>
                <c:pt idx="8">
                  <c:v>89</c:v>
                </c:pt>
                <c:pt idx="9">
                  <c:v>25</c:v>
                </c:pt>
              </c:numCache>
            </c:numRef>
          </c:val>
          <c:extLst>
            <c:ext xmlns:c16="http://schemas.microsoft.com/office/drawing/2014/chart" uri="{C3380CC4-5D6E-409C-BE32-E72D297353CC}">
              <c16:uniqueId val="{00000001-14A8-4E71-8522-6178DC511613}"/>
            </c:ext>
          </c:extLst>
        </c:ser>
        <c:dLbls>
          <c:showLegendKey val="0"/>
          <c:showVal val="0"/>
          <c:showCatName val="0"/>
          <c:showSerName val="0"/>
          <c:showPercent val="0"/>
          <c:showBubbleSize val="0"/>
        </c:dLbls>
        <c:gapWidth val="219"/>
        <c:overlap val="-27"/>
        <c:axId val="2126669304"/>
        <c:axId val="2126347672"/>
      </c:barChart>
      <c:catAx>
        <c:axId val="212666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347672"/>
        <c:crosses val="autoZero"/>
        <c:auto val="1"/>
        <c:lblAlgn val="ctr"/>
        <c:lblOffset val="100"/>
        <c:noMultiLvlLbl val="0"/>
      </c:catAx>
      <c:valAx>
        <c:axId val="2126347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a:t>
                </a:r>
                <a:r>
                  <a:rPr lang="en-GB" baseline="0"/>
                  <a:t> of refernces  </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666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'Themes (3)'!$B$30</c:f>
              <c:strCache>
                <c:ptCount val="1"/>
                <c:pt idx="0">
                  <c:v>Pre-ban</c:v>
                </c:pt>
              </c:strCache>
            </c:strRef>
          </c:tx>
          <c:spPr>
            <a:solidFill>
              <a:schemeClr val="accent1"/>
            </a:solidFill>
            <a:ln>
              <a:noFill/>
            </a:ln>
            <a:effectLst/>
          </c:spPr>
          <c:invertIfNegative val="0"/>
          <c:cat>
            <c:strRef>
              <c:f>'Themes (3)'!$A$31:$A$38</c:f>
              <c:strCache>
                <c:ptCount val="8"/>
                <c:pt idx="0">
                  <c:v>Risk perception</c:v>
                </c:pt>
                <c:pt idx="1">
                  <c:v>Substitution </c:v>
                </c:pt>
                <c:pt idx="2">
                  <c:v>Pleasure </c:v>
                </c:pt>
                <c:pt idx="3">
                  <c:v>Authority</c:v>
                </c:pt>
                <c:pt idx="4">
                  <c:v>Identity</c:v>
                </c:pt>
                <c:pt idx="5">
                  <c:v>Social influences</c:v>
                </c:pt>
                <c:pt idx="6">
                  <c:v>Accessibility  </c:v>
                </c:pt>
                <c:pt idx="7">
                  <c:v>Legal status</c:v>
                </c:pt>
              </c:strCache>
            </c:strRef>
          </c:cat>
          <c:val>
            <c:numRef>
              <c:f>'Themes (3)'!$B$31:$B$38</c:f>
              <c:numCache>
                <c:formatCode>General</c:formatCode>
                <c:ptCount val="8"/>
                <c:pt idx="0">
                  <c:v>160</c:v>
                </c:pt>
                <c:pt idx="1">
                  <c:v>36</c:v>
                </c:pt>
                <c:pt idx="2">
                  <c:v>27</c:v>
                </c:pt>
                <c:pt idx="3">
                  <c:v>23</c:v>
                </c:pt>
                <c:pt idx="4">
                  <c:v>21</c:v>
                </c:pt>
                <c:pt idx="5">
                  <c:v>8</c:v>
                </c:pt>
                <c:pt idx="6">
                  <c:v>3</c:v>
                </c:pt>
                <c:pt idx="7">
                  <c:v>0</c:v>
                </c:pt>
              </c:numCache>
            </c:numRef>
          </c:val>
          <c:extLst>
            <c:ext xmlns:c16="http://schemas.microsoft.com/office/drawing/2014/chart" uri="{C3380CC4-5D6E-409C-BE32-E72D297353CC}">
              <c16:uniqueId val="{00000000-5DD0-4B98-9F98-43B40A7BF135}"/>
            </c:ext>
          </c:extLst>
        </c:ser>
        <c:ser>
          <c:idx val="1"/>
          <c:order val="1"/>
          <c:tx>
            <c:strRef>
              <c:f>'Themes (3)'!$C$30</c:f>
              <c:strCache>
                <c:ptCount val="1"/>
                <c:pt idx="0">
                  <c:v>Post-ban</c:v>
                </c:pt>
              </c:strCache>
            </c:strRef>
          </c:tx>
          <c:spPr>
            <a:solidFill>
              <a:schemeClr val="accent3"/>
            </a:solidFill>
            <a:ln>
              <a:noFill/>
            </a:ln>
            <a:effectLst/>
          </c:spPr>
          <c:invertIfNegative val="0"/>
          <c:cat>
            <c:strRef>
              <c:f>'Themes (3)'!$A$31:$A$38</c:f>
              <c:strCache>
                <c:ptCount val="8"/>
                <c:pt idx="0">
                  <c:v>Risk perception</c:v>
                </c:pt>
                <c:pt idx="1">
                  <c:v>Substitution </c:v>
                </c:pt>
                <c:pt idx="2">
                  <c:v>Pleasure </c:v>
                </c:pt>
                <c:pt idx="3">
                  <c:v>Authority</c:v>
                </c:pt>
                <c:pt idx="4">
                  <c:v>Identity</c:v>
                </c:pt>
                <c:pt idx="5">
                  <c:v>Social influences</c:v>
                </c:pt>
                <c:pt idx="6">
                  <c:v>Accessibility  </c:v>
                </c:pt>
                <c:pt idx="7">
                  <c:v>Legal status</c:v>
                </c:pt>
              </c:strCache>
            </c:strRef>
          </c:cat>
          <c:val>
            <c:numRef>
              <c:f>'Themes (3)'!$C$31:$C$38</c:f>
              <c:numCache>
                <c:formatCode>General</c:formatCode>
                <c:ptCount val="8"/>
                <c:pt idx="0">
                  <c:v>182</c:v>
                </c:pt>
                <c:pt idx="1">
                  <c:v>33</c:v>
                </c:pt>
                <c:pt idx="2">
                  <c:v>9</c:v>
                </c:pt>
                <c:pt idx="3">
                  <c:v>27</c:v>
                </c:pt>
                <c:pt idx="4">
                  <c:v>35</c:v>
                </c:pt>
                <c:pt idx="5">
                  <c:v>8</c:v>
                </c:pt>
                <c:pt idx="6">
                  <c:v>23</c:v>
                </c:pt>
                <c:pt idx="7">
                  <c:v>17</c:v>
                </c:pt>
              </c:numCache>
            </c:numRef>
          </c:val>
          <c:extLst>
            <c:ext xmlns:c16="http://schemas.microsoft.com/office/drawing/2014/chart" uri="{C3380CC4-5D6E-409C-BE32-E72D297353CC}">
              <c16:uniqueId val="{00000001-5DD0-4B98-9F98-43B40A7BF135}"/>
            </c:ext>
          </c:extLst>
        </c:ser>
        <c:dLbls>
          <c:showLegendKey val="0"/>
          <c:showVal val="0"/>
          <c:showCatName val="0"/>
          <c:showSerName val="0"/>
          <c:showPercent val="0"/>
          <c:showBubbleSize val="0"/>
        </c:dLbls>
        <c:gapWidth val="219"/>
        <c:overlap val="-27"/>
        <c:axId val="2070434456"/>
        <c:axId val="2070438040"/>
      </c:barChart>
      <c:catAx>
        <c:axId val="207043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438040"/>
        <c:crosses val="autoZero"/>
        <c:auto val="1"/>
        <c:lblAlgn val="ctr"/>
        <c:lblOffset val="100"/>
        <c:noMultiLvlLbl val="0"/>
      </c:catAx>
      <c:valAx>
        <c:axId val="207043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refernces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434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71834226255901E-2"/>
          <c:y val="3.10427543389304E-2"/>
          <c:w val="0.88338526264841999"/>
          <c:h val="0.63777616551987704"/>
        </c:manualLayout>
      </c:layout>
      <c:barChart>
        <c:barDir val="col"/>
        <c:grouping val="stacked"/>
        <c:varyColors val="0"/>
        <c:ser>
          <c:idx val="0"/>
          <c:order val="0"/>
          <c:tx>
            <c:strRef>
              <c:f>'Comp both'!$B$119</c:f>
              <c:strCache>
                <c:ptCount val="1"/>
                <c:pt idx="0">
                  <c:v>Anyone could be a user</c:v>
                </c:pt>
              </c:strCache>
            </c:strRef>
          </c:tx>
          <c:spPr>
            <a:solidFill>
              <a:schemeClr val="accent1"/>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both'!$C$119:$F$119</c:f>
              <c:numCache>
                <c:formatCode>General</c:formatCode>
                <c:ptCount val="4"/>
                <c:pt idx="0">
                  <c:v>13</c:v>
                </c:pt>
                <c:pt idx="1">
                  <c:v>5</c:v>
                </c:pt>
                <c:pt idx="2">
                  <c:v>0</c:v>
                </c:pt>
                <c:pt idx="3">
                  <c:v>0</c:v>
                </c:pt>
              </c:numCache>
            </c:numRef>
          </c:val>
          <c:extLst>
            <c:ext xmlns:c16="http://schemas.microsoft.com/office/drawing/2014/chart" uri="{C3380CC4-5D6E-409C-BE32-E72D297353CC}">
              <c16:uniqueId val="{00000000-A992-457E-BEFF-A4B1E972AF4C}"/>
            </c:ext>
          </c:extLst>
        </c:ser>
        <c:ser>
          <c:idx val="1"/>
          <c:order val="1"/>
          <c:tx>
            <c:strRef>
              <c:f>'Comp both'!$B$120</c:f>
              <c:strCache>
                <c:ptCount val="1"/>
                <c:pt idx="0">
                  <c:v>Smart / clued up</c:v>
                </c:pt>
              </c:strCache>
            </c:strRef>
          </c:tx>
          <c:spPr>
            <a:solidFill>
              <a:srgbClr val="C00000"/>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both'!$C$120:$F$120</c:f>
              <c:numCache>
                <c:formatCode>General</c:formatCode>
                <c:ptCount val="4"/>
                <c:pt idx="0">
                  <c:v>0</c:v>
                </c:pt>
                <c:pt idx="1">
                  <c:v>0</c:v>
                </c:pt>
                <c:pt idx="2">
                  <c:v>7</c:v>
                </c:pt>
                <c:pt idx="3">
                  <c:v>2</c:v>
                </c:pt>
              </c:numCache>
            </c:numRef>
          </c:val>
          <c:extLst>
            <c:ext xmlns:c16="http://schemas.microsoft.com/office/drawing/2014/chart" uri="{C3380CC4-5D6E-409C-BE32-E72D297353CC}">
              <c16:uniqueId val="{00000001-A992-457E-BEFF-A4B1E972AF4C}"/>
            </c:ext>
          </c:extLst>
        </c:ser>
        <c:ser>
          <c:idx val="2"/>
          <c:order val="2"/>
          <c:tx>
            <c:strRef>
              <c:f>'Comp both'!$B$121</c:f>
              <c:strCache>
                <c:ptCount val="1"/>
                <c:pt idx="0">
                  <c:v>Homeless people</c:v>
                </c:pt>
              </c:strCache>
            </c:strRef>
          </c:tx>
          <c:spPr>
            <a:solidFill>
              <a:schemeClr val="accent3"/>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both'!$C$121:$F$121</c:f>
              <c:numCache>
                <c:formatCode>General</c:formatCode>
                <c:ptCount val="4"/>
                <c:pt idx="0">
                  <c:v>7</c:v>
                </c:pt>
                <c:pt idx="1">
                  <c:v>22</c:v>
                </c:pt>
                <c:pt idx="2">
                  <c:v>0</c:v>
                </c:pt>
                <c:pt idx="3">
                  <c:v>0</c:v>
                </c:pt>
              </c:numCache>
            </c:numRef>
          </c:val>
          <c:extLst>
            <c:ext xmlns:c16="http://schemas.microsoft.com/office/drawing/2014/chart" uri="{C3380CC4-5D6E-409C-BE32-E72D297353CC}">
              <c16:uniqueId val="{00000002-A992-457E-BEFF-A4B1E972AF4C}"/>
            </c:ext>
          </c:extLst>
        </c:ser>
        <c:ser>
          <c:idx val="3"/>
          <c:order val="3"/>
          <c:tx>
            <c:strRef>
              <c:f>'Comp both'!$B$122</c:f>
              <c:strCache>
                <c:ptCount val="1"/>
                <c:pt idx="0">
                  <c:v>Straight / scared</c:v>
                </c:pt>
              </c:strCache>
            </c:strRef>
          </c:tx>
          <c:spPr>
            <a:solidFill>
              <a:schemeClr val="accent6"/>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both'!$C$122:$F$122</c:f>
              <c:numCache>
                <c:formatCode>General</c:formatCode>
                <c:ptCount val="4"/>
                <c:pt idx="0">
                  <c:v>0</c:v>
                </c:pt>
                <c:pt idx="1">
                  <c:v>0</c:v>
                </c:pt>
                <c:pt idx="2">
                  <c:v>5</c:v>
                </c:pt>
                <c:pt idx="3">
                  <c:v>3</c:v>
                </c:pt>
              </c:numCache>
            </c:numRef>
          </c:val>
          <c:extLst>
            <c:ext xmlns:c16="http://schemas.microsoft.com/office/drawing/2014/chart" uri="{C3380CC4-5D6E-409C-BE32-E72D297353CC}">
              <c16:uniqueId val="{00000003-A992-457E-BEFF-A4B1E972AF4C}"/>
            </c:ext>
          </c:extLst>
        </c:ser>
        <c:ser>
          <c:idx val="4"/>
          <c:order val="4"/>
          <c:tx>
            <c:strRef>
              <c:f>'Comp both'!$B$123</c:f>
              <c:strCache>
                <c:ptCount val="1"/>
                <c:pt idx="0">
                  <c:v>Good backgrounds</c:v>
                </c:pt>
              </c:strCache>
            </c:strRef>
          </c:tx>
          <c:spPr>
            <a:solidFill>
              <a:schemeClr val="tx2"/>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both'!$C$123:$F$123</c:f>
              <c:numCache>
                <c:formatCode>General</c:formatCode>
                <c:ptCount val="4"/>
                <c:pt idx="0">
                  <c:v>19</c:v>
                </c:pt>
                <c:pt idx="1">
                  <c:v>0</c:v>
                </c:pt>
                <c:pt idx="2">
                  <c:v>0</c:v>
                </c:pt>
                <c:pt idx="3">
                  <c:v>0</c:v>
                </c:pt>
              </c:numCache>
            </c:numRef>
          </c:val>
          <c:extLst>
            <c:ext xmlns:c16="http://schemas.microsoft.com/office/drawing/2014/chart" uri="{C3380CC4-5D6E-409C-BE32-E72D297353CC}">
              <c16:uniqueId val="{00000004-A992-457E-BEFF-A4B1E972AF4C}"/>
            </c:ext>
          </c:extLst>
        </c:ser>
        <c:ser>
          <c:idx val="5"/>
          <c:order val="5"/>
          <c:tx>
            <c:strRef>
              <c:f>'Comp both'!$B$124</c:f>
              <c:strCache>
                <c:ptCount val="1"/>
                <c:pt idx="0">
                  <c:v>Rich kids use better drugs</c:v>
                </c:pt>
              </c:strCache>
            </c:strRef>
          </c:tx>
          <c:spPr>
            <a:solidFill>
              <a:schemeClr val="accent4">
                <a:lumMod val="60000"/>
                <a:lumOff val="40000"/>
              </a:schemeClr>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both'!$C$124:$F$124</c:f>
              <c:numCache>
                <c:formatCode>General</c:formatCode>
                <c:ptCount val="4"/>
                <c:pt idx="0">
                  <c:v>0</c:v>
                </c:pt>
                <c:pt idx="1">
                  <c:v>0</c:v>
                </c:pt>
                <c:pt idx="2">
                  <c:v>0</c:v>
                </c:pt>
                <c:pt idx="3" formatCode="0.00">
                  <c:v>7</c:v>
                </c:pt>
              </c:numCache>
            </c:numRef>
          </c:val>
          <c:extLst>
            <c:ext xmlns:c16="http://schemas.microsoft.com/office/drawing/2014/chart" uri="{C3380CC4-5D6E-409C-BE32-E72D297353CC}">
              <c16:uniqueId val="{00000005-A992-457E-BEFF-A4B1E972AF4C}"/>
            </c:ext>
          </c:extLst>
        </c:ser>
        <c:ser>
          <c:idx val="6"/>
          <c:order val="6"/>
          <c:tx>
            <c:strRef>
              <c:f>'Comp both'!$B$125</c:f>
              <c:strCache>
                <c:ptCount val="1"/>
                <c:pt idx="0">
                  <c:v>Underage kids</c:v>
                </c:pt>
              </c:strCache>
            </c:strRef>
          </c:tx>
          <c:spPr>
            <a:solidFill>
              <a:schemeClr val="accent5"/>
            </a:solidFill>
            <a:ln>
              <a:noFill/>
            </a:ln>
            <a:effectLst/>
          </c:spPr>
          <c:invertIfNegative val="0"/>
          <c:cat>
            <c:multiLvlStrRef>
              <c:f>'Comp both'!$C$117:$F$118</c:f>
              <c:multiLvlStrCache>
                <c:ptCount val="4"/>
                <c:lvl>
                  <c:pt idx="0">
                    <c:v>Pre-ban</c:v>
                  </c:pt>
                  <c:pt idx="1">
                    <c:v>Post-ban</c:v>
                  </c:pt>
                  <c:pt idx="2">
                    <c:v>Pre-ban</c:v>
                  </c:pt>
                  <c:pt idx="3">
                    <c:v>Post-ban</c:v>
                  </c:pt>
                </c:lvl>
                <c:lvl>
                  <c:pt idx="0">
                    <c:v>NPS users</c:v>
                  </c:pt>
                  <c:pt idx="2">
                    <c:v>Non-users</c:v>
                  </c:pt>
                </c:lvl>
              </c:multiLvlStrCache>
            </c:multiLvlStrRef>
          </c:cat>
          <c:val>
            <c:numRef>
              <c:f>'Comp both'!$C$125:$F$125</c:f>
              <c:numCache>
                <c:formatCode>General</c:formatCode>
                <c:ptCount val="4"/>
                <c:pt idx="0">
                  <c:v>4</c:v>
                </c:pt>
                <c:pt idx="1">
                  <c:v>0</c:v>
                </c:pt>
                <c:pt idx="2">
                  <c:v>0</c:v>
                </c:pt>
                <c:pt idx="3">
                  <c:v>0</c:v>
                </c:pt>
              </c:numCache>
            </c:numRef>
          </c:val>
          <c:extLst>
            <c:ext xmlns:c16="http://schemas.microsoft.com/office/drawing/2014/chart" uri="{C3380CC4-5D6E-409C-BE32-E72D297353CC}">
              <c16:uniqueId val="{00000006-A992-457E-BEFF-A4B1E972AF4C}"/>
            </c:ext>
          </c:extLst>
        </c:ser>
        <c:dLbls>
          <c:showLegendKey val="0"/>
          <c:showVal val="0"/>
          <c:showCatName val="0"/>
          <c:showSerName val="0"/>
          <c:showPercent val="0"/>
          <c:showBubbleSize val="0"/>
        </c:dLbls>
        <c:gapWidth val="70"/>
        <c:overlap val="100"/>
        <c:axId val="2070525992"/>
        <c:axId val="2070529464"/>
      </c:barChart>
      <c:catAx>
        <c:axId val="207052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529464"/>
        <c:crosses val="autoZero"/>
        <c:auto val="1"/>
        <c:lblAlgn val="ctr"/>
        <c:lblOffset val="100"/>
        <c:noMultiLvlLbl val="0"/>
      </c:catAx>
      <c:valAx>
        <c:axId val="2070529464"/>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Number of references</a:t>
                </a:r>
              </a:p>
            </c:rich>
          </c:tx>
          <c:layout>
            <c:manualLayout>
              <c:xMode val="edge"/>
              <c:yMode val="edge"/>
              <c:x val="1.17295119025915E-2"/>
              <c:y val="0.2184505510255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525992"/>
        <c:crosses val="autoZero"/>
        <c:crossBetween val="between"/>
      </c:valAx>
      <c:spPr>
        <a:noFill/>
        <a:ln>
          <a:noFill/>
        </a:ln>
        <a:effectLst/>
      </c:spPr>
    </c:plotArea>
    <c:legend>
      <c:legendPos val="b"/>
      <c:layout>
        <c:manualLayout>
          <c:xMode val="edge"/>
          <c:yMode val="edge"/>
          <c:x val="0.26972775739757698"/>
          <c:y val="0.79471228788654802"/>
          <c:w val="0.48754047992988497"/>
          <c:h val="0.203178715825472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'Raw data (2)'!$A$113</c:f>
              <c:strCache>
                <c:ptCount val="1"/>
                <c:pt idx="0">
                  <c:v>Friend/ neighbour/ colleague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(2)'!$B$112:$C$112</c:f>
              <c:strCache>
                <c:ptCount val="2"/>
                <c:pt idx="0">
                  <c:v>NPS</c:v>
                </c:pt>
                <c:pt idx="1">
                  <c:v>Illicit drugs</c:v>
                </c:pt>
              </c:strCache>
            </c:strRef>
          </c:cat>
          <c:val>
            <c:numRef>
              <c:f>'Raw data (2)'!$B$113:$C$113</c:f>
              <c:numCache>
                <c:formatCode>General</c:formatCode>
                <c:ptCount val="2"/>
                <c:pt idx="0">
                  <c:v>11</c:v>
                </c:pt>
                <c:pt idx="1">
                  <c:v>27</c:v>
                </c:pt>
              </c:numCache>
            </c:numRef>
          </c:val>
          <c:extLst>
            <c:ext xmlns:c16="http://schemas.microsoft.com/office/drawing/2014/chart" uri="{C3380CC4-5D6E-409C-BE32-E72D297353CC}">
              <c16:uniqueId val="{00000000-C60E-4E19-BA7A-0C209361BC40}"/>
            </c:ext>
          </c:extLst>
        </c:ser>
        <c:ser>
          <c:idx val="1"/>
          <c:order val="1"/>
          <c:tx>
            <c:strRef>
              <c:f>'Raw data (2)'!$A$114</c:f>
              <c:strCache>
                <c:ptCount val="1"/>
                <c:pt idx="0">
                  <c:v>Dealer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(2)'!$B$112:$C$112</c:f>
              <c:strCache>
                <c:ptCount val="2"/>
                <c:pt idx="0">
                  <c:v>NPS</c:v>
                </c:pt>
                <c:pt idx="1">
                  <c:v>Illicit drugs</c:v>
                </c:pt>
              </c:strCache>
            </c:strRef>
          </c:cat>
          <c:val>
            <c:numRef>
              <c:f>'Raw data (2)'!$B$114:$C$114</c:f>
              <c:numCache>
                <c:formatCode>General</c:formatCode>
                <c:ptCount val="2"/>
                <c:pt idx="0">
                  <c:v>20</c:v>
                </c:pt>
                <c:pt idx="1">
                  <c:v>24</c:v>
                </c:pt>
              </c:numCache>
            </c:numRef>
          </c:val>
          <c:extLst>
            <c:ext xmlns:c16="http://schemas.microsoft.com/office/drawing/2014/chart" uri="{C3380CC4-5D6E-409C-BE32-E72D297353CC}">
              <c16:uniqueId val="{00000001-C60E-4E19-BA7A-0C209361BC40}"/>
            </c:ext>
          </c:extLst>
        </c:ser>
        <c:ser>
          <c:idx val="2"/>
          <c:order val="2"/>
          <c:tx>
            <c:strRef>
              <c:f>'Raw data (2)'!$A$115</c:f>
              <c:strCache>
                <c:ptCount val="1"/>
                <c:pt idx="0">
                  <c:v>Internet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(2)'!$B$112:$C$112</c:f>
              <c:strCache>
                <c:ptCount val="2"/>
                <c:pt idx="0">
                  <c:v>NPS</c:v>
                </c:pt>
                <c:pt idx="1">
                  <c:v>Illicit drugs</c:v>
                </c:pt>
              </c:strCache>
            </c:strRef>
          </c:cat>
          <c:val>
            <c:numRef>
              <c:f>'Raw data (2)'!$B$115:$C$115</c:f>
              <c:numCache>
                <c:formatCode>General</c:formatCode>
                <c:ptCount val="2"/>
                <c:pt idx="0">
                  <c:v>37</c:v>
                </c:pt>
                <c:pt idx="1">
                  <c:v>1</c:v>
                </c:pt>
              </c:numCache>
            </c:numRef>
          </c:val>
          <c:extLst>
            <c:ext xmlns:c16="http://schemas.microsoft.com/office/drawing/2014/chart" uri="{C3380CC4-5D6E-409C-BE32-E72D297353CC}">
              <c16:uniqueId val="{00000002-C60E-4E19-BA7A-0C209361BC40}"/>
            </c:ext>
          </c:extLst>
        </c:ser>
        <c:ser>
          <c:idx val="3"/>
          <c:order val="3"/>
          <c:tx>
            <c:strRef>
              <c:f>'Raw data (2)'!$A$116</c:f>
              <c:strCache>
                <c:ptCount val="1"/>
                <c:pt idx="0">
                  <c:v>Stranger/ aquaintance/ family member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(2)'!$B$112:$C$112</c:f>
              <c:strCache>
                <c:ptCount val="2"/>
                <c:pt idx="0">
                  <c:v>NPS</c:v>
                </c:pt>
                <c:pt idx="1">
                  <c:v>Illicit drugs</c:v>
                </c:pt>
              </c:strCache>
            </c:strRef>
          </c:cat>
          <c:val>
            <c:numRef>
              <c:f>'Raw data (2)'!$B$116:$C$116</c:f>
              <c:numCache>
                <c:formatCode>General</c:formatCode>
                <c:ptCount val="2"/>
                <c:pt idx="0">
                  <c:v>6</c:v>
                </c:pt>
                <c:pt idx="1">
                  <c:v>11</c:v>
                </c:pt>
              </c:numCache>
            </c:numRef>
          </c:val>
          <c:extLst>
            <c:ext xmlns:c16="http://schemas.microsoft.com/office/drawing/2014/chart" uri="{C3380CC4-5D6E-409C-BE32-E72D297353CC}">
              <c16:uniqueId val="{00000003-C60E-4E19-BA7A-0C209361BC40}"/>
            </c:ext>
          </c:extLst>
        </c:ser>
        <c:ser>
          <c:idx val="4"/>
          <c:order val="4"/>
          <c:tx>
            <c:strRef>
              <c:f>'Raw data (2)'!$A$117</c:f>
              <c:strCache>
                <c:ptCount val="1"/>
                <c:pt idx="0">
                  <c:v>Don't know/ want to answer</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(2)'!$B$112:$C$112</c:f>
              <c:strCache>
                <c:ptCount val="2"/>
                <c:pt idx="0">
                  <c:v>NPS</c:v>
                </c:pt>
                <c:pt idx="1">
                  <c:v>Illicit drugs</c:v>
                </c:pt>
              </c:strCache>
            </c:strRef>
          </c:cat>
          <c:val>
            <c:numRef>
              <c:f>'Raw data (2)'!$B$117:$C$117</c:f>
              <c:numCache>
                <c:formatCode>General</c:formatCode>
                <c:ptCount val="2"/>
                <c:pt idx="0">
                  <c:v>26</c:v>
                </c:pt>
                <c:pt idx="1">
                  <c:v>36</c:v>
                </c:pt>
              </c:numCache>
            </c:numRef>
          </c:val>
          <c:extLst>
            <c:ext xmlns:c16="http://schemas.microsoft.com/office/drawing/2014/chart" uri="{C3380CC4-5D6E-409C-BE32-E72D297353CC}">
              <c16:uniqueId val="{00000004-C60E-4E19-BA7A-0C209361BC40}"/>
            </c:ext>
          </c:extLst>
        </c:ser>
        <c:dLbls>
          <c:dLblPos val="ctr"/>
          <c:showLegendKey val="0"/>
          <c:showVal val="1"/>
          <c:showCatName val="0"/>
          <c:showSerName val="0"/>
          <c:showPercent val="0"/>
          <c:showBubbleSize val="0"/>
        </c:dLbls>
        <c:gapWidth val="150"/>
        <c:overlap val="100"/>
        <c:axId val="2090590040"/>
        <c:axId val="2090593576"/>
      </c:barChart>
      <c:catAx>
        <c:axId val="209059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593576"/>
        <c:crosses val="autoZero"/>
        <c:auto val="1"/>
        <c:lblAlgn val="ctr"/>
        <c:lblOffset val="100"/>
        <c:noMultiLvlLbl val="0"/>
      </c:catAx>
      <c:valAx>
        <c:axId val="209059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a:t>
                </a:r>
                <a:r>
                  <a:rPr lang="en-GB" baseline="0"/>
                  <a:t> of last year NPS users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590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'Raw data (2)'!$N$57</c:f>
              <c:strCache>
                <c:ptCount val="1"/>
                <c:pt idx="0">
                  <c:v>Herbal smoking mixture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(2)'!$O$56:$P$56</c:f>
              <c:strCache>
                <c:ptCount val="2"/>
                <c:pt idx="0">
                  <c:v>2014/15</c:v>
                </c:pt>
                <c:pt idx="1">
                  <c:v>2017/18</c:v>
                </c:pt>
              </c:strCache>
            </c:strRef>
          </c:cat>
          <c:val>
            <c:numRef>
              <c:f>'Raw data (2)'!$O$57:$P$57</c:f>
              <c:numCache>
                <c:formatCode>General</c:formatCode>
                <c:ptCount val="2"/>
                <c:pt idx="0">
                  <c:v>64</c:v>
                </c:pt>
                <c:pt idx="1">
                  <c:v>15</c:v>
                </c:pt>
              </c:numCache>
            </c:numRef>
          </c:val>
          <c:extLst>
            <c:ext xmlns:c16="http://schemas.microsoft.com/office/drawing/2014/chart" uri="{C3380CC4-5D6E-409C-BE32-E72D297353CC}">
              <c16:uniqueId val="{00000000-EBB1-4C51-AAE7-44DADBAAE17D}"/>
            </c:ext>
          </c:extLst>
        </c:ser>
        <c:ser>
          <c:idx val="1"/>
          <c:order val="1"/>
          <c:tx>
            <c:strRef>
              <c:f>'Raw data (2)'!$N$58</c:f>
              <c:strCache>
                <c:ptCount val="1"/>
                <c:pt idx="0">
                  <c:v>Powder, crystals or pill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(2)'!$O$56:$P$56</c:f>
              <c:strCache>
                <c:ptCount val="2"/>
                <c:pt idx="0">
                  <c:v>2014/15</c:v>
                </c:pt>
                <c:pt idx="1">
                  <c:v>2017/18</c:v>
                </c:pt>
              </c:strCache>
            </c:strRef>
          </c:cat>
          <c:val>
            <c:numRef>
              <c:f>'Raw data (2)'!$O$58:$P$58</c:f>
              <c:numCache>
                <c:formatCode>General</c:formatCode>
                <c:ptCount val="2"/>
                <c:pt idx="0">
                  <c:v>14</c:v>
                </c:pt>
                <c:pt idx="1">
                  <c:v>2</c:v>
                </c:pt>
              </c:numCache>
            </c:numRef>
          </c:val>
          <c:extLst>
            <c:ext xmlns:c16="http://schemas.microsoft.com/office/drawing/2014/chart" uri="{C3380CC4-5D6E-409C-BE32-E72D297353CC}">
              <c16:uniqueId val="{00000001-EBB1-4C51-AAE7-44DADBAAE17D}"/>
            </c:ext>
          </c:extLst>
        </c:ser>
        <c:ser>
          <c:idx val="2"/>
          <c:order val="2"/>
          <c:tx>
            <c:strRef>
              <c:f>'Raw data (2)'!$N$59</c:f>
              <c:strCache>
                <c:ptCount val="1"/>
                <c:pt idx="0">
                  <c:v>Liquid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(2)'!$O$56:$P$56</c:f>
              <c:strCache>
                <c:ptCount val="2"/>
                <c:pt idx="0">
                  <c:v>2014/15</c:v>
                </c:pt>
                <c:pt idx="1">
                  <c:v>2017/18</c:v>
                </c:pt>
              </c:strCache>
            </c:strRef>
          </c:cat>
          <c:val>
            <c:numRef>
              <c:f>'Raw data (2)'!$O$59:$P$59</c:f>
              <c:numCache>
                <c:formatCode>General</c:formatCode>
                <c:ptCount val="2"/>
                <c:pt idx="0">
                  <c:v>5</c:v>
                </c:pt>
                <c:pt idx="1">
                  <c:v>9</c:v>
                </c:pt>
              </c:numCache>
            </c:numRef>
          </c:val>
          <c:extLst>
            <c:ext xmlns:c16="http://schemas.microsoft.com/office/drawing/2014/chart" uri="{C3380CC4-5D6E-409C-BE32-E72D297353CC}">
              <c16:uniqueId val="{00000002-EBB1-4C51-AAE7-44DADBAAE17D}"/>
            </c:ext>
          </c:extLst>
        </c:ser>
        <c:ser>
          <c:idx val="3"/>
          <c:order val="3"/>
          <c:tx>
            <c:strRef>
              <c:f>'Raw data (2)'!$N$60</c:f>
              <c:strCache>
                <c:ptCount val="1"/>
                <c:pt idx="0">
                  <c:v>Other substance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 data (2)'!$O$56:$P$56</c:f>
              <c:strCache>
                <c:ptCount val="2"/>
                <c:pt idx="0">
                  <c:v>2014/15</c:v>
                </c:pt>
                <c:pt idx="1">
                  <c:v>2017/18</c:v>
                </c:pt>
              </c:strCache>
            </c:strRef>
          </c:cat>
          <c:val>
            <c:numRef>
              <c:f>'Raw data (2)'!$O$60:$P$60</c:f>
              <c:numCache>
                <c:formatCode>General</c:formatCode>
                <c:ptCount val="2"/>
                <c:pt idx="0">
                  <c:v>17</c:v>
                </c:pt>
                <c:pt idx="1">
                  <c:v>18</c:v>
                </c:pt>
              </c:numCache>
            </c:numRef>
          </c:val>
          <c:extLst>
            <c:ext xmlns:c16="http://schemas.microsoft.com/office/drawing/2014/chart" uri="{C3380CC4-5D6E-409C-BE32-E72D297353CC}">
              <c16:uniqueId val="{00000003-EBB1-4C51-AAE7-44DADBAAE17D}"/>
            </c:ext>
          </c:extLst>
        </c:ser>
        <c:dLbls>
          <c:dLblPos val="ctr"/>
          <c:showLegendKey val="0"/>
          <c:showVal val="1"/>
          <c:showCatName val="0"/>
          <c:showSerName val="0"/>
          <c:showPercent val="0"/>
          <c:showBubbleSize val="0"/>
        </c:dLbls>
        <c:gapWidth val="90"/>
        <c:overlap val="100"/>
        <c:axId val="2090667640"/>
        <c:axId val="2090671288"/>
      </c:barChart>
      <c:catAx>
        <c:axId val="2090667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0671288"/>
        <c:crosses val="autoZero"/>
        <c:auto val="1"/>
        <c:lblAlgn val="ctr"/>
        <c:lblOffset val="100"/>
        <c:noMultiLvlLbl val="0"/>
      </c:catAx>
      <c:valAx>
        <c:axId val="2090671288"/>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Percentage of  last year NPS users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0667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50"/>
              <a:t>NACDA Aged 15-64</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'Prev tables'!$A$24</c:f>
              <c:strCache>
                <c:ptCount val="1"/>
                <c:pt idx="0">
                  <c:v>Adults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tables'!$B$22:$C$23</c:f>
              <c:strCache>
                <c:ptCount val="2"/>
                <c:pt idx="0">
                  <c:v>2010/11</c:v>
                </c:pt>
                <c:pt idx="1">
                  <c:v>2014/15</c:v>
                </c:pt>
              </c:strCache>
            </c:strRef>
          </c:cat>
          <c:val>
            <c:numRef>
              <c:f>'Prev tables'!$B$24:$C$24</c:f>
              <c:numCache>
                <c:formatCode>General</c:formatCode>
                <c:ptCount val="2"/>
                <c:pt idx="0">
                  <c:v>2.4</c:v>
                </c:pt>
                <c:pt idx="1">
                  <c:v>2.2000000000000002</c:v>
                </c:pt>
              </c:numCache>
            </c:numRef>
          </c:val>
          <c:extLst>
            <c:ext xmlns:c16="http://schemas.microsoft.com/office/drawing/2014/chart" uri="{C3380CC4-5D6E-409C-BE32-E72D297353CC}">
              <c16:uniqueId val="{00000000-FE33-4A8F-A737-DC24D65A11C3}"/>
            </c:ext>
          </c:extLst>
        </c:ser>
        <c:ser>
          <c:idx val="1"/>
          <c:order val="1"/>
          <c:tx>
            <c:strRef>
              <c:f>'Prev tables'!$A$25</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tables'!$B$22:$C$23</c:f>
              <c:strCache>
                <c:ptCount val="2"/>
                <c:pt idx="0">
                  <c:v>2010/11</c:v>
                </c:pt>
                <c:pt idx="1">
                  <c:v>2014/15</c:v>
                </c:pt>
              </c:strCache>
            </c:strRef>
          </c:cat>
          <c:val>
            <c:numRef>
              <c:f>'Prev tables'!$B$25:$C$25</c:f>
              <c:numCache>
                <c:formatCode>General</c:formatCode>
                <c:ptCount val="2"/>
                <c:pt idx="0">
                  <c:v>3</c:v>
                </c:pt>
                <c:pt idx="1">
                  <c:v>3.5</c:v>
                </c:pt>
              </c:numCache>
            </c:numRef>
          </c:val>
          <c:extLst>
            <c:ext xmlns:c16="http://schemas.microsoft.com/office/drawing/2014/chart" uri="{C3380CC4-5D6E-409C-BE32-E72D297353CC}">
              <c16:uniqueId val="{00000001-FE33-4A8F-A737-DC24D65A11C3}"/>
            </c:ext>
          </c:extLst>
        </c:ser>
        <c:ser>
          <c:idx val="2"/>
          <c:order val="2"/>
          <c:tx>
            <c:strRef>
              <c:f>'Prev tables'!$A$26</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tables'!$B$22:$C$23</c:f>
              <c:strCache>
                <c:ptCount val="2"/>
                <c:pt idx="0">
                  <c:v>2010/11</c:v>
                </c:pt>
                <c:pt idx="1">
                  <c:v>2014/15</c:v>
                </c:pt>
              </c:strCache>
            </c:strRef>
          </c:cat>
          <c:val>
            <c:numRef>
              <c:f>'Prev tables'!$B$26:$C$26</c:f>
              <c:numCache>
                <c:formatCode>General</c:formatCode>
                <c:ptCount val="2"/>
                <c:pt idx="0">
                  <c:v>1.8</c:v>
                </c:pt>
                <c:pt idx="1">
                  <c:v>0.9</c:v>
                </c:pt>
              </c:numCache>
            </c:numRef>
          </c:val>
          <c:extLst>
            <c:ext xmlns:c16="http://schemas.microsoft.com/office/drawing/2014/chart" uri="{C3380CC4-5D6E-409C-BE32-E72D297353CC}">
              <c16:uniqueId val="{00000002-FE33-4A8F-A737-DC24D65A11C3}"/>
            </c:ext>
          </c:extLst>
        </c:ser>
        <c:dLbls>
          <c:dLblPos val="outEnd"/>
          <c:showLegendKey val="0"/>
          <c:showVal val="1"/>
          <c:showCatName val="0"/>
          <c:showSerName val="0"/>
          <c:showPercent val="0"/>
          <c:showBubbleSize val="0"/>
        </c:dLbls>
        <c:gapWidth val="131"/>
        <c:overlap val="-27"/>
        <c:axId val="2091148440"/>
        <c:axId val="2091152008"/>
      </c:barChart>
      <c:catAx>
        <c:axId val="209114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152008"/>
        <c:crosses val="autoZero"/>
        <c:auto val="1"/>
        <c:lblAlgn val="ctr"/>
        <c:lblOffset val="100"/>
        <c:noMultiLvlLbl val="0"/>
      </c:catAx>
      <c:valAx>
        <c:axId val="2091152008"/>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14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50"/>
              <a:t>CSEW Aged 16-59</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'Prev tables'!$E$24</c:f>
              <c:strCache>
                <c:ptCount val="1"/>
                <c:pt idx="0">
                  <c:v>Adults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tables'!$F$22:$I$23</c:f>
              <c:strCache>
                <c:ptCount val="4"/>
                <c:pt idx="0">
                  <c:v>2014/15</c:v>
                </c:pt>
                <c:pt idx="1">
                  <c:v>2015/16</c:v>
                </c:pt>
                <c:pt idx="2">
                  <c:v>2016/17</c:v>
                </c:pt>
                <c:pt idx="3">
                  <c:v>2017/18</c:v>
                </c:pt>
              </c:strCache>
            </c:strRef>
          </c:cat>
          <c:val>
            <c:numRef>
              <c:f>'Prev tables'!$F$24:$I$24</c:f>
              <c:numCache>
                <c:formatCode>General</c:formatCode>
                <c:ptCount val="4"/>
                <c:pt idx="0">
                  <c:v>2.9</c:v>
                </c:pt>
                <c:pt idx="1">
                  <c:v>2.7</c:v>
                </c:pt>
                <c:pt idx="2">
                  <c:v>2.4</c:v>
                </c:pt>
                <c:pt idx="3">
                  <c:v>2.5</c:v>
                </c:pt>
              </c:numCache>
            </c:numRef>
          </c:val>
          <c:extLst>
            <c:ext xmlns:c16="http://schemas.microsoft.com/office/drawing/2014/chart" uri="{C3380CC4-5D6E-409C-BE32-E72D297353CC}">
              <c16:uniqueId val="{00000000-696E-4AC7-A3E9-A93AC1E89E02}"/>
            </c:ext>
          </c:extLst>
        </c:ser>
        <c:ser>
          <c:idx val="1"/>
          <c:order val="1"/>
          <c:tx>
            <c:strRef>
              <c:f>'Prev tables'!$E$25</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tables'!$F$22:$I$23</c:f>
              <c:strCache>
                <c:ptCount val="4"/>
                <c:pt idx="0">
                  <c:v>2014/15</c:v>
                </c:pt>
                <c:pt idx="1">
                  <c:v>2015/16</c:v>
                </c:pt>
                <c:pt idx="2">
                  <c:v>2016/17</c:v>
                </c:pt>
                <c:pt idx="3">
                  <c:v>2017/18</c:v>
                </c:pt>
              </c:strCache>
            </c:strRef>
          </c:cat>
          <c:val>
            <c:numRef>
              <c:f>'Prev tables'!$F$25:$I$25</c:f>
              <c:numCache>
                <c:formatCode>General</c:formatCode>
                <c:ptCount val="4"/>
                <c:pt idx="0">
                  <c:v>3.9</c:v>
                </c:pt>
                <c:pt idx="1">
                  <c:v>3.8</c:v>
                </c:pt>
                <c:pt idx="2">
                  <c:v>3.2</c:v>
                </c:pt>
                <c:pt idx="3">
                  <c:v>3.3</c:v>
                </c:pt>
              </c:numCache>
            </c:numRef>
          </c:val>
          <c:extLst>
            <c:ext xmlns:c16="http://schemas.microsoft.com/office/drawing/2014/chart" uri="{C3380CC4-5D6E-409C-BE32-E72D297353CC}">
              <c16:uniqueId val="{00000001-696E-4AC7-A3E9-A93AC1E89E02}"/>
            </c:ext>
          </c:extLst>
        </c:ser>
        <c:ser>
          <c:idx val="2"/>
          <c:order val="2"/>
          <c:tx>
            <c:strRef>
              <c:f>'Prev tables'!$E$26</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'Prev tables'!$F$22:$I$23</c:f>
              <c:strCache>
                <c:ptCount val="4"/>
                <c:pt idx="0">
                  <c:v>2014/15</c:v>
                </c:pt>
                <c:pt idx="1">
                  <c:v>2015/16</c:v>
                </c:pt>
                <c:pt idx="2">
                  <c:v>2016/17</c:v>
                </c:pt>
                <c:pt idx="3">
                  <c:v>2017/18</c:v>
                </c:pt>
              </c:strCache>
            </c:strRef>
          </c:cat>
          <c:val>
            <c:numRef>
              <c:f>'Prev tables'!$F$26:$I$26</c:f>
              <c:numCache>
                <c:formatCode>General</c:formatCode>
                <c:ptCount val="4"/>
                <c:pt idx="0">
                  <c:v>1.9</c:v>
                </c:pt>
                <c:pt idx="1">
                  <c:v>1.7</c:v>
                </c:pt>
                <c:pt idx="2">
                  <c:v>1.6</c:v>
                </c:pt>
                <c:pt idx="3">
                  <c:v>1.7</c:v>
                </c:pt>
              </c:numCache>
            </c:numRef>
          </c:val>
          <c:extLst>
            <c:ext xmlns:c16="http://schemas.microsoft.com/office/drawing/2014/chart" uri="{C3380CC4-5D6E-409C-BE32-E72D297353CC}">
              <c16:uniqueId val="{00000002-696E-4AC7-A3E9-A93AC1E89E02}"/>
            </c:ext>
          </c:extLst>
        </c:ser>
        <c:dLbls>
          <c:dLblPos val="outEnd"/>
          <c:showLegendKey val="0"/>
          <c:showVal val="1"/>
          <c:showCatName val="0"/>
          <c:showSerName val="0"/>
          <c:showPercent val="0"/>
          <c:showBubbleSize val="0"/>
        </c:dLbls>
        <c:gapWidth val="130"/>
        <c:overlap val="-27"/>
        <c:axId val="2090693256"/>
        <c:axId val="2090696824"/>
      </c:barChart>
      <c:catAx>
        <c:axId val="209069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696824"/>
        <c:crosses val="autoZero"/>
        <c:auto val="1"/>
        <c:lblAlgn val="ctr"/>
        <c:lblOffset val="100"/>
        <c:noMultiLvlLbl val="0"/>
      </c:catAx>
      <c:valAx>
        <c:axId val="2090696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69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3898843920199"/>
          <c:y val="0.111307867442449"/>
          <c:w val="0.77066380076976004"/>
          <c:h val="0.66771055970647197"/>
        </c:manualLayout>
      </c:layout>
      <c:barChart>
        <c:barDir val="col"/>
        <c:grouping val="clustered"/>
        <c:varyColors val="0"/>
        <c:ser>
          <c:idx val="0"/>
          <c:order val="0"/>
          <c:tx>
            <c:strRef>
              <c:f>'Drug Compare'!$V$4</c:f>
              <c:strCache>
                <c:ptCount val="1"/>
                <c:pt idx="0">
                  <c:v>Lifetime use</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Compare'!$U$5:$U$6</c:f>
              <c:strCache>
                <c:ptCount val="2"/>
                <c:pt idx="0">
                  <c:v>Adults (16-59)</c:v>
                </c:pt>
                <c:pt idx="1">
                  <c:v>Young people (16-24)</c:v>
                </c:pt>
              </c:strCache>
            </c:strRef>
          </c:cat>
          <c:val>
            <c:numRef>
              <c:f>'Drug Compare'!$V$5:$V$6</c:f>
              <c:numCache>
                <c:formatCode>0</c:formatCode>
                <c:ptCount val="2"/>
                <c:pt idx="0">
                  <c:v>2.5</c:v>
                </c:pt>
                <c:pt idx="1">
                  <c:v>4.7</c:v>
                </c:pt>
              </c:numCache>
            </c:numRef>
          </c:val>
          <c:extLst>
            <c:ext xmlns:c16="http://schemas.microsoft.com/office/drawing/2014/chart" uri="{C3380CC4-5D6E-409C-BE32-E72D297353CC}">
              <c16:uniqueId val="{00000000-4237-4E68-AB13-8C6977CF8755}"/>
            </c:ext>
          </c:extLst>
        </c:ser>
        <c:ser>
          <c:idx val="1"/>
          <c:order val="1"/>
          <c:tx>
            <c:strRef>
              <c:f>'Drug Compare'!$W$4</c:f>
              <c:strCache>
                <c:ptCount val="1"/>
                <c:pt idx="0">
                  <c:v>Last year use</c:v>
                </c:pt>
              </c:strCache>
            </c:strRef>
          </c:tx>
          <c:spPr>
            <a:solidFill>
              <a:schemeClr val="accent2">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'Drug Compare'!$U$5:$U$6</c:f>
              <c:strCache>
                <c:ptCount val="2"/>
                <c:pt idx="0">
                  <c:v>Adults (16-59)</c:v>
                </c:pt>
                <c:pt idx="1">
                  <c:v>Young people (16-24)</c:v>
                </c:pt>
              </c:strCache>
            </c:strRef>
          </c:cat>
          <c:val>
            <c:numRef>
              <c:f>'Drug Compare'!$W$5:$W$6</c:f>
              <c:numCache>
                <c:formatCode>0</c:formatCode>
                <c:ptCount val="2"/>
                <c:pt idx="0">
                  <c:v>0.4</c:v>
                </c:pt>
                <c:pt idx="1">
                  <c:v>1.2</c:v>
                </c:pt>
              </c:numCache>
            </c:numRef>
          </c:val>
          <c:extLst>
            <c:ext xmlns:c16="http://schemas.microsoft.com/office/drawing/2014/chart" uri="{C3380CC4-5D6E-409C-BE32-E72D297353CC}">
              <c16:uniqueId val="{00000001-4237-4E68-AB13-8C6977CF8755}"/>
            </c:ext>
          </c:extLst>
        </c:ser>
        <c:dLbls>
          <c:showLegendKey val="0"/>
          <c:showVal val="0"/>
          <c:showCatName val="0"/>
          <c:showSerName val="0"/>
          <c:showPercent val="0"/>
          <c:showBubbleSize val="0"/>
        </c:dLbls>
        <c:gapWidth val="120"/>
        <c:overlap val="-27"/>
        <c:axId val="2090782680"/>
        <c:axId val="2090786216"/>
      </c:barChart>
      <c:catAx>
        <c:axId val="209078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786216"/>
        <c:crosses val="autoZero"/>
        <c:auto val="1"/>
        <c:lblAlgn val="ctr"/>
        <c:lblOffset val="100"/>
        <c:noMultiLvlLbl val="0"/>
      </c:catAx>
      <c:valAx>
        <c:axId val="209078621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reporting use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07826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c:f>
              <c:strCache>
                <c:ptCount val="1"/>
                <c:pt idx="0">
                  <c:v>2017/18</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8A02-4E93-9BDD-5385D2FCE0C9}"/>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8A02-4E93-9BDD-5385D2FCE0C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8A02-4E93-9BDD-5385D2FCE0C9}"/>
              </c:ext>
            </c:extLst>
          </c:dPt>
          <c:dPt>
            <c:idx val="3"/>
            <c:invertIfNegative val="0"/>
            <c:bubble3D val="0"/>
            <c:spPr>
              <a:solidFill>
                <a:srgbClr val="CC66A5"/>
              </a:solidFill>
              <a:ln>
                <a:noFill/>
              </a:ln>
              <a:effectLst/>
            </c:spPr>
            <c:extLst>
              <c:ext xmlns:c16="http://schemas.microsoft.com/office/drawing/2014/chart" uri="{C3380CC4-5D6E-409C-BE32-E72D297353CC}">
                <c16:uniqueId val="{00000007-8A02-4E93-9BDD-5385D2FCE0C9}"/>
              </c:ext>
            </c:extLst>
          </c:dPt>
          <c:dPt>
            <c:idx val="4"/>
            <c:invertIfNegative val="0"/>
            <c:bubble3D val="0"/>
            <c:spPr>
              <a:solidFill>
                <a:srgbClr val="FFC000"/>
              </a:solidFill>
              <a:ln>
                <a:noFill/>
              </a:ln>
              <a:effectLst/>
            </c:spPr>
            <c:extLst>
              <c:ext xmlns:c16="http://schemas.microsoft.com/office/drawing/2014/chart" uri="{C3380CC4-5D6E-409C-BE32-E72D297353CC}">
                <c16:uniqueId val="{00000009-8A02-4E93-9BDD-5385D2FCE0C9}"/>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8A02-4E93-9BDD-5385D2FCE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Sheet1!$A$53:$A$59</c:f>
              <c:strCache>
                <c:ptCount val="7"/>
                <c:pt idx="0">
                  <c:v>Cannabis</c:v>
                </c:pt>
                <c:pt idx="1">
                  <c:v>Ecstasy</c:v>
                </c:pt>
                <c:pt idx="2">
                  <c:v>Cocaine</c:v>
                </c:pt>
                <c:pt idx="3">
                  <c:v>Amphetamines</c:v>
                </c:pt>
                <c:pt idx="4">
                  <c:v>Hallucinogens</c:v>
                </c:pt>
                <c:pt idx="5">
                  <c:v>NPS</c:v>
                </c:pt>
                <c:pt idx="6">
                  <c:v>Heroin/ morphine</c:v>
                </c:pt>
              </c:strCache>
            </c:strRef>
          </c:cat>
          <c:val>
            <c:numRef>
              <c:f>Sheet1!$B$53:$B$59</c:f>
              <c:numCache>
                <c:formatCode>0.0</c:formatCode>
                <c:ptCount val="7"/>
                <c:pt idx="0">
                  <c:v>30.699014550000001</c:v>
                </c:pt>
                <c:pt idx="1">
                  <c:v>11.33147696</c:v>
                </c:pt>
                <c:pt idx="2">
                  <c:v>10.715035990000001</c:v>
                </c:pt>
                <c:pt idx="3">
                  <c:v>6.7186572299999989</c:v>
                </c:pt>
                <c:pt idx="4">
                  <c:v>6.6345675799999979</c:v>
                </c:pt>
                <c:pt idx="5">
                  <c:v>4.7</c:v>
                </c:pt>
                <c:pt idx="6">
                  <c:v>0.69840955999999998</c:v>
                </c:pt>
              </c:numCache>
            </c:numRef>
          </c:val>
          <c:extLst>
            <c:ext xmlns:c16="http://schemas.microsoft.com/office/drawing/2014/chart" uri="{C3380CC4-5D6E-409C-BE32-E72D297353CC}">
              <c16:uniqueId val="{0000000C-8A02-4E93-9BDD-5385D2FCE0C9}"/>
            </c:ext>
          </c:extLst>
        </c:ser>
        <c:dLbls>
          <c:showLegendKey val="0"/>
          <c:showVal val="0"/>
          <c:showCatName val="0"/>
          <c:showSerName val="0"/>
          <c:showPercent val="0"/>
          <c:showBubbleSize val="0"/>
        </c:dLbls>
        <c:gapWidth val="20"/>
        <c:overlap val="-27"/>
        <c:axId val="2091185448"/>
        <c:axId val="2091188536"/>
      </c:barChart>
      <c:catAx>
        <c:axId val="2091185448"/>
        <c:scaling>
          <c:orientation val="minMax"/>
        </c:scaling>
        <c:delete val="1"/>
        <c:axPos val="b"/>
        <c:numFmt formatCode="General" sourceLinked="1"/>
        <c:majorTickMark val="none"/>
        <c:minorTickMark val="none"/>
        <c:tickLblPos val="nextTo"/>
        <c:crossAx val="2091188536"/>
        <c:crosses val="autoZero"/>
        <c:auto val="1"/>
        <c:lblAlgn val="ctr"/>
        <c:lblOffset val="100"/>
        <c:noMultiLvlLbl val="0"/>
      </c:catAx>
      <c:valAx>
        <c:axId val="2091188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reporting </a:t>
                </a:r>
                <a:r>
                  <a:rPr lang="en-GB" baseline="0"/>
                  <a:t>use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18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'Prev tables'!$N$59:$N$60</c:f>
              <c:strCache>
                <c:ptCount val="2"/>
                <c:pt idx="1">
                  <c:v>2014/15</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'Prev tables'!$L$61:$M$66</c:f>
              <c:multiLvlStrCache>
                <c:ptCount val="6"/>
                <c:lvl>
                  <c:pt idx="0">
                    <c:v>Lifetime</c:v>
                  </c:pt>
                  <c:pt idx="1">
                    <c:v>Last year</c:v>
                  </c:pt>
                  <c:pt idx="2">
                    <c:v>Lifetime</c:v>
                  </c:pt>
                  <c:pt idx="3">
                    <c:v>Last year</c:v>
                  </c:pt>
                  <c:pt idx="4">
                    <c:v>Lifetime</c:v>
                  </c:pt>
                  <c:pt idx="5">
                    <c:v>Last year</c:v>
                  </c:pt>
                </c:lvl>
                <c:lvl>
                  <c:pt idx="0">
                    <c:v>All</c:v>
                  </c:pt>
                  <c:pt idx="2">
                    <c:v>Male</c:v>
                  </c:pt>
                  <c:pt idx="4">
                    <c:v>Female</c:v>
                  </c:pt>
                </c:lvl>
              </c:multiLvlStrCache>
            </c:multiLvlStrRef>
          </c:cat>
          <c:val>
            <c:numRef>
              <c:f>'Prev tables'!$N$61:$N$66</c:f>
              <c:numCache>
                <c:formatCode>General</c:formatCode>
                <c:ptCount val="6"/>
                <c:pt idx="0">
                  <c:v>6.1</c:v>
                </c:pt>
                <c:pt idx="1">
                  <c:v>2.8</c:v>
                </c:pt>
                <c:pt idx="2">
                  <c:v>8</c:v>
                </c:pt>
                <c:pt idx="3">
                  <c:v>4</c:v>
                </c:pt>
                <c:pt idx="4">
                  <c:v>4.0999999999999996</c:v>
                </c:pt>
                <c:pt idx="5">
                  <c:v>1.5</c:v>
                </c:pt>
              </c:numCache>
            </c:numRef>
          </c:val>
          <c:extLst>
            <c:ext xmlns:c16="http://schemas.microsoft.com/office/drawing/2014/chart" uri="{C3380CC4-5D6E-409C-BE32-E72D297353CC}">
              <c16:uniqueId val="{00000000-3A34-49CF-97B2-269DF0CCC6A1}"/>
            </c:ext>
          </c:extLst>
        </c:ser>
        <c:ser>
          <c:idx val="1"/>
          <c:order val="1"/>
          <c:tx>
            <c:strRef>
              <c:f>'Prev tables'!$O$59:$O$60</c:f>
              <c:strCache>
                <c:ptCount val="2"/>
                <c:pt idx="1">
                  <c:v>2015/16</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'Prev tables'!$L$61:$M$66</c:f>
              <c:multiLvlStrCache>
                <c:ptCount val="6"/>
                <c:lvl>
                  <c:pt idx="0">
                    <c:v>Lifetime</c:v>
                  </c:pt>
                  <c:pt idx="1">
                    <c:v>Last year</c:v>
                  </c:pt>
                  <c:pt idx="2">
                    <c:v>Lifetime</c:v>
                  </c:pt>
                  <c:pt idx="3">
                    <c:v>Last year</c:v>
                  </c:pt>
                  <c:pt idx="4">
                    <c:v>Lifetime</c:v>
                  </c:pt>
                  <c:pt idx="5">
                    <c:v>Last year</c:v>
                  </c:pt>
                </c:lvl>
                <c:lvl>
                  <c:pt idx="0">
                    <c:v>All</c:v>
                  </c:pt>
                  <c:pt idx="2">
                    <c:v>Male</c:v>
                  </c:pt>
                  <c:pt idx="4">
                    <c:v>Female</c:v>
                  </c:pt>
                </c:lvl>
              </c:multiLvlStrCache>
            </c:multiLvlStrRef>
          </c:cat>
          <c:val>
            <c:numRef>
              <c:f>'Prev tables'!$O$61:$O$66</c:f>
              <c:numCache>
                <c:formatCode>General</c:formatCode>
                <c:ptCount val="6"/>
                <c:pt idx="0">
                  <c:v>6</c:v>
                </c:pt>
                <c:pt idx="1">
                  <c:v>2.6</c:v>
                </c:pt>
                <c:pt idx="2">
                  <c:v>8</c:v>
                </c:pt>
                <c:pt idx="3">
                  <c:v>3.6</c:v>
                </c:pt>
                <c:pt idx="4">
                  <c:v>3.9</c:v>
                </c:pt>
                <c:pt idx="5">
                  <c:v>1.6</c:v>
                </c:pt>
              </c:numCache>
            </c:numRef>
          </c:val>
          <c:extLst>
            <c:ext xmlns:c16="http://schemas.microsoft.com/office/drawing/2014/chart" uri="{C3380CC4-5D6E-409C-BE32-E72D297353CC}">
              <c16:uniqueId val="{00000001-3A34-49CF-97B2-269DF0CCC6A1}"/>
            </c:ext>
          </c:extLst>
        </c:ser>
        <c:ser>
          <c:idx val="2"/>
          <c:order val="2"/>
          <c:tx>
            <c:strRef>
              <c:f>'Prev tables'!$P$59:$P$60</c:f>
              <c:strCache>
                <c:ptCount val="2"/>
                <c:pt idx="1">
                  <c:v>2016/17</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'Prev tables'!$L$61:$M$66</c:f>
              <c:multiLvlStrCache>
                <c:ptCount val="6"/>
                <c:lvl>
                  <c:pt idx="0">
                    <c:v>Lifetime</c:v>
                  </c:pt>
                  <c:pt idx="1">
                    <c:v>Last year</c:v>
                  </c:pt>
                  <c:pt idx="2">
                    <c:v>Lifetime</c:v>
                  </c:pt>
                  <c:pt idx="3">
                    <c:v>Last year</c:v>
                  </c:pt>
                  <c:pt idx="4">
                    <c:v>Lifetime</c:v>
                  </c:pt>
                  <c:pt idx="5">
                    <c:v>Last year</c:v>
                  </c:pt>
                </c:lvl>
                <c:lvl>
                  <c:pt idx="0">
                    <c:v>All</c:v>
                  </c:pt>
                  <c:pt idx="2">
                    <c:v>Male</c:v>
                  </c:pt>
                  <c:pt idx="4">
                    <c:v>Female</c:v>
                  </c:pt>
                </c:lvl>
              </c:multiLvlStrCache>
            </c:multiLvlStrRef>
          </c:cat>
          <c:val>
            <c:numRef>
              <c:f>'Prev tables'!$P$61:$P$66</c:f>
              <c:numCache>
                <c:formatCode>General</c:formatCode>
                <c:ptCount val="6"/>
                <c:pt idx="0">
                  <c:v>4.2</c:v>
                </c:pt>
                <c:pt idx="1">
                  <c:v>1.2</c:v>
                </c:pt>
                <c:pt idx="2">
                  <c:v>5.3</c:v>
                </c:pt>
                <c:pt idx="3">
                  <c:v>1.6</c:v>
                </c:pt>
                <c:pt idx="4">
                  <c:v>3.1</c:v>
                </c:pt>
                <c:pt idx="5">
                  <c:v>0.9</c:v>
                </c:pt>
              </c:numCache>
            </c:numRef>
          </c:val>
          <c:extLst>
            <c:ext xmlns:c16="http://schemas.microsoft.com/office/drawing/2014/chart" uri="{C3380CC4-5D6E-409C-BE32-E72D297353CC}">
              <c16:uniqueId val="{00000002-3A34-49CF-97B2-269DF0CCC6A1}"/>
            </c:ext>
          </c:extLst>
        </c:ser>
        <c:ser>
          <c:idx val="3"/>
          <c:order val="3"/>
          <c:tx>
            <c:strRef>
              <c:f>'Prev tables'!$Q$59:$Q$60</c:f>
              <c:strCache>
                <c:ptCount val="2"/>
                <c:pt idx="1">
                  <c:v>2017/18</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'Prev tables'!$L$61:$M$66</c:f>
              <c:multiLvlStrCache>
                <c:ptCount val="6"/>
                <c:lvl>
                  <c:pt idx="0">
                    <c:v>Lifetime</c:v>
                  </c:pt>
                  <c:pt idx="1">
                    <c:v>Last year</c:v>
                  </c:pt>
                  <c:pt idx="2">
                    <c:v>Lifetime</c:v>
                  </c:pt>
                  <c:pt idx="3">
                    <c:v>Last year</c:v>
                  </c:pt>
                  <c:pt idx="4">
                    <c:v>Lifetime</c:v>
                  </c:pt>
                  <c:pt idx="5">
                    <c:v>Last year</c:v>
                  </c:pt>
                </c:lvl>
                <c:lvl>
                  <c:pt idx="0">
                    <c:v>All</c:v>
                  </c:pt>
                  <c:pt idx="2">
                    <c:v>Male</c:v>
                  </c:pt>
                  <c:pt idx="4">
                    <c:v>Female</c:v>
                  </c:pt>
                </c:lvl>
              </c:multiLvlStrCache>
            </c:multiLvlStrRef>
          </c:cat>
          <c:val>
            <c:numRef>
              <c:f>'Prev tables'!$Q$61:$Q$66</c:f>
              <c:numCache>
                <c:formatCode>General</c:formatCode>
                <c:ptCount val="6"/>
                <c:pt idx="0">
                  <c:v>4.7</c:v>
                </c:pt>
                <c:pt idx="1">
                  <c:v>1.2</c:v>
                </c:pt>
                <c:pt idx="2">
                  <c:v>6</c:v>
                </c:pt>
                <c:pt idx="3">
                  <c:v>1.5</c:v>
                </c:pt>
                <c:pt idx="4">
                  <c:v>3.3</c:v>
                </c:pt>
                <c:pt idx="5">
                  <c:v>0.8</c:v>
                </c:pt>
              </c:numCache>
            </c:numRef>
          </c:val>
          <c:extLst>
            <c:ext xmlns:c16="http://schemas.microsoft.com/office/drawing/2014/chart" uri="{C3380CC4-5D6E-409C-BE32-E72D297353CC}">
              <c16:uniqueId val="{00000003-3A34-49CF-97B2-269DF0CCC6A1}"/>
            </c:ext>
          </c:extLst>
        </c:ser>
        <c:dLbls>
          <c:showLegendKey val="0"/>
          <c:showVal val="0"/>
          <c:showCatName val="0"/>
          <c:showSerName val="0"/>
          <c:showPercent val="0"/>
          <c:showBubbleSize val="0"/>
        </c:dLbls>
        <c:gapWidth val="219"/>
        <c:overlap val="-27"/>
        <c:axId val="2091203752"/>
        <c:axId val="2091207608"/>
      </c:barChart>
      <c:catAx>
        <c:axId val="209120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207608"/>
        <c:crosses val="autoZero"/>
        <c:auto val="1"/>
        <c:lblAlgn val="ctr"/>
        <c:lblOffset val="100"/>
        <c:noMultiLvlLbl val="0"/>
      </c:catAx>
      <c:valAx>
        <c:axId val="209120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Percentage reporting 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91203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Seizures!$D$3:$D$6</cx:f>
        <cx:lvl ptCount="4">
          <cx:pt idx="0">Synthetic cannabiniods </cx:pt>
          <cx:pt idx="1">Synthetic stimulants/ empathogens </cx:pt>
          <cx:pt idx="2">Synthetic opioids </cx:pt>
          <cx:pt idx="3">Other </cx:pt>
        </cx:lvl>
      </cx:strDim>
      <cx:numDim type="size">
        <cx:f>Seizures!$E$3:$E$6</cx:f>
        <cx:lvl ptCount="4" formatCode="0%">
          <cx:pt idx="0">0.45000000000000001</cx:pt>
          <cx:pt idx="1">0.34999999999999998</cx:pt>
          <cx:pt idx="2">0.02</cx:pt>
          <cx:pt idx="3">0.17000000000000001</cx:pt>
        </cx:lvl>
      </cx:numDim>
    </cx:data>
  </cx:chartData>
  <cx:chart>
    <cx:plotArea>
      <cx:plotAreaRegion>
        <cx:series layoutId="treemap" uniqueId="{18662434-2AA6-4AC7-82D8-BAAF8BF52658}">
          <cx:tx>
            <cx:txData>
              <cx:f>Seizures!$E$1:$E$2</cx:f>
              <cx:v/>
            </cx:txData>
          </cx:tx>
          <cx:dataPt idx="0">
            <cx:spPr>
              <a:solidFill>
                <a:srgbClr val="9BBB59"/>
              </a:solidFill>
            </cx:spPr>
          </cx:dataPt>
          <cx:dataPt idx="1">
            <cx:spPr>
              <a:solidFill>
                <a:srgbClr val="CC3399"/>
              </a:solidFill>
            </cx:spPr>
          </cx:dataPt>
          <cx:dataPt idx="2">
            <cx:spPr>
              <a:solidFill>
                <a:srgbClr val="4F81BD"/>
              </a:solidFill>
            </cx:spPr>
          </cx:dataPt>
          <cx:dataPt idx="3">
            <cx:spPr>
              <a:solidFill>
                <a:sysClr val="window" lastClr="FFFFFF">
                  <a:lumMod val="65000"/>
                </a:sysClr>
              </a:solidFill>
            </cx:spPr>
          </cx:dataPt>
          <cx:dataLabels>
            <cx:txPr>
              <a:bodyPr spcFirstLastPara="1" vertOverflow="ellipsis" horzOverflow="overflow" wrap="square" lIns="0" tIns="0" rIns="0" bIns="0" anchor="ctr" anchorCtr="1"/>
              <a:lstStyle/>
              <a:p>
                <a:pPr algn="ctr" rtl="0">
                  <a:defRPr sz="1200" b="1">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i="0" u="none" strike="noStrike" baseline="0">
                  <a:solidFill>
                    <a:sysClr val="window" lastClr="FFFFFF"/>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parentLabelLayout val="overlapping"/>
          </cx:layoutPr>
        </cx:series>
      </cx:plotAreaRegion>
    </cx:plotArea>
    <cx:legend pos="r" align="ctr" overlay="0">
      <cx:txPr>
        <a:bodyPr vertOverflow="overflow" horzOverflow="overflow" wrap="square" lIns="0" tIns="0" rIns="0" bIns="0"/>
        <a:lstStyle/>
        <a:p>
          <a:pPr algn="ctr" rtl="0">
            <a:defRPr sz="900" b="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GB">
            <a:solidFill>
              <a:sysClr val="windowText" lastClr="000000"/>
            </a:solidFill>
            <a:latin typeface="Times New Roman" panose="02020603050405020304" pitchFamily="18" charset="0"/>
            <a:cs typeface="Times New Roman" panose="02020603050405020304" pitchFamily="18" charset="0"/>
          </a:endParaRPr>
        </a:p>
      </cx:txPr>
    </cx:legend>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Seizures!$A$3:$A$6</cx:f>
        <cx:lvl ptCount="4">
          <cx:pt idx="0">Cannabis </cx:pt>
          <cx:pt idx="1">Stimulants/ empathogens</cx:pt>
          <cx:pt idx="2">Opioids </cx:pt>
          <cx:pt idx="3">Other </cx:pt>
        </cx:lvl>
      </cx:strDim>
      <cx:numDim type="size">
        <cx:f>Seizures!$B$3:$B$6</cx:f>
        <cx:lvl ptCount="4" formatCode="0%">
          <cx:pt idx="0">0.70999999999999996</cx:pt>
          <cx:pt idx="1">0.17000000000000001</cx:pt>
          <cx:pt idx="2">0.040000000000000001</cx:pt>
          <cx:pt idx="3">0.080000000000000002</cx:pt>
        </cx:lvl>
      </cx:numDim>
    </cx:data>
  </cx:chartData>
  <cx:chart>
    <cx:plotArea>
      <cx:plotAreaRegion>
        <cx:series layoutId="treemap" uniqueId="{8F24ECB5-1D70-4C78-A5BB-A6FC62863672}">
          <cx:tx>
            <cx:txData>
              <cx:f>Seizures!$B$1:$B$2</cx:f>
              <cx:v/>
            </cx:txData>
          </cx:tx>
          <cx:dataPt idx="0">
            <cx:spPr>
              <a:solidFill>
                <a:srgbClr val="9BBB59"/>
              </a:solidFill>
            </cx:spPr>
          </cx:dataPt>
          <cx:dataPt idx="1">
            <cx:spPr>
              <a:solidFill>
                <a:srgbClr val="CC3399"/>
              </a:solidFill>
            </cx:spPr>
          </cx:dataPt>
          <cx:dataPt idx="2">
            <cx:spPr>
              <a:solidFill>
                <a:srgbClr val="4F81BD"/>
              </a:solidFill>
            </cx:spPr>
          </cx:dataPt>
          <cx:dataPt idx="3">
            <cx:spPr>
              <a:solidFill>
                <a:sysClr val="window" lastClr="FFFFFF">
                  <a:lumMod val="65000"/>
                </a:sysClr>
              </a:solidFill>
            </cx:spPr>
          </cx:dataPt>
          <cx:dataLabels>
            <cx:numFmt formatCode="0%" sourceLinked="0"/>
            <cx:txPr>
              <a:bodyPr spcFirstLastPara="1" vertOverflow="ellipsis" horzOverflow="overflow" wrap="square" lIns="0" tIns="0" rIns="0" bIns="0" anchor="ctr" anchorCtr="1"/>
              <a:lstStyle/>
              <a:p>
                <a:pPr algn="ctr" rtl="0">
                  <a:defRPr sz="1200" b="1">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i="0" u="none" strike="noStrike" baseline="0">
                  <a:solidFill>
                    <a:sysClr val="window" lastClr="FFFFFF"/>
                  </a:solidFill>
                  <a:latin typeface="Times New Roman" panose="02020603050405020304" pitchFamily="18" charset="0"/>
                  <a:cs typeface="Times New Roman" panose="02020603050405020304" pitchFamily="18" charset="0"/>
                </a:endParaRPr>
              </a:p>
            </cx:txPr>
            <cx:visibility seriesName="0" categoryName="0" value="1"/>
            <cx:separator>, </cx:separator>
          </cx:dataLabels>
          <cx:dataId val="0"/>
          <cx:layoutPr>
            <cx:parentLabelLayout val="overlapping"/>
          </cx:layoutPr>
        </cx:series>
      </cx:plotAreaRegion>
    </cx:plotArea>
    <cx:legend pos="r" align="ctr" overlay="0">
      <cx:txPr>
        <a:bodyPr vertOverflow="overflow" horzOverflow="overflow" wrap="square" lIns="0" tIns="0" rIns="0" bIns="0"/>
        <a:lstStyle/>
        <a:p>
          <a:pPr algn="ctr" rtl="0">
            <a:defRPr sz="900" b="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GB">
            <a:solidFill>
              <a:sysClr val="windowText" lastClr="000000"/>
            </a:solidFill>
            <a:latin typeface="Times New Roman" panose="02020603050405020304" pitchFamily="18" charset="0"/>
            <a:cs typeface="Times New Roman" panose="02020603050405020304" pitchFamily="18" charset="0"/>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602F88-70EF-41F2-8022-A30250157FA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GB"/>
        </a:p>
      </dgm:t>
    </dgm:pt>
    <dgm:pt modelId="{4451B7E4-3071-4D7C-9A2C-5467FC807DC7}">
      <dgm:prSet phldrT="[Text]" custT="1">
        <dgm:style>
          <a:lnRef idx="2">
            <a:schemeClr val="dk1"/>
          </a:lnRef>
          <a:fillRef idx="1">
            <a:schemeClr val="lt1"/>
          </a:fillRef>
          <a:effectRef idx="0">
            <a:schemeClr val="dk1"/>
          </a:effectRef>
          <a:fontRef idx="minor">
            <a:schemeClr val="dk1"/>
          </a:fontRef>
        </dgm:style>
      </dgm:prSet>
      <dgm:spPr>
        <a:noFill/>
        <a:ln w="9525"/>
      </dgm:spPr>
      <dgm:t>
        <a:bodyPr/>
        <a:lstStyle/>
        <a:p>
          <a:r>
            <a:rPr lang="en-GB" sz="1100" b="1">
              <a:solidFill>
                <a:sysClr val="windowText" lastClr="000000"/>
              </a:solidFill>
              <a:latin typeface="Times New Roman" panose="02020603050405020304" pitchFamily="18" charset="0"/>
              <a:cs typeface="Times New Roman" panose="02020603050405020304" pitchFamily="18" charset="0"/>
            </a:rPr>
            <a:t>MACROSYSTEM</a:t>
          </a:r>
        </a:p>
        <a:p>
          <a:r>
            <a:rPr lang="en-GB" sz="1100">
              <a:solidFill>
                <a:sysClr val="windowText" lastClr="000000"/>
              </a:solidFill>
              <a:latin typeface="Times New Roman" panose="02020603050405020304" pitchFamily="18" charset="0"/>
              <a:cs typeface="Times New Roman" panose="02020603050405020304" pitchFamily="18" charset="0"/>
            </a:rPr>
            <a:t>Policy / enabling environment national and local policies, </a:t>
          </a:r>
          <a:br>
            <a:rPr lang="en-GB" sz="1100">
              <a:solidFill>
                <a:sysClr val="windowText" lastClr="000000"/>
              </a:solidFill>
              <a:latin typeface="Times New Roman" panose="02020603050405020304" pitchFamily="18" charset="0"/>
              <a:cs typeface="Times New Roman" panose="02020603050405020304" pitchFamily="18" charset="0"/>
            </a:rPr>
          </a:br>
          <a:r>
            <a:rPr lang="en-GB" sz="1100">
              <a:solidFill>
                <a:sysClr val="windowText" lastClr="000000"/>
              </a:solidFill>
              <a:latin typeface="Times New Roman" panose="02020603050405020304" pitchFamily="18" charset="0"/>
              <a:cs typeface="Times New Roman" panose="02020603050405020304" pitchFamily="18" charset="0"/>
            </a:rPr>
            <a:t>media and cultural influences  </a:t>
          </a:r>
        </a:p>
      </dgm:t>
    </dgm:pt>
    <dgm:pt modelId="{BBE1FFCB-01C2-4610-9EED-C4F3705764D1}" type="parTrans" cxnId="{1B86C444-658A-4387-9434-C5C4364D2CBA}">
      <dgm:prSet/>
      <dgm:spPr/>
      <dgm:t>
        <a:bodyPr/>
        <a:lstStyle/>
        <a:p>
          <a:endParaRPr lang="en-GB" sz="3200"/>
        </a:p>
      </dgm:t>
    </dgm:pt>
    <dgm:pt modelId="{6862E467-8B05-49B1-85B6-8FD109485B7C}" type="sibTrans" cxnId="{1B86C444-658A-4387-9434-C5C4364D2CBA}">
      <dgm:prSet/>
      <dgm:spPr/>
      <dgm:t>
        <a:bodyPr/>
        <a:lstStyle/>
        <a:p>
          <a:endParaRPr lang="en-GB" sz="3200"/>
        </a:p>
      </dgm:t>
    </dgm:pt>
    <dgm:pt modelId="{B22078B6-6932-45A6-80DE-C9EBA87EEBA8}">
      <dgm:prSet phldrT="[Text]" custT="1">
        <dgm:style>
          <a:lnRef idx="2">
            <a:schemeClr val="dk1"/>
          </a:lnRef>
          <a:fillRef idx="1">
            <a:schemeClr val="lt1"/>
          </a:fillRef>
          <a:effectRef idx="0">
            <a:schemeClr val="dk1"/>
          </a:effectRef>
          <a:fontRef idx="minor">
            <a:schemeClr val="dk1"/>
          </a:fontRef>
        </dgm:style>
      </dgm:prSet>
      <dgm:spPr>
        <a:noFill/>
        <a:ln w="9525"/>
      </dgm:spPr>
      <dgm:t>
        <a:bodyPr/>
        <a:lstStyle/>
        <a:p>
          <a:r>
            <a:rPr lang="en-GB" sz="1100" b="1">
              <a:solidFill>
                <a:sysClr val="windowText" lastClr="000000"/>
              </a:solidFill>
              <a:latin typeface="Times New Roman" panose="02020603050405020304" pitchFamily="18" charset="0"/>
              <a:cs typeface="Times New Roman" panose="02020603050405020304" pitchFamily="18" charset="0"/>
            </a:rPr>
            <a:t>EXOSYSTEM</a:t>
          </a:r>
          <a:r>
            <a:rPr lang="en-GB" sz="1100">
              <a:solidFill>
                <a:sysClr val="windowText" lastClr="000000"/>
              </a:solidFill>
              <a:latin typeface="Times New Roman" panose="02020603050405020304" pitchFamily="18" charset="0"/>
              <a:cs typeface="Times New Roman" panose="02020603050405020304" pitchFamily="18" charset="0"/>
            </a:rPr>
            <a:t> </a:t>
          </a:r>
        </a:p>
        <a:p>
          <a:r>
            <a:rPr lang="en-GB" sz="1100">
              <a:solidFill>
                <a:sysClr val="windowText" lastClr="000000"/>
              </a:solidFill>
              <a:latin typeface="Times New Roman" panose="02020603050405020304" pitchFamily="18" charset="0"/>
              <a:cs typeface="Times New Roman" panose="02020603050405020304" pitchFamily="18" charset="0"/>
            </a:rPr>
            <a:t>Organisations, public services </a:t>
          </a:r>
          <a:br>
            <a:rPr lang="en-GB" sz="1100">
              <a:solidFill>
                <a:sysClr val="windowText" lastClr="000000"/>
              </a:solidFill>
              <a:latin typeface="Times New Roman" panose="02020603050405020304" pitchFamily="18" charset="0"/>
              <a:cs typeface="Times New Roman" panose="02020603050405020304" pitchFamily="18" charset="0"/>
            </a:rPr>
          </a:br>
          <a:r>
            <a:rPr lang="en-GB" sz="1100">
              <a:solidFill>
                <a:sysClr val="windowText" lastClr="000000"/>
              </a:solidFill>
              <a:latin typeface="Times New Roman" panose="02020603050405020304" pitchFamily="18" charset="0"/>
              <a:cs typeface="Times New Roman" panose="02020603050405020304" pitchFamily="18" charset="0"/>
            </a:rPr>
            <a:t>and social institutions </a:t>
          </a:r>
        </a:p>
      </dgm:t>
    </dgm:pt>
    <dgm:pt modelId="{E05F2B43-CD56-4345-B0FF-4FE9DAFAB9EA}" type="parTrans" cxnId="{D276CF78-652F-4EAD-8812-B452FD084B79}">
      <dgm:prSet/>
      <dgm:spPr/>
      <dgm:t>
        <a:bodyPr/>
        <a:lstStyle/>
        <a:p>
          <a:endParaRPr lang="en-GB" sz="3200"/>
        </a:p>
      </dgm:t>
    </dgm:pt>
    <dgm:pt modelId="{92906A7A-C6D0-409F-9709-78F22857FB70}" type="sibTrans" cxnId="{D276CF78-652F-4EAD-8812-B452FD084B79}">
      <dgm:prSet/>
      <dgm:spPr/>
      <dgm:t>
        <a:bodyPr/>
        <a:lstStyle/>
        <a:p>
          <a:endParaRPr lang="en-GB" sz="3200"/>
        </a:p>
      </dgm:t>
    </dgm:pt>
    <dgm:pt modelId="{84E004D0-881B-4460-BEA3-1631F35D8564}">
      <dgm:prSet phldrT="[Text]" custT="1">
        <dgm:style>
          <a:lnRef idx="2">
            <a:schemeClr val="dk1"/>
          </a:lnRef>
          <a:fillRef idx="1">
            <a:schemeClr val="lt1"/>
          </a:fillRef>
          <a:effectRef idx="0">
            <a:schemeClr val="dk1"/>
          </a:effectRef>
          <a:fontRef idx="minor">
            <a:schemeClr val="dk1"/>
          </a:fontRef>
        </dgm:style>
      </dgm:prSet>
      <dgm:spPr>
        <a:noFill/>
        <a:ln w="9525"/>
      </dgm:spPr>
      <dgm:t>
        <a:bodyPr/>
        <a:lstStyle/>
        <a:p>
          <a:r>
            <a:rPr lang="en-GB" sz="1100" b="1">
              <a:solidFill>
                <a:sysClr val="windowText" lastClr="000000"/>
              </a:solidFill>
              <a:latin typeface="Times New Roman" panose="02020603050405020304" pitchFamily="18" charset="0"/>
              <a:cs typeface="Times New Roman" panose="02020603050405020304" pitchFamily="18" charset="0"/>
            </a:rPr>
            <a:t>MESOSYSTEM</a:t>
          </a:r>
          <a:r>
            <a:rPr lang="en-GB" sz="1100">
              <a:solidFill>
                <a:sysClr val="windowText" lastClr="000000"/>
              </a:solidFill>
              <a:latin typeface="Times New Roman" panose="02020603050405020304" pitchFamily="18" charset="0"/>
              <a:cs typeface="Times New Roman" panose="02020603050405020304" pitchFamily="18" charset="0"/>
            </a:rPr>
            <a:t> </a:t>
          </a:r>
        </a:p>
        <a:p>
          <a:r>
            <a:rPr lang="en-GB" sz="1100">
              <a:solidFill>
                <a:sysClr val="windowText" lastClr="000000"/>
              </a:solidFill>
              <a:latin typeface="Times New Roman" panose="02020603050405020304" pitchFamily="18" charset="0"/>
              <a:cs typeface="Times New Roman" panose="02020603050405020304" pitchFamily="18" charset="0"/>
            </a:rPr>
            <a:t>Relationships between organistations, cultural and social capital, policies, cultural norms </a:t>
          </a:r>
        </a:p>
      </dgm:t>
    </dgm:pt>
    <dgm:pt modelId="{09B2BE2B-B0FB-44EF-BE67-25F183A2D581}" type="parTrans" cxnId="{C655FC3E-D0FE-4E25-8C23-A2C7D40ABC8E}">
      <dgm:prSet/>
      <dgm:spPr/>
      <dgm:t>
        <a:bodyPr/>
        <a:lstStyle/>
        <a:p>
          <a:endParaRPr lang="en-GB" sz="3200"/>
        </a:p>
      </dgm:t>
    </dgm:pt>
    <dgm:pt modelId="{D97DD175-4C54-4AC1-8F00-7907A78C33C7}" type="sibTrans" cxnId="{C655FC3E-D0FE-4E25-8C23-A2C7D40ABC8E}">
      <dgm:prSet/>
      <dgm:spPr/>
      <dgm:t>
        <a:bodyPr/>
        <a:lstStyle/>
        <a:p>
          <a:endParaRPr lang="en-GB" sz="3200"/>
        </a:p>
      </dgm:t>
    </dgm:pt>
    <dgm:pt modelId="{1D0E7FAC-63CF-4129-AEC7-A304C56E9B3C}">
      <dgm:prSet phldrT="[Text]" custT="1">
        <dgm:style>
          <a:lnRef idx="2">
            <a:schemeClr val="dk1"/>
          </a:lnRef>
          <a:fillRef idx="1">
            <a:schemeClr val="lt1"/>
          </a:fillRef>
          <a:effectRef idx="0">
            <a:schemeClr val="dk1"/>
          </a:effectRef>
          <a:fontRef idx="minor">
            <a:schemeClr val="dk1"/>
          </a:fontRef>
        </dgm:style>
      </dgm:prSet>
      <dgm:spPr>
        <a:noFill/>
        <a:ln w="9525"/>
      </dgm:spPr>
      <dgm:t>
        <a:bodyPr/>
        <a:lstStyle/>
        <a:p>
          <a:r>
            <a:rPr lang="en-GB" sz="1100" b="1">
              <a:solidFill>
                <a:sysClr val="windowText" lastClr="000000"/>
              </a:solidFill>
              <a:latin typeface="Times New Roman" panose="02020603050405020304" pitchFamily="18" charset="0"/>
              <a:cs typeface="Times New Roman" panose="02020603050405020304" pitchFamily="18" charset="0"/>
            </a:rPr>
            <a:t>MICROSYSTEM</a:t>
          </a:r>
          <a:r>
            <a:rPr lang="en-GB" sz="1100">
              <a:solidFill>
                <a:sysClr val="windowText" lastClr="000000"/>
              </a:solidFill>
              <a:latin typeface="Times New Roman" panose="02020603050405020304" pitchFamily="18" charset="0"/>
              <a:cs typeface="Times New Roman" panose="02020603050405020304" pitchFamily="18" charset="0"/>
            </a:rPr>
            <a:t> </a:t>
          </a:r>
        </a:p>
        <a:p>
          <a:r>
            <a:rPr lang="en-GB" sz="1100">
              <a:solidFill>
                <a:sysClr val="windowText" lastClr="000000"/>
              </a:solidFill>
              <a:latin typeface="Times New Roman" panose="02020603050405020304" pitchFamily="18" charset="0"/>
              <a:cs typeface="Times New Roman" panose="02020603050405020304" pitchFamily="18" charset="0"/>
            </a:rPr>
            <a:t>Families, friends, </a:t>
          </a:r>
          <a:br>
            <a:rPr lang="en-GB" sz="1100">
              <a:solidFill>
                <a:sysClr val="windowText" lastClr="000000"/>
              </a:solidFill>
              <a:latin typeface="Times New Roman" panose="02020603050405020304" pitchFamily="18" charset="0"/>
              <a:cs typeface="Times New Roman" panose="02020603050405020304" pitchFamily="18" charset="0"/>
            </a:rPr>
          </a:br>
          <a:r>
            <a:rPr lang="en-GB" sz="1100">
              <a:solidFill>
                <a:sysClr val="windowText" lastClr="000000"/>
              </a:solidFill>
              <a:latin typeface="Times New Roman" panose="02020603050405020304" pitchFamily="18" charset="0"/>
              <a:cs typeface="Times New Roman" panose="02020603050405020304" pitchFamily="18" charset="0"/>
            </a:rPr>
            <a:t>social networks, school  </a:t>
          </a:r>
        </a:p>
      </dgm:t>
    </dgm:pt>
    <dgm:pt modelId="{B116CCE5-A6D5-4748-B6A6-A882093B3E49}" type="parTrans" cxnId="{6623AB2D-243E-4454-8F92-6F6C4AD0EF44}">
      <dgm:prSet/>
      <dgm:spPr/>
      <dgm:t>
        <a:bodyPr/>
        <a:lstStyle/>
        <a:p>
          <a:endParaRPr lang="en-GB" sz="3200"/>
        </a:p>
      </dgm:t>
    </dgm:pt>
    <dgm:pt modelId="{172AFE40-2BB9-406E-A7B5-791F41CE1786}" type="sibTrans" cxnId="{6623AB2D-243E-4454-8F92-6F6C4AD0EF44}">
      <dgm:prSet/>
      <dgm:spPr/>
      <dgm:t>
        <a:bodyPr/>
        <a:lstStyle/>
        <a:p>
          <a:endParaRPr lang="en-GB" sz="3200"/>
        </a:p>
      </dgm:t>
    </dgm:pt>
    <dgm:pt modelId="{BED955C5-66AB-4133-87D0-7398D3098F08}">
      <dgm:prSet phldrT="[Text]" custT="1">
        <dgm:style>
          <a:lnRef idx="2">
            <a:schemeClr val="dk1"/>
          </a:lnRef>
          <a:fillRef idx="1">
            <a:schemeClr val="lt1"/>
          </a:fillRef>
          <a:effectRef idx="0">
            <a:schemeClr val="dk1"/>
          </a:effectRef>
          <a:fontRef idx="minor">
            <a:schemeClr val="dk1"/>
          </a:fontRef>
        </dgm:style>
      </dgm:prSet>
      <dgm:spPr>
        <a:solidFill>
          <a:schemeClr val="bg1"/>
        </a:solidFill>
        <a:ln w="9525"/>
      </dgm:spPr>
      <dgm:t>
        <a:bodyPr/>
        <a:lstStyle/>
        <a:p>
          <a:r>
            <a:rPr lang="en-GB" sz="1100" b="1">
              <a:solidFill>
                <a:sysClr val="windowText" lastClr="000000"/>
              </a:solidFill>
              <a:latin typeface="Times New Roman" panose="02020603050405020304" pitchFamily="18" charset="0"/>
              <a:cs typeface="Times New Roman" panose="02020603050405020304" pitchFamily="18" charset="0"/>
            </a:rPr>
            <a:t>INDIVIDUAL</a:t>
          </a:r>
        </a:p>
        <a:p>
          <a:r>
            <a:rPr lang="en-GB" sz="1100">
              <a:solidFill>
                <a:sysClr val="windowText" lastClr="000000"/>
              </a:solidFill>
              <a:latin typeface="Times New Roman" panose="02020603050405020304" pitchFamily="18" charset="0"/>
              <a:cs typeface="Times New Roman" panose="02020603050405020304" pitchFamily="18" charset="0"/>
            </a:rPr>
            <a:t>Knowledge, attitudes, skills, behaviours </a:t>
          </a:r>
        </a:p>
      </dgm:t>
    </dgm:pt>
    <dgm:pt modelId="{090A5BB3-2CF5-4940-A69E-9B51E8C95D87}" type="parTrans" cxnId="{C72CBDC0-DED4-4F2D-A5D0-6C6665FAA8FB}">
      <dgm:prSet/>
      <dgm:spPr/>
      <dgm:t>
        <a:bodyPr/>
        <a:lstStyle/>
        <a:p>
          <a:endParaRPr lang="en-GB" sz="3200"/>
        </a:p>
      </dgm:t>
    </dgm:pt>
    <dgm:pt modelId="{9C1EC154-E1C4-4467-8ED4-DF84725966DF}" type="sibTrans" cxnId="{C72CBDC0-DED4-4F2D-A5D0-6C6665FAA8FB}">
      <dgm:prSet/>
      <dgm:spPr/>
      <dgm:t>
        <a:bodyPr/>
        <a:lstStyle/>
        <a:p>
          <a:endParaRPr lang="en-GB" sz="3200"/>
        </a:p>
      </dgm:t>
    </dgm:pt>
    <dgm:pt modelId="{AFC6B621-5914-4867-AB88-B1EF89F1E52F}" type="pres">
      <dgm:prSet presAssocID="{9A602F88-70EF-41F2-8022-A30250157FAE}" presName="Name0" presStyleCnt="0">
        <dgm:presLayoutVars>
          <dgm:chMax val="7"/>
          <dgm:resizeHandles val="exact"/>
        </dgm:presLayoutVars>
      </dgm:prSet>
      <dgm:spPr/>
    </dgm:pt>
    <dgm:pt modelId="{A4611E81-247C-487D-B8A8-B58B69B42E22}" type="pres">
      <dgm:prSet presAssocID="{9A602F88-70EF-41F2-8022-A30250157FAE}" presName="comp1" presStyleCnt="0"/>
      <dgm:spPr/>
    </dgm:pt>
    <dgm:pt modelId="{5A6572C6-1AF1-45A0-AED7-F5E0099CCEF5}" type="pres">
      <dgm:prSet presAssocID="{9A602F88-70EF-41F2-8022-A30250157FAE}" presName="circle1" presStyleLbl="node1" presStyleIdx="0" presStyleCnt="5" custScaleX="120415"/>
      <dgm:spPr/>
    </dgm:pt>
    <dgm:pt modelId="{61253E06-BD92-4A52-A20D-D9611AD8173A}" type="pres">
      <dgm:prSet presAssocID="{9A602F88-70EF-41F2-8022-A30250157FAE}" presName="c1text" presStyleLbl="node1" presStyleIdx="0" presStyleCnt="5">
        <dgm:presLayoutVars>
          <dgm:bulletEnabled val="1"/>
        </dgm:presLayoutVars>
      </dgm:prSet>
      <dgm:spPr/>
    </dgm:pt>
    <dgm:pt modelId="{0CA4E8CA-FEC8-469F-8DC8-3EA0D08AECF9}" type="pres">
      <dgm:prSet presAssocID="{9A602F88-70EF-41F2-8022-A30250157FAE}" presName="comp2" presStyleCnt="0"/>
      <dgm:spPr/>
    </dgm:pt>
    <dgm:pt modelId="{3439A666-4EFD-440F-8B51-14BEB8B9B539}" type="pres">
      <dgm:prSet presAssocID="{9A602F88-70EF-41F2-8022-A30250157FAE}" presName="circle2" presStyleLbl="node1" presStyleIdx="1" presStyleCnt="5" custScaleX="117647" custScaleY="94551" custLinFactNeighborY="906"/>
      <dgm:spPr/>
    </dgm:pt>
    <dgm:pt modelId="{F965726A-3C1C-467A-8400-EEB7CB615A1D}" type="pres">
      <dgm:prSet presAssocID="{9A602F88-70EF-41F2-8022-A30250157FAE}" presName="c2text" presStyleLbl="node1" presStyleIdx="1" presStyleCnt="5">
        <dgm:presLayoutVars>
          <dgm:bulletEnabled val="1"/>
        </dgm:presLayoutVars>
      </dgm:prSet>
      <dgm:spPr/>
    </dgm:pt>
    <dgm:pt modelId="{3B7991D6-BD20-40E5-AB62-F9A8E85DC7DC}" type="pres">
      <dgm:prSet presAssocID="{9A602F88-70EF-41F2-8022-A30250157FAE}" presName="comp3" presStyleCnt="0"/>
      <dgm:spPr/>
    </dgm:pt>
    <dgm:pt modelId="{02B178A5-9F36-425E-A332-086C34A5E667}" type="pres">
      <dgm:prSet presAssocID="{9A602F88-70EF-41F2-8022-A30250157FAE}" presName="circle3" presStyleLbl="node1" presStyleIdx="2" presStyleCnt="5" custScaleX="119622" custScaleY="88493" custLinFactNeighborY="1333"/>
      <dgm:spPr/>
    </dgm:pt>
    <dgm:pt modelId="{F2E33B01-A79B-4FD2-9D5D-3C105C219661}" type="pres">
      <dgm:prSet presAssocID="{9A602F88-70EF-41F2-8022-A30250157FAE}" presName="c3text" presStyleLbl="node1" presStyleIdx="2" presStyleCnt="5">
        <dgm:presLayoutVars>
          <dgm:bulletEnabled val="1"/>
        </dgm:presLayoutVars>
      </dgm:prSet>
      <dgm:spPr/>
    </dgm:pt>
    <dgm:pt modelId="{FCD3B909-1169-4D52-88CC-C82C3C22EB9A}" type="pres">
      <dgm:prSet presAssocID="{9A602F88-70EF-41F2-8022-A30250157FAE}" presName="comp4" presStyleCnt="0"/>
      <dgm:spPr/>
    </dgm:pt>
    <dgm:pt modelId="{7A6401C5-4C90-46A3-9126-9DA47AC60CD2}" type="pres">
      <dgm:prSet presAssocID="{9A602F88-70EF-41F2-8022-A30250157FAE}" presName="circle4" presStyleLbl="node1" presStyleIdx="3" presStyleCnt="5" custScaleX="121270" custScaleY="79845" custLinFactNeighborY="1700"/>
      <dgm:spPr/>
    </dgm:pt>
    <dgm:pt modelId="{CA5D6843-3501-46D9-91F5-9CCD41218291}" type="pres">
      <dgm:prSet presAssocID="{9A602F88-70EF-41F2-8022-A30250157FAE}" presName="c4text" presStyleLbl="node1" presStyleIdx="3" presStyleCnt="5">
        <dgm:presLayoutVars>
          <dgm:bulletEnabled val="1"/>
        </dgm:presLayoutVars>
      </dgm:prSet>
      <dgm:spPr/>
    </dgm:pt>
    <dgm:pt modelId="{E84CCE67-9861-46D8-87BF-490706928630}" type="pres">
      <dgm:prSet presAssocID="{9A602F88-70EF-41F2-8022-A30250157FAE}" presName="comp5" presStyleCnt="0"/>
      <dgm:spPr/>
    </dgm:pt>
    <dgm:pt modelId="{35C06D78-663D-41FF-91FA-AB48A09BF7E9}" type="pres">
      <dgm:prSet presAssocID="{9A602F88-70EF-41F2-8022-A30250157FAE}" presName="circle5" presStyleLbl="node1" presStyleIdx="4" presStyleCnt="5" custScaleX="106917" custScaleY="67769" custLinFactNeighborY="591"/>
      <dgm:spPr/>
    </dgm:pt>
    <dgm:pt modelId="{AE4AB47F-4CBF-45D6-887F-5A51C238E558}" type="pres">
      <dgm:prSet presAssocID="{9A602F88-70EF-41F2-8022-A30250157FAE}" presName="c5text" presStyleLbl="node1" presStyleIdx="4" presStyleCnt="5">
        <dgm:presLayoutVars>
          <dgm:bulletEnabled val="1"/>
        </dgm:presLayoutVars>
      </dgm:prSet>
      <dgm:spPr/>
    </dgm:pt>
  </dgm:ptLst>
  <dgm:cxnLst>
    <dgm:cxn modelId="{6623AB2D-243E-4454-8F92-6F6C4AD0EF44}" srcId="{9A602F88-70EF-41F2-8022-A30250157FAE}" destId="{1D0E7FAC-63CF-4129-AEC7-A304C56E9B3C}" srcOrd="3" destOrd="0" parTransId="{B116CCE5-A6D5-4748-B6A6-A882093B3E49}" sibTransId="{172AFE40-2BB9-406E-A7B5-791F41CE1786}"/>
    <dgm:cxn modelId="{653A2135-37A6-443C-8FFF-E43225D77359}" type="presOf" srcId="{84E004D0-881B-4460-BEA3-1631F35D8564}" destId="{F2E33B01-A79B-4FD2-9D5D-3C105C219661}" srcOrd="1" destOrd="0" presId="urn:microsoft.com/office/officeart/2005/8/layout/venn2"/>
    <dgm:cxn modelId="{C655FC3E-D0FE-4E25-8C23-A2C7D40ABC8E}" srcId="{9A602F88-70EF-41F2-8022-A30250157FAE}" destId="{84E004D0-881B-4460-BEA3-1631F35D8564}" srcOrd="2" destOrd="0" parTransId="{09B2BE2B-B0FB-44EF-BE67-25F183A2D581}" sibTransId="{D97DD175-4C54-4AC1-8F00-7907A78C33C7}"/>
    <dgm:cxn modelId="{DBD6635F-D7D6-4DDA-8B49-1DB8CC0964DD}" type="presOf" srcId="{1D0E7FAC-63CF-4129-AEC7-A304C56E9B3C}" destId="{7A6401C5-4C90-46A3-9126-9DA47AC60CD2}" srcOrd="0" destOrd="0" presId="urn:microsoft.com/office/officeart/2005/8/layout/venn2"/>
    <dgm:cxn modelId="{1B86C444-658A-4387-9434-C5C4364D2CBA}" srcId="{9A602F88-70EF-41F2-8022-A30250157FAE}" destId="{4451B7E4-3071-4D7C-9A2C-5467FC807DC7}" srcOrd="0" destOrd="0" parTransId="{BBE1FFCB-01C2-4610-9EED-C4F3705764D1}" sibTransId="{6862E467-8B05-49B1-85B6-8FD109485B7C}"/>
    <dgm:cxn modelId="{A84DEF45-DEF7-4A5E-856B-78EEFDE31981}" type="presOf" srcId="{B22078B6-6932-45A6-80DE-C9EBA87EEBA8}" destId="{F965726A-3C1C-467A-8400-EEB7CB615A1D}" srcOrd="1" destOrd="0" presId="urn:microsoft.com/office/officeart/2005/8/layout/venn2"/>
    <dgm:cxn modelId="{8D5F3E4F-9F92-445D-B3C1-2B97FABA999F}" type="presOf" srcId="{4451B7E4-3071-4D7C-9A2C-5467FC807DC7}" destId="{5A6572C6-1AF1-45A0-AED7-F5E0099CCEF5}" srcOrd="0" destOrd="0" presId="urn:microsoft.com/office/officeart/2005/8/layout/venn2"/>
    <dgm:cxn modelId="{D276CF78-652F-4EAD-8812-B452FD084B79}" srcId="{9A602F88-70EF-41F2-8022-A30250157FAE}" destId="{B22078B6-6932-45A6-80DE-C9EBA87EEBA8}" srcOrd="1" destOrd="0" parTransId="{E05F2B43-CD56-4345-B0FF-4FE9DAFAB9EA}" sibTransId="{92906A7A-C6D0-409F-9709-78F22857FB70}"/>
    <dgm:cxn modelId="{BDD84F59-D4BB-4C35-99BB-1F93C160F180}" type="presOf" srcId="{84E004D0-881B-4460-BEA3-1631F35D8564}" destId="{02B178A5-9F36-425E-A332-086C34A5E667}" srcOrd="0" destOrd="0" presId="urn:microsoft.com/office/officeart/2005/8/layout/venn2"/>
    <dgm:cxn modelId="{50D52288-9B68-458B-9610-2074E7A031CE}" type="presOf" srcId="{B22078B6-6932-45A6-80DE-C9EBA87EEBA8}" destId="{3439A666-4EFD-440F-8B51-14BEB8B9B539}" srcOrd="0" destOrd="0" presId="urn:microsoft.com/office/officeart/2005/8/layout/venn2"/>
    <dgm:cxn modelId="{1471B78A-FE39-401A-AB54-26BAEFF82919}" type="presOf" srcId="{BED955C5-66AB-4133-87D0-7398D3098F08}" destId="{AE4AB47F-4CBF-45D6-887F-5A51C238E558}" srcOrd="1" destOrd="0" presId="urn:microsoft.com/office/officeart/2005/8/layout/venn2"/>
    <dgm:cxn modelId="{EFC1199B-5D0C-4692-87D0-8D59B0DFC322}" type="presOf" srcId="{4451B7E4-3071-4D7C-9A2C-5467FC807DC7}" destId="{61253E06-BD92-4A52-A20D-D9611AD8173A}" srcOrd="1" destOrd="0" presId="urn:microsoft.com/office/officeart/2005/8/layout/venn2"/>
    <dgm:cxn modelId="{C72CBDC0-DED4-4F2D-A5D0-6C6665FAA8FB}" srcId="{9A602F88-70EF-41F2-8022-A30250157FAE}" destId="{BED955C5-66AB-4133-87D0-7398D3098F08}" srcOrd="4" destOrd="0" parTransId="{090A5BB3-2CF5-4940-A69E-9B51E8C95D87}" sibTransId="{9C1EC154-E1C4-4467-8ED4-DF84725966DF}"/>
    <dgm:cxn modelId="{7921FCCF-6D15-4C97-8A97-C6653A173DCF}" type="presOf" srcId="{9A602F88-70EF-41F2-8022-A30250157FAE}" destId="{AFC6B621-5914-4867-AB88-B1EF89F1E52F}" srcOrd="0" destOrd="0" presId="urn:microsoft.com/office/officeart/2005/8/layout/venn2"/>
    <dgm:cxn modelId="{DA4700D5-B185-4BDA-8C5B-05F285071DB5}" type="presOf" srcId="{1D0E7FAC-63CF-4129-AEC7-A304C56E9B3C}" destId="{CA5D6843-3501-46D9-91F5-9CCD41218291}" srcOrd="1" destOrd="0" presId="urn:microsoft.com/office/officeart/2005/8/layout/venn2"/>
    <dgm:cxn modelId="{92C467F3-E94E-4C98-B273-6E9E856F9034}" type="presOf" srcId="{BED955C5-66AB-4133-87D0-7398D3098F08}" destId="{35C06D78-663D-41FF-91FA-AB48A09BF7E9}" srcOrd="0" destOrd="0" presId="urn:microsoft.com/office/officeart/2005/8/layout/venn2"/>
    <dgm:cxn modelId="{8A48C538-3417-40C4-9F53-4638E581B5C0}" type="presParOf" srcId="{AFC6B621-5914-4867-AB88-B1EF89F1E52F}" destId="{A4611E81-247C-487D-B8A8-B58B69B42E22}" srcOrd="0" destOrd="0" presId="urn:microsoft.com/office/officeart/2005/8/layout/venn2"/>
    <dgm:cxn modelId="{7683D250-1987-4E78-9E75-E1A160540341}" type="presParOf" srcId="{A4611E81-247C-487D-B8A8-B58B69B42E22}" destId="{5A6572C6-1AF1-45A0-AED7-F5E0099CCEF5}" srcOrd="0" destOrd="0" presId="urn:microsoft.com/office/officeart/2005/8/layout/venn2"/>
    <dgm:cxn modelId="{10AE9FA7-8323-4EAD-8B16-8F35FF5FA376}" type="presParOf" srcId="{A4611E81-247C-487D-B8A8-B58B69B42E22}" destId="{61253E06-BD92-4A52-A20D-D9611AD8173A}" srcOrd="1" destOrd="0" presId="urn:microsoft.com/office/officeart/2005/8/layout/venn2"/>
    <dgm:cxn modelId="{CB06CEF5-8A74-420F-BC09-5858F17E9AB3}" type="presParOf" srcId="{AFC6B621-5914-4867-AB88-B1EF89F1E52F}" destId="{0CA4E8CA-FEC8-469F-8DC8-3EA0D08AECF9}" srcOrd="1" destOrd="0" presId="urn:microsoft.com/office/officeart/2005/8/layout/venn2"/>
    <dgm:cxn modelId="{59C16BB5-B8D8-45AE-871F-B552B45AE922}" type="presParOf" srcId="{0CA4E8CA-FEC8-469F-8DC8-3EA0D08AECF9}" destId="{3439A666-4EFD-440F-8B51-14BEB8B9B539}" srcOrd="0" destOrd="0" presId="urn:microsoft.com/office/officeart/2005/8/layout/venn2"/>
    <dgm:cxn modelId="{60ED1C5A-F749-41B1-9F63-D8043D906F01}" type="presParOf" srcId="{0CA4E8CA-FEC8-469F-8DC8-3EA0D08AECF9}" destId="{F965726A-3C1C-467A-8400-EEB7CB615A1D}" srcOrd="1" destOrd="0" presId="urn:microsoft.com/office/officeart/2005/8/layout/venn2"/>
    <dgm:cxn modelId="{7F0B26C7-5807-485D-A973-FA964A1E40AC}" type="presParOf" srcId="{AFC6B621-5914-4867-AB88-B1EF89F1E52F}" destId="{3B7991D6-BD20-40E5-AB62-F9A8E85DC7DC}" srcOrd="2" destOrd="0" presId="urn:microsoft.com/office/officeart/2005/8/layout/venn2"/>
    <dgm:cxn modelId="{0DE3ED29-3880-429F-A785-9C825E3255CE}" type="presParOf" srcId="{3B7991D6-BD20-40E5-AB62-F9A8E85DC7DC}" destId="{02B178A5-9F36-425E-A332-086C34A5E667}" srcOrd="0" destOrd="0" presId="urn:microsoft.com/office/officeart/2005/8/layout/venn2"/>
    <dgm:cxn modelId="{962CBF81-1CA5-4542-9EA3-E27C4107A777}" type="presParOf" srcId="{3B7991D6-BD20-40E5-AB62-F9A8E85DC7DC}" destId="{F2E33B01-A79B-4FD2-9D5D-3C105C219661}" srcOrd="1" destOrd="0" presId="urn:microsoft.com/office/officeart/2005/8/layout/venn2"/>
    <dgm:cxn modelId="{B7179545-0CF0-483F-A61E-D471C9207D4C}" type="presParOf" srcId="{AFC6B621-5914-4867-AB88-B1EF89F1E52F}" destId="{FCD3B909-1169-4D52-88CC-C82C3C22EB9A}" srcOrd="3" destOrd="0" presId="urn:microsoft.com/office/officeart/2005/8/layout/venn2"/>
    <dgm:cxn modelId="{1A68A687-AD6F-420D-B49A-3EF3246FE0DE}" type="presParOf" srcId="{FCD3B909-1169-4D52-88CC-C82C3C22EB9A}" destId="{7A6401C5-4C90-46A3-9126-9DA47AC60CD2}" srcOrd="0" destOrd="0" presId="urn:microsoft.com/office/officeart/2005/8/layout/venn2"/>
    <dgm:cxn modelId="{618E3F36-8289-46AB-82B5-7EE54F81B36F}" type="presParOf" srcId="{FCD3B909-1169-4D52-88CC-C82C3C22EB9A}" destId="{CA5D6843-3501-46D9-91F5-9CCD41218291}" srcOrd="1" destOrd="0" presId="urn:microsoft.com/office/officeart/2005/8/layout/venn2"/>
    <dgm:cxn modelId="{FDA3B4BD-9F7D-4499-A513-DADAD675A8CB}" type="presParOf" srcId="{AFC6B621-5914-4867-AB88-B1EF89F1E52F}" destId="{E84CCE67-9861-46D8-87BF-490706928630}" srcOrd="4" destOrd="0" presId="urn:microsoft.com/office/officeart/2005/8/layout/venn2"/>
    <dgm:cxn modelId="{5BFD4A7A-75F2-4812-A7C0-6ED2716253C4}" type="presParOf" srcId="{E84CCE67-9861-46D8-87BF-490706928630}" destId="{35C06D78-663D-41FF-91FA-AB48A09BF7E9}" srcOrd="0" destOrd="0" presId="urn:microsoft.com/office/officeart/2005/8/layout/venn2"/>
    <dgm:cxn modelId="{0AC521D1-4386-42C8-BAD6-0B224296C68A}" type="presParOf" srcId="{E84CCE67-9861-46D8-87BF-490706928630}" destId="{AE4AB47F-4CBF-45D6-887F-5A51C238E558}" srcOrd="1" destOrd="0" presId="urn:microsoft.com/office/officeart/2005/8/layout/ven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572C6-1AF1-45A0-AED7-F5E0099CCEF5}">
      <dsp:nvSpPr>
        <dsp:cNvPr id="0" name=""/>
        <dsp:cNvSpPr/>
      </dsp:nvSpPr>
      <dsp:spPr>
        <a:xfrm>
          <a:off x="-495595" y="351220"/>
          <a:ext cx="5846401" cy="4855210"/>
        </a:xfrm>
        <a:prstGeom prst="ellipse">
          <a:avLst/>
        </a:pr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Times New Roman" panose="02020603050405020304" pitchFamily="18" charset="0"/>
              <a:cs typeface="Times New Roman" panose="02020603050405020304" pitchFamily="18" charset="0"/>
            </a:rPr>
            <a:t>MACROSYSTEM</a:t>
          </a:r>
        </a:p>
        <a:p>
          <a:pPr marL="0" lvl="0" indent="0" algn="ctr" defTabSz="488950">
            <a:lnSpc>
              <a:spcPct val="90000"/>
            </a:lnSpc>
            <a:spcBef>
              <a:spcPct val="0"/>
            </a:spcBef>
            <a:spcAft>
              <a:spcPct val="35000"/>
            </a:spcAft>
            <a:buNone/>
          </a:pPr>
          <a:r>
            <a:rPr lang="en-GB" sz="1100" kern="1200">
              <a:solidFill>
                <a:sysClr val="windowText" lastClr="000000"/>
              </a:solidFill>
              <a:latin typeface="Times New Roman" panose="02020603050405020304" pitchFamily="18" charset="0"/>
              <a:cs typeface="Times New Roman" panose="02020603050405020304" pitchFamily="18" charset="0"/>
            </a:rPr>
            <a:t>Policy / enabling environment national and local policies, </a:t>
          </a:r>
          <a:br>
            <a:rPr lang="en-GB" sz="1100" kern="1200">
              <a:solidFill>
                <a:sysClr val="windowText" lastClr="000000"/>
              </a:solidFill>
              <a:latin typeface="Times New Roman" panose="02020603050405020304" pitchFamily="18" charset="0"/>
              <a:cs typeface="Times New Roman" panose="02020603050405020304" pitchFamily="18" charset="0"/>
            </a:rPr>
          </a:br>
          <a:r>
            <a:rPr lang="en-GB" sz="1100" kern="1200">
              <a:solidFill>
                <a:sysClr val="windowText" lastClr="000000"/>
              </a:solidFill>
              <a:latin typeface="Times New Roman" panose="02020603050405020304" pitchFamily="18" charset="0"/>
              <a:cs typeface="Times New Roman" panose="02020603050405020304" pitchFamily="18" charset="0"/>
            </a:rPr>
            <a:t>media and cultural influences  </a:t>
          </a:r>
        </a:p>
      </dsp:txBody>
      <dsp:txXfrm>
        <a:off x="1331404" y="593981"/>
        <a:ext cx="2192400" cy="485521"/>
      </dsp:txXfrm>
    </dsp:sp>
    <dsp:sp modelId="{3439A666-4EFD-440F-8B51-14BEB8B9B539}">
      <dsp:nvSpPr>
        <dsp:cNvPr id="0" name=""/>
        <dsp:cNvSpPr/>
      </dsp:nvSpPr>
      <dsp:spPr>
        <a:xfrm>
          <a:off x="1" y="1229330"/>
          <a:ext cx="4855207" cy="3902052"/>
        </a:xfrm>
        <a:prstGeom prst="ellipse">
          <a:avLst/>
        </a:pr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Times New Roman" panose="02020603050405020304" pitchFamily="18" charset="0"/>
              <a:cs typeface="Times New Roman" panose="02020603050405020304" pitchFamily="18" charset="0"/>
            </a:rPr>
            <a:t>EXOSYSTEM</a:t>
          </a:r>
          <a:r>
            <a:rPr lang="en-GB" sz="1100"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88950">
            <a:lnSpc>
              <a:spcPct val="90000"/>
            </a:lnSpc>
            <a:spcBef>
              <a:spcPct val="0"/>
            </a:spcBef>
            <a:spcAft>
              <a:spcPct val="35000"/>
            </a:spcAft>
            <a:buNone/>
          </a:pPr>
          <a:r>
            <a:rPr lang="en-GB" sz="1100" kern="1200">
              <a:solidFill>
                <a:sysClr val="windowText" lastClr="000000"/>
              </a:solidFill>
              <a:latin typeface="Times New Roman" panose="02020603050405020304" pitchFamily="18" charset="0"/>
              <a:cs typeface="Times New Roman" panose="02020603050405020304" pitchFamily="18" charset="0"/>
            </a:rPr>
            <a:t>Organisations, public services </a:t>
          </a:r>
          <a:br>
            <a:rPr lang="en-GB" sz="1100" kern="1200">
              <a:solidFill>
                <a:sysClr val="windowText" lastClr="000000"/>
              </a:solidFill>
              <a:latin typeface="Times New Roman" panose="02020603050405020304" pitchFamily="18" charset="0"/>
              <a:cs typeface="Times New Roman" panose="02020603050405020304" pitchFamily="18" charset="0"/>
            </a:rPr>
          </a:br>
          <a:r>
            <a:rPr lang="en-GB" sz="1100" kern="1200">
              <a:solidFill>
                <a:sysClr val="windowText" lastClr="000000"/>
              </a:solidFill>
              <a:latin typeface="Times New Roman" panose="02020603050405020304" pitchFamily="18" charset="0"/>
              <a:cs typeface="Times New Roman" panose="02020603050405020304" pitchFamily="18" charset="0"/>
            </a:rPr>
            <a:t>and social institutions </a:t>
          </a:r>
        </a:p>
      </dsp:txBody>
      <dsp:txXfrm>
        <a:off x="1380700" y="1453698"/>
        <a:ext cx="2093808" cy="448735"/>
      </dsp:txXfrm>
    </dsp:sp>
    <dsp:sp modelId="{02B178A5-9F36-425E-A332-086C34A5E667}">
      <dsp:nvSpPr>
        <dsp:cNvPr id="0" name=""/>
        <dsp:cNvSpPr/>
      </dsp:nvSpPr>
      <dsp:spPr>
        <a:xfrm>
          <a:off x="394840" y="2048629"/>
          <a:ext cx="4065529" cy="3007564"/>
        </a:xfrm>
        <a:prstGeom prst="ellipse">
          <a:avLst/>
        </a:pr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Times New Roman" panose="02020603050405020304" pitchFamily="18" charset="0"/>
              <a:cs typeface="Times New Roman" panose="02020603050405020304" pitchFamily="18" charset="0"/>
            </a:rPr>
            <a:t>MESOSYSTEM</a:t>
          </a:r>
          <a:r>
            <a:rPr lang="en-GB" sz="1100"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88950">
            <a:lnSpc>
              <a:spcPct val="90000"/>
            </a:lnSpc>
            <a:spcBef>
              <a:spcPct val="0"/>
            </a:spcBef>
            <a:spcAft>
              <a:spcPct val="35000"/>
            </a:spcAft>
            <a:buNone/>
          </a:pPr>
          <a:r>
            <a:rPr lang="en-GB" sz="1100" kern="1200">
              <a:solidFill>
                <a:sysClr val="windowText" lastClr="000000"/>
              </a:solidFill>
              <a:latin typeface="Times New Roman" panose="02020603050405020304" pitchFamily="18" charset="0"/>
              <a:cs typeface="Times New Roman" panose="02020603050405020304" pitchFamily="18" charset="0"/>
            </a:rPr>
            <a:t>Relationships between organistations, cultural and social capital, policies, cultural norms </a:t>
          </a:r>
        </a:p>
      </dsp:txBody>
      <dsp:txXfrm>
        <a:off x="1375649" y="2256151"/>
        <a:ext cx="2103911" cy="415043"/>
      </dsp:txXfrm>
    </dsp:sp>
    <dsp:sp modelId="{7A6401C5-4C90-46A3-9126-9DA47AC60CD2}">
      <dsp:nvSpPr>
        <dsp:cNvPr id="0" name=""/>
        <dsp:cNvSpPr/>
      </dsp:nvSpPr>
      <dsp:spPr>
        <a:xfrm>
          <a:off x="808428" y="2850567"/>
          <a:ext cx="3238352" cy="2132153"/>
        </a:xfrm>
        <a:prstGeom prst="ellipse">
          <a:avLst/>
        </a:pr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Times New Roman" panose="02020603050405020304" pitchFamily="18" charset="0"/>
              <a:cs typeface="Times New Roman" panose="02020603050405020304" pitchFamily="18" charset="0"/>
            </a:rPr>
            <a:t>MICROSYSTEM</a:t>
          </a:r>
          <a:r>
            <a:rPr lang="en-GB" sz="1100"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88950">
            <a:lnSpc>
              <a:spcPct val="90000"/>
            </a:lnSpc>
            <a:spcBef>
              <a:spcPct val="0"/>
            </a:spcBef>
            <a:spcAft>
              <a:spcPct val="35000"/>
            </a:spcAft>
            <a:buNone/>
          </a:pPr>
          <a:r>
            <a:rPr lang="en-GB" sz="1100" kern="1200">
              <a:solidFill>
                <a:sysClr val="windowText" lastClr="000000"/>
              </a:solidFill>
              <a:latin typeface="Times New Roman" panose="02020603050405020304" pitchFamily="18" charset="0"/>
              <a:cs typeface="Times New Roman" panose="02020603050405020304" pitchFamily="18" charset="0"/>
            </a:rPr>
            <a:t>Families, friends, </a:t>
          </a:r>
          <a:br>
            <a:rPr lang="en-GB" sz="1100" kern="1200">
              <a:solidFill>
                <a:sysClr val="windowText" lastClr="000000"/>
              </a:solidFill>
              <a:latin typeface="Times New Roman" panose="02020603050405020304" pitchFamily="18" charset="0"/>
              <a:cs typeface="Times New Roman" panose="02020603050405020304" pitchFamily="18" charset="0"/>
            </a:rPr>
          </a:br>
          <a:r>
            <a:rPr lang="en-GB" sz="1100" kern="1200">
              <a:solidFill>
                <a:sysClr val="windowText" lastClr="000000"/>
              </a:solidFill>
              <a:latin typeface="Times New Roman" panose="02020603050405020304" pitchFamily="18" charset="0"/>
              <a:cs typeface="Times New Roman" panose="02020603050405020304" pitchFamily="18" charset="0"/>
            </a:rPr>
            <a:t>social networks, school  </a:t>
          </a:r>
        </a:p>
      </dsp:txBody>
      <dsp:txXfrm>
        <a:off x="1553249" y="3042461"/>
        <a:ext cx="1748710" cy="383787"/>
      </dsp:txXfrm>
    </dsp:sp>
    <dsp:sp modelId="{35C06D78-663D-41FF-91FA-AB48A09BF7E9}">
      <dsp:nvSpPr>
        <dsp:cNvPr id="0" name=""/>
        <dsp:cNvSpPr/>
      </dsp:nvSpPr>
      <dsp:spPr>
        <a:xfrm>
          <a:off x="1389396" y="3588801"/>
          <a:ext cx="2076417" cy="1316130"/>
        </a:xfrm>
        <a:prstGeom prst="ellipse">
          <a:avLst/>
        </a:prstGeom>
        <a:solidFill>
          <a:schemeClr val="bg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Times New Roman" panose="02020603050405020304" pitchFamily="18" charset="0"/>
              <a:cs typeface="Times New Roman" panose="02020603050405020304" pitchFamily="18" charset="0"/>
            </a:rPr>
            <a:t>INDIVIDUAL</a:t>
          </a:r>
        </a:p>
        <a:p>
          <a:pPr marL="0" lvl="0" indent="0" algn="ctr" defTabSz="488950">
            <a:lnSpc>
              <a:spcPct val="90000"/>
            </a:lnSpc>
            <a:spcBef>
              <a:spcPct val="0"/>
            </a:spcBef>
            <a:spcAft>
              <a:spcPct val="35000"/>
            </a:spcAft>
            <a:buNone/>
          </a:pPr>
          <a:r>
            <a:rPr lang="en-GB" sz="1100" kern="1200">
              <a:solidFill>
                <a:sysClr val="windowText" lastClr="000000"/>
              </a:solidFill>
              <a:latin typeface="Times New Roman" panose="02020603050405020304" pitchFamily="18" charset="0"/>
              <a:cs typeface="Times New Roman" panose="02020603050405020304" pitchFamily="18" charset="0"/>
            </a:rPr>
            <a:t>Knowledge, attitudes, skills, behaviours </a:t>
          </a:r>
        </a:p>
      </dsp:txBody>
      <dsp:txXfrm>
        <a:off x="1693480" y="3917833"/>
        <a:ext cx="1468249" cy="65806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0.71865</cdr:x>
      <cdr:y>0.89806</cdr:y>
    </cdr:from>
    <cdr:to>
      <cdr:x>0.92791</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4217500" y="2058670"/>
          <a:ext cx="1228090" cy="2336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tabLst>
              <a:tab pos="457200" algn="l"/>
            </a:tabLst>
          </a:pPr>
          <a:r>
            <a:rPr lang="en-GB" sz="800" b="1">
              <a:effectLst/>
              <a:latin typeface="Times New Roman" panose="02020603050405020304" pitchFamily="18" charset="0"/>
              <a:ea typeface="Times New Roman" panose="02020603050405020304" pitchFamily="18" charset="0"/>
            </a:rPr>
            <a:t>Source: CSEW (2018) 	</a:t>
          </a:r>
          <a:endParaRPr lang="en-GB" sz="1200">
            <a:effectLst/>
            <a:latin typeface="Times New Roman" panose="02020603050405020304" pitchFamily="18" charset="0"/>
            <a:ea typeface="Times New Roman" panose="02020603050405020304" pitchFamily="18" charset="0"/>
          </a:endParaRPr>
        </a:p>
        <a:p xmlns:a="http://schemas.openxmlformats.org/drawingml/2006/main">
          <a:pPr>
            <a:lnSpc>
              <a:spcPct val="115000"/>
            </a:lnSpc>
            <a:spcAft>
              <a:spcPts val="1000"/>
            </a:spcAft>
            <a:tabLst>
              <a:tab pos="457200" algn="l"/>
            </a:tabLst>
          </a:pPr>
          <a:r>
            <a:rPr lang="en-GB" sz="1000" b="1">
              <a:effectLst/>
              <a:latin typeface="Times New Roman" panose="02020603050405020304" pitchFamily="18" charset="0"/>
              <a:ea typeface="Times New Roman" panose="02020603050405020304" pitchFamily="18" charset="0"/>
            </a:rPr>
            <a:t> </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0.77044</cdr:x>
      <cdr:y>0.92713</cdr:y>
    </cdr:from>
    <cdr:to>
      <cdr:x>1</cdr:x>
      <cdr:y>1</cdr:y>
    </cdr:to>
    <cdr:sp macro="" textlink="">
      <cdr:nvSpPr>
        <cdr:cNvPr id="3" name="Text Box 2"/>
        <cdr:cNvSpPr txBox="1">
          <a:spLocks xmlns:a="http://schemas.openxmlformats.org/drawingml/2006/main" noChangeArrowheads="1"/>
        </cdr:cNvSpPr>
      </cdr:nvSpPr>
      <cdr:spPr bwMode="auto">
        <a:xfrm xmlns:a="http://schemas.openxmlformats.org/drawingml/2006/main">
          <a:off x="4747482" y="2631613"/>
          <a:ext cx="1414558" cy="2068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tabLst>
              <a:tab pos="457200" algn="l"/>
            </a:tabLst>
          </a:pPr>
          <a:r>
            <a:rPr lang="en-GB" sz="800" b="1">
              <a:effectLst/>
              <a:latin typeface="Times New Roman" panose="02020603050405020304" pitchFamily="18" charset="0"/>
              <a:ea typeface="Times New Roman" panose="02020603050405020304" pitchFamily="18" charset="0"/>
            </a:rPr>
            <a:t>Source: CSEW (2018) 	</a:t>
          </a:r>
          <a:endParaRPr lang="en-GB" sz="1200">
            <a:effectLst/>
            <a:latin typeface="Times New Roman" panose="02020603050405020304" pitchFamily="18" charset="0"/>
            <a:ea typeface="Times New Roman" panose="02020603050405020304" pitchFamily="18" charset="0"/>
          </a:endParaRPr>
        </a:p>
        <a:p xmlns:a="http://schemas.openxmlformats.org/drawingml/2006/main">
          <a:pPr>
            <a:lnSpc>
              <a:spcPct val="115000"/>
            </a:lnSpc>
            <a:spcAft>
              <a:spcPts val="1000"/>
            </a:spcAft>
            <a:tabLst>
              <a:tab pos="457200" algn="l"/>
            </a:tabLst>
          </a:pPr>
          <a:r>
            <a:rPr lang="en-GB" sz="1000" b="1">
              <a:effectLst/>
              <a:latin typeface="Times New Roman" panose="02020603050405020304" pitchFamily="18" charset="0"/>
              <a:ea typeface="Times New Roman" panose="02020603050405020304" pitchFamily="18" charset="0"/>
            </a:rPr>
            <a:t> </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0.7823</cdr:x>
      <cdr:y>0.79711</cdr:y>
    </cdr:from>
    <cdr:to>
      <cdr:x>1</cdr:x>
      <cdr:y>0.94079</cdr:y>
    </cdr:to>
    <cdr:sp macro="" textlink="">
      <cdr:nvSpPr>
        <cdr:cNvPr id="2" name="Text Box 2"/>
        <cdr:cNvSpPr txBox="1">
          <a:spLocks xmlns:a="http://schemas.openxmlformats.org/drawingml/2006/main" noChangeArrowheads="1"/>
        </cdr:cNvSpPr>
      </cdr:nvSpPr>
      <cdr:spPr bwMode="auto">
        <a:xfrm xmlns:a="http://schemas.openxmlformats.org/drawingml/2006/main">
          <a:off x="4462426" y="2436672"/>
          <a:ext cx="1241779" cy="439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15000"/>
            </a:lnSpc>
            <a:spcAft>
              <a:spcPts val="1000"/>
            </a:spcAft>
            <a:tabLst>
              <a:tab pos="457200" algn="l"/>
            </a:tabLst>
          </a:pPr>
          <a:r>
            <a:rPr lang="en-GB" sz="800" b="1">
              <a:effectLst/>
              <a:latin typeface="Times New Roman" panose="02020603050405020304" pitchFamily="18" charset="0"/>
              <a:ea typeface="Times New Roman" panose="02020603050405020304" pitchFamily="18" charset="0"/>
            </a:rPr>
            <a:t>Source: NDTMS (2018)	</a:t>
          </a:r>
          <a:endParaRPr lang="en-GB" sz="1200">
            <a:effectLst/>
            <a:latin typeface="Times New Roman" panose="02020603050405020304" pitchFamily="18" charset="0"/>
            <a:ea typeface="Times New Roman" panose="02020603050405020304" pitchFamily="18" charset="0"/>
          </a:endParaRPr>
        </a:p>
        <a:p xmlns:a="http://schemas.openxmlformats.org/drawingml/2006/main">
          <a:pPr>
            <a:lnSpc>
              <a:spcPct val="115000"/>
            </a:lnSpc>
            <a:spcAft>
              <a:spcPts val="1000"/>
            </a:spcAft>
            <a:tabLst>
              <a:tab pos="457200" algn="l"/>
            </a:tabLst>
          </a:pPr>
          <a:r>
            <a:rPr lang="en-GB" sz="1000" b="1">
              <a:effectLst/>
              <a:latin typeface="Times New Roman" panose="02020603050405020304" pitchFamily="18" charset="0"/>
              <a:ea typeface="Times New Roman" panose="02020603050405020304" pitchFamily="18" charset="0"/>
            </a:rPr>
            <a:t> </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0.82986</cdr:x>
      <cdr:y>0.77358</cdr:y>
    </cdr:from>
    <cdr:to>
      <cdr:x>1</cdr:x>
      <cdr:y>0.91599</cdr:y>
    </cdr:to>
    <cdr:sp macro="" textlink="">
      <cdr:nvSpPr>
        <cdr:cNvPr id="2" name="Text Box 2"/>
        <cdr:cNvSpPr txBox="1">
          <a:spLocks xmlns:a="http://schemas.openxmlformats.org/drawingml/2006/main" noChangeArrowheads="1"/>
        </cdr:cNvSpPr>
      </cdr:nvSpPr>
      <cdr:spPr bwMode="auto">
        <a:xfrm xmlns:a="http://schemas.openxmlformats.org/drawingml/2006/main">
          <a:off x="4858602" y="2385866"/>
          <a:ext cx="996097" cy="439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lnSpc>
              <a:spcPct val="115000"/>
            </a:lnSpc>
            <a:spcAft>
              <a:spcPts val="1000"/>
            </a:spcAft>
            <a:tabLst>
              <a:tab pos="457200" algn="l"/>
            </a:tabLst>
          </a:pPr>
          <a:r>
            <a:rPr lang="en-GB" sz="800" b="1">
              <a:effectLst/>
              <a:latin typeface="Times New Roman" panose="02020603050405020304" pitchFamily="18" charset="0"/>
              <a:ea typeface="Times New Roman" panose="02020603050405020304" pitchFamily="18" charset="0"/>
            </a:rPr>
            <a:t>Source: ONS (2017)	</a:t>
          </a:r>
          <a:endParaRPr lang="en-GB" sz="1200">
            <a:effectLst/>
            <a:latin typeface="Times New Roman" panose="02020603050405020304" pitchFamily="18" charset="0"/>
            <a:ea typeface="Times New Roman" panose="02020603050405020304" pitchFamily="18" charset="0"/>
          </a:endParaRPr>
        </a:p>
        <a:p xmlns:a="http://schemas.openxmlformats.org/drawingml/2006/main">
          <a:pPr>
            <a:lnSpc>
              <a:spcPct val="115000"/>
            </a:lnSpc>
            <a:spcAft>
              <a:spcPts val="1000"/>
            </a:spcAft>
            <a:tabLst>
              <a:tab pos="457200" algn="l"/>
            </a:tabLst>
          </a:pPr>
          <a:r>
            <a:rPr lang="en-GB" sz="1000" b="1">
              <a:effectLst/>
              <a:latin typeface="Times New Roman" panose="02020603050405020304" pitchFamily="18" charset="0"/>
              <a:ea typeface="Times New Roman" panose="02020603050405020304" pitchFamily="18" charset="0"/>
            </a:rPr>
            <a:t> </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0.74793</cdr:x>
      <cdr:y>0.77245</cdr:y>
    </cdr:from>
    <cdr:to>
      <cdr:x>0.96926</cdr:x>
      <cdr:y>0.93102</cdr:y>
    </cdr:to>
    <cdr:sp macro="" textlink="">
      <cdr:nvSpPr>
        <cdr:cNvPr id="2" name="Text Box 2"/>
        <cdr:cNvSpPr txBox="1">
          <a:spLocks xmlns:a="http://schemas.openxmlformats.org/drawingml/2006/main" noChangeArrowheads="1"/>
        </cdr:cNvSpPr>
      </cdr:nvSpPr>
      <cdr:spPr bwMode="auto">
        <a:xfrm xmlns:a="http://schemas.openxmlformats.org/drawingml/2006/main">
          <a:off x="4170405" y="2139581"/>
          <a:ext cx="1234108" cy="4392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15000"/>
            </a:lnSpc>
            <a:spcAft>
              <a:spcPts val="1000"/>
            </a:spcAft>
            <a:tabLst>
              <a:tab pos="457200" algn="l"/>
            </a:tabLst>
          </a:pPr>
          <a:r>
            <a:rPr lang="en-GB" sz="800" b="1">
              <a:effectLst/>
              <a:latin typeface="Times New Roman" panose="02020603050405020304" pitchFamily="18" charset="0"/>
              <a:ea typeface="Times New Roman" panose="02020603050405020304" pitchFamily="18" charset="0"/>
            </a:rPr>
            <a:t>Source: ONS (2017)	</a:t>
          </a:r>
          <a:endParaRPr lang="en-GB" sz="1200">
            <a:effectLst/>
            <a:latin typeface="Times New Roman" panose="02020603050405020304" pitchFamily="18" charset="0"/>
            <a:ea typeface="Times New Roman" panose="02020603050405020304" pitchFamily="18" charset="0"/>
          </a:endParaRPr>
        </a:p>
        <a:p xmlns:a="http://schemas.openxmlformats.org/drawingml/2006/main">
          <a:pPr>
            <a:lnSpc>
              <a:spcPct val="115000"/>
            </a:lnSpc>
            <a:spcAft>
              <a:spcPts val="1000"/>
            </a:spcAft>
            <a:tabLst>
              <a:tab pos="457200" algn="l"/>
            </a:tabLst>
          </a:pPr>
          <a:r>
            <a:rPr lang="en-GB" sz="1000" b="1">
              <a:effectLst/>
              <a:latin typeface="Times New Roman" panose="02020603050405020304" pitchFamily="18" charset="0"/>
              <a:ea typeface="Times New Roman" panose="02020603050405020304" pitchFamily="18" charset="0"/>
            </a:rPr>
            <a:t> </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4145E-E784-4F2E-9833-309EC97C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 section template.dotx</Template>
  <TotalTime>1</TotalTime>
  <Pages>6</Pages>
  <Words>115640</Words>
  <Characters>659152</Characters>
  <Application>Microsoft Office Word</Application>
  <DocSecurity>0</DocSecurity>
  <Lines>5492</Lines>
  <Paragraphs>1546</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773246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Gagnon</dc:creator>
  <cp:lastModifiedBy>Emily Gagnon</cp:lastModifiedBy>
  <cp:revision>2</cp:revision>
  <cp:lastPrinted>2019-05-23T12:48:00Z</cp:lastPrinted>
  <dcterms:created xsi:type="dcterms:W3CDTF">2020-04-21T16:41:00Z</dcterms:created>
  <dcterms:modified xsi:type="dcterms:W3CDTF">2020-04-21T16:41:00Z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cd89ddf5-e0ca-36de-9d8b-931ca9db1146</vt:lpwstr>
  </property>
  <property fmtid="{D5CDD505-2E9C-101B-9397-08002B2CF9AE}" pid="24" name="Mendeley Citation Style_1">
    <vt:lpwstr>http://www.zotero.org/styles/apa</vt:lpwstr>
  </property>
</Properties>
</file>